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24.xml" ContentType="application/vnd.openxmlformats-officedocument.wordprocessingml.foot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header29.xml" ContentType="application/vnd.openxmlformats-officedocument.wordprocessingml.head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footer31.xml" ContentType="application/vnd.openxmlformats-officedocument.wordprocessingml.footer+xml"/>
  <Override PartName="/word/header32.xml" ContentType="application/vnd.openxmlformats-officedocument.wordprocessingml.head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footer34.xml" ContentType="application/vnd.openxmlformats-officedocument.wordprocessingml.footer+xml"/>
  <Override PartName="/word/header35.xml" ContentType="application/vnd.openxmlformats-officedocument.wordprocessingml.head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footer37.xml" ContentType="application/vnd.openxmlformats-officedocument.wordprocessingml.footer+xml"/>
  <Override PartName="/word/header38.xml" ContentType="application/vnd.openxmlformats-officedocument.wordprocessingml.head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footer40.xml" ContentType="application/vnd.openxmlformats-officedocument.wordprocessingml.footer+xml"/>
  <Override PartName="/word/header41.xml" ContentType="application/vnd.openxmlformats-officedocument.wordprocessingml.head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footer43.xml" ContentType="application/vnd.openxmlformats-officedocument.wordprocessingml.footer+xml"/>
  <Override PartName="/word/header44.xml" ContentType="application/vnd.openxmlformats-officedocument.wordprocessingml.head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footer46.xml" ContentType="application/vnd.openxmlformats-officedocument.wordprocessingml.footer+xml"/>
  <Override PartName="/word/header47.xml" ContentType="application/vnd.openxmlformats-officedocument.wordprocessingml.head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footer52.xml" ContentType="application/vnd.openxmlformats-officedocument.wordprocessingml.footer+xml"/>
  <Override PartName="/word/header53.xml" ContentType="application/vnd.openxmlformats-officedocument.wordprocessingml.head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footer55.xml" ContentType="application/vnd.openxmlformats-officedocument.wordprocessingml.footer+xml"/>
  <Override PartName="/word/header56.xml" ContentType="application/vnd.openxmlformats-officedocument.wordprocessingml.head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footer58.xml" ContentType="application/vnd.openxmlformats-officedocument.wordprocessingml.footer+xml"/>
  <Override PartName="/word/header59.xml" ContentType="application/vnd.openxmlformats-officedocument.wordprocessingml.head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footer61.xml" ContentType="application/vnd.openxmlformats-officedocument.wordprocessingml.footer+xml"/>
  <Override PartName="/word/header62.xml" ContentType="application/vnd.openxmlformats-officedocument.wordprocessingml.head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footer67.xml" ContentType="application/vnd.openxmlformats-officedocument.wordprocessingml.footer+xml"/>
  <Override PartName="/word/header68.xml" ContentType="application/vnd.openxmlformats-officedocument.wordprocessingml.head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footer70.xml" ContentType="application/vnd.openxmlformats-officedocument.wordprocessingml.footer+xml"/>
  <Override PartName="/word/header71.xml" ContentType="application/vnd.openxmlformats-officedocument.wordprocessingml.head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footer73.xml" ContentType="application/vnd.openxmlformats-officedocument.wordprocessingml.footer+xml"/>
  <Override PartName="/word/header74.xml" ContentType="application/vnd.openxmlformats-officedocument.wordprocessingml.head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footer76.xml" ContentType="application/vnd.openxmlformats-officedocument.wordprocessingml.footer+xml"/>
  <Override PartName="/word/header77.xml" ContentType="application/vnd.openxmlformats-officedocument.wordprocessingml.header+xml"/>
  <Override PartName="/word/header78.xml" ContentType="application/vnd.openxmlformats-officedocument.wordprocessingml.header+xml"/>
  <Override PartName="/word/footer77.xml" ContentType="application/vnd.openxmlformats-officedocument.wordprocessingml.footer+xml"/>
  <Override PartName="/word/footer78.xml" ContentType="application/vnd.openxmlformats-officedocument.wordprocessingml.footer+xml"/>
  <Override PartName="/word/header79.xml" ContentType="application/vnd.openxmlformats-officedocument.wordprocessingml.header+xml"/>
  <Override PartName="/word/footer79.xml" ContentType="application/vnd.openxmlformats-officedocument.wordprocessingml.footer+xml"/>
  <Override PartName="/word/header80.xml" ContentType="application/vnd.openxmlformats-officedocument.wordprocessingml.head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_DMBM_36709"/>
      <w:bookmarkStart w:id="1" w:name="_CSF_TOC_1"/>
      <w:bookmarkStart w:id="2"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AFF8A4C7-4B49-4CDD-A860-54B779F4B94A" style="width:455.25pt;height:300pt">
            <v:imagedata r:id="rId11" o:title=""/>
          </v:shape>
        </w:pict>
      </w:r>
    </w:p>
    <w:bookmarkEnd w:id="2"/>
    <w:p>
      <w:pPr>
        <w:rPr>
          <w:noProof/>
        </w:rPr>
        <w:sectPr>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pPr>
        <w:pStyle w:val="HEADERTABLE"/>
        <w:rPr>
          <w:noProof/>
        </w:rPr>
      </w:pPr>
      <w:bookmarkStart w:id="3" w:name="_DMBM_36714"/>
      <w:bookmarkEnd w:id="0"/>
      <w:r>
        <w:rPr>
          <w:noProof/>
        </w:rPr>
        <w:lastRenderedPageBreak/>
        <w:t>TABLE DES MATIÈRES</w:t>
      </w:r>
    </w:p>
    <w:p>
      <w:pPr>
        <w:pStyle w:val="HEADERTABLE"/>
        <w:rPr>
          <w:noProof/>
        </w:rPr>
      </w:pPr>
    </w:p>
    <w:p>
      <w:pPr>
        <w:pStyle w:val="TOC1"/>
        <w:tabs>
          <w:tab w:val="right" w:leader="dot" w:pos="9017"/>
        </w:tabs>
        <w:rPr>
          <w:rFonts w:asciiTheme="minorHAnsi" w:eastAsiaTheme="minorEastAsia" w:hAnsiTheme="minorHAnsi" w:cstheme="minorBidi"/>
          <w:noProof/>
          <w:color w:val="auto"/>
          <w:kern w:val="2"/>
          <w:sz w:val="24"/>
          <w:lang w:val="en-IE" w:eastAsia="en-IE"/>
          <w14:ligatures w14:val="standardContextual"/>
        </w:rPr>
      </w:pPr>
      <w:r>
        <w:rPr>
          <w:noProof/>
          <w:color w:val="auto"/>
          <w:sz w:val="18"/>
        </w:rPr>
        <w:fldChar w:fldCharType="begin"/>
      </w:r>
      <w:r>
        <w:rPr>
          <w:noProof/>
        </w:rPr>
        <w:instrText xml:space="preserve"> TOC \h \z \t "FIRST_CHAPTER_PAGE;1;HEADER_TITLE_1;2" </w:instrText>
      </w:r>
      <w:r>
        <w:rPr>
          <w:noProof/>
          <w:color w:val="auto"/>
          <w:sz w:val="18"/>
        </w:rPr>
        <w:fldChar w:fldCharType="separate"/>
      </w:r>
      <w:hyperlink w:anchor="_Toc237348404" w:history="1">
        <w:r>
          <w:rPr>
            <w:rStyle w:val="Hyperlink"/>
            <w:noProof/>
          </w:rPr>
          <w:t>FAITS MARQUANTS DE L’EXERCICE SUR LE PLAN FINANCIER</w:t>
        </w:r>
        <w:r>
          <w:rPr>
            <w:noProof/>
            <w:webHidden/>
          </w:rPr>
          <w:tab/>
        </w:r>
        <w:r>
          <w:rPr>
            <w:noProof/>
            <w:webHidden/>
          </w:rPr>
          <w:fldChar w:fldCharType="begin"/>
        </w:r>
        <w:r>
          <w:rPr>
            <w:noProof/>
            <w:webHidden/>
          </w:rPr>
          <w:instrText xml:space="preserve"> PAGEREF _Toc237348404 \h </w:instrText>
        </w:r>
        <w:r>
          <w:rPr>
            <w:noProof/>
            <w:webHidden/>
          </w:rPr>
        </w:r>
        <w:r>
          <w:rPr>
            <w:noProof/>
            <w:webHidden/>
          </w:rPr>
          <w:fldChar w:fldCharType="separate"/>
        </w:r>
        <w:r>
          <w:rPr>
            <w:noProof/>
            <w:webHidden/>
          </w:rPr>
          <w:t>2</w:t>
        </w:r>
        <w:r>
          <w:rPr>
            <w:noProof/>
            <w:webHidden/>
          </w:rPr>
          <w:fldChar w:fldCharType="end"/>
        </w:r>
      </w:hyperlink>
    </w:p>
    <w:p>
      <w:pPr>
        <w:pStyle w:val="TOC1"/>
        <w:tabs>
          <w:tab w:val="right" w:leader="dot" w:pos="9017"/>
        </w:tabs>
        <w:rPr>
          <w:rFonts w:asciiTheme="minorHAnsi" w:eastAsiaTheme="minorEastAsia" w:hAnsiTheme="minorHAnsi" w:cstheme="minorBidi"/>
          <w:noProof/>
          <w:color w:val="auto"/>
          <w:kern w:val="2"/>
          <w:sz w:val="24"/>
          <w:lang w:val="en-IE" w:eastAsia="en-IE"/>
          <w14:ligatures w14:val="standardContextual"/>
        </w:rPr>
      </w:pPr>
      <w:hyperlink w:anchor="_Toc237348405" w:history="1">
        <w:r>
          <w:rPr>
            <w:rStyle w:val="Hyperlink"/>
            <w:noProof/>
          </w:rPr>
          <w:t>NOTE ACCOMPAGNANT LES COMPTES CONSOLIDÉS</w:t>
        </w:r>
        <w:r>
          <w:rPr>
            <w:noProof/>
            <w:webHidden/>
          </w:rPr>
          <w:tab/>
        </w:r>
        <w:r>
          <w:rPr>
            <w:noProof/>
            <w:webHidden/>
          </w:rPr>
          <w:fldChar w:fldCharType="begin"/>
        </w:r>
        <w:r>
          <w:rPr>
            <w:noProof/>
            <w:webHidden/>
          </w:rPr>
          <w:instrText xml:space="preserve"> PAGEREF _Toc237348405 \h </w:instrText>
        </w:r>
        <w:r>
          <w:rPr>
            <w:noProof/>
            <w:webHidden/>
          </w:rPr>
        </w:r>
        <w:r>
          <w:rPr>
            <w:noProof/>
            <w:webHidden/>
          </w:rPr>
          <w:fldChar w:fldCharType="separate"/>
        </w:r>
        <w:r>
          <w:rPr>
            <w:noProof/>
            <w:webHidden/>
          </w:rPr>
          <w:t>43</w:t>
        </w:r>
        <w:r>
          <w:rPr>
            <w:noProof/>
            <w:webHidden/>
          </w:rPr>
          <w:fldChar w:fldCharType="end"/>
        </w:r>
      </w:hyperlink>
    </w:p>
    <w:p>
      <w:pPr>
        <w:pStyle w:val="TOC1"/>
        <w:tabs>
          <w:tab w:val="right" w:leader="dot" w:pos="9017"/>
        </w:tabs>
        <w:rPr>
          <w:rFonts w:asciiTheme="minorHAnsi" w:eastAsiaTheme="minorEastAsia" w:hAnsiTheme="minorHAnsi" w:cstheme="minorBidi"/>
          <w:noProof/>
          <w:color w:val="auto"/>
          <w:kern w:val="2"/>
          <w:sz w:val="24"/>
          <w:lang w:val="en-IE" w:eastAsia="en-IE"/>
          <w14:ligatures w14:val="standardContextual"/>
        </w:rPr>
      </w:pPr>
      <w:hyperlink w:anchor="_Toc237348406" w:history="1">
        <w:r>
          <w:rPr>
            <w:rStyle w:val="Hyperlink"/>
            <w:noProof/>
          </w:rPr>
          <w:t>ÉTATS FINANCIERS CONSOLIDÉS ET NOTES ANNEXES</w:t>
        </w:r>
        <w:r>
          <w:rPr>
            <w:noProof/>
            <w:webHidden/>
          </w:rPr>
          <w:tab/>
        </w:r>
        <w:r>
          <w:rPr>
            <w:noProof/>
            <w:webHidden/>
          </w:rPr>
          <w:fldChar w:fldCharType="begin"/>
        </w:r>
        <w:r>
          <w:rPr>
            <w:noProof/>
            <w:webHidden/>
          </w:rPr>
          <w:instrText xml:space="preserve"> PAGEREF _Toc237348406 \h </w:instrText>
        </w:r>
        <w:r>
          <w:rPr>
            <w:noProof/>
            <w:webHidden/>
          </w:rPr>
        </w:r>
        <w:r>
          <w:rPr>
            <w:noProof/>
            <w:webHidden/>
          </w:rPr>
          <w:fldChar w:fldCharType="separate"/>
        </w:r>
        <w:r>
          <w:rPr>
            <w:noProof/>
            <w:webHidden/>
          </w:rPr>
          <w:t>44</w:t>
        </w:r>
        <w:r>
          <w:rPr>
            <w:noProof/>
            <w:webHidden/>
          </w:rPr>
          <w:fldChar w:fldCharType="end"/>
        </w:r>
      </w:hyperlink>
    </w:p>
    <w:p>
      <w:pPr>
        <w:pStyle w:val="TOC2"/>
        <w:tabs>
          <w:tab w:val="right" w:leader="dot" w:pos="9017"/>
        </w:tabs>
        <w:rPr>
          <w:rFonts w:asciiTheme="minorHAnsi" w:eastAsiaTheme="minorEastAsia" w:hAnsiTheme="minorHAnsi" w:cstheme="minorBidi"/>
          <w:noProof/>
          <w:color w:val="auto"/>
          <w:kern w:val="2"/>
          <w:sz w:val="24"/>
          <w:lang w:val="en-IE" w:eastAsia="en-IE"/>
          <w14:ligatures w14:val="standardContextual"/>
        </w:rPr>
      </w:pPr>
      <w:hyperlink w:anchor="_Toc237348407" w:history="1">
        <w:r>
          <w:rPr>
            <w:rStyle w:val="Hyperlink"/>
            <w:noProof/>
          </w:rPr>
          <w:t>BILAN</w:t>
        </w:r>
        <w:r>
          <w:rPr>
            <w:noProof/>
            <w:webHidden/>
          </w:rPr>
          <w:tab/>
        </w:r>
        <w:r>
          <w:rPr>
            <w:noProof/>
            <w:webHidden/>
          </w:rPr>
          <w:fldChar w:fldCharType="begin"/>
        </w:r>
        <w:r>
          <w:rPr>
            <w:noProof/>
            <w:webHidden/>
          </w:rPr>
          <w:instrText xml:space="preserve"> PAGEREF _Toc237348407 \h </w:instrText>
        </w:r>
        <w:r>
          <w:rPr>
            <w:noProof/>
            <w:webHidden/>
          </w:rPr>
        </w:r>
        <w:r>
          <w:rPr>
            <w:noProof/>
            <w:webHidden/>
          </w:rPr>
          <w:fldChar w:fldCharType="separate"/>
        </w:r>
        <w:r>
          <w:rPr>
            <w:noProof/>
            <w:webHidden/>
          </w:rPr>
          <w:t>46</w:t>
        </w:r>
        <w:r>
          <w:rPr>
            <w:noProof/>
            <w:webHidden/>
          </w:rPr>
          <w:fldChar w:fldCharType="end"/>
        </w:r>
      </w:hyperlink>
    </w:p>
    <w:p>
      <w:pPr>
        <w:pStyle w:val="TOC2"/>
        <w:tabs>
          <w:tab w:val="right" w:leader="dot" w:pos="9017"/>
        </w:tabs>
        <w:rPr>
          <w:rFonts w:asciiTheme="minorHAnsi" w:eastAsiaTheme="minorEastAsia" w:hAnsiTheme="minorHAnsi" w:cstheme="minorBidi"/>
          <w:noProof/>
          <w:color w:val="auto"/>
          <w:kern w:val="2"/>
          <w:sz w:val="24"/>
          <w:lang w:val="en-IE" w:eastAsia="en-IE"/>
          <w14:ligatures w14:val="standardContextual"/>
        </w:rPr>
      </w:pPr>
      <w:hyperlink w:anchor="_Toc237348408" w:history="1">
        <w:r>
          <w:rPr>
            <w:rStyle w:val="Hyperlink"/>
            <w:noProof/>
          </w:rPr>
          <w:t>COMPTE DE RÉSULTAT ÉCONOMIQUE</w:t>
        </w:r>
        <w:r>
          <w:rPr>
            <w:noProof/>
            <w:webHidden/>
          </w:rPr>
          <w:tab/>
        </w:r>
        <w:r>
          <w:rPr>
            <w:noProof/>
            <w:webHidden/>
          </w:rPr>
          <w:fldChar w:fldCharType="begin"/>
        </w:r>
        <w:r>
          <w:rPr>
            <w:noProof/>
            <w:webHidden/>
          </w:rPr>
          <w:instrText xml:space="preserve"> PAGEREF _Toc237348408 \h </w:instrText>
        </w:r>
        <w:r>
          <w:rPr>
            <w:noProof/>
            <w:webHidden/>
          </w:rPr>
        </w:r>
        <w:r>
          <w:rPr>
            <w:noProof/>
            <w:webHidden/>
          </w:rPr>
          <w:fldChar w:fldCharType="separate"/>
        </w:r>
        <w:r>
          <w:rPr>
            <w:noProof/>
            <w:webHidden/>
          </w:rPr>
          <w:t>47</w:t>
        </w:r>
        <w:r>
          <w:rPr>
            <w:noProof/>
            <w:webHidden/>
          </w:rPr>
          <w:fldChar w:fldCharType="end"/>
        </w:r>
      </w:hyperlink>
    </w:p>
    <w:p>
      <w:pPr>
        <w:pStyle w:val="TOC2"/>
        <w:tabs>
          <w:tab w:val="right" w:leader="dot" w:pos="9017"/>
        </w:tabs>
        <w:rPr>
          <w:rFonts w:asciiTheme="minorHAnsi" w:eastAsiaTheme="minorEastAsia" w:hAnsiTheme="minorHAnsi" w:cstheme="minorBidi"/>
          <w:noProof/>
          <w:color w:val="auto"/>
          <w:kern w:val="2"/>
          <w:sz w:val="24"/>
          <w:lang w:val="en-IE" w:eastAsia="en-IE"/>
          <w14:ligatures w14:val="standardContextual"/>
        </w:rPr>
      </w:pPr>
      <w:hyperlink w:anchor="_Toc237348409" w:history="1">
        <w:r>
          <w:rPr>
            <w:rStyle w:val="Hyperlink"/>
            <w:noProof/>
          </w:rPr>
          <w:t>TABLEAU DES FLUX DE TRÉSORERIE</w:t>
        </w:r>
        <w:r>
          <w:rPr>
            <w:noProof/>
            <w:webHidden/>
          </w:rPr>
          <w:tab/>
        </w:r>
        <w:r>
          <w:rPr>
            <w:noProof/>
            <w:webHidden/>
          </w:rPr>
          <w:fldChar w:fldCharType="begin"/>
        </w:r>
        <w:r>
          <w:rPr>
            <w:noProof/>
            <w:webHidden/>
          </w:rPr>
          <w:instrText xml:space="preserve"> PAGEREF _Toc237348409 \h </w:instrText>
        </w:r>
        <w:r>
          <w:rPr>
            <w:noProof/>
            <w:webHidden/>
          </w:rPr>
        </w:r>
        <w:r>
          <w:rPr>
            <w:noProof/>
            <w:webHidden/>
          </w:rPr>
          <w:fldChar w:fldCharType="separate"/>
        </w:r>
        <w:r>
          <w:rPr>
            <w:noProof/>
            <w:webHidden/>
          </w:rPr>
          <w:t>48</w:t>
        </w:r>
        <w:r>
          <w:rPr>
            <w:noProof/>
            <w:webHidden/>
          </w:rPr>
          <w:fldChar w:fldCharType="end"/>
        </w:r>
      </w:hyperlink>
    </w:p>
    <w:p>
      <w:pPr>
        <w:pStyle w:val="TOC2"/>
        <w:tabs>
          <w:tab w:val="right" w:leader="dot" w:pos="9017"/>
        </w:tabs>
        <w:rPr>
          <w:rFonts w:asciiTheme="minorHAnsi" w:eastAsiaTheme="minorEastAsia" w:hAnsiTheme="minorHAnsi" w:cstheme="minorBidi"/>
          <w:noProof/>
          <w:color w:val="auto"/>
          <w:kern w:val="2"/>
          <w:sz w:val="24"/>
          <w:lang w:val="en-IE" w:eastAsia="en-IE"/>
          <w14:ligatures w14:val="standardContextual"/>
        </w:rPr>
      </w:pPr>
      <w:hyperlink w:anchor="_Toc237348410" w:history="1">
        <w:r>
          <w:rPr>
            <w:rStyle w:val="Hyperlink"/>
            <w:noProof/>
          </w:rPr>
          <w:t>ÉTAT DES VARIATIONS DE L’ACTIF NET</w:t>
        </w:r>
        <w:r>
          <w:rPr>
            <w:noProof/>
            <w:webHidden/>
          </w:rPr>
          <w:tab/>
        </w:r>
        <w:r>
          <w:rPr>
            <w:noProof/>
            <w:webHidden/>
          </w:rPr>
          <w:fldChar w:fldCharType="begin"/>
        </w:r>
        <w:r>
          <w:rPr>
            <w:noProof/>
            <w:webHidden/>
          </w:rPr>
          <w:instrText xml:space="preserve"> PAGEREF _Toc237348410 \h </w:instrText>
        </w:r>
        <w:r>
          <w:rPr>
            <w:noProof/>
            <w:webHidden/>
          </w:rPr>
        </w:r>
        <w:r>
          <w:rPr>
            <w:noProof/>
            <w:webHidden/>
          </w:rPr>
          <w:fldChar w:fldCharType="separate"/>
        </w:r>
        <w:r>
          <w:rPr>
            <w:noProof/>
            <w:webHidden/>
          </w:rPr>
          <w:t>49</w:t>
        </w:r>
        <w:r>
          <w:rPr>
            <w:noProof/>
            <w:webHidden/>
          </w:rPr>
          <w:fldChar w:fldCharType="end"/>
        </w:r>
      </w:hyperlink>
    </w:p>
    <w:p>
      <w:pPr>
        <w:pStyle w:val="TOC2"/>
        <w:tabs>
          <w:tab w:val="right" w:leader="dot" w:pos="9017"/>
        </w:tabs>
        <w:rPr>
          <w:rFonts w:asciiTheme="minorHAnsi" w:eastAsiaTheme="minorEastAsia" w:hAnsiTheme="minorHAnsi" w:cstheme="minorBidi"/>
          <w:noProof/>
          <w:color w:val="auto"/>
          <w:kern w:val="2"/>
          <w:sz w:val="24"/>
          <w:lang w:val="en-IE" w:eastAsia="en-IE"/>
          <w14:ligatures w14:val="standardContextual"/>
        </w:rPr>
      </w:pPr>
      <w:hyperlink w:anchor="_Toc237348411" w:history="1">
        <w:r>
          <w:rPr>
            <w:rStyle w:val="Hyperlink"/>
            <w:noProof/>
          </w:rPr>
          <w:t>ANNEXES AUX ÉTATS FINANCIERS</w:t>
        </w:r>
        <w:r>
          <w:rPr>
            <w:noProof/>
            <w:webHidden/>
          </w:rPr>
          <w:tab/>
        </w:r>
        <w:r>
          <w:rPr>
            <w:noProof/>
            <w:webHidden/>
          </w:rPr>
          <w:fldChar w:fldCharType="begin"/>
        </w:r>
        <w:r>
          <w:rPr>
            <w:noProof/>
            <w:webHidden/>
          </w:rPr>
          <w:instrText xml:space="preserve"> PAGEREF _Toc237348411 \h </w:instrText>
        </w:r>
        <w:r>
          <w:rPr>
            <w:noProof/>
            <w:webHidden/>
          </w:rPr>
        </w:r>
        <w:r>
          <w:rPr>
            <w:noProof/>
            <w:webHidden/>
          </w:rPr>
          <w:fldChar w:fldCharType="separate"/>
        </w:r>
        <w:r>
          <w:rPr>
            <w:noProof/>
            <w:webHidden/>
          </w:rPr>
          <w:t>50</w:t>
        </w:r>
        <w:r>
          <w:rPr>
            <w:noProof/>
            <w:webHidden/>
          </w:rPr>
          <w:fldChar w:fldCharType="end"/>
        </w:r>
      </w:hyperlink>
    </w:p>
    <w:p>
      <w:pPr>
        <w:pStyle w:val="TOC1"/>
        <w:tabs>
          <w:tab w:val="right" w:leader="dot" w:pos="9017"/>
        </w:tabs>
        <w:rPr>
          <w:rFonts w:asciiTheme="minorHAnsi" w:eastAsiaTheme="minorEastAsia" w:hAnsiTheme="minorHAnsi" w:cstheme="minorBidi"/>
          <w:noProof/>
          <w:color w:val="auto"/>
          <w:kern w:val="2"/>
          <w:sz w:val="24"/>
          <w:lang w:val="en-IE" w:eastAsia="en-IE"/>
          <w14:ligatures w14:val="standardContextual"/>
        </w:rPr>
      </w:pPr>
      <w:hyperlink w:anchor="_Toc237348412" w:history="1">
        <w:r>
          <w:rPr>
            <w:rStyle w:val="Hyperlink"/>
            <w:noProof/>
          </w:rPr>
          <w:t>ÉTATS SUR L’EXÉCUTION BUDGÉTAIRE ET NOTES ANNEXES</w:t>
        </w:r>
        <w:r>
          <w:rPr>
            <w:noProof/>
            <w:webHidden/>
          </w:rPr>
          <w:tab/>
        </w:r>
        <w:r>
          <w:rPr>
            <w:noProof/>
            <w:webHidden/>
          </w:rPr>
          <w:fldChar w:fldCharType="begin"/>
        </w:r>
        <w:r>
          <w:rPr>
            <w:noProof/>
            <w:webHidden/>
          </w:rPr>
          <w:instrText xml:space="preserve"> PAGEREF _Toc237348412 \h </w:instrText>
        </w:r>
        <w:r>
          <w:rPr>
            <w:noProof/>
            <w:webHidden/>
          </w:rPr>
        </w:r>
        <w:r>
          <w:rPr>
            <w:noProof/>
            <w:webHidden/>
          </w:rPr>
          <w:fldChar w:fldCharType="separate"/>
        </w:r>
        <w:r>
          <w:rPr>
            <w:noProof/>
            <w:webHidden/>
          </w:rPr>
          <w:t>175</w:t>
        </w:r>
        <w:r>
          <w:rPr>
            <w:noProof/>
            <w:webHidden/>
          </w:rPr>
          <w:fldChar w:fldCharType="end"/>
        </w:r>
      </w:hyperlink>
    </w:p>
    <w:p>
      <w:pPr>
        <w:pStyle w:val="TOC1"/>
        <w:tabs>
          <w:tab w:val="right" w:leader="dot" w:pos="9017"/>
        </w:tabs>
        <w:rPr>
          <w:rFonts w:asciiTheme="minorHAnsi" w:eastAsiaTheme="minorEastAsia" w:hAnsiTheme="minorHAnsi" w:cstheme="minorBidi"/>
          <w:noProof/>
          <w:color w:val="auto"/>
          <w:kern w:val="2"/>
          <w:sz w:val="24"/>
          <w:lang w:val="en-IE" w:eastAsia="en-IE"/>
          <w14:ligatures w14:val="standardContextual"/>
        </w:rPr>
      </w:pPr>
      <w:hyperlink w:anchor="_Toc237348413" w:history="1">
        <w:r>
          <w:rPr>
            <w:rStyle w:val="Hyperlink"/>
            <w:noProof/>
          </w:rPr>
          <w:t>GLOSSAIRE</w:t>
        </w:r>
        <w:r>
          <w:rPr>
            <w:noProof/>
            <w:webHidden/>
          </w:rPr>
          <w:tab/>
        </w:r>
        <w:r>
          <w:rPr>
            <w:noProof/>
            <w:webHidden/>
          </w:rPr>
          <w:fldChar w:fldCharType="begin"/>
        </w:r>
        <w:r>
          <w:rPr>
            <w:noProof/>
            <w:webHidden/>
          </w:rPr>
          <w:instrText xml:space="preserve"> PAGEREF _Toc237348413 \h </w:instrText>
        </w:r>
        <w:r>
          <w:rPr>
            <w:noProof/>
            <w:webHidden/>
          </w:rPr>
        </w:r>
        <w:r>
          <w:rPr>
            <w:noProof/>
            <w:webHidden/>
          </w:rPr>
          <w:fldChar w:fldCharType="separate"/>
        </w:r>
        <w:r>
          <w:rPr>
            <w:noProof/>
            <w:webHidden/>
          </w:rPr>
          <w:t>244</w:t>
        </w:r>
        <w:r>
          <w:rPr>
            <w:noProof/>
            <w:webHidden/>
          </w:rPr>
          <w:fldChar w:fldCharType="end"/>
        </w:r>
      </w:hyperlink>
    </w:p>
    <w:p>
      <w:pPr>
        <w:pStyle w:val="TOC1"/>
        <w:tabs>
          <w:tab w:val="right" w:leader="dot" w:pos="9017"/>
        </w:tabs>
        <w:rPr>
          <w:rFonts w:asciiTheme="minorHAnsi" w:eastAsiaTheme="minorEastAsia" w:hAnsiTheme="minorHAnsi" w:cstheme="minorBidi"/>
          <w:noProof/>
          <w:color w:val="auto"/>
          <w:kern w:val="2"/>
          <w:sz w:val="24"/>
          <w:lang w:val="en-IE" w:eastAsia="en-IE"/>
          <w14:ligatures w14:val="standardContextual"/>
        </w:rPr>
      </w:pPr>
      <w:hyperlink w:anchor="_Toc237348414" w:history="1">
        <w:r>
          <w:rPr>
            <w:rStyle w:val="Hyperlink"/>
            <w:noProof/>
          </w:rPr>
          <w:t>LISTE DES ABRÉVIATIONS</w:t>
        </w:r>
        <w:r>
          <w:rPr>
            <w:noProof/>
            <w:webHidden/>
          </w:rPr>
          <w:tab/>
        </w:r>
        <w:r>
          <w:rPr>
            <w:noProof/>
            <w:webHidden/>
          </w:rPr>
          <w:fldChar w:fldCharType="begin"/>
        </w:r>
        <w:r>
          <w:rPr>
            <w:noProof/>
            <w:webHidden/>
          </w:rPr>
          <w:instrText xml:space="preserve"> PAGEREF _Toc237348414 \h </w:instrText>
        </w:r>
        <w:r>
          <w:rPr>
            <w:noProof/>
            <w:webHidden/>
          </w:rPr>
        </w:r>
        <w:r>
          <w:rPr>
            <w:noProof/>
            <w:webHidden/>
          </w:rPr>
          <w:fldChar w:fldCharType="separate"/>
        </w:r>
        <w:r>
          <w:rPr>
            <w:noProof/>
            <w:webHidden/>
          </w:rPr>
          <w:t>249</w:t>
        </w:r>
        <w:r>
          <w:rPr>
            <w:noProof/>
            <w:webHidden/>
          </w:rPr>
          <w:fldChar w:fldCharType="end"/>
        </w:r>
      </w:hyperlink>
    </w:p>
    <w:p>
      <w:pPr>
        <w:pStyle w:val="Textstand-alone"/>
        <w:sectPr>
          <w:headerReference w:type="even" r:id="rId18"/>
          <w:headerReference w:type="default" r:id="rId19"/>
          <w:footerReference w:type="even" r:id="rId20"/>
          <w:footerReference w:type="default" r:id="rId21"/>
          <w:headerReference w:type="first" r:id="rId22"/>
          <w:footerReference w:type="first" r:id="rId23"/>
          <w:pgSz w:w="11907" w:h="16840"/>
          <w:pgMar w:top="1440" w:right="1440" w:bottom="1440" w:left="1440" w:header="708" w:footer="708" w:gutter="0"/>
          <w:cols w:space="708"/>
          <w:docGrid w:linePitch="360"/>
        </w:sectPr>
      </w:pPr>
      <w:r>
        <w:rPr>
          <w:caps/>
          <w:color w:val="016894"/>
          <w:sz w:val="20"/>
        </w:rPr>
        <w:fldChar w:fldCharType="end"/>
      </w:r>
      <w:r>
        <w:rPr>
          <w:caps/>
          <w:color w:val="016894"/>
          <w:sz w:val="20"/>
        </w:rPr>
        <w:t xml:space="preserve"> </w:t>
      </w:r>
      <w:bookmarkEnd w:id="3"/>
    </w:p>
    <w:p>
      <w:pPr>
        <w:pStyle w:val="Textstand-alone"/>
      </w:pPr>
      <w:bookmarkStart w:id="4" w:name="_DMBM_36670"/>
    </w:p>
    <w:p>
      <w:pPr>
        <w:pStyle w:val="Textstand-alone"/>
      </w:pPr>
    </w:p>
    <w:p>
      <w:pPr>
        <w:pStyle w:val="Textstand-alone"/>
      </w:pPr>
    </w:p>
    <w:p>
      <w:pPr>
        <w:pStyle w:val="Textstand-alone"/>
      </w:pPr>
    </w:p>
    <w:p>
      <w:pPr>
        <w:pStyle w:val="FIRSTCHAPTERPAGE"/>
        <w:rPr>
          <w:noProof/>
        </w:rPr>
      </w:pPr>
    </w:p>
    <w:p>
      <w:pPr>
        <w:pStyle w:val="FIRSTCHAPTERPAGE"/>
        <w:rPr>
          <w:noProof/>
        </w:rPr>
      </w:pPr>
    </w:p>
    <w:p>
      <w:pPr>
        <w:pStyle w:val="FIRSTCHAPTERPAGE"/>
        <w:rPr>
          <w:noProof/>
        </w:rPr>
      </w:pPr>
    </w:p>
    <w:p>
      <w:pPr>
        <w:pStyle w:val="FIRSTCHAPTERPAGE"/>
        <w:rPr>
          <w:noProof/>
        </w:rPr>
      </w:pPr>
      <w:bookmarkStart w:id="5" w:name="_Toc237348404"/>
      <w:r>
        <w:rPr>
          <w:noProof/>
        </w:rPr>
        <w:t>FAITS MARQUANTS DE L’EXERCICE SUR LE PLAN FINANCIER</w:t>
      </w:r>
      <w:bookmarkEnd w:id="5"/>
    </w:p>
    <w:p>
      <w:pPr>
        <w:pStyle w:val="DGTextstand-alone"/>
      </w:pPr>
    </w:p>
    <w:p>
      <w:pPr>
        <w:pStyle w:val="DGTextstand-alone"/>
        <w:rPr>
          <w:i/>
        </w:rPr>
      </w:pPr>
    </w:p>
    <w:p>
      <w:pPr>
        <w:pStyle w:val="DGTextstand-alone"/>
        <w:rPr>
          <w:i/>
        </w:rPr>
      </w:pPr>
    </w:p>
    <w:p>
      <w:pPr>
        <w:pStyle w:val="DGTextstand-alone"/>
        <w:rPr>
          <w:i/>
        </w:rPr>
      </w:pPr>
    </w:p>
    <w:p>
      <w:pPr>
        <w:pStyle w:val="DGTextstand-alone"/>
        <w:rPr>
          <w:i/>
        </w:rPr>
      </w:pPr>
    </w:p>
    <w:p>
      <w:pPr>
        <w:pStyle w:val="DGTextstand-alone"/>
        <w:rPr>
          <w:i/>
        </w:rPr>
      </w:pPr>
    </w:p>
    <w:p>
      <w:pPr>
        <w:pStyle w:val="DGTextstand-alone"/>
        <w:rPr>
          <w:i/>
        </w:rPr>
      </w:pPr>
    </w:p>
    <w:p>
      <w:pPr>
        <w:pStyle w:val="DGTextstand-alone"/>
        <w:rPr>
          <w:i/>
        </w:rPr>
      </w:pPr>
    </w:p>
    <w:p>
      <w:pPr>
        <w:pStyle w:val="DGTextstand-alone"/>
        <w:rPr>
          <w:i/>
        </w:rPr>
      </w:pPr>
    </w:p>
    <w:p>
      <w:pPr>
        <w:pStyle w:val="DGTextstand-alone"/>
        <w:rPr>
          <w:i/>
        </w:rPr>
      </w:pPr>
    </w:p>
    <w:p>
      <w:pPr>
        <w:pStyle w:val="DGTextstand-alone"/>
        <w:rPr>
          <w:i/>
        </w:rPr>
      </w:pPr>
    </w:p>
    <w:p>
      <w:pPr>
        <w:jc w:val="both"/>
        <w:rPr>
          <w:rFonts w:ascii="Verdana" w:hAnsi="Verdana"/>
          <w:i/>
          <w:noProof/>
          <w:color w:val="016794"/>
          <w:sz w:val="18"/>
        </w:rPr>
      </w:pPr>
      <w:r>
        <w:rPr>
          <w:rFonts w:ascii="Verdana" w:hAnsi="Verdana"/>
          <w:i/>
          <w:noProof/>
          <w:color w:val="016794"/>
          <w:sz w:val="18"/>
        </w:rPr>
        <w:t>L’objectif de la présente section consacrée aux faits marquants sur le plan financier, qui a été élaborée sur la base des principes énoncés dans le guide des pratiques recommandées (RPG) 2 de l’IPSASB «Financial Statement Discussion and Analysis» (Commentaires et analyses des états financiers), est d’aider les lecteurs à comprendre comment les activités opérationnelles, financières et d’investissement de l’UE sont reflétées dans les différents éléments des états financiers consolidés de l’UE. Les informations présentées dans cette section n’ont pas fait l’objet d’un audit.</w:t>
      </w:r>
    </w:p>
    <w:p>
      <w:pPr>
        <w:jc w:val="both"/>
        <w:rPr>
          <w:rFonts w:ascii="Verdana" w:hAnsi="Verdana"/>
          <w:i/>
          <w:noProof/>
          <w:color w:val="016794"/>
          <w:sz w:val="18"/>
        </w:rPr>
      </w:pPr>
    </w:p>
    <w:p>
      <w:pPr>
        <w:jc w:val="both"/>
        <w:rPr>
          <w:rFonts w:ascii="Verdana" w:hAnsi="Verdana"/>
          <w:i/>
          <w:noProof/>
          <w:sz w:val="18"/>
          <w:szCs w:val="18"/>
        </w:rPr>
      </w:pPr>
      <w:r>
        <w:rPr>
          <w:rFonts w:ascii="Verdana" w:hAnsi="Verdana"/>
          <w:i/>
          <w:noProof/>
          <w:color w:val="016794"/>
          <w:sz w:val="18"/>
        </w:rPr>
        <w:t>Veuillez noter que des écarts peuvent sembler exister entre certaines données financières des tableaux figurant ci-dessous lorsqu’elles sont additionnées car les chiffres sont arrondis au million d’EUR.</w:t>
      </w:r>
      <w:r>
        <w:rPr>
          <w:i/>
          <w:noProof/>
        </w:rPr>
        <w:br w:type="page"/>
      </w:r>
    </w:p>
    <w:p>
      <w:pPr>
        <w:pStyle w:val="HEADERTABLE"/>
        <w:rPr>
          <w:noProof/>
        </w:rPr>
      </w:pPr>
      <w:r>
        <w:rPr>
          <w:noProof/>
        </w:rPr>
        <w:lastRenderedPageBreak/>
        <w:t>SOMMAIRE</w:t>
      </w:r>
    </w:p>
    <w:sdt>
      <w:sdtPr>
        <w:rPr>
          <w:rFonts w:ascii="Times New Roman" w:eastAsia="Times New Roman" w:hAnsi="Times New Roman" w:cs="Times New Roman"/>
          <w:b w:val="0"/>
          <w:bCs w:val="0"/>
          <w:noProof/>
          <w:color w:val="auto"/>
          <w:sz w:val="24"/>
          <w:szCs w:val="24"/>
          <w:lang w:eastAsia="en-GB"/>
        </w:rPr>
        <w:id w:val="-428046295"/>
        <w:docPartObj>
          <w:docPartGallery w:val="Table of Contents"/>
          <w:docPartUnique/>
        </w:docPartObj>
      </w:sdtPr>
      <w:sdtContent>
        <w:p>
          <w:pPr>
            <w:pStyle w:val="TOCHeading"/>
            <w:rPr>
              <w:noProof/>
            </w:rPr>
          </w:pPr>
        </w:p>
        <w:p>
          <w:pPr>
            <w:pStyle w:val="TOC1"/>
            <w:tabs>
              <w:tab w:val="left" w:pos="480"/>
              <w:tab w:val="right" w:leader="dot" w:pos="9629"/>
            </w:tabs>
            <w:rPr>
              <w:rFonts w:asciiTheme="minorHAnsi" w:eastAsiaTheme="minorEastAsia" w:hAnsiTheme="minorHAnsi" w:cstheme="minorBidi"/>
              <w:noProof/>
              <w:color w:val="auto"/>
              <w:kern w:val="2"/>
              <w:sz w:val="24"/>
              <w:lang w:val="en-IE" w:eastAsia="en-IE"/>
              <w14:ligatures w14:val="standardContextual"/>
            </w:rPr>
          </w:pPr>
          <w:r>
            <w:rPr>
              <w:noProof/>
            </w:rPr>
            <w:fldChar w:fldCharType="begin"/>
          </w:r>
          <w:r>
            <w:rPr>
              <w:noProof/>
            </w:rPr>
            <w:instrText xml:space="preserve"> TOC \o "1-3" \h \z \t "HEADER 1_Part 4;1;HEADER 2_Part 4;2" </w:instrText>
          </w:r>
          <w:r>
            <w:rPr>
              <w:noProof/>
            </w:rPr>
            <w:fldChar w:fldCharType="separate"/>
          </w:r>
          <w:hyperlink w:anchor="_Toc237348523" w:history="1">
            <w:r>
              <w:rPr>
                <w:rStyle w:val="Hyperlink"/>
                <w:noProof/>
              </w:rPr>
              <w:t>1.</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CHIFFRES CLÉS ET FAITS MARQUANTS DE L’EXERCICE</w:t>
            </w:r>
            <w:r>
              <w:rPr>
                <w:noProof/>
                <w:webHidden/>
              </w:rPr>
              <w:tab/>
            </w:r>
            <w:r>
              <w:rPr>
                <w:noProof/>
                <w:webHidden/>
              </w:rPr>
              <w:fldChar w:fldCharType="begin"/>
            </w:r>
            <w:r>
              <w:rPr>
                <w:noProof/>
                <w:webHidden/>
              </w:rPr>
              <w:instrText xml:space="preserve"> PAGEREF _Toc237348523 \h </w:instrText>
            </w:r>
            <w:r>
              <w:rPr>
                <w:noProof/>
                <w:webHidden/>
              </w:rPr>
            </w:r>
            <w:r>
              <w:rPr>
                <w:noProof/>
                <w:webHidden/>
              </w:rPr>
              <w:fldChar w:fldCharType="separate"/>
            </w:r>
            <w:r>
              <w:rPr>
                <w:noProof/>
                <w:webHidden/>
              </w:rPr>
              <w:t>5</w:t>
            </w:r>
            <w:r>
              <w:rPr>
                <w:noProof/>
                <w:webHidden/>
              </w:rPr>
              <w:fldChar w:fldCharType="end"/>
            </w:r>
          </w:hyperlink>
        </w:p>
        <w:p>
          <w:pPr>
            <w:pStyle w:val="TOC1"/>
            <w:tabs>
              <w:tab w:val="left" w:pos="48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348524" w:history="1">
            <w:r>
              <w:rPr>
                <w:rStyle w:val="Hyperlink"/>
                <w:noProof/>
              </w:rPr>
              <w:t>2.</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SYNTHÈSE DE L’EXÉCUTION DU BUDGET</w:t>
            </w:r>
            <w:r>
              <w:rPr>
                <w:noProof/>
                <w:webHidden/>
              </w:rPr>
              <w:tab/>
            </w:r>
            <w:r>
              <w:rPr>
                <w:noProof/>
                <w:webHidden/>
              </w:rPr>
              <w:fldChar w:fldCharType="begin"/>
            </w:r>
            <w:r>
              <w:rPr>
                <w:noProof/>
                <w:webHidden/>
              </w:rPr>
              <w:instrText xml:space="preserve"> PAGEREF _Toc237348524 \h </w:instrText>
            </w:r>
            <w:r>
              <w:rPr>
                <w:noProof/>
                <w:webHidden/>
              </w:rPr>
            </w:r>
            <w:r>
              <w:rPr>
                <w:noProof/>
                <w:webHidden/>
              </w:rPr>
              <w:fldChar w:fldCharType="separate"/>
            </w:r>
            <w:r>
              <w:rPr>
                <w:noProof/>
                <w:webHidden/>
              </w:rPr>
              <w:t>9</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348525" w:history="1">
            <w:r>
              <w:rPr>
                <w:rStyle w:val="Hyperlink"/>
                <w:noProof/>
              </w:rPr>
              <w:t>2.1.</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Recettes</w:t>
            </w:r>
            <w:r>
              <w:rPr>
                <w:noProof/>
                <w:webHidden/>
              </w:rPr>
              <w:tab/>
            </w:r>
            <w:r>
              <w:rPr>
                <w:noProof/>
                <w:webHidden/>
              </w:rPr>
              <w:fldChar w:fldCharType="begin"/>
            </w:r>
            <w:r>
              <w:rPr>
                <w:noProof/>
                <w:webHidden/>
              </w:rPr>
              <w:instrText xml:space="preserve"> PAGEREF _Toc237348525 \h </w:instrText>
            </w:r>
            <w:r>
              <w:rPr>
                <w:noProof/>
                <w:webHidden/>
              </w:rPr>
            </w:r>
            <w:r>
              <w:rPr>
                <w:noProof/>
                <w:webHidden/>
              </w:rPr>
              <w:fldChar w:fldCharType="separate"/>
            </w:r>
            <w:r>
              <w:rPr>
                <w:noProof/>
                <w:webHidden/>
              </w:rPr>
              <w:t>9</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348526" w:history="1">
            <w:r>
              <w:rPr>
                <w:rStyle w:val="Hyperlink"/>
                <w:noProof/>
              </w:rPr>
              <w:t>2.2.</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Dépenses</w:t>
            </w:r>
            <w:r>
              <w:rPr>
                <w:noProof/>
                <w:webHidden/>
              </w:rPr>
              <w:tab/>
            </w:r>
            <w:r>
              <w:rPr>
                <w:noProof/>
                <w:webHidden/>
              </w:rPr>
              <w:fldChar w:fldCharType="begin"/>
            </w:r>
            <w:r>
              <w:rPr>
                <w:noProof/>
                <w:webHidden/>
              </w:rPr>
              <w:instrText xml:space="preserve"> PAGEREF _Toc237348526 \h </w:instrText>
            </w:r>
            <w:r>
              <w:rPr>
                <w:noProof/>
                <w:webHidden/>
              </w:rPr>
            </w:r>
            <w:r>
              <w:rPr>
                <w:noProof/>
                <w:webHidden/>
              </w:rPr>
              <w:fldChar w:fldCharType="separate"/>
            </w:r>
            <w:r>
              <w:rPr>
                <w:noProof/>
                <w:webHidden/>
              </w:rPr>
              <w:t>10</w:t>
            </w:r>
            <w:r>
              <w:rPr>
                <w:noProof/>
                <w:webHidden/>
              </w:rPr>
              <w:fldChar w:fldCharType="end"/>
            </w:r>
          </w:hyperlink>
        </w:p>
        <w:p>
          <w:pPr>
            <w:pStyle w:val="TOC1"/>
            <w:tabs>
              <w:tab w:val="left" w:pos="48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348527" w:history="1">
            <w:r>
              <w:rPr>
                <w:rStyle w:val="Hyperlink"/>
                <w:noProof/>
              </w:rPr>
              <w:t>3.</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Mise en œuvre de NextGenerationEU</w:t>
            </w:r>
            <w:r>
              <w:rPr>
                <w:noProof/>
                <w:webHidden/>
              </w:rPr>
              <w:tab/>
            </w:r>
            <w:r>
              <w:rPr>
                <w:noProof/>
                <w:webHidden/>
              </w:rPr>
              <w:fldChar w:fldCharType="begin"/>
            </w:r>
            <w:r>
              <w:rPr>
                <w:noProof/>
                <w:webHidden/>
              </w:rPr>
              <w:instrText xml:space="preserve"> PAGEREF _Toc237348527 \h </w:instrText>
            </w:r>
            <w:r>
              <w:rPr>
                <w:noProof/>
                <w:webHidden/>
              </w:rPr>
            </w:r>
            <w:r>
              <w:rPr>
                <w:noProof/>
                <w:webHidden/>
              </w:rPr>
              <w:fldChar w:fldCharType="separate"/>
            </w:r>
            <w:r>
              <w:rPr>
                <w:noProof/>
                <w:webHidden/>
              </w:rPr>
              <w:t>14</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348528" w:history="1">
            <w:r>
              <w:rPr>
                <w:rStyle w:val="Hyperlink"/>
                <w:noProof/>
              </w:rPr>
              <w:t>3.1.</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Présentation</w:t>
            </w:r>
            <w:r>
              <w:rPr>
                <w:noProof/>
                <w:webHidden/>
              </w:rPr>
              <w:tab/>
            </w:r>
            <w:r>
              <w:rPr>
                <w:noProof/>
                <w:webHidden/>
              </w:rPr>
              <w:fldChar w:fldCharType="begin"/>
            </w:r>
            <w:r>
              <w:rPr>
                <w:noProof/>
                <w:webHidden/>
              </w:rPr>
              <w:instrText xml:space="preserve"> PAGEREF _Toc237348528 \h </w:instrText>
            </w:r>
            <w:r>
              <w:rPr>
                <w:noProof/>
                <w:webHidden/>
              </w:rPr>
            </w:r>
            <w:r>
              <w:rPr>
                <w:noProof/>
                <w:webHidden/>
              </w:rPr>
              <w:fldChar w:fldCharType="separate"/>
            </w:r>
            <w:r>
              <w:rPr>
                <w:noProof/>
                <w:webHidden/>
              </w:rPr>
              <w:t>14</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348529" w:history="1">
            <w:r>
              <w:rPr>
                <w:rStyle w:val="Hyperlink"/>
                <w:noProof/>
              </w:rPr>
              <w:t>3.2.</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Décaissements du soutien non remboursable en faveur des États membres au titre de la FRR (y compris REPowerEU)</w:t>
            </w:r>
            <w:r>
              <w:rPr>
                <w:noProof/>
                <w:webHidden/>
              </w:rPr>
              <w:tab/>
            </w:r>
            <w:r>
              <w:rPr>
                <w:noProof/>
                <w:webHidden/>
              </w:rPr>
              <w:fldChar w:fldCharType="begin"/>
            </w:r>
            <w:r>
              <w:rPr>
                <w:noProof/>
                <w:webHidden/>
              </w:rPr>
              <w:instrText xml:space="preserve"> PAGEREF _Toc237348529 \h </w:instrText>
            </w:r>
            <w:r>
              <w:rPr>
                <w:noProof/>
                <w:webHidden/>
              </w:rPr>
            </w:r>
            <w:r>
              <w:rPr>
                <w:noProof/>
                <w:webHidden/>
              </w:rPr>
              <w:fldChar w:fldCharType="separate"/>
            </w:r>
            <w:r>
              <w:rPr>
                <w:noProof/>
                <w:webHidden/>
              </w:rPr>
              <w:t>14</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348530" w:history="1">
            <w:r>
              <w:rPr>
                <w:rStyle w:val="Hyperlink"/>
                <w:noProof/>
              </w:rPr>
              <w:t>3.3.</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Décaissements de prêts au titre de la FRR (y compris REPowerEU)</w:t>
            </w:r>
            <w:r>
              <w:rPr>
                <w:noProof/>
                <w:webHidden/>
              </w:rPr>
              <w:tab/>
            </w:r>
            <w:r>
              <w:rPr>
                <w:noProof/>
                <w:webHidden/>
              </w:rPr>
              <w:fldChar w:fldCharType="begin"/>
            </w:r>
            <w:r>
              <w:rPr>
                <w:noProof/>
                <w:webHidden/>
              </w:rPr>
              <w:instrText xml:space="preserve"> PAGEREF _Toc237348530 \h </w:instrText>
            </w:r>
            <w:r>
              <w:rPr>
                <w:noProof/>
                <w:webHidden/>
              </w:rPr>
            </w:r>
            <w:r>
              <w:rPr>
                <w:noProof/>
                <w:webHidden/>
              </w:rPr>
              <w:fldChar w:fldCharType="separate"/>
            </w:r>
            <w:r>
              <w:rPr>
                <w:noProof/>
                <w:webHidden/>
              </w:rPr>
              <w:t>16</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348531" w:history="1">
            <w:r>
              <w:rPr>
                <w:rStyle w:val="Hyperlink"/>
                <w:noProof/>
              </w:rPr>
              <w:t>3.4.</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Décaissements du soutien non remboursable au titre de programmes relevant du budget de l’UE</w:t>
            </w:r>
            <w:r>
              <w:rPr>
                <w:noProof/>
                <w:webHidden/>
              </w:rPr>
              <w:tab/>
            </w:r>
            <w:r>
              <w:rPr>
                <w:noProof/>
                <w:webHidden/>
              </w:rPr>
              <w:fldChar w:fldCharType="begin"/>
            </w:r>
            <w:r>
              <w:rPr>
                <w:noProof/>
                <w:webHidden/>
              </w:rPr>
              <w:instrText xml:space="preserve"> PAGEREF _Toc237348531 \h </w:instrText>
            </w:r>
            <w:r>
              <w:rPr>
                <w:noProof/>
                <w:webHidden/>
              </w:rPr>
            </w:r>
            <w:r>
              <w:rPr>
                <w:noProof/>
                <w:webHidden/>
              </w:rPr>
              <w:fldChar w:fldCharType="separate"/>
            </w:r>
            <w:r>
              <w:rPr>
                <w:noProof/>
                <w:webHidden/>
              </w:rPr>
              <w:t>16</w:t>
            </w:r>
            <w:r>
              <w:rPr>
                <w:noProof/>
                <w:webHidden/>
              </w:rPr>
              <w:fldChar w:fldCharType="end"/>
            </w:r>
          </w:hyperlink>
        </w:p>
        <w:p>
          <w:pPr>
            <w:pStyle w:val="TOC1"/>
            <w:tabs>
              <w:tab w:val="left" w:pos="48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348532" w:history="1">
            <w:r>
              <w:rPr>
                <w:rStyle w:val="Hyperlink"/>
                <w:noProof/>
              </w:rPr>
              <w:t>4.</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ANALYSE DES ÉTATS FINANCIERS</w:t>
            </w:r>
            <w:r>
              <w:rPr>
                <w:noProof/>
                <w:webHidden/>
              </w:rPr>
              <w:tab/>
            </w:r>
            <w:r>
              <w:rPr>
                <w:noProof/>
                <w:webHidden/>
              </w:rPr>
              <w:fldChar w:fldCharType="begin"/>
            </w:r>
            <w:r>
              <w:rPr>
                <w:noProof/>
                <w:webHidden/>
              </w:rPr>
              <w:instrText xml:space="preserve"> PAGEREF _Toc237348532 \h </w:instrText>
            </w:r>
            <w:r>
              <w:rPr>
                <w:noProof/>
                <w:webHidden/>
              </w:rPr>
            </w:r>
            <w:r>
              <w:rPr>
                <w:noProof/>
                <w:webHidden/>
              </w:rPr>
              <w:fldChar w:fldCharType="separate"/>
            </w:r>
            <w:r>
              <w:rPr>
                <w:noProof/>
                <w:webHidden/>
              </w:rPr>
              <w:t>18</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348533" w:history="1">
            <w:r>
              <w:rPr>
                <w:rStyle w:val="Hyperlink"/>
                <w:noProof/>
              </w:rPr>
              <w:t>4.1.</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Recettes</w:t>
            </w:r>
            <w:r>
              <w:rPr>
                <w:noProof/>
                <w:webHidden/>
              </w:rPr>
              <w:tab/>
            </w:r>
            <w:r>
              <w:rPr>
                <w:noProof/>
                <w:webHidden/>
              </w:rPr>
              <w:fldChar w:fldCharType="begin"/>
            </w:r>
            <w:r>
              <w:rPr>
                <w:noProof/>
                <w:webHidden/>
              </w:rPr>
              <w:instrText xml:space="preserve"> PAGEREF _Toc237348533 \h </w:instrText>
            </w:r>
            <w:r>
              <w:rPr>
                <w:noProof/>
                <w:webHidden/>
              </w:rPr>
            </w:r>
            <w:r>
              <w:rPr>
                <w:noProof/>
                <w:webHidden/>
              </w:rPr>
              <w:fldChar w:fldCharType="separate"/>
            </w:r>
            <w:r>
              <w:rPr>
                <w:noProof/>
                <w:webHidden/>
              </w:rPr>
              <w:t>18</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348534" w:history="1">
            <w:r>
              <w:rPr>
                <w:rStyle w:val="Hyperlink"/>
                <w:noProof/>
              </w:rPr>
              <w:t>4.2.</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Dépenses</w:t>
            </w:r>
            <w:r>
              <w:rPr>
                <w:noProof/>
                <w:webHidden/>
              </w:rPr>
              <w:tab/>
            </w:r>
            <w:r>
              <w:rPr>
                <w:noProof/>
                <w:webHidden/>
              </w:rPr>
              <w:fldChar w:fldCharType="begin"/>
            </w:r>
            <w:r>
              <w:rPr>
                <w:noProof/>
                <w:webHidden/>
              </w:rPr>
              <w:instrText xml:space="preserve"> PAGEREF _Toc237348534 \h </w:instrText>
            </w:r>
            <w:r>
              <w:rPr>
                <w:noProof/>
                <w:webHidden/>
              </w:rPr>
            </w:r>
            <w:r>
              <w:rPr>
                <w:noProof/>
                <w:webHidden/>
              </w:rPr>
              <w:fldChar w:fldCharType="separate"/>
            </w:r>
            <w:r>
              <w:rPr>
                <w:noProof/>
                <w:webHidden/>
              </w:rPr>
              <w:t>19</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348535" w:history="1">
            <w:r>
              <w:rPr>
                <w:rStyle w:val="Hyperlink"/>
                <w:noProof/>
              </w:rPr>
              <w:t>4.3.</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Actifs</w:t>
            </w:r>
            <w:r>
              <w:rPr>
                <w:noProof/>
                <w:webHidden/>
              </w:rPr>
              <w:tab/>
            </w:r>
            <w:r>
              <w:rPr>
                <w:noProof/>
                <w:webHidden/>
              </w:rPr>
              <w:fldChar w:fldCharType="begin"/>
            </w:r>
            <w:r>
              <w:rPr>
                <w:noProof/>
                <w:webHidden/>
              </w:rPr>
              <w:instrText xml:space="preserve"> PAGEREF _Toc237348535 \h </w:instrText>
            </w:r>
            <w:r>
              <w:rPr>
                <w:noProof/>
                <w:webHidden/>
              </w:rPr>
            </w:r>
            <w:r>
              <w:rPr>
                <w:noProof/>
                <w:webHidden/>
              </w:rPr>
              <w:fldChar w:fldCharType="separate"/>
            </w:r>
            <w:r>
              <w:rPr>
                <w:noProof/>
                <w:webHidden/>
              </w:rPr>
              <w:t>19</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348536" w:history="1">
            <w:r>
              <w:rPr>
                <w:rStyle w:val="Hyperlink"/>
                <w:noProof/>
              </w:rPr>
              <w:t>4.4.</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Passifs</w:t>
            </w:r>
            <w:r>
              <w:rPr>
                <w:noProof/>
                <w:webHidden/>
              </w:rPr>
              <w:tab/>
            </w:r>
            <w:r>
              <w:rPr>
                <w:noProof/>
                <w:webHidden/>
              </w:rPr>
              <w:fldChar w:fldCharType="begin"/>
            </w:r>
            <w:r>
              <w:rPr>
                <w:noProof/>
                <w:webHidden/>
              </w:rPr>
              <w:instrText xml:space="preserve"> PAGEREF _Toc237348536 \h </w:instrText>
            </w:r>
            <w:r>
              <w:rPr>
                <w:noProof/>
                <w:webHidden/>
              </w:rPr>
            </w:r>
            <w:r>
              <w:rPr>
                <w:noProof/>
                <w:webHidden/>
              </w:rPr>
              <w:fldChar w:fldCharType="separate"/>
            </w:r>
            <w:r>
              <w:rPr>
                <w:noProof/>
                <w:webHidden/>
              </w:rPr>
              <w:t>23</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348537" w:history="1">
            <w:r>
              <w:rPr>
                <w:rStyle w:val="Hyperlink"/>
                <w:noProof/>
              </w:rPr>
              <w:t>4.5.</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Actif net</w:t>
            </w:r>
            <w:r>
              <w:rPr>
                <w:noProof/>
                <w:webHidden/>
              </w:rPr>
              <w:tab/>
            </w:r>
            <w:r>
              <w:rPr>
                <w:noProof/>
                <w:webHidden/>
              </w:rPr>
              <w:fldChar w:fldCharType="begin"/>
            </w:r>
            <w:r>
              <w:rPr>
                <w:noProof/>
                <w:webHidden/>
              </w:rPr>
              <w:instrText xml:space="preserve"> PAGEREF _Toc237348537 \h </w:instrText>
            </w:r>
            <w:r>
              <w:rPr>
                <w:noProof/>
                <w:webHidden/>
              </w:rPr>
            </w:r>
            <w:r>
              <w:rPr>
                <w:noProof/>
                <w:webHidden/>
              </w:rPr>
              <w:fldChar w:fldCharType="separate"/>
            </w:r>
            <w:r>
              <w:rPr>
                <w:noProof/>
                <w:webHidden/>
              </w:rPr>
              <w:t>24</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348538" w:history="1">
            <w:r>
              <w:rPr>
                <w:rStyle w:val="Hyperlink"/>
                <w:noProof/>
              </w:rPr>
              <w:t>4.6.</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Retrait du Royaume-Uni de l’UE</w:t>
            </w:r>
            <w:r>
              <w:rPr>
                <w:noProof/>
                <w:webHidden/>
              </w:rPr>
              <w:tab/>
            </w:r>
            <w:r>
              <w:rPr>
                <w:noProof/>
                <w:webHidden/>
              </w:rPr>
              <w:fldChar w:fldCharType="begin"/>
            </w:r>
            <w:r>
              <w:rPr>
                <w:noProof/>
                <w:webHidden/>
              </w:rPr>
              <w:instrText xml:space="preserve"> PAGEREF _Toc237348538 \h </w:instrText>
            </w:r>
            <w:r>
              <w:rPr>
                <w:noProof/>
                <w:webHidden/>
              </w:rPr>
            </w:r>
            <w:r>
              <w:rPr>
                <w:noProof/>
                <w:webHidden/>
              </w:rPr>
              <w:fldChar w:fldCharType="separate"/>
            </w:r>
            <w:r>
              <w:rPr>
                <w:noProof/>
                <w:webHidden/>
              </w:rPr>
              <w:t>24</w:t>
            </w:r>
            <w:r>
              <w:rPr>
                <w:noProof/>
                <w:webHidden/>
              </w:rPr>
              <w:fldChar w:fldCharType="end"/>
            </w:r>
          </w:hyperlink>
        </w:p>
        <w:p>
          <w:pPr>
            <w:pStyle w:val="TOC1"/>
            <w:tabs>
              <w:tab w:val="left" w:pos="48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348539" w:history="1">
            <w:r>
              <w:rPr>
                <w:rStyle w:val="Hyperlink"/>
                <w:noProof/>
              </w:rPr>
              <w:t>5.</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PASSIF ÉVENTUEL AU BUDGET</w:t>
            </w:r>
            <w:r>
              <w:rPr>
                <w:noProof/>
                <w:webHidden/>
              </w:rPr>
              <w:tab/>
            </w:r>
            <w:r>
              <w:rPr>
                <w:noProof/>
                <w:webHidden/>
              </w:rPr>
              <w:fldChar w:fldCharType="begin"/>
            </w:r>
            <w:r>
              <w:rPr>
                <w:noProof/>
                <w:webHidden/>
              </w:rPr>
              <w:instrText xml:space="preserve"> PAGEREF _Toc237348539 \h </w:instrText>
            </w:r>
            <w:r>
              <w:rPr>
                <w:noProof/>
                <w:webHidden/>
              </w:rPr>
            </w:r>
            <w:r>
              <w:rPr>
                <w:noProof/>
                <w:webHidden/>
              </w:rPr>
              <w:fldChar w:fldCharType="separate"/>
            </w:r>
            <w:r>
              <w:rPr>
                <w:noProof/>
                <w:webHidden/>
              </w:rPr>
              <w:t>26</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348540" w:history="1">
            <w:r>
              <w:rPr>
                <w:rStyle w:val="Hyperlink"/>
                <w:noProof/>
              </w:rPr>
              <w:t>5.1.</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Emprunts et prêts</w:t>
            </w:r>
            <w:r>
              <w:rPr>
                <w:noProof/>
                <w:webHidden/>
              </w:rPr>
              <w:tab/>
            </w:r>
            <w:r>
              <w:rPr>
                <w:noProof/>
                <w:webHidden/>
              </w:rPr>
              <w:fldChar w:fldCharType="begin"/>
            </w:r>
            <w:r>
              <w:rPr>
                <w:noProof/>
                <w:webHidden/>
              </w:rPr>
              <w:instrText xml:space="preserve"> PAGEREF _Toc237348540 \h </w:instrText>
            </w:r>
            <w:r>
              <w:rPr>
                <w:noProof/>
                <w:webHidden/>
              </w:rPr>
            </w:r>
            <w:r>
              <w:rPr>
                <w:noProof/>
                <w:webHidden/>
              </w:rPr>
              <w:fldChar w:fldCharType="separate"/>
            </w:r>
            <w:r>
              <w:rPr>
                <w:noProof/>
                <w:webHidden/>
              </w:rPr>
              <w:t>26</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348541" w:history="1">
            <w:r>
              <w:rPr>
                <w:rStyle w:val="Hyperlink"/>
                <w:noProof/>
              </w:rPr>
              <w:t>5.2.</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Garanties budgétaires</w:t>
            </w:r>
            <w:r>
              <w:rPr>
                <w:noProof/>
                <w:webHidden/>
              </w:rPr>
              <w:tab/>
            </w:r>
            <w:r>
              <w:rPr>
                <w:noProof/>
                <w:webHidden/>
              </w:rPr>
              <w:fldChar w:fldCharType="begin"/>
            </w:r>
            <w:r>
              <w:rPr>
                <w:noProof/>
                <w:webHidden/>
              </w:rPr>
              <w:instrText xml:space="preserve"> PAGEREF _Toc237348541 \h </w:instrText>
            </w:r>
            <w:r>
              <w:rPr>
                <w:noProof/>
                <w:webHidden/>
              </w:rPr>
            </w:r>
            <w:r>
              <w:rPr>
                <w:noProof/>
                <w:webHidden/>
              </w:rPr>
              <w:fldChar w:fldCharType="separate"/>
            </w:r>
            <w:r>
              <w:rPr>
                <w:noProof/>
                <w:webHidden/>
              </w:rPr>
              <w:t>33</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348542" w:history="1">
            <w:r>
              <w:rPr>
                <w:rStyle w:val="Hyperlink"/>
                <w:noProof/>
              </w:rPr>
              <w:t>5.3.</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Fonds commun de provisionnement</w:t>
            </w:r>
            <w:r>
              <w:rPr>
                <w:noProof/>
                <w:webHidden/>
              </w:rPr>
              <w:tab/>
            </w:r>
            <w:r>
              <w:rPr>
                <w:noProof/>
                <w:webHidden/>
              </w:rPr>
              <w:fldChar w:fldCharType="begin"/>
            </w:r>
            <w:r>
              <w:rPr>
                <w:noProof/>
                <w:webHidden/>
              </w:rPr>
              <w:instrText xml:space="preserve"> PAGEREF _Toc237348542 \h </w:instrText>
            </w:r>
            <w:r>
              <w:rPr>
                <w:noProof/>
                <w:webHidden/>
              </w:rPr>
            </w:r>
            <w:r>
              <w:rPr>
                <w:noProof/>
                <w:webHidden/>
              </w:rPr>
              <w:fldChar w:fldCharType="separate"/>
            </w:r>
            <w:r>
              <w:rPr>
                <w:noProof/>
                <w:webHidden/>
              </w:rPr>
              <w:t>35</w:t>
            </w:r>
            <w:r>
              <w:rPr>
                <w:noProof/>
                <w:webHidden/>
              </w:rPr>
              <w:fldChar w:fldCharType="end"/>
            </w:r>
          </w:hyperlink>
        </w:p>
        <w:p>
          <w:pPr>
            <w:pStyle w:val="TOC1"/>
            <w:tabs>
              <w:tab w:val="left" w:pos="48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348543" w:history="1">
            <w:r>
              <w:rPr>
                <w:rStyle w:val="Hyperlink"/>
                <w:noProof/>
              </w:rPr>
              <w:t>6.</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L’UE: CADRE POLITIQUE ET FINANCIER, GOUVERNANCE ET OBLIGATION DE RENDRE COMPTE</w:t>
            </w:r>
            <w:r>
              <w:rPr>
                <w:noProof/>
                <w:webHidden/>
              </w:rPr>
              <w:tab/>
            </w:r>
            <w:r>
              <w:rPr>
                <w:noProof/>
                <w:webHidden/>
              </w:rPr>
              <w:fldChar w:fldCharType="begin"/>
            </w:r>
            <w:r>
              <w:rPr>
                <w:noProof/>
                <w:webHidden/>
              </w:rPr>
              <w:instrText xml:space="preserve"> PAGEREF _Toc237348543 \h </w:instrText>
            </w:r>
            <w:r>
              <w:rPr>
                <w:noProof/>
                <w:webHidden/>
              </w:rPr>
            </w:r>
            <w:r>
              <w:rPr>
                <w:noProof/>
                <w:webHidden/>
              </w:rPr>
              <w:fldChar w:fldCharType="separate"/>
            </w:r>
            <w:r>
              <w:rPr>
                <w:noProof/>
                <w:webHidden/>
              </w:rPr>
              <w:t>37</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348544" w:history="1">
            <w:r>
              <w:rPr>
                <w:rStyle w:val="Hyperlink"/>
                <w:noProof/>
              </w:rPr>
              <w:t>6.1.</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Cadre politique et financier</w:t>
            </w:r>
            <w:r>
              <w:rPr>
                <w:noProof/>
                <w:webHidden/>
              </w:rPr>
              <w:tab/>
            </w:r>
            <w:r>
              <w:rPr>
                <w:noProof/>
                <w:webHidden/>
              </w:rPr>
              <w:fldChar w:fldCharType="begin"/>
            </w:r>
            <w:r>
              <w:rPr>
                <w:noProof/>
                <w:webHidden/>
              </w:rPr>
              <w:instrText xml:space="preserve"> PAGEREF _Toc237348544 \h </w:instrText>
            </w:r>
            <w:r>
              <w:rPr>
                <w:noProof/>
                <w:webHidden/>
              </w:rPr>
            </w:r>
            <w:r>
              <w:rPr>
                <w:noProof/>
                <w:webHidden/>
              </w:rPr>
              <w:fldChar w:fldCharType="separate"/>
            </w:r>
            <w:r>
              <w:rPr>
                <w:noProof/>
                <w:webHidden/>
              </w:rPr>
              <w:t>37</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348545" w:history="1">
            <w:r>
              <w:rPr>
                <w:rStyle w:val="Hyperlink"/>
                <w:noProof/>
              </w:rPr>
              <w:t>6.2.</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Gouvernance et responsabilité</w:t>
            </w:r>
            <w:r>
              <w:rPr>
                <w:noProof/>
                <w:webHidden/>
              </w:rPr>
              <w:tab/>
            </w:r>
            <w:r>
              <w:rPr>
                <w:noProof/>
                <w:webHidden/>
              </w:rPr>
              <w:fldChar w:fldCharType="begin"/>
            </w:r>
            <w:r>
              <w:rPr>
                <w:noProof/>
                <w:webHidden/>
              </w:rPr>
              <w:instrText xml:space="preserve"> PAGEREF _Toc237348545 \h </w:instrText>
            </w:r>
            <w:r>
              <w:rPr>
                <w:noProof/>
                <w:webHidden/>
              </w:rPr>
            </w:r>
            <w:r>
              <w:rPr>
                <w:noProof/>
                <w:webHidden/>
              </w:rPr>
              <w:fldChar w:fldCharType="separate"/>
            </w:r>
            <w:r>
              <w:rPr>
                <w:noProof/>
                <w:webHidden/>
              </w:rPr>
              <w:t>39</w:t>
            </w:r>
            <w:r>
              <w:rPr>
                <w:noProof/>
                <w:webHidden/>
              </w:rPr>
              <w:fldChar w:fldCharType="end"/>
            </w:r>
          </w:hyperlink>
        </w:p>
        <w:p>
          <w:pPr>
            <w:rPr>
              <w:noProof/>
            </w:rPr>
          </w:pPr>
          <w:r>
            <w:rPr>
              <w:noProof/>
            </w:rPr>
            <w:fldChar w:fldCharType="end"/>
          </w:r>
        </w:p>
      </w:sdtContent>
    </w:sdt>
    <w:p>
      <w:pPr>
        <w:rPr>
          <w:noProof/>
        </w:rPr>
      </w:pPr>
      <w:r>
        <w:rPr>
          <w:noProof/>
        </w:rPr>
        <w:br w:type="page"/>
      </w:r>
    </w:p>
    <w:p>
      <w:pPr>
        <w:pStyle w:val="HEADER1Part4"/>
        <w:rPr>
          <w:noProof/>
        </w:rPr>
      </w:pPr>
      <w:bookmarkStart w:id="6" w:name="_Toc99107437"/>
      <w:bookmarkStart w:id="7" w:name="_Toc237348523"/>
      <w:bookmarkStart w:id="8" w:name="_Toc491880236"/>
      <w:r>
        <w:rPr>
          <w:noProof/>
        </w:rPr>
        <w:lastRenderedPageBreak/>
        <w:t>CHIFFRES CLÉS ET FAITS MARQUANTS DE L’EXERCICE</w:t>
      </w:r>
      <w:bookmarkEnd w:id="6"/>
      <w:bookmarkEnd w:id="7"/>
    </w:p>
    <w:tbl>
      <w:tblPr>
        <w:tblStyle w:val="TableGrid1"/>
        <w:tblW w:w="0" w:type="auto"/>
        <w:jc w:val="center"/>
        <w:tblBorders>
          <w:top w:val="none" w:sz="0" w:space="0" w:color="auto"/>
          <w:left w:val="single" w:sz="4" w:space="0" w:color="FFFFFF" w:themeColor="background1"/>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4535"/>
        <w:gridCol w:w="1701"/>
        <w:gridCol w:w="1701"/>
        <w:gridCol w:w="1701"/>
      </w:tblGrid>
      <w:tr>
        <w:trPr>
          <w:trHeight w:val="510"/>
          <w:jc w:val="center"/>
        </w:trPr>
        <w:tc>
          <w:tcPr>
            <w:tcW w:w="9638" w:type="dxa"/>
            <w:gridSpan w:val="4"/>
            <w:tcBorders>
              <w:top w:val="single" w:sz="4" w:space="0" w:color="E36C0A" w:themeColor="accent6" w:themeShade="BF"/>
              <w:bottom w:val="single" w:sz="4" w:space="0" w:color="E36C0A" w:themeColor="accent6" w:themeShade="BF"/>
            </w:tcBorders>
            <w:vAlign w:val="center"/>
          </w:tcPr>
          <w:p>
            <w:pPr>
              <w:pStyle w:val="DGTextstand-alone"/>
              <w:spacing w:before="0" w:after="0"/>
              <w:rPr>
                <w:b/>
                <w:color w:val="016794"/>
                <w:sz w:val="28"/>
                <w:szCs w:val="28"/>
              </w:rPr>
            </w:pPr>
            <w:r>
              <w:rPr>
                <w:b/>
                <w:color w:val="016794"/>
                <w:sz w:val="28"/>
              </w:rPr>
              <w:t>États financiers consolidés</w:t>
            </w:r>
          </w:p>
        </w:tc>
      </w:tr>
      <w:tr>
        <w:trPr>
          <w:trHeight w:val="336"/>
          <w:jc w:val="center"/>
        </w:trPr>
        <w:tc>
          <w:tcPr>
            <w:tcW w:w="9638" w:type="dxa"/>
            <w:gridSpan w:val="4"/>
            <w:tcBorders>
              <w:top w:val="single" w:sz="4" w:space="0" w:color="E36C0A" w:themeColor="accent6" w:themeShade="BF"/>
            </w:tcBorders>
            <w:vAlign w:val="center"/>
          </w:tcPr>
          <w:p>
            <w:pPr>
              <w:jc w:val="right"/>
              <w:rPr>
                <w:rFonts w:ascii="Verdana" w:hAnsi="Verdana"/>
                <w:b/>
                <w:noProof/>
                <w:sz w:val="18"/>
              </w:rPr>
            </w:pPr>
          </w:p>
        </w:tc>
      </w:tr>
      <w:tr>
        <w:trPr>
          <w:trHeight w:val="336"/>
          <w:jc w:val="center"/>
        </w:trPr>
        <w:tc>
          <w:tcPr>
            <w:tcW w:w="9638" w:type="dxa"/>
            <w:gridSpan w:val="4"/>
            <w:vAlign w:val="center"/>
          </w:tcPr>
          <w:p>
            <w:pPr>
              <w:pStyle w:val="DGTextstand-alone"/>
              <w:spacing w:before="0"/>
            </w:pPr>
            <w:r>
              <w:t xml:space="preserve">Les états financiers consolidés de l’UE comprennent plus de 50 entités (dont le Parlement européen, le Conseil, la Commission et les agences de l’UE). Ils sont élaborés sur la base des règles de comptabilité d’exercice adoptées par le comptable de la Commission et inspirées des normes comptables admises au niveau international pour le secteur public (IPSAS). </w:t>
            </w:r>
          </w:p>
          <w:p>
            <w:pPr>
              <w:pStyle w:val="DGTextstand-alone"/>
            </w:pPr>
            <w:r>
              <w:t>Comme le montre la synthèse du bilan qui figure plus bas et comme cela ressort de manière plus détaillée dans l’analyse des états financiers (section </w:t>
            </w:r>
            <w:r>
              <w:rPr>
                <w:b/>
              </w:rPr>
              <w:t>4</w:t>
            </w:r>
            <w:r>
              <w:t>), les états financiers consolidés de l’UE pour 2025 se sont caractérisés essentiellement par une augmentation des emprunts due aux nouvelles émissions dans le cadre de l’approche unifiée en matière de financement, par une augmentation des actifs financiers due à la poursuite de la mise en œuvre de NextGenerationEU et du soutien financier apporté à l’Ukraine, ainsi que par une augmentation du solde de trésorerie de fin d’exercice liée au niveau élevé de décaissements prévus pour le début de 2026:</w:t>
            </w:r>
          </w:p>
        </w:tc>
      </w:tr>
      <w:tr>
        <w:trPr>
          <w:trHeight w:val="336"/>
          <w:jc w:val="center"/>
        </w:trPr>
        <w:tc>
          <w:tcPr>
            <w:tcW w:w="4535" w:type="dxa"/>
            <w:vAlign w:val="center"/>
          </w:tcPr>
          <w:p>
            <w:pPr>
              <w:rPr>
                <w:rFonts w:ascii="Verdana" w:hAnsi="Verdana"/>
                <w:noProof/>
                <w:color w:val="016794"/>
                <w:sz w:val="18"/>
                <w:szCs w:val="18"/>
                <w:lang w:eastAsia="de-DE"/>
              </w:rPr>
            </w:pPr>
          </w:p>
        </w:tc>
        <w:tc>
          <w:tcPr>
            <w:tcW w:w="1701" w:type="dxa"/>
            <w:vAlign w:val="center"/>
          </w:tcPr>
          <w:p>
            <w:pPr>
              <w:jc w:val="right"/>
              <w:rPr>
                <w:rFonts w:ascii="Verdana" w:hAnsi="Verdana"/>
                <w:b/>
                <w:noProof/>
                <w:sz w:val="18"/>
              </w:rPr>
            </w:pPr>
          </w:p>
        </w:tc>
        <w:tc>
          <w:tcPr>
            <w:tcW w:w="1701" w:type="dxa"/>
            <w:vAlign w:val="center"/>
          </w:tcPr>
          <w:p>
            <w:pPr>
              <w:pStyle w:val="DGTextstand-alone"/>
              <w:spacing w:before="0" w:after="0"/>
              <w:jc w:val="right"/>
              <w:rPr>
                <w:iCs/>
                <w:sz w:val="16"/>
              </w:rPr>
            </w:pPr>
          </w:p>
        </w:tc>
        <w:tc>
          <w:tcPr>
            <w:tcW w:w="1701" w:type="dxa"/>
            <w:tcBorders>
              <w:bottom w:val="nil"/>
            </w:tcBorders>
            <w:vAlign w:val="center"/>
          </w:tcPr>
          <w:p>
            <w:pPr>
              <w:pStyle w:val="DGTextstand-alone"/>
              <w:spacing w:before="0" w:after="0"/>
              <w:jc w:val="right"/>
              <w:rPr>
                <w:i/>
              </w:rPr>
            </w:pPr>
            <w:r>
              <w:rPr>
                <w:i/>
                <w:sz w:val="16"/>
              </w:rPr>
              <w:t>en Mrd EUR</w:t>
            </w:r>
          </w:p>
        </w:tc>
      </w:tr>
      <w:tr>
        <w:trPr>
          <w:trHeight w:val="336"/>
          <w:jc w:val="center"/>
        </w:trPr>
        <w:tc>
          <w:tcPr>
            <w:tcW w:w="4535" w:type="dxa"/>
            <w:vAlign w:val="center"/>
          </w:tcPr>
          <w:p>
            <w:pPr>
              <w:rPr>
                <w:rFonts w:ascii="Verdana" w:hAnsi="Verdana"/>
                <w:noProof/>
                <w:color w:val="016794"/>
                <w:sz w:val="18"/>
                <w:szCs w:val="18"/>
                <w:lang w:eastAsia="de-DE"/>
              </w:rPr>
            </w:pPr>
          </w:p>
        </w:tc>
        <w:tc>
          <w:tcPr>
            <w:tcW w:w="1701" w:type="dxa"/>
            <w:tcBorders>
              <w:right w:val="single" w:sz="4" w:space="0" w:color="FFFFFF" w:themeColor="background1"/>
            </w:tcBorders>
            <w:shd w:val="clear" w:color="auto" w:fill="036794"/>
            <w:vAlign w:val="center"/>
          </w:tcPr>
          <w:p>
            <w:pPr>
              <w:pStyle w:val="DGTextstand-alone"/>
              <w:spacing w:before="0" w:after="0"/>
              <w:jc w:val="right"/>
              <w:rPr>
                <w:b/>
                <w:color w:val="FFFFFF" w:themeColor="background1"/>
              </w:rPr>
            </w:pPr>
            <w:r>
              <w:rPr>
                <w:b/>
                <w:color w:val="FFFFFF" w:themeColor="background1"/>
              </w:rPr>
              <w:t>2025</w:t>
            </w:r>
          </w:p>
        </w:tc>
        <w:tc>
          <w:tcPr>
            <w:tcW w:w="1701" w:type="dxa"/>
            <w:tcBorders>
              <w:right w:val="single" w:sz="4" w:space="0" w:color="FFFFFF" w:themeColor="background1"/>
            </w:tcBorders>
            <w:shd w:val="clear" w:color="auto" w:fill="036794"/>
            <w:vAlign w:val="center"/>
          </w:tcPr>
          <w:p>
            <w:pPr>
              <w:pStyle w:val="DGTextstand-alone"/>
              <w:spacing w:before="0" w:after="0"/>
              <w:jc w:val="right"/>
              <w:rPr>
                <w:b/>
                <w:color w:val="FFFFFF" w:themeColor="background1"/>
              </w:rPr>
            </w:pPr>
            <w:r>
              <w:rPr>
                <w:b/>
                <w:color w:val="FFFFFF" w:themeColor="background1"/>
              </w:rPr>
              <w:t>2024</w:t>
            </w:r>
          </w:p>
        </w:tc>
        <w:tc>
          <w:tcPr>
            <w:tcW w:w="1701" w:type="dxa"/>
            <w:tcBorders>
              <w:left w:val="single" w:sz="4" w:space="0" w:color="FFFFFF" w:themeColor="background1"/>
            </w:tcBorders>
            <w:shd w:val="clear" w:color="auto" w:fill="036794"/>
            <w:vAlign w:val="center"/>
          </w:tcPr>
          <w:p>
            <w:pPr>
              <w:pStyle w:val="DGTextstand-alone"/>
              <w:spacing w:before="0" w:after="0"/>
              <w:jc w:val="right"/>
              <w:rPr>
                <w:b/>
                <w:color w:val="FFFFFF" w:themeColor="background1"/>
              </w:rPr>
            </w:pPr>
            <w:r>
              <w:rPr>
                <w:b/>
                <w:color w:val="FFFFFF" w:themeColor="background1"/>
              </w:rPr>
              <w:t>Variation</w:t>
            </w:r>
          </w:p>
        </w:tc>
      </w:tr>
      <w:tr>
        <w:trPr>
          <w:trHeight w:val="336"/>
          <w:jc w:val="center"/>
        </w:trPr>
        <w:tc>
          <w:tcPr>
            <w:tcW w:w="4535" w:type="dxa"/>
            <w:vAlign w:val="center"/>
          </w:tcPr>
          <w:p>
            <w:pPr>
              <w:rPr>
                <w:rFonts w:ascii="Verdana" w:hAnsi="Verdana"/>
                <w:noProof/>
                <w:color w:val="016794"/>
                <w:sz w:val="18"/>
                <w:szCs w:val="18"/>
                <w:lang w:eastAsia="de-DE"/>
              </w:rPr>
            </w:pPr>
          </w:p>
        </w:tc>
        <w:tc>
          <w:tcPr>
            <w:tcW w:w="1701" w:type="dxa"/>
            <w:tcBorders>
              <w:right w:val="single" w:sz="4" w:space="0" w:color="FFFFFF" w:themeColor="background1"/>
            </w:tcBorders>
            <w:shd w:val="clear" w:color="auto" w:fill="036794"/>
            <w:vAlign w:val="center"/>
          </w:tcPr>
          <w:p>
            <w:pPr>
              <w:pStyle w:val="DGTextstand-alone"/>
              <w:spacing w:before="0" w:after="0"/>
              <w:jc w:val="right"/>
              <w:rPr>
                <w:b/>
                <w:color w:val="FFFFFF" w:themeColor="background1"/>
              </w:rPr>
            </w:pPr>
          </w:p>
        </w:tc>
        <w:tc>
          <w:tcPr>
            <w:tcW w:w="1701" w:type="dxa"/>
            <w:tcBorders>
              <w:right w:val="single" w:sz="4" w:space="0" w:color="FFFFFF" w:themeColor="background1"/>
            </w:tcBorders>
            <w:shd w:val="clear" w:color="auto" w:fill="036794"/>
            <w:vAlign w:val="center"/>
          </w:tcPr>
          <w:p>
            <w:pPr>
              <w:pStyle w:val="DGTextstand-alone"/>
              <w:spacing w:before="0" w:after="0"/>
              <w:jc w:val="right"/>
              <w:rPr>
                <w:b/>
                <w:color w:val="FFFFFF" w:themeColor="background1"/>
              </w:rPr>
            </w:pPr>
          </w:p>
        </w:tc>
        <w:tc>
          <w:tcPr>
            <w:tcW w:w="1701" w:type="dxa"/>
            <w:tcBorders>
              <w:left w:val="single" w:sz="4" w:space="0" w:color="FFFFFF" w:themeColor="background1"/>
            </w:tcBorders>
            <w:shd w:val="clear" w:color="auto" w:fill="036794"/>
            <w:vAlign w:val="center"/>
          </w:tcPr>
          <w:p>
            <w:pPr>
              <w:pStyle w:val="DGTextstand-alone"/>
              <w:spacing w:before="0" w:after="0"/>
              <w:jc w:val="right"/>
              <w:rPr>
                <w:b/>
                <w:color w:val="FFFFFF" w:themeColor="background1"/>
              </w:rPr>
            </w:pPr>
          </w:p>
        </w:tc>
      </w:tr>
      <w:tr>
        <w:trPr>
          <w:trHeight w:val="336"/>
          <w:jc w:val="center"/>
        </w:trPr>
        <w:tc>
          <w:tcPr>
            <w:tcW w:w="4535" w:type="dxa"/>
            <w:tcBorders>
              <w:bottom w:val="single" w:sz="4" w:space="0" w:color="E36C0A" w:themeColor="accent6" w:themeShade="BF"/>
            </w:tcBorders>
            <w:vAlign w:val="center"/>
          </w:tcPr>
          <w:p>
            <w:pPr>
              <w:pStyle w:val="DGTextstand-alone"/>
              <w:spacing w:before="0" w:after="0"/>
              <w:jc w:val="left"/>
              <w:rPr>
                <w:b/>
                <w:color w:val="016794"/>
              </w:rPr>
            </w:pPr>
            <w:r>
              <w:rPr>
                <w:b/>
                <w:color w:val="E36C0A"/>
              </w:rPr>
              <w:t>ACTIFS</w:t>
            </w:r>
          </w:p>
        </w:tc>
        <w:tc>
          <w:tcPr>
            <w:tcW w:w="1701" w:type="dxa"/>
            <w:tcBorders>
              <w:bottom w:val="single" w:sz="4" w:space="0" w:color="E36C0A" w:themeColor="accent6" w:themeShade="BF"/>
            </w:tcBorders>
            <w:vAlign w:val="center"/>
          </w:tcPr>
          <w:p>
            <w:pPr>
              <w:jc w:val="right"/>
              <w:rPr>
                <w:rFonts w:ascii="Verdana" w:hAnsi="Verdana"/>
                <w:noProof/>
                <w:color w:val="016794"/>
                <w:sz w:val="18"/>
                <w:szCs w:val="18"/>
              </w:rPr>
            </w:pPr>
          </w:p>
        </w:tc>
        <w:tc>
          <w:tcPr>
            <w:tcW w:w="1701" w:type="dxa"/>
            <w:tcBorders>
              <w:bottom w:val="single" w:sz="4" w:space="0" w:color="E36C0A" w:themeColor="accent6" w:themeShade="BF"/>
            </w:tcBorders>
            <w:vAlign w:val="center"/>
          </w:tcPr>
          <w:p>
            <w:pPr>
              <w:jc w:val="right"/>
              <w:rPr>
                <w:rFonts w:ascii="Verdana" w:hAnsi="Verdana"/>
                <w:noProof/>
                <w:color w:val="016794"/>
                <w:sz w:val="18"/>
                <w:szCs w:val="18"/>
              </w:rPr>
            </w:pPr>
          </w:p>
        </w:tc>
        <w:tc>
          <w:tcPr>
            <w:tcW w:w="1701" w:type="dxa"/>
            <w:tcBorders>
              <w:bottom w:val="single" w:sz="4" w:space="0" w:color="E36C0A" w:themeColor="accent6" w:themeShade="BF"/>
            </w:tcBorders>
            <w:vAlign w:val="center"/>
          </w:tcPr>
          <w:p>
            <w:pPr>
              <w:jc w:val="right"/>
              <w:rPr>
                <w:rFonts w:ascii="Verdana" w:hAnsi="Verdana"/>
                <w:noProof/>
                <w:color w:val="016794"/>
                <w:sz w:val="18"/>
                <w:szCs w:val="18"/>
              </w:rPr>
            </w:pPr>
          </w:p>
        </w:tc>
      </w:tr>
      <w:tr>
        <w:trPr>
          <w:trHeight w:val="336"/>
          <w:jc w:val="center"/>
        </w:trPr>
        <w:tc>
          <w:tcPr>
            <w:tcW w:w="4535" w:type="dxa"/>
            <w:tcBorders>
              <w:top w:val="single" w:sz="4" w:space="0" w:color="E36C0A" w:themeColor="accent6" w:themeShade="BF"/>
              <w:bottom w:val="single" w:sz="4" w:space="0" w:color="E36C0A" w:themeColor="accent6" w:themeShade="BF"/>
              <w:right w:val="single" w:sz="4" w:space="0" w:color="E36C0A" w:themeColor="accent6" w:themeShade="BF"/>
            </w:tcBorders>
            <w:vAlign w:val="center"/>
          </w:tcPr>
          <w:p>
            <w:pPr>
              <w:pStyle w:val="DGTextstand-alone"/>
              <w:spacing w:before="0" w:after="0"/>
              <w:rPr>
                <w:color w:val="016794"/>
              </w:rPr>
            </w:pPr>
            <w:r>
              <w:rPr>
                <w:color w:val="016794"/>
              </w:rPr>
              <w:t>Actifs financiers</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vAlign w:val="center"/>
          </w:tcPr>
          <w:p>
            <w:pPr>
              <w:pStyle w:val="DGTextstand-alone"/>
              <w:spacing w:before="0" w:after="0"/>
              <w:jc w:val="right"/>
              <w:rPr>
                <w:color w:val="016794"/>
              </w:rPr>
            </w:pPr>
            <w:r>
              <w:rPr>
                <w:color w:val="016794"/>
              </w:rPr>
              <w:t>386,1</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vAlign w:val="center"/>
          </w:tcPr>
          <w:p>
            <w:pPr>
              <w:pStyle w:val="DGTextstand-alone"/>
              <w:spacing w:before="0" w:after="0"/>
              <w:jc w:val="right"/>
              <w:rPr>
                <w:color w:val="016794"/>
              </w:rPr>
            </w:pPr>
            <w:r>
              <w:rPr>
                <w:color w:val="016794"/>
              </w:rPr>
              <w:t>328,3</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tcBorders>
            <w:vAlign w:val="center"/>
          </w:tcPr>
          <w:p>
            <w:pPr>
              <w:pStyle w:val="DGTextstand-alone"/>
              <w:spacing w:before="0" w:after="0"/>
              <w:jc w:val="right"/>
              <w:rPr>
                <w:color w:val="016794"/>
                <w:highlight w:val="yellow"/>
              </w:rPr>
            </w:pPr>
            <w:r>
              <w:rPr>
                <w:color w:val="016794"/>
              </w:rPr>
              <w:t>57,8</w:t>
            </w:r>
          </w:p>
        </w:tc>
      </w:tr>
      <w:tr>
        <w:trPr>
          <w:trHeight w:val="336"/>
          <w:jc w:val="center"/>
        </w:trPr>
        <w:tc>
          <w:tcPr>
            <w:tcW w:w="4535" w:type="dxa"/>
            <w:tcBorders>
              <w:top w:val="single" w:sz="4" w:space="0" w:color="E36C0A" w:themeColor="accent6" w:themeShade="BF"/>
              <w:bottom w:val="single" w:sz="4" w:space="0" w:color="E36C0A" w:themeColor="accent6" w:themeShade="BF"/>
              <w:right w:val="single" w:sz="4" w:space="0" w:color="E36C0A" w:themeColor="accent6" w:themeShade="BF"/>
            </w:tcBorders>
            <w:vAlign w:val="center"/>
          </w:tcPr>
          <w:p>
            <w:pPr>
              <w:pStyle w:val="DGTextstand-alone"/>
              <w:spacing w:before="0" w:after="0"/>
              <w:rPr>
                <w:color w:val="016794"/>
              </w:rPr>
            </w:pPr>
            <w:r>
              <w:rPr>
                <w:color w:val="016794"/>
              </w:rPr>
              <w:t>Préfinancements</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vAlign w:val="center"/>
          </w:tcPr>
          <w:p>
            <w:pPr>
              <w:pStyle w:val="DGTextstand-alone"/>
              <w:spacing w:before="0" w:after="0"/>
              <w:jc w:val="right"/>
              <w:rPr>
                <w:color w:val="016794"/>
              </w:rPr>
            </w:pPr>
            <w:r>
              <w:rPr>
                <w:color w:val="016794"/>
              </w:rPr>
              <w:t>76,7</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vAlign w:val="center"/>
          </w:tcPr>
          <w:p>
            <w:pPr>
              <w:pStyle w:val="DGTextstand-alone"/>
              <w:spacing w:before="0" w:after="0"/>
              <w:jc w:val="right"/>
              <w:rPr>
                <w:color w:val="016794"/>
              </w:rPr>
            </w:pPr>
            <w:r>
              <w:rPr>
                <w:color w:val="016794"/>
              </w:rPr>
              <w:t>78,9</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tcBorders>
            <w:vAlign w:val="center"/>
          </w:tcPr>
          <w:p>
            <w:pPr>
              <w:pStyle w:val="DGTextstand-alone"/>
              <w:spacing w:before="0" w:after="0"/>
              <w:jc w:val="right"/>
              <w:rPr>
                <w:color w:val="016794"/>
              </w:rPr>
            </w:pPr>
            <w:r>
              <w:rPr>
                <w:color w:val="016794"/>
              </w:rPr>
              <w:t>(2,2)</w:t>
            </w:r>
          </w:p>
        </w:tc>
      </w:tr>
      <w:tr>
        <w:trPr>
          <w:trHeight w:val="336"/>
          <w:jc w:val="center"/>
        </w:trPr>
        <w:tc>
          <w:tcPr>
            <w:tcW w:w="4535" w:type="dxa"/>
            <w:tcBorders>
              <w:top w:val="single" w:sz="4" w:space="0" w:color="E36C0A" w:themeColor="accent6" w:themeShade="BF"/>
              <w:bottom w:val="single" w:sz="4" w:space="0" w:color="E36C0A" w:themeColor="accent6" w:themeShade="BF"/>
              <w:right w:val="single" w:sz="4" w:space="0" w:color="E36C0A" w:themeColor="accent6" w:themeShade="BF"/>
            </w:tcBorders>
            <w:vAlign w:val="center"/>
          </w:tcPr>
          <w:p>
            <w:pPr>
              <w:pStyle w:val="DGTextstand-alone"/>
              <w:spacing w:before="0" w:after="0"/>
              <w:rPr>
                <w:color w:val="016794"/>
              </w:rPr>
            </w:pPr>
            <w:r>
              <w:rPr>
                <w:color w:val="016794"/>
              </w:rPr>
              <w:t>Créances</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vAlign w:val="center"/>
          </w:tcPr>
          <w:p>
            <w:pPr>
              <w:pStyle w:val="DGTextstand-alone"/>
              <w:spacing w:before="0" w:after="0"/>
              <w:jc w:val="right"/>
              <w:rPr>
                <w:color w:val="016794"/>
              </w:rPr>
            </w:pPr>
            <w:r>
              <w:rPr>
                <w:color w:val="016794"/>
              </w:rPr>
              <w:t>34,1</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vAlign w:val="center"/>
          </w:tcPr>
          <w:p>
            <w:pPr>
              <w:pStyle w:val="DGTextstand-alone"/>
              <w:spacing w:before="0" w:after="0"/>
              <w:jc w:val="right"/>
              <w:rPr>
                <w:color w:val="016794"/>
              </w:rPr>
            </w:pPr>
            <w:r>
              <w:rPr>
                <w:color w:val="016794"/>
              </w:rPr>
              <w:t>31,7</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tcBorders>
            <w:vAlign w:val="center"/>
          </w:tcPr>
          <w:p>
            <w:pPr>
              <w:pStyle w:val="DGTextstand-alone"/>
              <w:spacing w:before="0" w:after="0"/>
              <w:jc w:val="right"/>
              <w:rPr>
                <w:color w:val="016794"/>
              </w:rPr>
            </w:pPr>
            <w:r>
              <w:rPr>
                <w:color w:val="016794"/>
              </w:rPr>
              <w:t>2,3</w:t>
            </w:r>
          </w:p>
        </w:tc>
      </w:tr>
      <w:tr>
        <w:trPr>
          <w:trHeight w:val="336"/>
          <w:jc w:val="center"/>
        </w:trPr>
        <w:tc>
          <w:tcPr>
            <w:tcW w:w="4535" w:type="dxa"/>
            <w:tcBorders>
              <w:top w:val="single" w:sz="4" w:space="0" w:color="E36C0A" w:themeColor="accent6" w:themeShade="BF"/>
              <w:bottom w:val="single" w:sz="4" w:space="0" w:color="E36C0A" w:themeColor="accent6" w:themeShade="BF"/>
              <w:right w:val="single" w:sz="4" w:space="0" w:color="E36C0A" w:themeColor="accent6" w:themeShade="BF"/>
            </w:tcBorders>
            <w:vAlign w:val="center"/>
          </w:tcPr>
          <w:p>
            <w:pPr>
              <w:pStyle w:val="DGTextstand-alone"/>
              <w:spacing w:before="0" w:after="0"/>
              <w:rPr>
                <w:color w:val="016794"/>
              </w:rPr>
            </w:pPr>
            <w:r>
              <w:rPr>
                <w:color w:val="016794"/>
              </w:rPr>
              <w:t>Trésorerie et équivalents de trésorerie</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vAlign w:val="center"/>
          </w:tcPr>
          <w:p>
            <w:pPr>
              <w:pStyle w:val="DGTextstand-alone"/>
              <w:spacing w:before="0" w:after="0"/>
              <w:jc w:val="right"/>
              <w:rPr>
                <w:color w:val="016794"/>
              </w:rPr>
            </w:pPr>
            <w:r>
              <w:rPr>
                <w:color w:val="016794"/>
              </w:rPr>
              <w:t>103,0</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vAlign w:val="center"/>
          </w:tcPr>
          <w:p>
            <w:pPr>
              <w:pStyle w:val="DGTextstand-alone"/>
              <w:spacing w:before="0" w:after="0"/>
              <w:jc w:val="right"/>
              <w:rPr>
                <w:color w:val="016794"/>
              </w:rPr>
            </w:pPr>
            <w:r>
              <w:rPr>
                <w:color w:val="016794"/>
              </w:rPr>
              <w:t>63,2</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tcBorders>
            <w:vAlign w:val="center"/>
          </w:tcPr>
          <w:p>
            <w:pPr>
              <w:pStyle w:val="DGTextstand-alone"/>
              <w:spacing w:before="0" w:after="0"/>
              <w:jc w:val="right"/>
              <w:rPr>
                <w:color w:val="016794"/>
              </w:rPr>
            </w:pPr>
            <w:r>
              <w:rPr>
                <w:color w:val="016794"/>
              </w:rPr>
              <w:t>39,9</w:t>
            </w:r>
          </w:p>
        </w:tc>
      </w:tr>
      <w:tr>
        <w:trPr>
          <w:trHeight w:val="336"/>
          <w:jc w:val="center"/>
        </w:trPr>
        <w:tc>
          <w:tcPr>
            <w:tcW w:w="4535" w:type="dxa"/>
            <w:tcBorders>
              <w:top w:val="single" w:sz="4" w:space="0" w:color="E36C0A" w:themeColor="accent6" w:themeShade="BF"/>
              <w:bottom w:val="nil"/>
              <w:right w:val="single" w:sz="4" w:space="0" w:color="E36C0A" w:themeColor="accent6" w:themeShade="BF"/>
            </w:tcBorders>
            <w:vAlign w:val="center"/>
          </w:tcPr>
          <w:p>
            <w:pPr>
              <w:pStyle w:val="DGTextstand-alone"/>
              <w:spacing w:before="0" w:after="0"/>
              <w:jc w:val="left"/>
              <w:rPr>
                <w:color w:val="016794"/>
              </w:rPr>
            </w:pPr>
            <w:r>
              <w:rPr>
                <w:color w:val="016794"/>
              </w:rPr>
              <w:t>Immobilisations corporelles et autres actifs</w:t>
            </w:r>
          </w:p>
        </w:tc>
        <w:tc>
          <w:tcPr>
            <w:tcW w:w="1701" w:type="dxa"/>
            <w:tcBorders>
              <w:top w:val="single" w:sz="4" w:space="0" w:color="E36C0A" w:themeColor="accent6" w:themeShade="BF"/>
              <w:left w:val="single" w:sz="4" w:space="0" w:color="E36C0A" w:themeColor="accent6" w:themeShade="BF"/>
              <w:bottom w:val="nil"/>
              <w:right w:val="single" w:sz="4" w:space="0" w:color="E36C0A" w:themeColor="accent6" w:themeShade="BF"/>
            </w:tcBorders>
            <w:vAlign w:val="center"/>
          </w:tcPr>
          <w:p>
            <w:pPr>
              <w:pStyle w:val="DGTextstand-alone"/>
              <w:spacing w:before="0" w:after="0"/>
              <w:jc w:val="right"/>
              <w:rPr>
                <w:color w:val="016794"/>
              </w:rPr>
            </w:pPr>
            <w:r>
              <w:rPr>
                <w:color w:val="016794"/>
              </w:rPr>
              <w:t>17,5</w:t>
            </w:r>
          </w:p>
        </w:tc>
        <w:tc>
          <w:tcPr>
            <w:tcW w:w="1701" w:type="dxa"/>
            <w:tcBorders>
              <w:top w:val="single" w:sz="4" w:space="0" w:color="E36C0A" w:themeColor="accent6" w:themeShade="BF"/>
              <w:left w:val="single" w:sz="4" w:space="0" w:color="E36C0A" w:themeColor="accent6" w:themeShade="BF"/>
              <w:bottom w:val="nil"/>
              <w:right w:val="single" w:sz="4" w:space="0" w:color="E36C0A" w:themeColor="accent6" w:themeShade="BF"/>
            </w:tcBorders>
            <w:vAlign w:val="center"/>
          </w:tcPr>
          <w:p>
            <w:pPr>
              <w:pStyle w:val="DGTextstand-alone"/>
              <w:spacing w:before="0" w:after="0"/>
              <w:jc w:val="right"/>
              <w:rPr>
                <w:color w:val="016794"/>
              </w:rPr>
            </w:pPr>
            <w:r>
              <w:rPr>
                <w:color w:val="016794"/>
              </w:rPr>
              <w:t>16,3</w:t>
            </w:r>
          </w:p>
        </w:tc>
        <w:tc>
          <w:tcPr>
            <w:tcW w:w="1701" w:type="dxa"/>
            <w:tcBorders>
              <w:top w:val="single" w:sz="4" w:space="0" w:color="E36C0A" w:themeColor="accent6" w:themeShade="BF"/>
              <w:left w:val="single" w:sz="4" w:space="0" w:color="E36C0A" w:themeColor="accent6" w:themeShade="BF"/>
              <w:bottom w:val="nil"/>
            </w:tcBorders>
            <w:vAlign w:val="center"/>
          </w:tcPr>
          <w:p>
            <w:pPr>
              <w:pStyle w:val="DGTextstand-alone"/>
              <w:spacing w:before="0" w:after="0"/>
              <w:jc w:val="right"/>
              <w:rPr>
                <w:color w:val="016794"/>
              </w:rPr>
            </w:pPr>
            <w:r>
              <w:rPr>
                <w:color w:val="016794"/>
              </w:rPr>
              <w:t>1,2</w:t>
            </w:r>
          </w:p>
        </w:tc>
      </w:tr>
      <w:tr>
        <w:trPr>
          <w:trHeight w:val="336"/>
          <w:jc w:val="center"/>
        </w:trPr>
        <w:tc>
          <w:tcPr>
            <w:tcW w:w="4535" w:type="dxa"/>
            <w:tcBorders>
              <w:left w:val="nil"/>
            </w:tcBorders>
            <w:shd w:val="clear" w:color="auto" w:fill="FBD4B4" w:themeFill="accent6" w:themeFillTint="66"/>
            <w:vAlign w:val="center"/>
          </w:tcPr>
          <w:p>
            <w:pPr>
              <w:pStyle w:val="DGTextstand-alone"/>
              <w:spacing w:before="0" w:after="0"/>
              <w:rPr>
                <w:b/>
                <w:color w:val="016794"/>
              </w:rPr>
            </w:pPr>
            <w:r>
              <w:rPr>
                <w:b/>
                <w:color w:val="016794"/>
              </w:rPr>
              <w:t>Total</w:t>
            </w:r>
          </w:p>
        </w:tc>
        <w:tc>
          <w:tcPr>
            <w:tcW w:w="1701" w:type="dxa"/>
            <w:shd w:val="clear" w:color="auto" w:fill="FBD4B4" w:themeFill="accent6" w:themeFillTint="66"/>
            <w:vAlign w:val="center"/>
          </w:tcPr>
          <w:p>
            <w:pPr>
              <w:pStyle w:val="DGTextstand-alone"/>
              <w:spacing w:before="0" w:after="0"/>
              <w:jc w:val="right"/>
              <w:rPr>
                <w:b/>
                <w:color w:val="016794"/>
              </w:rPr>
            </w:pPr>
            <w:r>
              <w:rPr>
                <w:b/>
                <w:color w:val="016794"/>
              </w:rPr>
              <w:t>617,4</w:t>
            </w:r>
          </w:p>
        </w:tc>
        <w:tc>
          <w:tcPr>
            <w:tcW w:w="1701" w:type="dxa"/>
            <w:shd w:val="clear" w:color="auto" w:fill="FBD4B4" w:themeFill="accent6" w:themeFillTint="66"/>
            <w:vAlign w:val="center"/>
          </w:tcPr>
          <w:p>
            <w:pPr>
              <w:pStyle w:val="DGTextstand-alone"/>
              <w:spacing w:before="0" w:after="0"/>
              <w:jc w:val="right"/>
              <w:rPr>
                <w:b/>
                <w:color w:val="016794"/>
              </w:rPr>
            </w:pPr>
            <w:r>
              <w:rPr>
                <w:b/>
                <w:color w:val="016794"/>
              </w:rPr>
              <w:t>518,5</w:t>
            </w:r>
          </w:p>
        </w:tc>
        <w:tc>
          <w:tcPr>
            <w:tcW w:w="1701" w:type="dxa"/>
            <w:shd w:val="clear" w:color="auto" w:fill="FBD4B4" w:themeFill="accent6" w:themeFillTint="66"/>
            <w:vAlign w:val="center"/>
          </w:tcPr>
          <w:p>
            <w:pPr>
              <w:pStyle w:val="DGTextstand-alone"/>
              <w:spacing w:before="0" w:after="0"/>
              <w:jc w:val="right"/>
              <w:rPr>
                <w:b/>
                <w:color w:val="016794"/>
              </w:rPr>
            </w:pPr>
            <w:r>
              <w:rPr>
                <w:b/>
                <w:color w:val="016794"/>
              </w:rPr>
              <w:t>99,0</w:t>
            </w:r>
          </w:p>
        </w:tc>
      </w:tr>
      <w:tr>
        <w:trPr>
          <w:trHeight w:val="336"/>
          <w:jc w:val="center"/>
        </w:trPr>
        <w:tc>
          <w:tcPr>
            <w:tcW w:w="4535" w:type="dxa"/>
            <w:vAlign w:val="center"/>
          </w:tcPr>
          <w:p>
            <w:pPr>
              <w:rPr>
                <w:rFonts w:ascii="Verdana" w:hAnsi="Verdana"/>
                <w:noProof/>
                <w:color w:val="016794"/>
                <w:sz w:val="18"/>
                <w:szCs w:val="18"/>
                <w:lang w:eastAsia="de-DE"/>
              </w:rPr>
            </w:pPr>
          </w:p>
        </w:tc>
        <w:tc>
          <w:tcPr>
            <w:tcW w:w="1701" w:type="dxa"/>
            <w:vAlign w:val="center"/>
          </w:tcPr>
          <w:p>
            <w:pPr>
              <w:pStyle w:val="DGTextstand-alone"/>
              <w:spacing w:before="0" w:after="0"/>
              <w:jc w:val="right"/>
              <w:rPr>
                <w:color w:val="016794"/>
              </w:rPr>
            </w:pPr>
          </w:p>
        </w:tc>
        <w:tc>
          <w:tcPr>
            <w:tcW w:w="1701" w:type="dxa"/>
            <w:vAlign w:val="center"/>
          </w:tcPr>
          <w:p>
            <w:pPr>
              <w:pStyle w:val="DGTextstand-alone"/>
              <w:spacing w:before="0" w:after="0"/>
              <w:jc w:val="right"/>
              <w:rPr>
                <w:color w:val="016794"/>
              </w:rPr>
            </w:pPr>
          </w:p>
        </w:tc>
        <w:tc>
          <w:tcPr>
            <w:tcW w:w="1701" w:type="dxa"/>
            <w:vAlign w:val="center"/>
          </w:tcPr>
          <w:p>
            <w:pPr>
              <w:pStyle w:val="DGTextstand-alone"/>
              <w:spacing w:before="0" w:after="0"/>
              <w:jc w:val="right"/>
              <w:rPr>
                <w:color w:val="016794"/>
              </w:rPr>
            </w:pPr>
          </w:p>
        </w:tc>
      </w:tr>
      <w:tr>
        <w:trPr>
          <w:trHeight w:val="336"/>
          <w:jc w:val="center"/>
        </w:trPr>
        <w:tc>
          <w:tcPr>
            <w:tcW w:w="4535" w:type="dxa"/>
            <w:tcBorders>
              <w:bottom w:val="single" w:sz="4" w:space="0" w:color="E36C0A" w:themeColor="accent6" w:themeShade="BF"/>
            </w:tcBorders>
            <w:vAlign w:val="center"/>
          </w:tcPr>
          <w:p>
            <w:pPr>
              <w:pStyle w:val="DGTextstand-alone"/>
              <w:spacing w:before="0" w:after="0"/>
              <w:jc w:val="left"/>
              <w:rPr>
                <w:b/>
                <w:color w:val="016794"/>
              </w:rPr>
            </w:pPr>
            <w:r>
              <w:rPr>
                <w:b/>
                <w:color w:val="E36C0A"/>
              </w:rPr>
              <w:t>PASSIFS</w:t>
            </w:r>
          </w:p>
        </w:tc>
        <w:tc>
          <w:tcPr>
            <w:tcW w:w="1701" w:type="dxa"/>
            <w:tcBorders>
              <w:bottom w:val="single" w:sz="4" w:space="0" w:color="E36C0A" w:themeColor="accent6" w:themeShade="BF"/>
            </w:tcBorders>
            <w:vAlign w:val="center"/>
          </w:tcPr>
          <w:p>
            <w:pPr>
              <w:pStyle w:val="DGTextstand-alone"/>
              <w:spacing w:before="0" w:after="0"/>
              <w:jc w:val="right"/>
              <w:rPr>
                <w:color w:val="016794"/>
              </w:rPr>
            </w:pPr>
          </w:p>
        </w:tc>
        <w:tc>
          <w:tcPr>
            <w:tcW w:w="1701" w:type="dxa"/>
            <w:tcBorders>
              <w:bottom w:val="single" w:sz="4" w:space="0" w:color="E36C0A" w:themeColor="accent6" w:themeShade="BF"/>
            </w:tcBorders>
            <w:vAlign w:val="center"/>
          </w:tcPr>
          <w:p>
            <w:pPr>
              <w:pStyle w:val="DGTextstand-alone"/>
              <w:spacing w:before="0" w:after="0"/>
              <w:jc w:val="right"/>
              <w:rPr>
                <w:color w:val="016794"/>
              </w:rPr>
            </w:pPr>
          </w:p>
        </w:tc>
        <w:tc>
          <w:tcPr>
            <w:tcW w:w="1701" w:type="dxa"/>
            <w:tcBorders>
              <w:bottom w:val="single" w:sz="4" w:space="0" w:color="E36C0A" w:themeColor="accent6" w:themeShade="BF"/>
            </w:tcBorders>
            <w:vAlign w:val="center"/>
          </w:tcPr>
          <w:p>
            <w:pPr>
              <w:pStyle w:val="DGTextstand-alone"/>
              <w:spacing w:before="0" w:after="0"/>
              <w:jc w:val="right"/>
              <w:rPr>
                <w:color w:val="016794"/>
              </w:rPr>
            </w:pPr>
          </w:p>
        </w:tc>
      </w:tr>
      <w:tr>
        <w:trPr>
          <w:trHeight w:val="336"/>
          <w:jc w:val="center"/>
        </w:trPr>
        <w:tc>
          <w:tcPr>
            <w:tcW w:w="4535" w:type="dxa"/>
            <w:tcBorders>
              <w:top w:val="single" w:sz="4" w:space="0" w:color="E36C0A" w:themeColor="accent6" w:themeShade="BF"/>
              <w:bottom w:val="single" w:sz="4" w:space="0" w:color="E36C0A" w:themeColor="accent6" w:themeShade="BF"/>
              <w:right w:val="single" w:sz="4" w:space="0" w:color="E36C0A" w:themeColor="accent6" w:themeShade="BF"/>
            </w:tcBorders>
            <w:vAlign w:val="center"/>
          </w:tcPr>
          <w:p>
            <w:pPr>
              <w:pStyle w:val="DGTextstand-alone"/>
              <w:spacing w:before="0" w:after="0"/>
              <w:rPr>
                <w:color w:val="016794"/>
              </w:rPr>
            </w:pPr>
            <w:r>
              <w:rPr>
                <w:color w:val="016794"/>
              </w:rPr>
              <w:t>Avantages postérieurs à l’emploi</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vAlign w:val="center"/>
          </w:tcPr>
          <w:p>
            <w:pPr>
              <w:pStyle w:val="DGTextstand-alone"/>
              <w:spacing w:before="0" w:after="0"/>
              <w:jc w:val="right"/>
              <w:rPr>
                <w:color w:val="016794"/>
              </w:rPr>
            </w:pPr>
            <w:r>
              <w:rPr>
                <w:color w:val="016794"/>
              </w:rPr>
              <w:t>91,1</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vAlign w:val="center"/>
          </w:tcPr>
          <w:p>
            <w:pPr>
              <w:pStyle w:val="DGTextstand-alone"/>
              <w:spacing w:before="0" w:after="0"/>
              <w:jc w:val="right"/>
              <w:rPr>
                <w:color w:val="016794"/>
              </w:rPr>
            </w:pPr>
            <w:r>
              <w:rPr>
                <w:color w:val="016794"/>
              </w:rPr>
              <w:t>93,1</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tcBorders>
            <w:vAlign w:val="center"/>
          </w:tcPr>
          <w:p>
            <w:pPr>
              <w:pStyle w:val="DGTextstand-alone"/>
              <w:spacing w:before="0" w:after="0"/>
              <w:jc w:val="right"/>
              <w:rPr>
                <w:color w:val="016794"/>
              </w:rPr>
            </w:pPr>
            <w:r>
              <w:rPr>
                <w:color w:val="016794"/>
              </w:rPr>
              <w:t>(2,0)</w:t>
            </w:r>
          </w:p>
        </w:tc>
      </w:tr>
      <w:tr>
        <w:trPr>
          <w:trHeight w:val="336"/>
          <w:jc w:val="center"/>
        </w:trPr>
        <w:tc>
          <w:tcPr>
            <w:tcW w:w="4535" w:type="dxa"/>
            <w:tcBorders>
              <w:top w:val="single" w:sz="4" w:space="0" w:color="E36C0A" w:themeColor="accent6" w:themeShade="BF"/>
              <w:bottom w:val="single" w:sz="4" w:space="0" w:color="E36C0A" w:themeColor="accent6" w:themeShade="BF"/>
              <w:right w:val="single" w:sz="4" w:space="0" w:color="E36C0A" w:themeColor="accent6" w:themeShade="BF"/>
            </w:tcBorders>
            <w:vAlign w:val="center"/>
          </w:tcPr>
          <w:p>
            <w:pPr>
              <w:pStyle w:val="DGTextstand-alone"/>
              <w:spacing w:before="0" w:after="0"/>
              <w:rPr>
                <w:color w:val="016794"/>
              </w:rPr>
            </w:pPr>
            <w:r>
              <w:rPr>
                <w:color w:val="016794"/>
              </w:rPr>
              <w:t>Passifs financiers</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vAlign w:val="center"/>
          </w:tcPr>
          <w:p>
            <w:pPr>
              <w:pStyle w:val="DGTextstand-alone"/>
              <w:spacing w:before="0" w:after="0"/>
              <w:jc w:val="right"/>
              <w:rPr>
                <w:color w:val="016794"/>
              </w:rPr>
            </w:pPr>
            <w:r>
              <w:rPr>
                <w:color w:val="016794"/>
              </w:rPr>
              <w:t>740,8</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vAlign w:val="center"/>
          </w:tcPr>
          <w:p>
            <w:pPr>
              <w:pStyle w:val="DGTextstand-alone"/>
              <w:spacing w:before="0" w:after="0"/>
              <w:jc w:val="right"/>
              <w:rPr>
                <w:color w:val="016794"/>
              </w:rPr>
            </w:pPr>
            <w:r>
              <w:rPr>
                <w:color w:val="016794"/>
              </w:rPr>
              <w:t>601,9</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tcBorders>
            <w:vAlign w:val="center"/>
          </w:tcPr>
          <w:p>
            <w:pPr>
              <w:pStyle w:val="DGTextstand-alone"/>
              <w:spacing w:before="0" w:after="0"/>
              <w:jc w:val="right"/>
              <w:rPr>
                <w:color w:val="016794"/>
              </w:rPr>
            </w:pPr>
            <w:r>
              <w:rPr>
                <w:color w:val="016794"/>
              </w:rPr>
              <w:t>138,9</w:t>
            </w:r>
          </w:p>
        </w:tc>
      </w:tr>
      <w:tr>
        <w:trPr>
          <w:trHeight w:val="336"/>
          <w:jc w:val="center"/>
        </w:trPr>
        <w:tc>
          <w:tcPr>
            <w:tcW w:w="4535" w:type="dxa"/>
            <w:tcBorders>
              <w:top w:val="single" w:sz="4" w:space="0" w:color="E36C0A" w:themeColor="accent6" w:themeShade="BF"/>
              <w:bottom w:val="single" w:sz="4" w:space="0" w:color="E36C0A" w:themeColor="accent6" w:themeShade="BF"/>
              <w:right w:val="single" w:sz="4" w:space="0" w:color="E36C0A" w:themeColor="accent6" w:themeShade="BF"/>
            </w:tcBorders>
            <w:vAlign w:val="center"/>
          </w:tcPr>
          <w:p>
            <w:pPr>
              <w:pStyle w:val="DGTextstand-alone"/>
              <w:spacing w:before="0" w:after="0"/>
              <w:rPr>
                <w:color w:val="016794"/>
              </w:rPr>
            </w:pPr>
            <w:r>
              <w:rPr>
                <w:color w:val="016794"/>
              </w:rPr>
              <w:t>Sommes à payer</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vAlign w:val="center"/>
          </w:tcPr>
          <w:p>
            <w:pPr>
              <w:pStyle w:val="DGTextstand-alone"/>
              <w:spacing w:before="0" w:after="0"/>
              <w:jc w:val="right"/>
              <w:rPr>
                <w:color w:val="016794"/>
              </w:rPr>
            </w:pPr>
            <w:r>
              <w:rPr>
                <w:color w:val="016794"/>
              </w:rPr>
              <w:t>65,0</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vAlign w:val="center"/>
          </w:tcPr>
          <w:p>
            <w:pPr>
              <w:pStyle w:val="DGTextstand-alone"/>
              <w:spacing w:before="0" w:after="0"/>
              <w:jc w:val="right"/>
              <w:rPr>
                <w:color w:val="016794"/>
              </w:rPr>
            </w:pPr>
            <w:r>
              <w:rPr>
                <w:color w:val="016794"/>
              </w:rPr>
              <w:t>55,4</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tcBorders>
            <w:vAlign w:val="center"/>
          </w:tcPr>
          <w:p>
            <w:pPr>
              <w:pStyle w:val="DGTextstand-alone"/>
              <w:spacing w:before="0" w:after="0"/>
              <w:jc w:val="right"/>
              <w:rPr>
                <w:color w:val="016794"/>
              </w:rPr>
            </w:pPr>
            <w:r>
              <w:rPr>
                <w:color w:val="016794"/>
              </w:rPr>
              <w:t>9,6</w:t>
            </w:r>
          </w:p>
        </w:tc>
      </w:tr>
      <w:tr>
        <w:trPr>
          <w:trHeight w:val="336"/>
          <w:jc w:val="center"/>
        </w:trPr>
        <w:tc>
          <w:tcPr>
            <w:tcW w:w="4535" w:type="dxa"/>
            <w:tcBorders>
              <w:top w:val="single" w:sz="4" w:space="0" w:color="E36C0A" w:themeColor="accent6" w:themeShade="BF"/>
              <w:bottom w:val="single" w:sz="4" w:space="0" w:color="E36C0A" w:themeColor="accent6" w:themeShade="BF"/>
              <w:right w:val="single" w:sz="4" w:space="0" w:color="E36C0A" w:themeColor="accent6" w:themeShade="BF"/>
            </w:tcBorders>
            <w:vAlign w:val="center"/>
          </w:tcPr>
          <w:p>
            <w:pPr>
              <w:pStyle w:val="DGTextstand-alone"/>
              <w:spacing w:before="0" w:after="0"/>
              <w:rPr>
                <w:color w:val="016794"/>
              </w:rPr>
            </w:pPr>
            <w:r>
              <w:rPr>
                <w:color w:val="016794"/>
              </w:rPr>
              <w:t>Charges à payer</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vAlign w:val="center"/>
          </w:tcPr>
          <w:p>
            <w:pPr>
              <w:pStyle w:val="DGTextstand-alone"/>
              <w:spacing w:before="0" w:after="0"/>
              <w:jc w:val="right"/>
              <w:rPr>
                <w:color w:val="016794"/>
              </w:rPr>
            </w:pPr>
            <w:r>
              <w:rPr>
                <w:color w:val="016794"/>
              </w:rPr>
              <w:t>77,0</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vAlign w:val="center"/>
          </w:tcPr>
          <w:p>
            <w:pPr>
              <w:pStyle w:val="DGTextstand-alone"/>
              <w:spacing w:before="0" w:after="0"/>
              <w:jc w:val="right"/>
              <w:rPr>
                <w:color w:val="016794"/>
              </w:rPr>
            </w:pPr>
            <w:r>
              <w:rPr>
                <w:color w:val="016794"/>
              </w:rPr>
              <w:t>67,1</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tcBorders>
            <w:vAlign w:val="center"/>
          </w:tcPr>
          <w:p>
            <w:pPr>
              <w:pStyle w:val="DGTextstand-alone"/>
              <w:spacing w:before="0" w:after="0"/>
              <w:jc w:val="right"/>
              <w:rPr>
                <w:color w:val="016794"/>
              </w:rPr>
            </w:pPr>
            <w:r>
              <w:rPr>
                <w:color w:val="016794"/>
              </w:rPr>
              <w:t>10,0</w:t>
            </w:r>
          </w:p>
        </w:tc>
      </w:tr>
      <w:tr>
        <w:trPr>
          <w:trHeight w:val="336"/>
          <w:jc w:val="center"/>
        </w:trPr>
        <w:tc>
          <w:tcPr>
            <w:tcW w:w="4535" w:type="dxa"/>
            <w:tcBorders>
              <w:top w:val="single" w:sz="4" w:space="0" w:color="E36C0A" w:themeColor="accent6" w:themeShade="BF"/>
              <w:bottom w:val="nil"/>
              <w:right w:val="single" w:sz="4" w:space="0" w:color="E36C0A" w:themeColor="accent6" w:themeShade="BF"/>
            </w:tcBorders>
            <w:vAlign w:val="center"/>
          </w:tcPr>
          <w:p>
            <w:pPr>
              <w:pStyle w:val="DGTextstand-alone"/>
              <w:spacing w:before="0" w:after="0"/>
              <w:rPr>
                <w:color w:val="016794"/>
              </w:rPr>
            </w:pPr>
            <w:r>
              <w:rPr>
                <w:color w:val="016794"/>
              </w:rPr>
              <w:t>Autres passifs</w:t>
            </w:r>
          </w:p>
        </w:tc>
        <w:tc>
          <w:tcPr>
            <w:tcW w:w="1701" w:type="dxa"/>
            <w:tcBorders>
              <w:top w:val="single" w:sz="4" w:space="0" w:color="E36C0A" w:themeColor="accent6" w:themeShade="BF"/>
              <w:left w:val="single" w:sz="4" w:space="0" w:color="E36C0A" w:themeColor="accent6" w:themeShade="BF"/>
              <w:bottom w:val="nil"/>
              <w:right w:val="single" w:sz="4" w:space="0" w:color="E36C0A" w:themeColor="accent6" w:themeShade="BF"/>
            </w:tcBorders>
            <w:vAlign w:val="center"/>
          </w:tcPr>
          <w:p>
            <w:pPr>
              <w:pStyle w:val="DGTextstand-alone"/>
              <w:spacing w:before="0" w:after="0"/>
              <w:jc w:val="right"/>
              <w:rPr>
                <w:color w:val="016794"/>
              </w:rPr>
            </w:pPr>
            <w:r>
              <w:rPr>
                <w:color w:val="016794"/>
              </w:rPr>
              <w:t>2,6</w:t>
            </w:r>
          </w:p>
        </w:tc>
        <w:tc>
          <w:tcPr>
            <w:tcW w:w="1701" w:type="dxa"/>
            <w:tcBorders>
              <w:top w:val="single" w:sz="4" w:space="0" w:color="E36C0A" w:themeColor="accent6" w:themeShade="BF"/>
              <w:left w:val="single" w:sz="4" w:space="0" w:color="E36C0A" w:themeColor="accent6" w:themeShade="BF"/>
              <w:bottom w:val="nil"/>
              <w:right w:val="single" w:sz="4" w:space="0" w:color="E36C0A" w:themeColor="accent6" w:themeShade="BF"/>
            </w:tcBorders>
            <w:vAlign w:val="center"/>
          </w:tcPr>
          <w:p>
            <w:pPr>
              <w:pStyle w:val="DGTextstand-alone"/>
              <w:spacing w:before="0" w:after="0"/>
              <w:jc w:val="right"/>
              <w:rPr>
                <w:color w:val="016794"/>
              </w:rPr>
            </w:pPr>
            <w:r>
              <w:rPr>
                <w:color w:val="016794"/>
              </w:rPr>
              <w:t>9,8</w:t>
            </w:r>
          </w:p>
        </w:tc>
        <w:tc>
          <w:tcPr>
            <w:tcW w:w="1701" w:type="dxa"/>
            <w:tcBorders>
              <w:top w:val="single" w:sz="4" w:space="0" w:color="E36C0A" w:themeColor="accent6" w:themeShade="BF"/>
              <w:left w:val="single" w:sz="4" w:space="0" w:color="E36C0A" w:themeColor="accent6" w:themeShade="BF"/>
              <w:bottom w:val="nil"/>
            </w:tcBorders>
            <w:vAlign w:val="center"/>
          </w:tcPr>
          <w:p>
            <w:pPr>
              <w:pStyle w:val="DGTextstand-alone"/>
              <w:spacing w:before="0" w:after="0"/>
              <w:jc w:val="right"/>
              <w:rPr>
                <w:color w:val="016794"/>
              </w:rPr>
            </w:pPr>
            <w:r>
              <w:rPr>
                <w:color w:val="016794"/>
              </w:rPr>
              <w:t>(7,2)</w:t>
            </w:r>
          </w:p>
        </w:tc>
      </w:tr>
      <w:tr>
        <w:trPr>
          <w:trHeight w:val="336"/>
          <w:jc w:val="center"/>
        </w:trPr>
        <w:tc>
          <w:tcPr>
            <w:tcW w:w="4535" w:type="dxa"/>
            <w:shd w:val="clear" w:color="auto" w:fill="FBD4B4" w:themeFill="accent6" w:themeFillTint="66"/>
            <w:vAlign w:val="center"/>
          </w:tcPr>
          <w:p>
            <w:pPr>
              <w:pStyle w:val="DGTextstand-alone"/>
              <w:spacing w:before="0" w:after="0"/>
              <w:rPr>
                <w:b/>
                <w:color w:val="016794"/>
              </w:rPr>
            </w:pPr>
            <w:r>
              <w:rPr>
                <w:b/>
                <w:color w:val="016794"/>
              </w:rPr>
              <w:t>Total</w:t>
            </w:r>
          </w:p>
        </w:tc>
        <w:tc>
          <w:tcPr>
            <w:tcW w:w="1701" w:type="dxa"/>
            <w:shd w:val="clear" w:color="auto" w:fill="FBD4B4" w:themeFill="accent6" w:themeFillTint="66"/>
            <w:vAlign w:val="center"/>
          </w:tcPr>
          <w:p>
            <w:pPr>
              <w:pStyle w:val="DGTextstand-alone"/>
              <w:spacing w:before="0" w:after="0"/>
              <w:jc w:val="right"/>
              <w:rPr>
                <w:b/>
                <w:color w:val="016794"/>
              </w:rPr>
            </w:pPr>
            <w:r>
              <w:rPr>
                <w:b/>
                <w:color w:val="016794"/>
              </w:rPr>
              <w:t>976,6</w:t>
            </w:r>
          </w:p>
        </w:tc>
        <w:tc>
          <w:tcPr>
            <w:tcW w:w="1701" w:type="dxa"/>
            <w:shd w:val="clear" w:color="auto" w:fill="FBD4B4" w:themeFill="accent6" w:themeFillTint="66"/>
            <w:vAlign w:val="center"/>
          </w:tcPr>
          <w:p>
            <w:pPr>
              <w:pStyle w:val="DGTextstand-alone"/>
              <w:spacing w:before="0" w:after="0"/>
              <w:jc w:val="right"/>
              <w:rPr>
                <w:b/>
                <w:color w:val="016794"/>
              </w:rPr>
            </w:pPr>
            <w:r>
              <w:rPr>
                <w:b/>
                <w:color w:val="016794"/>
              </w:rPr>
              <w:t>827,3</w:t>
            </w:r>
          </w:p>
        </w:tc>
        <w:tc>
          <w:tcPr>
            <w:tcW w:w="1701" w:type="dxa"/>
            <w:shd w:val="clear" w:color="auto" w:fill="FBD4B4" w:themeFill="accent6" w:themeFillTint="66"/>
            <w:vAlign w:val="center"/>
          </w:tcPr>
          <w:p>
            <w:pPr>
              <w:pStyle w:val="DGTextstand-alone"/>
              <w:spacing w:before="0" w:after="0"/>
              <w:jc w:val="right"/>
              <w:rPr>
                <w:b/>
                <w:color w:val="016794"/>
              </w:rPr>
            </w:pPr>
            <w:r>
              <w:rPr>
                <w:b/>
                <w:color w:val="016794"/>
              </w:rPr>
              <w:t>149,3</w:t>
            </w:r>
          </w:p>
        </w:tc>
      </w:tr>
      <w:tr>
        <w:trPr>
          <w:trHeight w:val="336"/>
          <w:jc w:val="center"/>
        </w:trPr>
        <w:tc>
          <w:tcPr>
            <w:tcW w:w="4535" w:type="dxa"/>
            <w:vAlign w:val="center"/>
          </w:tcPr>
          <w:p>
            <w:pPr>
              <w:rPr>
                <w:rFonts w:ascii="Verdana" w:hAnsi="Verdana"/>
                <w:noProof/>
                <w:color w:val="016794"/>
                <w:sz w:val="18"/>
                <w:szCs w:val="18"/>
                <w:lang w:eastAsia="de-DE"/>
              </w:rPr>
            </w:pPr>
          </w:p>
        </w:tc>
        <w:tc>
          <w:tcPr>
            <w:tcW w:w="1701" w:type="dxa"/>
            <w:vAlign w:val="center"/>
          </w:tcPr>
          <w:p>
            <w:pPr>
              <w:pStyle w:val="DGTextstand-alone"/>
              <w:spacing w:before="0" w:after="0"/>
              <w:jc w:val="right"/>
              <w:rPr>
                <w:color w:val="016794"/>
              </w:rPr>
            </w:pPr>
          </w:p>
        </w:tc>
        <w:tc>
          <w:tcPr>
            <w:tcW w:w="1701" w:type="dxa"/>
            <w:vAlign w:val="center"/>
          </w:tcPr>
          <w:p>
            <w:pPr>
              <w:pStyle w:val="DGTextstand-alone"/>
              <w:spacing w:before="0" w:after="0"/>
              <w:jc w:val="right"/>
              <w:rPr>
                <w:color w:val="016794"/>
              </w:rPr>
            </w:pPr>
          </w:p>
        </w:tc>
        <w:tc>
          <w:tcPr>
            <w:tcW w:w="1701" w:type="dxa"/>
            <w:vAlign w:val="center"/>
          </w:tcPr>
          <w:p>
            <w:pPr>
              <w:pStyle w:val="DGTextstand-alone"/>
              <w:spacing w:before="0" w:after="0"/>
              <w:jc w:val="right"/>
              <w:rPr>
                <w:color w:val="016794"/>
              </w:rPr>
            </w:pPr>
          </w:p>
        </w:tc>
      </w:tr>
      <w:tr>
        <w:trPr>
          <w:trHeight w:val="336"/>
          <w:jc w:val="center"/>
        </w:trPr>
        <w:tc>
          <w:tcPr>
            <w:tcW w:w="4535" w:type="dxa"/>
            <w:tcBorders>
              <w:bottom w:val="single" w:sz="4" w:space="0" w:color="E36C0A" w:themeColor="accent6" w:themeShade="BF"/>
            </w:tcBorders>
            <w:vAlign w:val="center"/>
          </w:tcPr>
          <w:p>
            <w:pPr>
              <w:pStyle w:val="DGTextstand-alone"/>
              <w:spacing w:before="0" w:after="0"/>
              <w:jc w:val="left"/>
              <w:rPr>
                <w:b/>
                <w:color w:val="016794"/>
              </w:rPr>
            </w:pPr>
            <w:r>
              <w:rPr>
                <w:b/>
                <w:color w:val="E36C0A"/>
              </w:rPr>
              <w:t>ACTIF NET</w:t>
            </w:r>
          </w:p>
        </w:tc>
        <w:tc>
          <w:tcPr>
            <w:tcW w:w="1701" w:type="dxa"/>
            <w:tcBorders>
              <w:bottom w:val="single" w:sz="4" w:space="0" w:color="E36C0A" w:themeColor="accent6" w:themeShade="BF"/>
            </w:tcBorders>
            <w:vAlign w:val="center"/>
          </w:tcPr>
          <w:p>
            <w:pPr>
              <w:pStyle w:val="DGTextstand-alone"/>
              <w:spacing w:before="0" w:after="0"/>
              <w:jc w:val="right"/>
              <w:rPr>
                <w:color w:val="016794"/>
              </w:rPr>
            </w:pPr>
          </w:p>
        </w:tc>
        <w:tc>
          <w:tcPr>
            <w:tcW w:w="1701" w:type="dxa"/>
            <w:tcBorders>
              <w:bottom w:val="single" w:sz="4" w:space="0" w:color="E36C0A" w:themeColor="accent6" w:themeShade="BF"/>
            </w:tcBorders>
            <w:vAlign w:val="center"/>
          </w:tcPr>
          <w:p>
            <w:pPr>
              <w:pStyle w:val="DGTextstand-alone"/>
              <w:spacing w:before="0" w:after="0"/>
              <w:jc w:val="right"/>
              <w:rPr>
                <w:color w:val="016794"/>
              </w:rPr>
            </w:pPr>
          </w:p>
        </w:tc>
        <w:tc>
          <w:tcPr>
            <w:tcW w:w="1701" w:type="dxa"/>
            <w:tcBorders>
              <w:bottom w:val="single" w:sz="4" w:space="0" w:color="E36C0A" w:themeColor="accent6" w:themeShade="BF"/>
            </w:tcBorders>
            <w:vAlign w:val="center"/>
          </w:tcPr>
          <w:p>
            <w:pPr>
              <w:pStyle w:val="DGTextstand-alone"/>
              <w:spacing w:before="0" w:after="0"/>
              <w:jc w:val="right"/>
              <w:rPr>
                <w:color w:val="016794"/>
              </w:rPr>
            </w:pPr>
          </w:p>
        </w:tc>
      </w:tr>
      <w:tr>
        <w:trPr>
          <w:trHeight w:val="336"/>
          <w:jc w:val="center"/>
        </w:trPr>
        <w:tc>
          <w:tcPr>
            <w:tcW w:w="4535" w:type="dxa"/>
            <w:tcBorders>
              <w:top w:val="single" w:sz="4" w:space="0" w:color="E36C0A" w:themeColor="accent6" w:themeShade="BF"/>
              <w:bottom w:val="single" w:sz="4" w:space="0" w:color="E36C0A" w:themeColor="accent6" w:themeShade="BF"/>
              <w:right w:val="single" w:sz="4" w:space="0" w:color="E36C0A" w:themeColor="accent6" w:themeShade="BF"/>
            </w:tcBorders>
            <w:vAlign w:val="center"/>
          </w:tcPr>
          <w:p>
            <w:pPr>
              <w:pStyle w:val="DGTextstand-alone"/>
              <w:spacing w:before="0" w:after="0"/>
              <w:rPr>
                <w:color w:val="016794"/>
              </w:rPr>
            </w:pPr>
            <w:r>
              <w:rPr>
                <w:color w:val="016794"/>
              </w:rPr>
              <w:t>Réserves</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vAlign w:val="center"/>
          </w:tcPr>
          <w:p>
            <w:pPr>
              <w:pStyle w:val="DGTextstand-alone"/>
              <w:spacing w:before="0" w:after="0"/>
              <w:jc w:val="right"/>
              <w:rPr>
                <w:color w:val="016794"/>
              </w:rPr>
            </w:pPr>
            <w:r>
              <w:rPr>
                <w:color w:val="016794"/>
              </w:rPr>
              <w:t>0,9</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vAlign w:val="center"/>
          </w:tcPr>
          <w:p>
            <w:pPr>
              <w:pStyle w:val="DGTextstand-alone"/>
              <w:spacing w:before="0" w:after="0"/>
              <w:jc w:val="right"/>
              <w:rPr>
                <w:color w:val="016794"/>
              </w:rPr>
            </w:pPr>
            <w:r>
              <w:rPr>
                <w:color w:val="016794"/>
              </w:rPr>
              <w:t>1,0</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tcBorders>
            <w:vAlign w:val="center"/>
          </w:tcPr>
          <w:p>
            <w:pPr>
              <w:pStyle w:val="DGTextstand-alone"/>
              <w:spacing w:before="0" w:after="0"/>
              <w:jc w:val="right"/>
              <w:rPr>
                <w:color w:val="016794"/>
              </w:rPr>
            </w:pPr>
            <w:r>
              <w:rPr>
                <w:color w:val="016794"/>
              </w:rPr>
              <w:t>0,0</w:t>
            </w:r>
          </w:p>
        </w:tc>
      </w:tr>
      <w:tr>
        <w:trPr>
          <w:trHeight w:val="336"/>
          <w:jc w:val="center"/>
        </w:trPr>
        <w:tc>
          <w:tcPr>
            <w:tcW w:w="4535" w:type="dxa"/>
            <w:tcBorders>
              <w:top w:val="single" w:sz="4" w:space="0" w:color="E36C0A" w:themeColor="accent6" w:themeShade="BF"/>
              <w:bottom w:val="nil"/>
              <w:right w:val="single" w:sz="4" w:space="0" w:color="E36C0A" w:themeColor="accent6" w:themeShade="BF"/>
            </w:tcBorders>
            <w:vAlign w:val="center"/>
          </w:tcPr>
          <w:p>
            <w:pPr>
              <w:pStyle w:val="DGTextstand-alone"/>
              <w:spacing w:before="0" w:after="0"/>
              <w:rPr>
                <w:color w:val="016794"/>
              </w:rPr>
            </w:pPr>
            <w:r>
              <w:rPr>
                <w:color w:val="016794"/>
              </w:rPr>
              <w:t>Montants à appeler auprès des États membres</w:t>
            </w:r>
          </w:p>
        </w:tc>
        <w:tc>
          <w:tcPr>
            <w:tcW w:w="1701" w:type="dxa"/>
            <w:tcBorders>
              <w:top w:val="single" w:sz="4" w:space="0" w:color="E36C0A" w:themeColor="accent6" w:themeShade="BF"/>
              <w:left w:val="single" w:sz="4" w:space="0" w:color="E36C0A" w:themeColor="accent6" w:themeShade="BF"/>
              <w:bottom w:val="nil"/>
              <w:right w:val="single" w:sz="4" w:space="0" w:color="E36C0A" w:themeColor="accent6" w:themeShade="BF"/>
            </w:tcBorders>
            <w:vAlign w:val="center"/>
          </w:tcPr>
          <w:p>
            <w:pPr>
              <w:pStyle w:val="DGTextstand-alone"/>
              <w:spacing w:before="0" w:after="0"/>
              <w:jc w:val="right"/>
              <w:rPr>
                <w:color w:val="016794"/>
              </w:rPr>
            </w:pPr>
            <w:r>
              <w:rPr>
                <w:color w:val="016794"/>
              </w:rPr>
              <w:t>(360,1)</w:t>
            </w:r>
          </w:p>
        </w:tc>
        <w:tc>
          <w:tcPr>
            <w:tcW w:w="1701" w:type="dxa"/>
            <w:tcBorders>
              <w:top w:val="single" w:sz="4" w:space="0" w:color="E36C0A" w:themeColor="accent6" w:themeShade="BF"/>
              <w:left w:val="single" w:sz="4" w:space="0" w:color="E36C0A" w:themeColor="accent6" w:themeShade="BF"/>
              <w:bottom w:val="nil"/>
              <w:right w:val="single" w:sz="4" w:space="0" w:color="E36C0A" w:themeColor="accent6" w:themeShade="BF"/>
            </w:tcBorders>
            <w:vAlign w:val="center"/>
          </w:tcPr>
          <w:p>
            <w:pPr>
              <w:pStyle w:val="DGTextstand-alone"/>
              <w:spacing w:before="0" w:after="0"/>
              <w:jc w:val="right"/>
              <w:rPr>
                <w:color w:val="016794"/>
              </w:rPr>
            </w:pPr>
            <w:r>
              <w:rPr>
                <w:color w:val="016794"/>
              </w:rPr>
              <w:t>(309,8)</w:t>
            </w:r>
          </w:p>
        </w:tc>
        <w:tc>
          <w:tcPr>
            <w:tcW w:w="1701" w:type="dxa"/>
            <w:tcBorders>
              <w:top w:val="single" w:sz="4" w:space="0" w:color="E36C0A" w:themeColor="accent6" w:themeShade="BF"/>
              <w:left w:val="single" w:sz="4" w:space="0" w:color="E36C0A" w:themeColor="accent6" w:themeShade="BF"/>
              <w:bottom w:val="nil"/>
            </w:tcBorders>
            <w:vAlign w:val="center"/>
          </w:tcPr>
          <w:p>
            <w:pPr>
              <w:pStyle w:val="DGTextstand-alone"/>
              <w:spacing w:before="0" w:after="0"/>
              <w:jc w:val="right"/>
              <w:rPr>
                <w:color w:val="016794"/>
              </w:rPr>
            </w:pPr>
            <w:r>
              <w:rPr>
                <w:color w:val="016794"/>
              </w:rPr>
              <w:t>(50,3)</w:t>
            </w:r>
          </w:p>
        </w:tc>
      </w:tr>
      <w:tr>
        <w:trPr>
          <w:trHeight w:val="336"/>
          <w:jc w:val="center"/>
        </w:trPr>
        <w:tc>
          <w:tcPr>
            <w:tcW w:w="4535" w:type="dxa"/>
            <w:shd w:val="clear" w:color="auto" w:fill="FBD4B4" w:themeFill="accent6" w:themeFillTint="66"/>
            <w:vAlign w:val="center"/>
          </w:tcPr>
          <w:p>
            <w:pPr>
              <w:pStyle w:val="DGTextstand-alone"/>
              <w:spacing w:before="0" w:after="0"/>
              <w:rPr>
                <w:b/>
                <w:color w:val="016794"/>
              </w:rPr>
            </w:pPr>
            <w:r>
              <w:rPr>
                <w:b/>
                <w:color w:val="016794"/>
              </w:rPr>
              <w:t>Total</w:t>
            </w:r>
          </w:p>
        </w:tc>
        <w:tc>
          <w:tcPr>
            <w:tcW w:w="1701" w:type="dxa"/>
            <w:shd w:val="clear" w:color="auto" w:fill="FBD4B4" w:themeFill="accent6" w:themeFillTint="66"/>
            <w:vAlign w:val="center"/>
          </w:tcPr>
          <w:p>
            <w:pPr>
              <w:pStyle w:val="DGTextstand-alone"/>
              <w:spacing w:before="0" w:after="0"/>
              <w:jc w:val="right"/>
              <w:rPr>
                <w:b/>
                <w:bCs/>
                <w:color w:val="016794"/>
              </w:rPr>
            </w:pPr>
            <w:r>
              <w:rPr>
                <w:b/>
                <w:color w:val="016794"/>
              </w:rPr>
              <w:t>(359,2)</w:t>
            </w:r>
          </w:p>
        </w:tc>
        <w:tc>
          <w:tcPr>
            <w:tcW w:w="1701" w:type="dxa"/>
            <w:shd w:val="clear" w:color="auto" w:fill="FBD4B4" w:themeFill="accent6" w:themeFillTint="66"/>
            <w:vAlign w:val="center"/>
          </w:tcPr>
          <w:p>
            <w:pPr>
              <w:pStyle w:val="DGTextstand-alone"/>
              <w:spacing w:before="0" w:after="0"/>
              <w:jc w:val="right"/>
              <w:rPr>
                <w:b/>
                <w:bCs/>
                <w:color w:val="016794"/>
              </w:rPr>
            </w:pPr>
            <w:r>
              <w:rPr>
                <w:b/>
                <w:color w:val="016794"/>
              </w:rPr>
              <w:t>(308,8)</w:t>
            </w:r>
          </w:p>
        </w:tc>
        <w:tc>
          <w:tcPr>
            <w:tcW w:w="1701" w:type="dxa"/>
            <w:shd w:val="clear" w:color="auto" w:fill="FBD4B4" w:themeFill="accent6" w:themeFillTint="66"/>
            <w:vAlign w:val="center"/>
          </w:tcPr>
          <w:p>
            <w:pPr>
              <w:pStyle w:val="DGTextstand-alone"/>
              <w:spacing w:before="0" w:after="0"/>
              <w:jc w:val="right"/>
              <w:rPr>
                <w:b/>
                <w:bCs/>
                <w:color w:val="016794"/>
              </w:rPr>
            </w:pPr>
            <w:r>
              <w:rPr>
                <w:b/>
                <w:color w:val="016794"/>
              </w:rPr>
              <w:t>(50,3)</w:t>
            </w:r>
          </w:p>
        </w:tc>
      </w:tr>
      <w:tr>
        <w:trPr>
          <w:trHeight w:val="336"/>
          <w:jc w:val="center"/>
        </w:trPr>
        <w:tc>
          <w:tcPr>
            <w:tcW w:w="4535" w:type="dxa"/>
            <w:vAlign w:val="center"/>
          </w:tcPr>
          <w:p>
            <w:pPr>
              <w:rPr>
                <w:rFonts w:ascii="Verdana" w:hAnsi="Verdana"/>
                <w:i/>
                <w:noProof/>
                <w:sz w:val="18"/>
              </w:rPr>
            </w:pPr>
          </w:p>
        </w:tc>
        <w:tc>
          <w:tcPr>
            <w:tcW w:w="1701" w:type="dxa"/>
            <w:vAlign w:val="center"/>
          </w:tcPr>
          <w:p>
            <w:pPr>
              <w:jc w:val="right"/>
              <w:rPr>
                <w:rFonts w:ascii="Verdana" w:hAnsi="Verdana"/>
                <w:b/>
                <w:noProof/>
                <w:sz w:val="18"/>
              </w:rPr>
            </w:pPr>
          </w:p>
        </w:tc>
        <w:tc>
          <w:tcPr>
            <w:tcW w:w="1701" w:type="dxa"/>
            <w:vAlign w:val="center"/>
          </w:tcPr>
          <w:p>
            <w:pPr>
              <w:jc w:val="right"/>
              <w:rPr>
                <w:rFonts w:ascii="Verdana" w:hAnsi="Verdana"/>
                <w:b/>
                <w:noProof/>
                <w:sz w:val="18"/>
              </w:rPr>
            </w:pPr>
          </w:p>
        </w:tc>
        <w:tc>
          <w:tcPr>
            <w:tcW w:w="1701" w:type="dxa"/>
            <w:vAlign w:val="center"/>
          </w:tcPr>
          <w:p>
            <w:pPr>
              <w:jc w:val="right"/>
              <w:rPr>
                <w:rFonts w:ascii="Verdana" w:hAnsi="Verdana"/>
                <w:b/>
                <w:noProof/>
                <w:sz w:val="18"/>
              </w:rPr>
            </w:pPr>
          </w:p>
        </w:tc>
      </w:tr>
      <w:tr>
        <w:trPr>
          <w:trHeight w:val="340"/>
          <w:jc w:val="center"/>
        </w:trPr>
        <w:tc>
          <w:tcPr>
            <w:tcW w:w="9638" w:type="dxa"/>
            <w:gridSpan w:val="4"/>
            <w:shd w:val="clear" w:color="auto" w:fill="DBE5F1" w:themeFill="accent1" w:themeFillTint="33"/>
            <w:vAlign w:val="center"/>
          </w:tcPr>
          <w:p>
            <w:pPr>
              <w:jc w:val="right"/>
              <w:rPr>
                <w:rFonts w:ascii="Verdana" w:eastAsia="Calibri" w:hAnsi="Verdana"/>
                <w:noProof/>
                <w:color w:val="016794"/>
                <w:sz w:val="18"/>
                <w:szCs w:val="18"/>
                <w:bdr w:val="nil"/>
              </w:rPr>
            </w:pPr>
            <w:r>
              <w:rPr>
                <w:rFonts w:ascii="Verdana" w:hAnsi="Verdana"/>
                <w:noProof/>
                <w:color w:val="016794"/>
                <w:sz w:val="18"/>
                <w:bdr w:val="nil"/>
              </w:rPr>
              <mc:AlternateContent>
                <mc:Choice Requires="wps">
                  <w:drawing>
                    <wp:inline distT="0" distB="0" distL="0" distR="0">
                      <wp:extent cx="147600" cy="90000"/>
                      <wp:effectExtent l="0" t="0" r="5080" b="5715"/>
                      <wp:docPr id="13" name="Right Arrow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47600" cy="90000"/>
                              </a:xfrm>
                              <a:prstGeom prst="rightArrow">
                                <a:avLst/>
                              </a:prstGeom>
                              <a:solidFill>
                                <a:srgbClr val="4F81BD"/>
                              </a:solidFill>
                              <a:ln w="25400">
                                <a:noFill/>
                              </a:ln>
                              <a:effectLst/>
                            </wps:spPr>
                            <wps:bodyPr rot="0" spcFirstLastPara="0" vertOverflow="overflow" horzOverflow="overflow" vert="horz" wrap="square" numCol="1" spcCol="0" rtlCol="0" fromWordArt="0" anchor="ctr" anchorCtr="0" forceAA="0" compatLnSpc="1">
                              <a:prstTxWarp prst="textNoShape">
                                <a:avLst/>
                              </a:prstTxWarp>
                            </wps:bodyPr>
                          </wps:wsp>
                        </a:graphicData>
                      </a:graphic>
                    </wp:inline>
                  </w:drawing>
                </mc:Choice>
                <mc:Fallback xmlns:w16sdtfl="http://schemas.microsoft.com/office/word/2024/wordml/sdtformatlock" xmlns:w16du="http://schemas.microsoft.com/office/word/2023/wordml/word16du" xmlns:w16cei="http://schemas.microsoft.com/office/word/2026/wordml/cei" xmlns:oel="http://schemas.microsoft.com/office/2019/extlst" xmlns:pic="http://schemas.openxmlformats.org/drawingml/2006/picture" xmlns:a="http://schemas.openxmlformats.org/drawingml/2006/main">
                  <w:pict>
                    <v:shapetype id="_x0000_t13" coordsize="21600,21600" o:spt="13" adj="16200,5400" path="m@0,l@0@1,0@1,0@2@0@2@0,21600,21600,10800xe" w14:anchorId="23D73401">
                      <v:stroke joinstyle="miter"/>
                      <v:formulas>
                        <v:f eqn="val #0"/>
                        <v:f eqn="val #1"/>
                        <v:f eqn="sum height 0 #1"/>
                        <v:f eqn="sum 10800 0 #1"/>
                        <v:f eqn="sum width 0 #0"/>
                        <v:f eqn="prod @4 @3 10800"/>
                        <v:f eqn="sum width 0 @5"/>
                      </v:formulas>
                      <v:path textboxrect="0,@1,@6,@2" o:connecttype="custom" o:connectlocs="@0,0;0,10800;@0,21600;21600,10800" o:connectangles="270,180,90,0"/>
                      <v:handles>
                        <v:h position="#0,#1" xrange="0,21600" yrange="0,10800"/>
                      </v:handles>
                    </v:shapetype>
                    <v:shape id="Right Arrow 13" style="width:11.6pt;height:7.1pt;visibility:visible;mso-wrap-style:square;mso-left-percent:-10001;mso-top-percent:-10001;mso-position-horizontal:absolute;mso-position-horizontal-relative:char;mso-position-vertical:absolute;mso-position-vertical-relative:line;mso-left-percent:-10001;mso-top-percent:-10001;v-text-anchor:middle" o:spid="_x0000_s1026" fillcolor="#4f81bd" stroked="f" strokeweight="2pt" type="#_x0000_t13" adj="15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">
                      <o:lock v:ext="edit" aspectratio="t"/>
                      <w10:anchorlock/>
                    </v:shape>
                  </w:pict>
                </mc:Fallback>
              </mc:AlternateContent>
            </w:r>
            <w:r>
              <w:rPr>
                <w:rFonts w:ascii="Verdana" w:hAnsi="Verdana"/>
                <w:noProof/>
                <w:color w:val="016794"/>
                <w:sz w:val="18"/>
              </w:rPr>
              <w:t xml:space="preserve"> voir Analyse des états financiers, section </w:t>
            </w:r>
            <w:r>
              <w:rPr>
                <w:rFonts w:ascii="Verdana" w:hAnsi="Verdana"/>
                <w:b/>
                <w:noProof/>
                <w:color w:val="016794"/>
                <w:sz w:val="18"/>
              </w:rPr>
              <w:t>4</w:t>
            </w:r>
          </w:p>
        </w:tc>
      </w:tr>
    </w:tbl>
    <w:p>
      <w:pPr>
        <w:rPr>
          <w:noProof/>
        </w:rPr>
      </w:pPr>
    </w:p>
    <w:p>
      <w:pPr>
        <w:rPr>
          <w:noProof/>
        </w:rPr>
      </w:pPr>
      <w:r>
        <w:rPr>
          <w:noProof/>
        </w:rPr>
        <w:br w:type="page"/>
      </w:r>
    </w:p>
    <w:p>
      <w:pPr>
        <w:spacing w:after="240"/>
        <w:jc w:val="both"/>
        <w:rPr>
          <w:rFonts w:ascii="Verdana" w:hAnsi="Verdana"/>
          <w:noProof/>
          <w:sz w:val="18"/>
          <w:szCs w:val="18"/>
        </w:rPr>
      </w:pPr>
      <w:r>
        <w:rPr>
          <w:rFonts w:ascii="Verdana" w:hAnsi="Verdana"/>
          <w:noProof/>
          <w:sz w:val="18"/>
        </w:rPr>
        <w:lastRenderedPageBreak/>
        <w:t>Les comptes annuels consolidés présentés ici comprennent:</w:t>
      </w:r>
    </w:p>
    <w:p>
      <w:pPr>
        <w:pStyle w:val="ListParagraph"/>
        <w:numPr>
          <w:ilvl w:val="0"/>
          <w:numId w:val="31"/>
        </w:numPr>
        <w:spacing w:after="120"/>
        <w:ind w:left="901" w:hanging="357"/>
        <w:contextualSpacing w:val="0"/>
        <w:jc w:val="both"/>
        <w:rPr>
          <w:rFonts w:ascii="Verdana" w:hAnsi="Verdana"/>
          <w:noProof/>
          <w:sz w:val="18"/>
          <w:szCs w:val="18"/>
        </w:rPr>
      </w:pPr>
      <w:r>
        <w:rPr>
          <w:rFonts w:ascii="Verdana" w:hAnsi="Verdana"/>
          <w:noProof/>
          <w:sz w:val="18"/>
        </w:rPr>
        <w:t>les modifications apportées aux comptes à la suite de l’exécution du budget annuel 2025 et des engagements contractés antérieurement. Le budget annuel 2025 fait partie du cadre financier pluriannuel 2021-2027, qui s’élève au total à 1 223 milliards d’EUR en prix courants (1 083 milliards d’EUR aux prix de 2018). Le 1</w:t>
      </w:r>
      <w:r>
        <w:rPr>
          <w:rFonts w:ascii="Verdana" w:hAnsi="Verdana"/>
          <w:noProof/>
          <w:sz w:val="18"/>
          <w:vertAlign w:val="superscript"/>
        </w:rPr>
        <w:t>er</w:t>
      </w:r>
      <w:r>
        <w:rPr>
          <w:rFonts w:ascii="Verdana" w:hAnsi="Verdana"/>
          <w:noProof/>
          <w:sz w:val="18"/>
        </w:rPr>
        <w:t> mars 2024, une révision du cadre financier pluriannuel 2021-2027 est entrée en vigueur, permettant au budget de l’UE de continuer à répondre aux priorités les plus urgentes tout en réduisant au minimum l’incidence sur les budgets nationaux, dans l’intérêt des citoyens européens et au-delà</w:t>
      </w:r>
      <w:r>
        <w:rPr>
          <w:rStyle w:val="FootnoteReference"/>
          <w:noProof/>
          <w:sz w:val="18"/>
          <w:szCs w:val="18"/>
        </w:rPr>
        <w:footnoteReference w:id="1"/>
      </w:r>
      <w:r>
        <w:rPr>
          <w:rFonts w:ascii="Verdana" w:hAnsi="Verdana"/>
          <w:noProof/>
          <w:sz w:val="18"/>
        </w:rPr>
        <w:t>;</w:t>
      </w:r>
    </w:p>
    <w:p>
      <w:pPr>
        <w:pStyle w:val="ListParagraph"/>
        <w:numPr>
          <w:ilvl w:val="0"/>
          <w:numId w:val="31"/>
        </w:numPr>
        <w:spacing w:after="240"/>
        <w:ind w:left="901" w:hanging="357"/>
        <w:jc w:val="both"/>
        <w:rPr>
          <w:rFonts w:ascii="Verdana" w:hAnsi="Verdana"/>
          <w:noProof/>
          <w:sz w:val="18"/>
          <w:szCs w:val="18"/>
        </w:rPr>
      </w:pPr>
      <w:r>
        <w:rPr>
          <w:rFonts w:ascii="Verdana" w:hAnsi="Verdana"/>
          <w:noProof/>
          <w:sz w:val="18"/>
        </w:rPr>
        <w:t>l’instrument de relance NextGenerationEU (NGEU), adopté en juin 2020. Le soutien au titre de NextGenerationEU était initialement prévu à hauteur de 806,9 milliards d’EUR en prix courants (750 milliards d’EUR aux prix de 2018). Cette enveloppe a ensuite été réduite à 638,1 milliards d’EUR en prix courants à la fin du mois de janvier 2026 (338 milliards d’EUR de subventions au titre de la FRR, 217 milliards d’EUR de prêts au titre de la FRR et 83,1 milliards d’EUR de compléments de financement des programmes NextGenerationEU). En outre, 20 milliards d’EUR provenant de la mise aux enchères des quotas dans le cadre du système d’échange de quotas d’émission (SEQE) et 2 milliards d’EUR de subventions provenant de la réserve d’ajustement au Brexit ont été ajoutés à l’enveloppe des subventions de la FRR.</w:t>
      </w:r>
    </w:p>
    <w:p>
      <w:pPr>
        <w:spacing w:after="240"/>
        <w:jc w:val="both"/>
        <w:rPr>
          <w:rFonts w:ascii="Verdana" w:hAnsi="Verdana"/>
          <w:noProof/>
          <w:sz w:val="18"/>
          <w:szCs w:val="18"/>
        </w:rPr>
      </w:pPr>
      <w:r>
        <w:rPr>
          <w:rFonts w:ascii="Verdana" w:hAnsi="Verdana"/>
          <w:noProof/>
          <w:sz w:val="18"/>
        </w:rPr>
        <w:t>En avril 2026, la proposition de la Commission concernant une révision ciblée du cadre financier pluriannuel 2021-2027 a été adoptée en vue d’apporter un soutien à l’Ukraine sous la forme d’un prêt couvert par la marge de manœuvre et d’une bonification des coûts de l’emprunt financée par le budget de l’Union, y compris au moyen d’un nouvel instrument spécial spécifique</w:t>
      </w:r>
      <w:r>
        <w:rPr>
          <w:rStyle w:val="FootnoteReference"/>
          <w:noProof/>
          <w:sz w:val="18"/>
          <w:szCs w:val="18"/>
        </w:rPr>
        <w:footnoteReference w:id="2"/>
      </w:r>
      <w:r>
        <w:rPr>
          <w:rFonts w:ascii="Verdana" w:hAnsi="Verdana"/>
          <w:noProof/>
          <w:sz w:val="18"/>
        </w:rPr>
        <w:t>.</w:t>
      </w:r>
    </w:p>
    <w:p>
      <w:pPr>
        <w:spacing w:after="240"/>
        <w:jc w:val="both"/>
        <w:rPr>
          <w:rFonts w:ascii="Verdana" w:hAnsi="Verdana"/>
          <w:noProof/>
          <w:sz w:val="18"/>
          <w:szCs w:val="18"/>
        </w:rPr>
      </w:pPr>
      <w:r>
        <w:rPr>
          <w:rFonts w:ascii="Verdana" w:hAnsi="Verdana"/>
          <w:noProof/>
          <w:sz w:val="18"/>
        </w:rPr>
        <w:t>Le 16 juillet 2025, la Commission a présenté sa proposition de cadre financier pluriannuel pour la période 2028-2034.</w:t>
      </w:r>
    </w:p>
    <w:p>
      <w:pPr>
        <w:pStyle w:val="DGTextstand-alonedashesjustified"/>
      </w:pPr>
      <w:r>
        <w:t>La section </w:t>
      </w:r>
      <w:r>
        <w:rPr>
          <w:b/>
        </w:rPr>
        <w:t>2</w:t>
      </w:r>
      <w:r>
        <w:t xml:space="preserve"> des faits marquants présente les modifications apportées aux comptes à la suite de l’exécution du budget 2025 et des budgets antérieurs.</w:t>
      </w:r>
    </w:p>
    <w:p>
      <w:pPr>
        <w:pStyle w:val="DGTextstand-alonedashesjustified"/>
      </w:pPr>
      <w:r>
        <w:t>La section </w:t>
      </w:r>
      <w:r>
        <w:rPr>
          <w:b/>
        </w:rPr>
        <w:t>3</w:t>
      </w:r>
      <w:r>
        <w:t xml:space="preserve"> fait le point sur la mise en œuvre de NextGenerationEU en 2025.</w:t>
      </w:r>
    </w:p>
    <w:p>
      <w:pPr>
        <w:pStyle w:val="DGTextstand-alonedashesjustified"/>
      </w:pPr>
      <w:r>
        <w:t>La section </w:t>
      </w:r>
      <w:r>
        <w:rPr>
          <w:b/>
        </w:rPr>
        <w:t>4</w:t>
      </w:r>
      <w:r>
        <w:t xml:space="preserve"> montre comment ces changements sont reflétés dans les états financiers.</w:t>
      </w:r>
    </w:p>
    <w:p>
      <w:pPr>
        <w:pStyle w:val="DGTextstand-alonedashesjustified"/>
      </w:pPr>
      <w:r>
        <w:t>La section </w:t>
      </w:r>
      <w:r>
        <w:rPr>
          <w:b/>
        </w:rPr>
        <w:t>5</w:t>
      </w:r>
      <w:r>
        <w:t xml:space="preserve"> présente les implications pour les passifs éventuels supportés par le budget de l’UE.</w:t>
      </w:r>
    </w:p>
    <w:p>
      <w:pPr>
        <w:pStyle w:val="DGTextstand-alonedashesjustified"/>
      </w:pPr>
      <w:r>
        <w:t>La section </w:t>
      </w:r>
      <w:r>
        <w:rPr>
          <w:b/>
        </w:rPr>
        <w:t>6</w:t>
      </w:r>
      <w:r>
        <w:t xml:space="preserve"> rappelle les principaux éléments du cadre de gouvernance et de responsabilité.</w:t>
      </w:r>
      <w:r>
        <w:br w:type="page"/>
      </w:r>
    </w:p>
    <w:tbl>
      <w:tblPr>
        <w:tblStyle w:val="TableGrid1"/>
        <w:tblW w:w="11261" w:type="dxa"/>
        <w:jc w:val="center"/>
        <w:tblBorders>
          <w:top w:val="none" w:sz="0" w:space="0" w:color="auto"/>
          <w:left w:val="single" w:sz="4" w:space="0" w:color="FFFFFF" w:themeColor="background1"/>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1261"/>
      </w:tblGrid>
      <w:tr>
        <w:trPr>
          <w:trHeight w:val="510"/>
          <w:jc w:val="center"/>
        </w:trPr>
        <w:tc>
          <w:tcPr>
            <w:tcW w:w="11261" w:type="dxa"/>
            <w:tcBorders>
              <w:top w:val="single" w:sz="4" w:space="0" w:color="E36C0A" w:themeColor="accent6" w:themeShade="BF"/>
              <w:bottom w:val="single" w:sz="4" w:space="0" w:color="E36C0A" w:themeColor="accent6" w:themeShade="BF"/>
            </w:tcBorders>
            <w:vAlign w:val="center"/>
          </w:tcPr>
          <w:p>
            <w:pPr>
              <w:pStyle w:val="DGTextstand-alone"/>
              <w:spacing w:before="0" w:after="0"/>
              <w:rPr>
                <w:b/>
                <w:color w:val="016794"/>
                <w:sz w:val="28"/>
                <w:szCs w:val="28"/>
              </w:rPr>
            </w:pPr>
            <w:r>
              <w:rPr>
                <w:b/>
                <w:color w:val="016794"/>
                <w:sz w:val="28"/>
              </w:rPr>
              <w:lastRenderedPageBreak/>
              <w:t>Le budget de l’UE en 2025</w:t>
            </w:r>
          </w:p>
        </w:tc>
      </w:tr>
      <w:tr>
        <w:trPr>
          <w:trHeight w:val="255"/>
          <w:jc w:val="center"/>
        </w:trPr>
        <w:tc>
          <w:tcPr>
            <w:tcW w:w="11261" w:type="dxa"/>
            <w:tcBorders>
              <w:top w:val="single" w:sz="4" w:space="0" w:color="E36C0A" w:themeColor="accent6" w:themeShade="BF"/>
            </w:tcBorders>
            <w:vAlign w:val="center"/>
          </w:tcPr>
          <w:p>
            <w:pPr>
              <w:jc w:val="right"/>
              <w:rPr>
                <w:rFonts w:ascii="Verdana" w:hAnsi="Verdana"/>
                <w:b/>
                <w:noProof/>
                <w:sz w:val="18"/>
              </w:rPr>
            </w:pPr>
          </w:p>
        </w:tc>
      </w:tr>
    </w:tbl>
    <w:tbl>
      <w:tblPr>
        <w:tblStyle w:val="TableGrid"/>
        <w:tblW w:w="1119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21"/>
        <w:gridCol w:w="5616"/>
        <w:gridCol w:w="20"/>
        <w:gridCol w:w="41"/>
        <w:gridCol w:w="21"/>
        <w:gridCol w:w="1326"/>
        <w:gridCol w:w="3835"/>
        <w:gridCol w:w="147"/>
        <w:gridCol w:w="71"/>
      </w:tblGrid>
      <w:tr>
        <w:trPr>
          <w:trHeight w:val="340"/>
          <w:jc w:val="center"/>
        </w:trPr>
        <w:tc>
          <w:tcPr>
            <w:tcW w:w="5737" w:type="dxa"/>
            <w:gridSpan w:val="2"/>
            <w:shd w:val="clear" w:color="auto" w:fill="016794"/>
            <w:vAlign w:val="center"/>
          </w:tcPr>
          <w:p>
            <w:pPr>
              <w:pStyle w:val="DGTextstand-alone"/>
              <w:spacing w:before="0" w:after="0"/>
              <w:jc w:val="center"/>
              <w:rPr>
                <w:b/>
                <w:color w:val="FFFFFF" w:themeColor="background1"/>
              </w:rPr>
            </w:pPr>
            <w:r>
              <w:rPr>
                <w:b/>
                <w:color w:val="FFFFFF" w:themeColor="background1"/>
              </w:rPr>
              <w:t>Recettes budgétaires</w:t>
            </w:r>
          </w:p>
        </w:tc>
        <w:tc>
          <w:tcPr>
            <w:tcW w:w="82" w:type="dxa"/>
            <w:gridSpan w:val="3"/>
          </w:tcPr>
          <w:p>
            <w:pPr>
              <w:rPr>
                <w:rFonts w:ascii="Verdana" w:eastAsia="Calibri" w:hAnsi="Verdana"/>
                <w:b/>
                <w:noProof/>
                <w:color w:val="FFFFFF" w:themeColor="background1"/>
                <w:sz w:val="8"/>
                <w:szCs w:val="8"/>
                <w:bdr w:val="nil"/>
                <w:lang w:eastAsia="en-US"/>
              </w:rPr>
            </w:pPr>
          </w:p>
        </w:tc>
        <w:tc>
          <w:tcPr>
            <w:tcW w:w="5379" w:type="dxa"/>
            <w:gridSpan w:val="4"/>
            <w:shd w:val="clear" w:color="auto" w:fill="016794"/>
            <w:vAlign w:val="center"/>
          </w:tcPr>
          <w:p>
            <w:pPr>
              <w:pStyle w:val="DGTextstand-alone"/>
              <w:spacing w:before="0" w:after="0"/>
              <w:ind w:right="750"/>
              <w:jc w:val="center"/>
              <w:rPr>
                <w:b/>
                <w:color w:val="FFFFFF" w:themeColor="background1"/>
              </w:rPr>
            </w:pPr>
            <w:r>
              <w:rPr>
                <w:b/>
                <w:color w:val="FFFFFF" w:themeColor="background1"/>
              </w:rPr>
              <w:t>Crédits d’engagement</w:t>
            </w:r>
          </w:p>
        </w:tc>
      </w:tr>
      <w:tr>
        <w:tblPrEx>
          <w:jc w:val="left"/>
        </w:tblPrEx>
        <w:trPr>
          <w:gridBefore w:val="1"/>
          <w:gridAfter w:val="1"/>
          <w:wBefore w:w="121" w:type="dxa"/>
          <w:wAfter w:w="71" w:type="dxa"/>
          <w:trHeight w:val="7587"/>
        </w:trPr>
        <w:tc>
          <w:tcPr>
            <w:tcW w:w="5677" w:type="dxa"/>
            <w:gridSpan w:val="3"/>
          </w:tcPr>
          <w:p>
            <w:pPr>
              <w:jc w:val="center"/>
              <w:rPr>
                <w:rFonts w:ascii="Verdana" w:hAnsi="Verdana"/>
                <w:noProof/>
                <w:color w:val="016794"/>
                <w:sz w:val="18"/>
                <w:szCs w:val="18"/>
              </w:rPr>
            </w:pPr>
          </w:p>
          <w:p>
            <w:pPr>
              <w:jc w:val="center"/>
              <w:rPr>
                <w:rFonts w:ascii="Verdana" w:hAnsi="Verdana"/>
                <w:noProof/>
                <w:color w:val="016794"/>
                <w:sz w:val="18"/>
                <w:szCs w:val="18"/>
              </w:rPr>
            </w:pPr>
          </w:p>
          <w:p>
            <w:pPr>
              <w:jc w:val="center"/>
              <w:rPr>
                <w:rFonts w:ascii="Verdana" w:hAnsi="Verdana"/>
                <w:b/>
                <w:bCs/>
                <w:noProof/>
                <w:color w:val="016794"/>
                <w:sz w:val="20"/>
                <w:szCs w:val="20"/>
              </w:rPr>
            </w:pPr>
            <w:r>
              <w:rPr>
                <w:rFonts w:ascii="Verdana" w:hAnsi="Verdana"/>
                <w:b/>
                <w:noProof/>
                <w:color w:val="016794"/>
                <w:sz w:val="20"/>
              </w:rPr>
              <w:t>224,4 milliards d’EUR de recettes</w:t>
            </w:r>
            <w:r>
              <w:rPr>
                <w:rFonts w:ascii="Verdana" w:hAnsi="Verdana"/>
                <w:b/>
                <w:noProof/>
                <w:color w:val="016794"/>
                <w:sz w:val="20"/>
              </w:rPr>
              <w:br/>
            </w:r>
          </w:p>
          <w:p>
            <w:pPr>
              <w:jc w:val="center"/>
              <w:rPr>
                <w:rFonts w:ascii="Verdana" w:hAnsi="Verdana"/>
                <w:noProof/>
                <w:color w:val="016794"/>
                <w:sz w:val="18"/>
                <w:szCs w:val="18"/>
              </w:rPr>
            </w:pPr>
          </w:p>
          <w:p>
            <w:pPr>
              <w:jc w:val="center"/>
              <w:rPr>
                <w:rFonts w:ascii="Verdana" w:hAnsi="Verdana"/>
                <w:noProof/>
                <w:color w:val="016794"/>
                <w:sz w:val="18"/>
                <w:szCs w:val="18"/>
              </w:rPr>
            </w:pPr>
          </w:p>
          <w:p>
            <w:pPr>
              <w:jc w:val="center"/>
              <w:rPr>
                <w:rFonts w:ascii="Verdana" w:hAnsi="Verdana"/>
                <w:noProof/>
                <w:color w:val="016794"/>
                <w:sz w:val="18"/>
                <w:szCs w:val="18"/>
              </w:rPr>
            </w:pPr>
          </w:p>
          <w:p>
            <w:pPr>
              <w:jc w:val="center"/>
              <w:rPr>
                <w:rFonts w:ascii="Verdana" w:hAnsi="Verdana"/>
                <w:noProof/>
                <w:color w:val="016794"/>
                <w:sz w:val="18"/>
                <w:szCs w:val="18"/>
              </w:rPr>
            </w:pPr>
            <w:r>
              <w:rPr>
                <w:rFonts w:ascii="Verdana" w:hAnsi="Verdana"/>
                <w:noProof/>
                <w:color w:val="016794"/>
                <w:sz w:val="18"/>
                <w:szCs w:val="18"/>
              </w:rPr>
              <w:drawing>
                <wp:inline distT="0" distB="0" distL="0" distR="0">
                  <wp:extent cx="3250565" cy="3047405"/>
                  <wp:effectExtent l="0" t="0" r="6985" b="635"/>
                  <wp:docPr id="1621399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39962" name=""/>
                          <pic:cNvPicPr/>
                        </pic:nvPicPr>
                        <pic:blipFill>
                          <a:blip r:embed="rId24"/>
                          <a:stretch>
                            <a:fillRect/>
                          </a:stretch>
                        </pic:blipFill>
                        <pic:spPr>
                          <a:xfrm>
                            <a:off x="0" y="0"/>
                            <a:ext cx="3265364" cy="3061279"/>
                          </a:xfrm>
                          <a:prstGeom prst="rect">
                            <a:avLst/>
                          </a:prstGeom>
                        </pic:spPr>
                      </pic:pic>
                    </a:graphicData>
                  </a:graphic>
                </wp:inline>
              </w:drawing>
            </w:r>
          </w:p>
        </w:tc>
        <w:tc>
          <w:tcPr>
            <w:tcW w:w="21" w:type="dxa"/>
            <w:vAlign w:val="center"/>
          </w:tcPr>
          <w:p>
            <w:pPr>
              <w:jc w:val="center"/>
              <w:rPr>
                <w:rFonts w:ascii="Verdana" w:hAnsi="Verdana"/>
                <w:noProof/>
                <w:color w:val="016794"/>
                <w:sz w:val="18"/>
                <w:szCs w:val="18"/>
              </w:rPr>
            </w:pPr>
          </w:p>
        </w:tc>
        <w:tc>
          <w:tcPr>
            <w:tcW w:w="5308" w:type="dxa"/>
            <w:gridSpan w:val="3"/>
          </w:tcPr>
          <w:p>
            <w:pPr>
              <w:jc w:val="center"/>
              <w:rPr>
                <w:rFonts w:ascii="Verdana" w:hAnsi="Verdana"/>
                <w:noProof/>
                <w:color w:val="016794"/>
                <w:sz w:val="18"/>
                <w:szCs w:val="18"/>
              </w:rPr>
            </w:pPr>
          </w:p>
          <w:p>
            <w:pPr>
              <w:ind w:right="975"/>
              <w:jc w:val="center"/>
              <w:rPr>
                <w:rFonts w:ascii="Verdana" w:hAnsi="Verdana"/>
                <w:noProof/>
                <w:color w:val="016794"/>
                <w:sz w:val="18"/>
                <w:szCs w:val="18"/>
              </w:rPr>
            </w:pPr>
          </w:p>
          <w:p>
            <w:pPr>
              <w:jc w:val="center"/>
              <w:rPr>
                <w:rFonts w:ascii="Verdana" w:hAnsi="Verdana"/>
                <w:b/>
                <w:bCs/>
                <w:noProof/>
                <w:color w:val="016794"/>
                <w:sz w:val="20"/>
                <w:szCs w:val="20"/>
              </w:rPr>
            </w:pPr>
            <w:r>
              <w:rPr>
                <w:rFonts w:ascii="Verdana" w:hAnsi="Verdana"/>
                <w:b/>
                <w:noProof/>
                <w:color w:val="016794"/>
                <w:sz w:val="20"/>
              </w:rPr>
              <w:t xml:space="preserve">212,1 milliards d’EUR exécutés </w:t>
            </w:r>
            <w:r>
              <w:rPr>
                <w:rFonts w:ascii="Verdana" w:hAnsi="Verdana"/>
                <w:b/>
                <w:noProof/>
                <w:color w:val="016794"/>
                <w:sz w:val="20"/>
              </w:rPr>
              <w:br/>
              <w:t>pour réaliser les objectifs stratégiques</w:t>
            </w:r>
            <w:r>
              <w:rPr>
                <w:rFonts w:ascii="Verdana" w:hAnsi="Verdana"/>
                <w:b/>
                <w:noProof/>
                <w:color w:val="016794"/>
                <w:sz w:val="20"/>
              </w:rPr>
              <w:br/>
              <w:t xml:space="preserve"> de l’UE</w:t>
            </w:r>
          </w:p>
          <w:p>
            <w:pPr>
              <w:jc w:val="center"/>
              <w:rPr>
                <w:rFonts w:ascii="Verdana" w:hAnsi="Verdana"/>
                <w:noProof/>
                <w:color w:val="016794"/>
                <w:sz w:val="18"/>
                <w:szCs w:val="18"/>
              </w:rPr>
            </w:pPr>
          </w:p>
          <w:p>
            <w:pPr>
              <w:jc w:val="center"/>
              <w:rPr>
                <w:rFonts w:ascii="Verdana" w:hAnsi="Verdana"/>
                <w:noProof/>
                <w:color w:val="016794"/>
                <w:sz w:val="18"/>
                <w:szCs w:val="18"/>
              </w:rPr>
            </w:pPr>
            <w:r>
              <w:rPr>
                <w:rFonts w:ascii="Verdana" w:hAnsi="Verdana"/>
                <w:noProof/>
                <w:color w:val="016794"/>
                <w:sz w:val="18"/>
                <w:szCs w:val="18"/>
              </w:rPr>
              <w:drawing>
                <wp:inline distT="0" distB="0" distL="0" distR="0">
                  <wp:extent cx="3289467" cy="3496310"/>
                  <wp:effectExtent l="0" t="0" r="6350" b="8890"/>
                  <wp:docPr id="796038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03836" name=""/>
                          <pic:cNvPicPr/>
                        </pic:nvPicPr>
                        <pic:blipFill>
                          <a:blip r:embed="rId25"/>
                          <a:stretch>
                            <a:fillRect/>
                          </a:stretch>
                        </pic:blipFill>
                        <pic:spPr>
                          <a:xfrm>
                            <a:off x="0" y="0"/>
                            <a:ext cx="3320916" cy="3529736"/>
                          </a:xfrm>
                          <a:prstGeom prst="rect">
                            <a:avLst/>
                          </a:prstGeom>
                        </pic:spPr>
                      </pic:pic>
                    </a:graphicData>
                  </a:graphic>
                </wp:inline>
              </w:drawing>
            </w:r>
          </w:p>
          <w:p>
            <w:pPr>
              <w:jc w:val="center"/>
              <w:rPr>
                <w:rFonts w:ascii="Verdana" w:hAnsi="Verdana"/>
                <w:noProof/>
                <w:color w:val="016794"/>
                <w:sz w:val="18"/>
                <w:szCs w:val="18"/>
              </w:rPr>
            </w:pPr>
          </w:p>
          <w:p>
            <w:pPr>
              <w:jc w:val="center"/>
              <w:rPr>
                <w:rFonts w:ascii="Verdana" w:hAnsi="Verdana"/>
                <w:noProof/>
                <w:color w:val="016794"/>
                <w:sz w:val="18"/>
                <w:szCs w:val="18"/>
              </w:rPr>
            </w:pPr>
          </w:p>
          <w:p>
            <w:pPr>
              <w:ind w:firstLine="720"/>
              <w:rPr>
                <w:rFonts w:ascii="Verdana" w:hAnsi="Verdana"/>
                <w:noProof/>
                <w:sz w:val="18"/>
                <w:szCs w:val="18"/>
              </w:rPr>
            </w:pPr>
          </w:p>
        </w:tc>
      </w:tr>
      <w:tr>
        <w:trPr>
          <w:trHeight w:val="68"/>
          <w:jc w:val="center"/>
        </w:trPr>
        <w:tc>
          <w:tcPr>
            <w:tcW w:w="5737" w:type="dxa"/>
            <w:gridSpan w:val="2"/>
            <w:vAlign w:val="center"/>
          </w:tcPr>
          <w:p>
            <w:pPr>
              <w:rPr>
                <w:rFonts w:ascii="Verdana" w:hAnsi="Verdana"/>
                <w:b/>
                <w:noProof/>
                <w:color w:val="016794"/>
                <w:sz w:val="8"/>
                <w:szCs w:val="8"/>
              </w:rPr>
            </w:pPr>
          </w:p>
        </w:tc>
        <w:tc>
          <w:tcPr>
            <w:tcW w:w="82" w:type="dxa"/>
            <w:gridSpan w:val="3"/>
          </w:tcPr>
          <w:p>
            <w:pPr>
              <w:rPr>
                <w:rFonts w:ascii="Verdana" w:hAnsi="Verdana"/>
                <w:b/>
                <w:noProof/>
                <w:color w:val="016794"/>
                <w:sz w:val="8"/>
                <w:szCs w:val="8"/>
                <w:lang w:eastAsia="de-DE"/>
              </w:rPr>
            </w:pPr>
          </w:p>
        </w:tc>
        <w:tc>
          <w:tcPr>
            <w:tcW w:w="5379" w:type="dxa"/>
            <w:gridSpan w:val="4"/>
            <w:vAlign w:val="center"/>
          </w:tcPr>
          <w:p>
            <w:pPr>
              <w:jc w:val="right"/>
              <w:rPr>
                <w:rFonts w:ascii="Verdana" w:hAnsi="Verdana"/>
                <w:b/>
                <w:noProof/>
                <w:color w:val="016794"/>
                <w:sz w:val="8"/>
                <w:szCs w:val="8"/>
              </w:rPr>
            </w:pPr>
          </w:p>
        </w:tc>
      </w:tr>
      <w:tr>
        <w:trPr>
          <w:gridAfter w:val="2"/>
          <w:wAfter w:w="218" w:type="dxa"/>
          <w:trHeight w:val="340"/>
          <w:jc w:val="center"/>
        </w:trPr>
        <w:tc>
          <w:tcPr>
            <w:tcW w:w="5737" w:type="dxa"/>
            <w:gridSpan w:val="2"/>
            <w:shd w:val="clear" w:color="auto" w:fill="DBE5F1" w:themeFill="accent1" w:themeFillTint="33"/>
            <w:vAlign w:val="center"/>
          </w:tcPr>
          <w:p>
            <w:pPr>
              <w:jc w:val="center"/>
              <w:rPr>
                <w:rFonts w:ascii="Verdana" w:hAnsi="Verdana"/>
                <w:noProof/>
                <w:sz w:val="18"/>
                <w:szCs w:val="18"/>
              </w:rPr>
            </w:pPr>
            <w:r>
              <w:rPr>
                <w:noProof/>
              </w:rPr>
              <w:br w:type="page"/>
              <w:t xml:space="preserve">                                      </w:t>
            </w:r>
            <w:r>
              <w:rPr>
                <w:rFonts w:ascii="Verdana" w:hAnsi="Verdana"/>
                <w:b/>
                <w:noProof/>
                <w:color w:val="016794"/>
                <w:sz w:val="18"/>
              </w:rPr>
              <mc:AlternateContent>
                <mc:Choice Requires="wps">
                  <w:drawing>
                    <wp:inline distT="0" distB="0" distL="0" distR="0">
                      <wp:extent cx="147600" cy="90000"/>
                      <wp:effectExtent l="0" t="0" r="5080" b="5715"/>
                      <wp:docPr id="891754326" name="DOC_ASH0000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47600" cy="90000"/>
                              </a:xfrm>
                              <a:prstGeom prst="rightArrow">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inline>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DOC_ASH00002" o:spid="_x0000_s1026" type="#_x0000_t13" style="width:11.6pt;height:7.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" adj="15015" fillcolor="#4f81bd [3204]" stroked="f" strokeweight="2pt">
                      <o:lock v:ext="edit" aspectratio="t"/>
                      <v:textbox>
                        <w:txbxContent>
                          <w:p>
                            <w:pPr>
                              <w:jc w:val="center"/>
                            </w:pPr>
                          </w:p>
                        </w:txbxContent>
                      </v:textbox>
                      <w10:anchorlock/>
                    </v:shape>
                  </w:pict>
                </mc:Fallback>
              </mc:AlternateContent>
            </w:r>
            <w:r>
              <w:rPr>
                <w:rFonts w:ascii="Verdana" w:hAnsi="Verdana"/>
                <w:noProof/>
                <w:color w:val="016794"/>
                <w:sz w:val="18"/>
              </w:rPr>
              <w:t>voir section </w:t>
            </w:r>
            <w:r>
              <w:rPr>
                <w:rFonts w:ascii="Verdana" w:hAnsi="Verdana"/>
                <w:b/>
                <w:noProof/>
                <w:color w:val="016794"/>
                <w:sz w:val="18"/>
              </w:rPr>
              <w:t>2.1</w:t>
            </w:r>
          </w:p>
        </w:tc>
        <w:tc>
          <w:tcPr>
            <w:tcW w:w="20" w:type="dxa"/>
          </w:tcPr>
          <w:p>
            <w:pPr>
              <w:jc w:val="right"/>
              <w:rPr>
                <w:rFonts w:ascii="Verdana" w:hAnsi="Verdana"/>
                <w:b/>
                <w:noProof/>
                <w:color w:val="016794"/>
                <w:sz w:val="8"/>
                <w:szCs w:val="8"/>
                <w:lang w:eastAsia="de-DE"/>
              </w:rPr>
            </w:pPr>
          </w:p>
        </w:tc>
        <w:tc>
          <w:tcPr>
            <w:tcW w:w="5223" w:type="dxa"/>
            <w:gridSpan w:val="4"/>
            <w:shd w:val="clear" w:color="auto" w:fill="DBE5F1" w:themeFill="accent1" w:themeFillTint="33"/>
            <w:vAlign w:val="center"/>
          </w:tcPr>
          <w:p>
            <w:pPr>
              <w:jc w:val="center"/>
              <w:rPr>
                <w:rFonts w:ascii="Verdana" w:eastAsia="Calibri" w:hAnsi="Verdana"/>
                <w:noProof/>
                <w:color w:val="016794"/>
                <w:sz w:val="18"/>
                <w:szCs w:val="18"/>
                <w:bdr w:val="nil"/>
              </w:rPr>
            </w:pPr>
            <w:r>
              <w:rPr>
                <w:rFonts w:ascii="Verdana" w:hAnsi="Verdana"/>
                <w:noProof/>
                <w:color w:val="016794"/>
                <w:sz w:val="18"/>
              </w:rPr>
              <w:t xml:space="preserve">                              </w:t>
            </w:r>
            <w:r>
              <w:rPr>
                <w:rFonts w:ascii="Verdana" w:hAnsi="Verdana"/>
                <w:noProof/>
                <w:color w:val="016794"/>
                <w:sz w:val="18"/>
                <w:bdr w:val="nil"/>
              </w:rPr>
              <mc:AlternateContent>
                <mc:Choice Requires="wps">
                  <w:drawing>
                    <wp:inline distT="0" distB="0" distL="0" distR="0">
                      <wp:extent cx="147600" cy="90000"/>
                      <wp:effectExtent l="0" t="0" r="5080" b="5715"/>
                      <wp:docPr id="1499858072" name="DOC_ASH0000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47600" cy="90000"/>
                              </a:xfrm>
                              <a:prstGeom prst="rightArrow">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inline>
                  </w:drawing>
                </mc:Choice>
                <mc:Fallback>
                  <w:pict>
                    <v:shape id="DOC_ASH00003" o:spid="_x0000_s1027" type="#_x0000_t13" style="width:11.6pt;height:7.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" adj="15015" fillcolor="#4f81bd [3204]" stroked="f" strokeweight="2pt">
                      <o:lock v:ext="edit" aspectratio="t"/>
                      <v:textbox>
                        <w:txbxContent>
                          <w:p>
                            <w:pPr>
                              <w:jc w:val="center"/>
                            </w:pPr>
                          </w:p>
                        </w:txbxContent>
                      </v:textbox>
                      <w10:anchorlock/>
                    </v:shape>
                  </w:pict>
                </mc:Fallback>
              </mc:AlternateContent>
            </w:r>
            <w:r>
              <w:rPr>
                <w:rFonts w:ascii="Verdana" w:hAnsi="Verdana"/>
                <w:noProof/>
                <w:color w:val="016794"/>
                <w:sz w:val="18"/>
              </w:rPr>
              <w:t>voir section </w:t>
            </w:r>
            <w:r>
              <w:rPr>
                <w:rFonts w:ascii="Verdana" w:hAnsi="Verdana"/>
                <w:b/>
                <w:noProof/>
                <w:color w:val="016794"/>
                <w:sz w:val="18"/>
              </w:rPr>
              <w:t>2.2</w:t>
            </w:r>
          </w:p>
        </w:tc>
      </w:tr>
      <w:tr>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Before w:val="1"/>
          <w:gridAfter w:val="1"/>
          <w:wBefore w:w="121" w:type="dxa"/>
          <w:wAfter w:w="71" w:type="dxa"/>
          <w:trHeight w:val="68"/>
        </w:trPr>
        <w:tc>
          <w:tcPr>
            <w:tcW w:w="5677" w:type="dxa"/>
            <w:gridSpan w:val="3"/>
            <w:tcBorders>
              <w:top w:val="nil"/>
              <w:left w:val="nil"/>
              <w:bottom w:val="nil"/>
              <w:right w:val="nil"/>
            </w:tcBorders>
          </w:tcPr>
          <w:p>
            <w:pPr>
              <w:rPr>
                <w:rFonts w:ascii="Verdana" w:hAnsi="Verdana"/>
                <w:b/>
                <w:noProof/>
                <w:color w:val="016794"/>
                <w:sz w:val="8"/>
                <w:szCs w:val="8"/>
              </w:rPr>
            </w:pPr>
          </w:p>
          <w:p>
            <w:pPr>
              <w:rPr>
                <w:rFonts w:ascii="Verdana" w:hAnsi="Verdana"/>
                <w:b/>
                <w:noProof/>
                <w:color w:val="016794"/>
                <w:sz w:val="8"/>
                <w:szCs w:val="8"/>
              </w:rPr>
            </w:pPr>
          </w:p>
        </w:tc>
        <w:tc>
          <w:tcPr>
            <w:tcW w:w="1347" w:type="dxa"/>
            <w:gridSpan w:val="2"/>
            <w:tcBorders>
              <w:top w:val="nil"/>
              <w:left w:val="nil"/>
              <w:bottom w:val="nil"/>
              <w:right w:val="nil"/>
            </w:tcBorders>
          </w:tcPr>
          <w:p>
            <w:pPr>
              <w:rPr>
                <w:rFonts w:ascii="Verdana" w:hAnsi="Verdana"/>
                <w:b/>
                <w:noProof/>
                <w:color w:val="016794"/>
                <w:sz w:val="8"/>
                <w:szCs w:val="8"/>
                <w:lang w:eastAsia="de-DE"/>
              </w:rPr>
            </w:pPr>
          </w:p>
        </w:tc>
        <w:tc>
          <w:tcPr>
            <w:tcW w:w="3982" w:type="dxa"/>
            <w:gridSpan w:val="2"/>
            <w:tcBorders>
              <w:top w:val="nil"/>
              <w:left w:val="nil"/>
              <w:bottom w:val="nil"/>
              <w:right w:val="nil"/>
            </w:tcBorders>
          </w:tcPr>
          <w:p>
            <w:pPr>
              <w:jc w:val="right"/>
              <w:rPr>
                <w:rFonts w:ascii="Verdana" w:hAnsi="Verdana"/>
                <w:b/>
                <w:noProof/>
                <w:color w:val="016794"/>
                <w:sz w:val="8"/>
                <w:szCs w:val="8"/>
              </w:rPr>
            </w:pPr>
          </w:p>
        </w:tc>
      </w:tr>
      <w:tr>
        <w:tblPrEx>
          <w:jc w:val="left"/>
        </w:tblPrEx>
        <w:trPr>
          <w:gridBefore w:val="1"/>
          <w:gridAfter w:val="1"/>
          <w:wBefore w:w="121" w:type="dxa"/>
          <w:wAfter w:w="71" w:type="dxa"/>
          <w:trHeight w:val="283"/>
        </w:trPr>
        <w:tc>
          <w:tcPr>
            <w:tcW w:w="11006" w:type="dxa"/>
            <w:gridSpan w:val="7"/>
            <w:shd w:val="clear" w:color="auto" w:fill="016794"/>
            <w:vAlign w:val="center"/>
          </w:tcPr>
          <w:p>
            <w:pPr>
              <w:pStyle w:val="DGTextstand-alone"/>
              <w:spacing w:before="0" w:after="0"/>
              <w:jc w:val="center"/>
              <w:rPr>
                <w:b/>
                <w:color w:val="016794"/>
              </w:rPr>
            </w:pPr>
            <w:r>
              <w:rPr>
                <w:b/>
                <w:color w:val="FFFFFF" w:themeColor="background1"/>
              </w:rPr>
              <w:t>Passif éventuel au budget au 31 décembre 2025: 475,7 milliards d’EUR</w:t>
            </w:r>
          </w:p>
        </w:tc>
      </w:tr>
      <w:tr>
        <w:tblPrEx>
          <w:jc w:val="left"/>
        </w:tblPrEx>
        <w:trPr>
          <w:gridBefore w:val="1"/>
          <w:gridAfter w:val="1"/>
          <w:wBefore w:w="121" w:type="dxa"/>
          <w:wAfter w:w="71" w:type="dxa"/>
          <w:trHeight w:val="94"/>
        </w:trPr>
        <w:tc>
          <w:tcPr>
            <w:tcW w:w="11006" w:type="dxa"/>
            <w:gridSpan w:val="7"/>
            <w:vAlign w:val="center"/>
          </w:tcPr>
          <w:p>
            <w:pPr>
              <w:rPr>
                <w:rFonts w:ascii="Verdana" w:hAnsi="Verdana"/>
                <w:b/>
                <w:noProof/>
                <w:sz w:val="8"/>
                <w:szCs w:val="14"/>
              </w:rPr>
            </w:pPr>
          </w:p>
        </w:tc>
      </w:tr>
      <w:tr>
        <w:tblPrEx>
          <w:jc w:val="left"/>
          <w:tblCellMar>
            <w:left w:w="108" w:type="dxa"/>
            <w:right w:w="108" w:type="dxa"/>
          </w:tblCellMar>
        </w:tblPrEx>
        <w:trPr>
          <w:gridBefore w:val="1"/>
          <w:gridAfter w:val="1"/>
          <w:wBefore w:w="121" w:type="dxa"/>
          <w:wAfter w:w="71" w:type="dxa"/>
          <w:trHeight w:val="212"/>
        </w:trPr>
        <w:tc>
          <w:tcPr>
            <w:tcW w:w="11006" w:type="dxa"/>
            <w:gridSpan w:val="7"/>
            <w:vAlign w:val="center"/>
          </w:tcPr>
          <w:p>
            <w:pPr>
              <w:jc w:val="center"/>
              <w:rPr>
                <w:rFonts w:ascii="Verdana" w:hAnsi="Verdana"/>
                <w:b/>
                <w:noProof/>
                <w:sz w:val="18"/>
              </w:rPr>
            </w:pPr>
          </w:p>
          <w:p>
            <w:pPr>
              <w:jc w:val="center"/>
              <w:rPr>
                <w:rFonts w:ascii="Verdana" w:hAnsi="Verdana"/>
                <w:b/>
                <w:noProof/>
                <w:sz w:val="18"/>
              </w:rPr>
            </w:pPr>
            <w:r>
              <w:rPr>
                <w:rFonts w:ascii="Verdana" w:hAnsi="Verdana"/>
                <w:b/>
                <w:noProof/>
                <w:sz w:val="18"/>
              </w:rPr>
              <w:drawing>
                <wp:inline distT="0" distB="0" distL="0" distR="0">
                  <wp:extent cx="4505954" cy="2676899"/>
                  <wp:effectExtent l="0" t="0" r="0" b="9525"/>
                  <wp:docPr id="15306233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623310" name=""/>
                          <pic:cNvPicPr/>
                        </pic:nvPicPr>
                        <pic:blipFill>
                          <a:blip r:embed="rId26"/>
                          <a:stretch>
                            <a:fillRect/>
                          </a:stretch>
                        </pic:blipFill>
                        <pic:spPr>
                          <a:xfrm>
                            <a:off x="0" y="0"/>
                            <a:ext cx="4505954" cy="2676899"/>
                          </a:xfrm>
                          <a:prstGeom prst="rect">
                            <a:avLst/>
                          </a:prstGeom>
                        </pic:spPr>
                      </pic:pic>
                    </a:graphicData>
                  </a:graphic>
                </wp:inline>
              </w:drawing>
            </w:r>
          </w:p>
        </w:tc>
      </w:tr>
      <w:tr>
        <w:tblPrEx>
          <w:jc w:val="left"/>
        </w:tblPrEx>
        <w:trPr>
          <w:gridBefore w:val="1"/>
          <w:gridAfter w:val="1"/>
          <w:wBefore w:w="121" w:type="dxa"/>
          <w:wAfter w:w="71" w:type="dxa"/>
          <w:trHeight w:val="94"/>
        </w:trPr>
        <w:tc>
          <w:tcPr>
            <w:tcW w:w="11006" w:type="dxa"/>
            <w:gridSpan w:val="7"/>
            <w:vAlign w:val="center"/>
          </w:tcPr>
          <w:p>
            <w:pPr>
              <w:jc w:val="right"/>
              <w:rPr>
                <w:rFonts w:ascii="Verdana" w:hAnsi="Verdana"/>
                <w:noProof/>
                <w:sz w:val="8"/>
                <w:szCs w:val="8"/>
              </w:rPr>
            </w:pPr>
          </w:p>
        </w:tc>
      </w:tr>
      <w:tr>
        <w:tblPrEx>
          <w:jc w:val="left"/>
        </w:tblPrEx>
        <w:trPr>
          <w:gridBefore w:val="1"/>
          <w:gridAfter w:val="1"/>
          <w:wBefore w:w="121" w:type="dxa"/>
          <w:wAfter w:w="71" w:type="dxa"/>
          <w:trHeight w:val="283"/>
        </w:trPr>
        <w:tc>
          <w:tcPr>
            <w:tcW w:w="11006" w:type="dxa"/>
            <w:gridSpan w:val="7"/>
            <w:shd w:val="clear" w:color="auto" w:fill="DBE5F1" w:themeFill="accent1" w:themeFillTint="33"/>
            <w:vAlign w:val="center"/>
          </w:tcPr>
          <w:p>
            <w:pPr>
              <w:pStyle w:val="DGTextstand-alone"/>
              <w:spacing w:before="0" w:after="0"/>
              <w:jc w:val="right"/>
              <w:rPr>
                <w:color w:val="016794"/>
              </w:rPr>
            </w:pPr>
          </w:p>
        </w:tc>
      </w:tr>
      <w:tr>
        <w:tblPrEx>
          <w:jc w:val="left"/>
        </w:tblPrEx>
        <w:trPr>
          <w:gridBefore w:val="1"/>
          <w:gridAfter w:val="1"/>
          <w:wBefore w:w="121" w:type="dxa"/>
          <w:wAfter w:w="71" w:type="dxa"/>
          <w:trHeight w:val="94"/>
        </w:trPr>
        <w:tc>
          <w:tcPr>
            <w:tcW w:w="11006" w:type="dxa"/>
            <w:gridSpan w:val="7"/>
            <w:vAlign w:val="center"/>
          </w:tcPr>
          <w:p>
            <w:pPr>
              <w:jc w:val="right"/>
              <w:rPr>
                <w:rFonts w:ascii="Verdana" w:hAnsi="Verdana"/>
                <w:noProof/>
                <w:color w:val="016794"/>
                <w:sz w:val="8"/>
                <w:szCs w:val="8"/>
              </w:rPr>
            </w:pPr>
          </w:p>
        </w:tc>
      </w:tr>
    </w:tbl>
    <w:p>
      <w:pPr>
        <w:rPr>
          <w:noProof/>
        </w:rPr>
      </w:pPr>
    </w:p>
    <w:tbl>
      <w:tblPr>
        <w:tblStyle w:val="TableGrid1"/>
        <w:tblW w:w="0" w:type="auto"/>
        <w:jc w:val="center"/>
        <w:tblBorders>
          <w:top w:val="none" w:sz="0" w:space="0" w:color="auto"/>
          <w:left w:val="single" w:sz="4" w:space="0" w:color="FFFFFF" w:themeColor="background1"/>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9638"/>
      </w:tblGrid>
      <w:tr>
        <w:trPr>
          <w:trHeight w:val="510"/>
          <w:jc w:val="center"/>
        </w:trPr>
        <w:tc>
          <w:tcPr>
            <w:tcW w:w="9638" w:type="dxa"/>
            <w:tcBorders>
              <w:top w:val="single" w:sz="4" w:space="0" w:color="E36C0A" w:themeColor="accent6" w:themeShade="BF"/>
              <w:bottom w:val="single" w:sz="4" w:space="0" w:color="E36C0A" w:themeColor="accent6" w:themeShade="BF"/>
            </w:tcBorders>
            <w:vAlign w:val="center"/>
          </w:tcPr>
          <w:p>
            <w:pPr>
              <w:pStyle w:val="DGTextstand-alone"/>
              <w:spacing w:before="0" w:after="0"/>
              <w:rPr>
                <w:b/>
                <w:color w:val="016794"/>
                <w:sz w:val="28"/>
                <w:szCs w:val="28"/>
              </w:rPr>
            </w:pPr>
            <w:r>
              <w:rPr>
                <w:b/>
                <w:color w:val="016794"/>
                <w:sz w:val="28"/>
              </w:rPr>
              <w:t>Principales évolutions en 2025</w:t>
            </w:r>
          </w:p>
        </w:tc>
      </w:tr>
      <w:tr>
        <w:trPr>
          <w:trHeight w:val="255"/>
          <w:jc w:val="center"/>
        </w:trPr>
        <w:tc>
          <w:tcPr>
            <w:tcW w:w="9638" w:type="dxa"/>
            <w:tcBorders>
              <w:top w:val="single" w:sz="4" w:space="0" w:color="E36C0A" w:themeColor="accent6" w:themeShade="BF"/>
            </w:tcBorders>
            <w:vAlign w:val="center"/>
          </w:tcPr>
          <w:p>
            <w:pPr>
              <w:jc w:val="right"/>
              <w:rPr>
                <w:rFonts w:ascii="Verdana" w:hAnsi="Verdana"/>
                <w:b/>
                <w:noProof/>
                <w:sz w:val="18"/>
              </w:rPr>
            </w:pPr>
          </w:p>
        </w:tc>
      </w:tr>
    </w:tbl>
    <w:tbl>
      <w:tblPr>
        <w:tblStyle w:val="TableGrid"/>
        <w:tblW w:w="963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906"/>
        <w:gridCol w:w="6"/>
        <w:gridCol w:w="4727"/>
      </w:tblGrid>
      <w:tr>
        <w:trPr>
          <w:trHeight w:val="340"/>
          <w:jc w:val="center"/>
        </w:trPr>
        <w:tc>
          <w:tcPr>
            <w:tcW w:w="9639" w:type="dxa"/>
            <w:gridSpan w:val="3"/>
            <w:shd w:val="clear" w:color="auto" w:fill="016794"/>
            <w:vAlign w:val="center"/>
          </w:tcPr>
          <w:p>
            <w:pPr>
              <w:pStyle w:val="DGTextstand-alone"/>
              <w:spacing w:before="0" w:after="0"/>
              <w:jc w:val="center"/>
              <w:rPr>
                <w:b/>
                <w:color w:val="016794"/>
              </w:rPr>
            </w:pPr>
            <w:r>
              <w:rPr>
                <w:b/>
                <w:color w:val="FFFFFF" w:themeColor="background1"/>
              </w:rPr>
              <w:t>Augmentation des émissions d’obligations de l’UE</w:t>
            </w:r>
          </w:p>
        </w:tc>
      </w:tr>
      <w:tr>
        <w:trPr>
          <w:trHeight w:val="113"/>
          <w:jc w:val="center"/>
        </w:trPr>
        <w:tc>
          <w:tcPr>
            <w:tcW w:w="9639" w:type="dxa"/>
            <w:gridSpan w:val="3"/>
            <w:vAlign w:val="center"/>
          </w:tcPr>
          <w:p>
            <w:pPr>
              <w:rPr>
                <w:rFonts w:ascii="Verdana" w:hAnsi="Verdana"/>
                <w:b/>
                <w:noProof/>
                <w:sz w:val="8"/>
                <w:szCs w:val="14"/>
              </w:rPr>
            </w:pPr>
          </w:p>
        </w:tc>
      </w:tr>
      <w:tr>
        <w:tblPrEx>
          <w:tblCellMar>
            <w:left w:w="108" w:type="dxa"/>
            <w:right w:w="108" w:type="dxa"/>
          </w:tblCellMar>
        </w:tblPrEx>
        <w:trPr>
          <w:trHeight w:val="255"/>
          <w:jc w:val="center"/>
        </w:trPr>
        <w:tc>
          <w:tcPr>
            <w:tcW w:w="9639" w:type="dxa"/>
            <w:gridSpan w:val="3"/>
            <w:vAlign w:val="center"/>
          </w:tcPr>
          <w:p>
            <w:pPr>
              <w:jc w:val="center"/>
              <w:rPr>
                <w:rFonts w:ascii="Verdana" w:hAnsi="Verdana"/>
                <w:b/>
                <w:noProof/>
                <w:sz w:val="18"/>
              </w:rPr>
            </w:pPr>
            <w:r>
              <w:rPr>
                <w:rFonts w:ascii="Verdana" w:hAnsi="Verdana"/>
                <w:b/>
                <w:noProof/>
                <w:sz w:val="18"/>
              </w:rPr>
              <w:drawing>
                <wp:inline distT="0" distB="0" distL="0" distR="0">
                  <wp:extent cx="5199207" cy="1923415"/>
                  <wp:effectExtent l="0" t="0" r="1905" b="635"/>
                  <wp:docPr id="8762502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250227" name=""/>
                          <pic:cNvPicPr/>
                        </pic:nvPicPr>
                        <pic:blipFill>
                          <a:blip r:embed="rId27"/>
                          <a:stretch>
                            <a:fillRect/>
                          </a:stretch>
                        </pic:blipFill>
                        <pic:spPr>
                          <a:xfrm>
                            <a:off x="0" y="0"/>
                            <a:ext cx="5228960" cy="1934422"/>
                          </a:xfrm>
                          <a:prstGeom prst="rect">
                            <a:avLst/>
                          </a:prstGeom>
                        </pic:spPr>
                      </pic:pic>
                    </a:graphicData>
                  </a:graphic>
                </wp:inline>
              </w:drawing>
            </w:r>
          </w:p>
        </w:tc>
      </w:tr>
      <w:tr>
        <w:trPr>
          <w:trHeight w:val="113"/>
          <w:jc w:val="center"/>
        </w:trPr>
        <w:tc>
          <w:tcPr>
            <w:tcW w:w="9639" w:type="dxa"/>
            <w:gridSpan w:val="3"/>
            <w:vAlign w:val="center"/>
          </w:tcPr>
          <w:p>
            <w:pPr>
              <w:jc w:val="right"/>
              <w:rPr>
                <w:rFonts w:ascii="Verdana" w:hAnsi="Verdana"/>
                <w:noProof/>
                <w:sz w:val="8"/>
                <w:szCs w:val="8"/>
              </w:rPr>
            </w:pPr>
          </w:p>
        </w:tc>
      </w:tr>
      <w:tr>
        <w:trPr>
          <w:trHeight w:val="340"/>
          <w:jc w:val="center"/>
        </w:trPr>
        <w:tc>
          <w:tcPr>
            <w:tcW w:w="9639" w:type="dxa"/>
            <w:gridSpan w:val="3"/>
            <w:shd w:val="clear" w:color="auto" w:fill="DBE5F1" w:themeFill="accent1" w:themeFillTint="33"/>
            <w:vAlign w:val="center"/>
          </w:tcPr>
          <w:p>
            <w:pPr>
              <w:pStyle w:val="DGTextstand-alone"/>
              <w:spacing w:before="0" w:after="0"/>
              <w:jc w:val="right"/>
              <w:rPr>
                <w:color w:val="016794"/>
              </w:rPr>
            </w:pPr>
            <w:r>
              <w:rPr>
                <w:b/>
                <w:color w:val="016794"/>
              </w:rPr>
              <mc:AlternateContent>
                <mc:Choice Requires="wps">
                  <w:drawing>
                    <wp:inline distT="0" distB="0" distL="0" distR="0">
                      <wp:extent cx="147600" cy="90000"/>
                      <wp:effectExtent l="0" t="0" r="5080" b="5715"/>
                      <wp:docPr id="28" name="DOC_ASH0000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47600" cy="90000"/>
                              </a:xfrm>
                              <a:prstGeom prst="rightArrow">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inline>
                  </w:drawing>
                </mc:Choice>
                <mc:Fallback>
                  <w:pict>
                    <v:shape id="DOC_ASH00001" o:spid="_x0000_s1028" type="#_x0000_t13" style="width:11.6pt;height:7.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" adj="15015" fillcolor="#4f81bd [3204]" stroked="f" strokeweight="2pt">
                      <o:lock v:ext="edit" aspectratio="t"/>
                      <v:textbox>
                        <w:txbxContent>
                          <w:p>
                            <w:pPr>
                              <w:jc w:val="center"/>
                            </w:pPr>
                          </w:p>
                        </w:txbxContent>
                      </v:textbox>
                      <w10:anchorlock/>
                    </v:shape>
                  </w:pict>
                </mc:Fallback>
              </mc:AlternateContent>
            </w:r>
            <w:r>
              <w:rPr>
                <w:color w:val="016794"/>
              </w:rPr>
              <w:t xml:space="preserve"> voir section </w:t>
            </w:r>
            <w:r>
              <w:rPr>
                <w:b/>
                <w:color w:val="016794"/>
              </w:rPr>
              <w:t xml:space="preserve">5  </w:t>
            </w:r>
          </w:p>
        </w:tc>
      </w:tr>
      <w:tr>
        <w:trPr>
          <w:trHeight w:val="113"/>
          <w:jc w:val="center"/>
        </w:trPr>
        <w:tc>
          <w:tcPr>
            <w:tcW w:w="9639" w:type="dxa"/>
            <w:gridSpan w:val="3"/>
            <w:vAlign w:val="center"/>
          </w:tcPr>
          <w:p>
            <w:pPr>
              <w:jc w:val="right"/>
              <w:rPr>
                <w:rFonts w:ascii="Verdana" w:hAnsi="Verdana"/>
                <w:noProof/>
                <w:color w:val="016794"/>
                <w:sz w:val="8"/>
                <w:szCs w:val="8"/>
              </w:rPr>
            </w:pPr>
          </w:p>
        </w:tc>
      </w:tr>
      <w:tr>
        <w:trPr>
          <w:trHeight w:val="340"/>
          <w:jc w:val="center"/>
        </w:trPr>
        <w:tc>
          <w:tcPr>
            <w:tcW w:w="4762" w:type="dxa"/>
            <w:shd w:val="clear" w:color="auto" w:fill="016794"/>
            <w:vAlign w:val="center"/>
          </w:tcPr>
          <w:p>
            <w:pPr>
              <w:pStyle w:val="DGTextstand-alone"/>
              <w:spacing w:before="0" w:after="0"/>
              <w:jc w:val="center"/>
              <w:rPr>
                <w:b/>
                <w:color w:val="FFFFFF" w:themeColor="background1"/>
              </w:rPr>
            </w:pPr>
            <w:r>
              <w:rPr>
                <w:b/>
                <w:color w:val="FFFFFF" w:themeColor="background1"/>
              </w:rPr>
              <w:t>Réalisation des objectifs de NextGenerationEU</w:t>
            </w:r>
          </w:p>
        </w:tc>
        <w:tc>
          <w:tcPr>
            <w:tcW w:w="113" w:type="dxa"/>
          </w:tcPr>
          <w:p>
            <w:pPr>
              <w:rPr>
                <w:rFonts w:ascii="Verdana" w:eastAsia="Calibri" w:hAnsi="Verdana"/>
                <w:b/>
                <w:noProof/>
                <w:color w:val="FFFFFF" w:themeColor="background1"/>
                <w:sz w:val="8"/>
                <w:szCs w:val="8"/>
                <w:bdr w:val="nil"/>
                <w:lang w:eastAsia="en-US"/>
              </w:rPr>
            </w:pPr>
          </w:p>
        </w:tc>
        <w:tc>
          <w:tcPr>
            <w:tcW w:w="4762" w:type="dxa"/>
            <w:shd w:val="clear" w:color="auto" w:fill="016794"/>
            <w:vAlign w:val="center"/>
          </w:tcPr>
          <w:p>
            <w:pPr>
              <w:pStyle w:val="DGTextstand-alone"/>
              <w:spacing w:before="0" w:after="0"/>
              <w:jc w:val="center"/>
              <w:rPr>
                <w:b/>
                <w:color w:val="FFFFFF" w:themeColor="background1"/>
              </w:rPr>
            </w:pPr>
            <w:r>
              <w:rPr>
                <w:b/>
                <w:color w:val="FFFFFF" w:themeColor="background1"/>
              </w:rPr>
              <w:t>Soutien financier à l’Ukraine</w:t>
            </w:r>
          </w:p>
        </w:tc>
      </w:tr>
      <w:tr>
        <w:tblPrEx>
          <w:jc w:val="left"/>
        </w:tblPrEx>
        <w:trPr>
          <w:trHeight w:val="8052"/>
        </w:trPr>
        <w:tc>
          <w:tcPr>
            <w:tcW w:w="4762" w:type="dxa"/>
            <w:vAlign w:val="center"/>
          </w:tcPr>
          <w:p>
            <w:pPr>
              <w:jc w:val="center"/>
              <w:rPr>
                <w:rFonts w:ascii="Verdana" w:hAnsi="Verdana"/>
                <w:noProof/>
                <w:color w:val="016794"/>
                <w:sz w:val="18"/>
                <w:szCs w:val="18"/>
              </w:rPr>
            </w:pPr>
            <w:r>
              <w:rPr>
                <w:rFonts w:ascii="Verdana" w:hAnsi="Verdana"/>
                <w:noProof/>
                <w:color w:val="016794"/>
                <w:sz w:val="18"/>
                <w:szCs w:val="18"/>
              </w:rPr>
              <w:drawing>
                <wp:inline distT="0" distB="0" distL="0" distR="0">
                  <wp:extent cx="3232864" cy="3990975"/>
                  <wp:effectExtent l="0" t="0" r="5715" b="0"/>
                  <wp:docPr id="12617318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731890" name=""/>
                          <pic:cNvPicPr/>
                        </pic:nvPicPr>
                        <pic:blipFill>
                          <a:blip r:embed="rId28"/>
                          <a:stretch>
                            <a:fillRect/>
                          </a:stretch>
                        </pic:blipFill>
                        <pic:spPr>
                          <a:xfrm>
                            <a:off x="0" y="0"/>
                            <a:ext cx="3232864" cy="3990975"/>
                          </a:xfrm>
                          <a:prstGeom prst="rect">
                            <a:avLst/>
                          </a:prstGeom>
                        </pic:spPr>
                      </pic:pic>
                    </a:graphicData>
                  </a:graphic>
                </wp:inline>
              </w:drawing>
            </w:r>
          </w:p>
        </w:tc>
        <w:tc>
          <w:tcPr>
            <w:tcW w:w="113" w:type="dxa"/>
            <w:vAlign w:val="center"/>
          </w:tcPr>
          <w:p>
            <w:pPr>
              <w:jc w:val="center"/>
              <w:rPr>
                <w:rFonts w:ascii="Verdana" w:hAnsi="Verdana"/>
                <w:noProof/>
                <w:color w:val="016794"/>
                <w:sz w:val="18"/>
                <w:szCs w:val="18"/>
              </w:rPr>
            </w:pPr>
          </w:p>
        </w:tc>
        <w:tc>
          <w:tcPr>
            <w:tcW w:w="4762" w:type="dxa"/>
            <w:vAlign w:val="center"/>
          </w:tcPr>
          <w:p>
            <w:pPr>
              <w:jc w:val="center"/>
              <w:rPr>
                <w:rFonts w:ascii="Verdana" w:hAnsi="Verdana"/>
                <w:noProof/>
                <w:color w:val="016794"/>
                <w:sz w:val="18"/>
                <w:szCs w:val="18"/>
              </w:rPr>
            </w:pPr>
            <w:r>
              <w:rPr>
                <w:rFonts w:ascii="Verdana" w:hAnsi="Verdana"/>
                <w:noProof/>
                <w:color w:val="016794"/>
                <w:sz w:val="18"/>
                <w:szCs w:val="18"/>
              </w:rPr>
              <w:drawing>
                <wp:inline distT="0" distB="0" distL="0" distR="0">
                  <wp:extent cx="3126304" cy="4648200"/>
                  <wp:effectExtent l="0" t="0" r="0" b="0"/>
                  <wp:docPr id="1493350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35060" name=""/>
                          <pic:cNvPicPr/>
                        </pic:nvPicPr>
                        <pic:blipFill>
                          <a:blip r:embed="rId29"/>
                          <a:stretch>
                            <a:fillRect/>
                          </a:stretch>
                        </pic:blipFill>
                        <pic:spPr>
                          <a:xfrm>
                            <a:off x="0" y="0"/>
                            <a:ext cx="3126304" cy="4648200"/>
                          </a:xfrm>
                          <a:prstGeom prst="rect">
                            <a:avLst/>
                          </a:prstGeom>
                        </pic:spPr>
                      </pic:pic>
                    </a:graphicData>
                  </a:graphic>
                </wp:inline>
              </w:drawing>
            </w:r>
          </w:p>
        </w:tc>
      </w:tr>
      <w:tr>
        <w:trPr>
          <w:trHeight w:val="113"/>
          <w:jc w:val="center"/>
        </w:trPr>
        <w:tc>
          <w:tcPr>
            <w:tcW w:w="4762" w:type="dxa"/>
            <w:vAlign w:val="center"/>
          </w:tcPr>
          <w:p>
            <w:pPr>
              <w:rPr>
                <w:rFonts w:ascii="Verdana" w:hAnsi="Verdana"/>
                <w:b/>
                <w:noProof/>
                <w:color w:val="016794"/>
                <w:sz w:val="8"/>
                <w:szCs w:val="8"/>
              </w:rPr>
            </w:pPr>
          </w:p>
        </w:tc>
        <w:tc>
          <w:tcPr>
            <w:tcW w:w="113" w:type="dxa"/>
          </w:tcPr>
          <w:p>
            <w:pPr>
              <w:rPr>
                <w:rFonts w:ascii="Verdana" w:hAnsi="Verdana"/>
                <w:b/>
                <w:noProof/>
                <w:color w:val="016794"/>
                <w:sz w:val="8"/>
                <w:szCs w:val="8"/>
                <w:lang w:eastAsia="de-DE"/>
              </w:rPr>
            </w:pPr>
          </w:p>
        </w:tc>
        <w:tc>
          <w:tcPr>
            <w:tcW w:w="4762" w:type="dxa"/>
            <w:vAlign w:val="center"/>
          </w:tcPr>
          <w:p>
            <w:pPr>
              <w:jc w:val="right"/>
              <w:rPr>
                <w:rFonts w:ascii="Verdana" w:hAnsi="Verdana"/>
                <w:b/>
                <w:noProof/>
                <w:color w:val="016794"/>
                <w:sz w:val="8"/>
                <w:szCs w:val="8"/>
              </w:rPr>
            </w:pPr>
          </w:p>
        </w:tc>
      </w:tr>
      <w:tr>
        <w:trPr>
          <w:trHeight w:val="340"/>
          <w:jc w:val="center"/>
        </w:trPr>
        <w:tc>
          <w:tcPr>
            <w:tcW w:w="4762" w:type="dxa"/>
            <w:shd w:val="clear" w:color="auto" w:fill="DBE5F1" w:themeFill="accent1" w:themeFillTint="33"/>
            <w:vAlign w:val="center"/>
          </w:tcPr>
          <w:p>
            <w:pPr>
              <w:jc w:val="right"/>
              <w:rPr>
                <w:rFonts w:ascii="Verdana" w:hAnsi="Verdana"/>
                <w:noProof/>
                <w:sz w:val="18"/>
                <w:szCs w:val="18"/>
              </w:rPr>
            </w:pPr>
            <w:r>
              <w:rPr>
                <w:rFonts w:ascii="Verdana" w:hAnsi="Verdana"/>
                <w:b/>
                <w:noProof/>
                <w:color w:val="016794"/>
                <w:sz w:val="18"/>
              </w:rPr>
              <mc:AlternateContent>
                <mc:Choice Requires="wps">
                  <w:drawing>
                    <wp:inline distT="0" distB="0" distL="0" distR="0">
                      <wp:extent cx="147600" cy="90000"/>
                      <wp:effectExtent l="0" t="0" r="5080" b="5715"/>
                      <wp:docPr id="29" name="DOC_ASH0000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47600" cy="90000"/>
                              </a:xfrm>
                              <a:prstGeom prst="rightArrow">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inline>
                  </w:drawing>
                </mc:Choice>
                <mc:Fallback>
                  <w:pict>
                    <v:shape id="_x0000_s1029" type="#_x0000_t13" style="width:11.6pt;height:7.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" adj="15015" fillcolor="#4f81bd [3204]" stroked="f" strokeweight="2pt">
                      <o:lock v:ext="edit" aspectratio="t"/>
                      <v:textbox>
                        <w:txbxContent>
                          <w:p>
                            <w:pPr>
                              <w:jc w:val="center"/>
                            </w:pPr>
                          </w:p>
                        </w:txbxContent>
                      </v:textbox>
                      <w10:anchorlock/>
                    </v:shape>
                  </w:pict>
                </mc:Fallback>
              </mc:AlternateContent>
            </w:r>
            <w:r>
              <w:rPr>
                <w:rFonts w:ascii="Verdana" w:hAnsi="Verdana"/>
                <w:noProof/>
                <w:color w:val="016794"/>
                <w:sz w:val="18"/>
              </w:rPr>
              <w:t xml:space="preserve"> voir section </w:t>
            </w:r>
            <w:r>
              <w:rPr>
                <w:rFonts w:ascii="Verdana" w:hAnsi="Verdana"/>
                <w:b/>
                <w:noProof/>
                <w:color w:val="016794"/>
                <w:sz w:val="18"/>
              </w:rPr>
              <w:t xml:space="preserve">3     </w:t>
            </w:r>
          </w:p>
        </w:tc>
        <w:tc>
          <w:tcPr>
            <w:tcW w:w="113" w:type="dxa"/>
          </w:tcPr>
          <w:p>
            <w:pPr>
              <w:jc w:val="right"/>
              <w:rPr>
                <w:rFonts w:ascii="Verdana" w:hAnsi="Verdana"/>
                <w:b/>
                <w:noProof/>
                <w:color w:val="016794"/>
                <w:sz w:val="8"/>
                <w:szCs w:val="8"/>
                <w:lang w:eastAsia="de-DE"/>
              </w:rPr>
            </w:pPr>
          </w:p>
        </w:tc>
        <w:tc>
          <w:tcPr>
            <w:tcW w:w="4762" w:type="dxa"/>
            <w:shd w:val="clear" w:color="auto" w:fill="DBE5F1" w:themeFill="accent1" w:themeFillTint="33"/>
            <w:vAlign w:val="center"/>
          </w:tcPr>
          <w:p>
            <w:pPr>
              <w:jc w:val="right"/>
              <w:rPr>
                <w:rFonts w:ascii="Verdana" w:eastAsia="Calibri" w:hAnsi="Verdana"/>
                <w:noProof/>
                <w:color w:val="016794"/>
                <w:sz w:val="18"/>
                <w:szCs w:val="18"/>
                <w:bdr w:val="nil"/>
              </w:rPr>
            </w:pPr>
            <w:r>
              <w:rPr>
                <w:rFonts w:ascii="Verdana" w:hAnsi="Verdana"/>
                <w:noProof/>
                <w:color w:val="016794"/>
                <w:sz w:val="18"/>
                <w:bdr w:val="nil"/>
              </w:rPr>
              <mc:AlternateContent>
                <mc:Choice Requires="wps">
                  <w:drawing>
                    <wp:inline distT="0" distB="0" distL="0" distR="0">
                      <wp:extent cx="147600" cy="90000"/>
                      <wp:effectExtent l="0" t="0" r="5080" b="5715"/>
                      <wp:docPr id="4" name="DOC_ASH0000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47600" cy="90000"/>
                              </a:xfrm>
                              <a:prstGeom prst="rightArrow">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inline>
                  </w:drawing>
                </mc:Choice>
                <mc:Fallback>
                  <w:pict>
                    <v:shape id="_x0000_s1030" type="#_x0000_t13" style="width:11.6pt;height:7.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" adj="15015" fillcolor="#4f81bd [3204]" stroked="f" strokeweight="2pt">
                      <o:lock v:ext="edit" aspectratio="t"/>
                      <v:textbox>
                        <w:txbxContent>
                          <w:p>
                            <w:pPr>
                              <w:jc w:val="center"/>
                            </w:pPr>
                          </w:p>
                        </w:txbxContent>
                      </v:textbox>
                      <w10:anchorlock/>
                    </v:shape>
                  </w:pict>
                </mc:Fallback>
              </mc:AlternateContent>
            </w:r>
            <w:r>
              <w:rPr>
                <w:rFonts w:ascii="Verdana" w:hAnsi="Verdana"/>
                <w:noProof/>
                <w:color w:val="016794"/>
                <w:sz w:val="18"/>
              </w:rPr>
              <w:t xml:space="preserve"> voir section </w:t>
            </w:r>
            <w:r>
              <w:rPr>
                <w:rFonts w:ascii="Verdana" w:hAnsi="Verdana"/>
                <w:b/>
                <w:noProof/>
                <w:color w:val="016794"/>
                <w:sz w:val="18"/>
              </w:rPr>
              <w:t>5 </w:t>
            </w:r>
          </w:p>
        </w:tc>
      </w:tr>
    </w:tbl>
    <w:p>
      <w:pPr>
        <w:rPr>
          <w:noProof/>
        </w:rPr>
      </w:pPr>
      <w:bookmarkStart w:id="9" w:name="_Toc99107438"/>
      <w:r>
        <w:rPr>
          <w:noProof/>
        </w:rPr>
        <w:br w:type="page"/>
      </w:r>
    </w:p>
    <w:p>
      <w:pPr>
        <w:pStyle w:val="HEADER1Part4"/>
        <w:rPr>
          <w:noProof/>
        </w:rPr>
      </w:pPr>
      <w:bookmarkStart w:id="10" w:name="_Toc66181038"/>
      <w:bookmarkStart w:id="11" w:name="_Toc66738417"/>
      <w:bookmarkStart w:id="12" w:name="_Toc99107446"/>
      <w:bookmarkStart w:id="13" w:name="_Toc237348524"/>
      <w:bookmarkEnd w:id="9"/>
      <w:r>
        <w:rPr>
          <w:noProof/>
        </w:rPr>
        <w:lastRenderedPageBreak/>
        <w:t>SYNTHÈSE DE L’EXÉCUTION DU BUDGET</w:t>
      </w:r>
      <w:bookmarkEnd w:id="10"/>
      <w:bookmarkEnd w:id="11"/>
      <w:bookmarkEnd w:id="12"/>
      <w:bookmarkEnd w:id="13"/>
      <w:r>
        <w:rPr>
          <w:noProof/>
        </w:rPr>
        <w:t xml:space="preserve"> </w:t>
      </w:r>
    </w:p>
    <w:p>
      <w:pPr>
        <w:pStyle w:val="HEADER2Part4"/>
      </w:pPr>
      <w:bookmarkStart w:id="14" w:name="_Toc99107447"/>
      <w:bookmarkStart w:id="15" w:name="_Toc237348525"/>
      <w:r>
        <w:t>Recettes</w:t>
      </w:r>
      <w:bookmarkEnd w:id="14"/>
      <w:bookmarkEnd w:id="15"/>
    </w:p>
    <w:p>
      <w:pPr>
        <w:pStyle w:val="DGTextstand-alone"/>
        <w:rPr>
          <w:b/>
        </w:rPr>
      </w:pPr>
      <w:r>
        <w:t>Dans le budget initial adopté, signé par la présidente du Parlement européen le 27 novembre 2024, le total des crédits de paiement s’élevait à 155,209 milliards d’EUR et le montant à financer par des ressources propres atteignait un total de 151,161 milliards d’EUR. Les montants estimatifs des recettes et dépenses inscrites au budget initial sont généralement ajustés en cours d’exercice budgétaire, par la voie de budgets rectificatifs. Les ajustements des ressources propres fondées sur le RNB assurent la correspondance exacte entre les recettes et les dépenses budgétaires. Conformément au principe de l’équilibre budgétaire, les recettes et les dépenses (crédits de paiement) inscrites au budget doivent être en équilibre.</w:t>
      </w:r>
    </w:p>
    <w:p>
      <w:pPr>
        <w:pStyle w:val="DGTextstand-alone"/>
        <w:rPr>
          <w:b/>
        </w:rPr>
      </w:pPr>
      <w:r>
        <w:rPr>
          <w:color w:val="000000"/>
        </w:rPr>
        <w:t>En 2025, trois budgets rectificatifs ont été adoptés. Après prise en compte de ces derniers, les recettes définitives adoptées pour 2025 s’établissaient à 161,163 milliards d’EUR, et le total à financer par les ressources propres s’élevait à 154,322 milliards d’EUR. Le principal facteur de l’augmentation des contributions des États membres en 2025 a été l’augmentation des crédits de paiement.</w:t>
      </w:r>
    </w:p>
    <w:p>
      <w:pPr>
        <w:pStyle w:val="DGTextstand-alone"/>
        <w:rPr>
          <w:b/>
          <w:bCs/>
        </w:rPr>
      </w:pPr>
      <w:r>
        <w:rPr>
          <w:b/>
        </w:rPr>
        <w:t>Titre 1: ressources propres</w:t>
      </w:r>
    </w:p>
    <w:p>
      <w:pPr>
        <w:pStyle w:val="DGTextstand-alone"/>
        <w:rPr>
          <w:b/>
        </w:rPr>
      </w:pPr>
      <w:r>
        <w:t xml:space="preserve">La perception des ressources propres traditionnelles a dépassé de 4 % environ les montants prévisionnels du budget. </w:t>
      </w:r>
    </w:p>
    <w:p>
      <w:pPr>
        <w:pStyle w:val="DGTextstand-alone"/>
        <w:rPr>
          <w:b/>
        </w:rPr>
      </w:pPr>
      <w:r>
        <w:t>Les paiements définitifs effectués par les États membres pour les ressources TVA, RNB et «déchets d’emballages en plastique non recyclés» étaient très proches des estimations budgétaires finales. Les différences entre montants prévisionnels et paiements effectifs sont dues à l’écart entre les taux de change de l’euro utilisés pour l’élaboration du budget et les taux en vigueur au moment où les États membres qui ne font pas partie de la zone euro ont procédé aux paiements.</w:t>
      </w:r>
    </w:p>
    <w:p>
      <w:pPr>
        <w:pStyle w:val="DGTextstand-alone"/>
        <w:rPr>
          <w:b/>
          <w:bCs/>
        </w:rPr>
      </w:pPr>
      <w:r>
        <w:rPr>
          <w:b/>
        </w:rPr>
        <w:t>Titre 2: Excédents, soldes et ajustements</w:t>
      </w:r>
    </w:p>
    <w:p>
      <w:pPr>
        <w:pStyle w:val="DGTextstand-alone"/>
      </w:pPr>
      <w:r>
        <w:t xml:space="preserve">L’excédent de l’exercice précédent s’élevait à 1 345 millions d’EUR. Ce montant a été inscrit au budget 2025 au moyen d’un budget rectificatif et les contributions des États membres aux ressources propres ont été réduites en conséquence. </w:t>
      </w:r>
    </w:p>
    <w:p>
      <w:pPr>
        <w:pStyle w:val="DGTextstand-alone"/>
      </w:pPr>
      <w:r>
        <w:t>En ce qui concerne les soldes TVA et RNB, les règles sont fixées à l’article 10 ter du règlement relatif à la procédure de mise à disposition [règlement (UE, Euratom) nº 609/2014 du Conseil]. Dans le cas des soldes concernant le plastique, les règles sont fixées à l’article 9 du règlement relatif à la procédure de mise à disposition [règlement (UE, Euratom) nº 2021/770 du Conseil].</w:t>
      </w:r>
    </w:p>
    <w:p>
      <w:pPr>
        <w:pStyle w:val="DGTextstand-alone"/>
      </w:pPr>
      <w:r>
        <w:t>Conformément à ces règles, la somme totale des soldes est calculée de manière à ce que l’incidence sur le budget de l’UE soit nulle («système de compensation») et que la procédure n’entraîne pas de modification budgétaire. Aussi la Commission demande-t-elle directement aux États membres de payer les montants nets conformément aux règles du règlement relatif à la mise à disposition.</w:t>
      </w:r>
    </w:p>
    <w:p>
      <w:pPr>
        <w:pStyle w:val="DGTextstand-alone"/>
        <w:rPr>
          <w:b/>
          <w:bCs/>
        </w:rPr>
      </w:pPr>
      <w:r>
        <w:rPr>
          <w:b/>
        </w:rPr>
        <w:t>Titre 3: recettes administratives</w:t>
      </w:r>
    </w:p>
    <w:p>
      <w:pPr>
        <w:pStyle w:val="DGTextstand-alone"/>
      </w:pPr>
      <w:r>
        <w:t>Ce titre comprend essentiellement les recettes provenant des impôts et prélèvements sur la rémunération du personnel.</w:t>
      </w:r>
    </w:p>
    <w:p>
      <w:pPr>
        <w:pStyle w:val="DGTextstand-alone"/>
        <w:rPr>
          <w:b/>
          <w:bCs/>
        </w:rPr>
      </w:pPr>
      <w:r>
        <w:rPr>
          <w:b/>
        </w:rPr>
        <w:t>Titre 4: produit financier, intérêts de retard et amendes</w:t>
      </w:r>
    </w:p>
    <w:p>
      <w:pPr>
        <w:pStyle w:val="DGTextstand-alone"/>
      </w:pPr>
      <w:r>
        <w:t>La partie principale correspond aux amendes liées à la mise en œuvre des règles de concurrence.</w:t>
      </w:r>
    </w:p>
    <w:p>
      <w:pPr>
        <w:pStyle w:val="DGTextstand-alone"/>
        <w:rPr>
          <w:b/>
          <w:bCs/>
          <w:color w:val="000000"/>
        </w:rPr>
      </w:pPr>
      <w:r>
        <w:rPr>
          <w:b/>
          <w:color w:val="000000"/>
        </w:rPr>
        <w:t>Titre 5: garanties budgétaires, opérations d’emprunt et de prêt</w:t>
      </w:r>
    </w:p>
    <w:p>
      <w:pPr>
        <w:pStyle w:val="DGTextstand-alone"/>
      </w:pPr>
      <w:r>
        <w:t>Ce titre a pris une ampleur considérable avec le lancement de NextGenerationEU. Les fonds de NextGenerationEU relevant de ce titre sont des recettes affectées. Le titre 5 couvre les recettes liées aux garanties et aux intérêts et remboursements des prêts accordés. Il reprend également les fonds (destinés au soutien non remboursable de NextGenerationEU au titre de la facilité pour la reprise et la résilience et au renforcement des programmes relevant du CFP) provenant de recettes affectées que les États membres reçoivent au titre de l’instrument de l’Union européenne pour la relance (EURI).</w:t>
      </w:r>
    </w:p>
    <w:p>
      <w:pPr>
        <w:pStyle w:val="DGTextstand-alone"/>
        <w:rPr>
          <w:b/>
          <w:bCs/>
          <w:color w:val="000000"/>
        </w:rPr>
      </w:pPr>
      <w:r>
        <w:rPr>
          <w:b/>
          <w:color w:val="000000"/>
        </w:rPr>
        <w:lastRenderedPageBreak/>
        <w:t xml:space="preserve">Titre 6: recettes, contributions et restitutions liées aux politiques de l’Union </w:t>
      </w:r>
    </w:p>
    <w:p>
      <w:pPr>
        <w:pStyle w:val="DGTextstand-alone"/>
        <w:rPr>
          <w:b/>
        </w:rPr>
      </w:pPr>
      <w:r>
        <w:rPr>
          <w:color w:val="000000"/>
        </w:rPr>
        <w:t xml:space="preserve">Ce titre concerne principalement les recettes provenant de corrections financières liées aux Fonds structurels et agricoles (Fonds ESI, FEAGA et Feader). Il inclut également la participation de pays tiers aux programmes de recherche, l’apurement des comptes des fonds agricoles ainsi que d’autres contributions et restitutions aux programmes/activités de l’UE. Une partie substantielle de ce total est composée de recettes affectées, ce qui donne lieu à l’inscription de crédits supplémentaires au volet des dépenses. </w:t>
      </w:r>
    </w:p>
    <w:p>
      <w:pPr>
        <w:pStyle w:val="DGTextstand-alone"/>
      </w:pPr>
      <w:r>
        <w:t>En 2025, les recettes budgétaires totales se sont élevées à 224,398 milliards d’EUR:</w:t>
      </w:r>
    </w:p>
    <w:p>
      <w:pPr>
        <w:pStyle w:val="DGTextstand-alone"/>
        <w:jc w:val="center"/>
      </w:pPr>
      <w:r>
        <w:drawing>
          <wp:inline distT="0" distB="0" distL="0" distR="0">
            <wp:extent cx="4725004" cy="5223933"/>
            <wp:effectExtent l="0" t="0" r="0" b="0"/>
            <wp:docPr id="11101074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107455" name=""/>
                    <pic:cNvPicPr/>
                  </pic:nvPicPr>
                  <pic:blipFill>
                    <a:blip r:embed="rId30"/>
                    <a:stretch>
                      <a:fillRect/>
                    </a:stretch>
                  </pic:blipFill>
                  <pic:spPr>
                    <a:xfrm>
                      <a:off x="0" y="0"/>
                      <a:ext cx="4728683" cy="5228001"/>
                    </a:xfrm>
                    <a:prstGeom prst="rect">
                      <a:avLst/>
                    </a:prstGeom>
                  </pic:spPr>
                </pic:pic>
              </a:graphicData>
            </a:graphic>
          </wp:inline>
        </w:drawing>
      </w:r>
    </w:p>
    <w:p>
      <w:pPr>
        <w:pStyle w:val="HEADER2Part4"/>
      </w:pPr>
      <w:bookmarkStart w:id="16" w:name="_Toc99107448"/>
      <w:bookmarkStart w:id="17" w:name="_Toc237348526"/>
      <w:r>
        <w:t>Dépenses</w:t>
      </w:r>
      <w:bookmarkEnd w:id="16"/>
      <w:bookmarkEnd w:id="17"/>
    </w:p>
    <w:p>
      <w:pPr>
        <w:pStyle w:val="HEADER3Part4"/>
        <w:rPr>
          <w:noProof/>
        </w:rPr>
      </w:pPr>
      <w:r>
        <w:rPr>
          <w:noProof/>
        </w:rPr>
        <w:t>Exécution du budget</w:t>
      </w:r>
    </w:p>
    <w:p>
      <w:pPr>
        <w:pStyle w:val="DGTextstand-alone"/>
        <w:rPr>
          <w:u w:val="single"/>
        </w:rPr>
      </w:pPr>
      <w:r>
        <w:rPr>
          <w:u w:val="single"/>
        </w:rPr>
        <w:t>Budget adopté</w:t>
      </w:r>
    </w:p>
    <w:p>
      <w:pPr>
        <w:pStyle w:val="DGTextstand-alone"/>
      </w:pPr>
      <w:r>
        <w:t>En 2025, cinquième année du CFP 2021-2027, le budget définitif adopté s’élevait à 199,2 milliards d’EUR en crédits d’engagement et à 161,2 milliards d’EUR en crédits de paiement. En outre, 27,1 milliards d’EUR en crédits d’engagement étaient disponibles en tant que recettes affectées, dont 0,2 milliard d’EUR liés à NextGenerationEU, et 1,8 milliard d’EUR en crédits d’engagement ont été reportés de 2024. Les crédits de paiement liés aux recettes affectées de 2025 s’élevaient à 85,9 milliards d’EUR, dont 43,8 milliards d’EUR liés à NextGenerationEU, et 3,9 milliards d’EUR de crédits de paiement ont été reportés de 2024.</w:t>
      </w:r>
    </w:p>
    <w:p>
      <w:pPr>
        <w:pStyle w:val="DGTextstand-alone"/>
        <w:keepNext/>
        <w:rPr>
          <w:u w:val="single"/>
        </w:rPr>
      </w:pPr>
      <w:r>
        <w:rPr>
          <w:u w:val="single"/>
        </w:rPr>
        <w:lastRenderedPageBreak/>
        <w:t>Exécution des crédits d’engagement</w:t>
      </w:r>
    </w:p>
    <w:p>
      <w:pPr>
        <w:pStyle w:val="DGTextstand-alone"/>
      </w:pPr>
      <w:r>
        <w:t xml:space="preserve">Un suivi actif de l’exécution du budget et une coopération efficace entre le Parlement européen, le Conseil et la Commission ont permis l’exécution intégrale du budget. </w:t>
      </w:r>
    </w:p>
    <w:p>
      <w:pPr>
        <w:pStyle w:val="DGTextstand-alone"/>
      </w:pPr>
      <w:r>
        <w:t>L’exécution du total des crédits d’engagement en 2025 s’est élevée à 212,1 milliards d’EUR:</w:t>
      </w:r>
    </w:p>
    <w:p>
      <w:pPr>
        <w:pStyle w:val="DGTextstand-alonedashesjustified"/>
      </w:pPr>
      <w:r>
        <w:t>196,1 milliards d’EUR du budget définitif adopté;</w:t>
      </w:r>
    </w:p>
    <w:p>
      <w:pPr>
        <w:pStyle w:val="DGTextstand-alonedashesjustified"/>
      </w:pPr>
      <w:r>
        <w:t>1,6 milliard d’EUR de crédits reportés ou reconstitués de 2024;</w:t>
      </w:r>
    </w:p>
    <w:p>
      <w:pPr>
        <w:pStyle w:val="DGTextstand-alonedashesjustified"/>
      </w:pPr>
      <w:r>
        <w:t>14,5 milliards d’EUR de crédits issus de recettes affectées;</w:t>
      </w:r>
    </w:p>
    <w:p>
      <w:pPr>
        <w:pStyle w:val="DGTextstand-alone"/>
        <w:spacing w:before="120"/>
        <w:ind w:left="714"/>
      </w:pPr>
      <w:r>
        <w:t>— dont 39 millions d’EUR provenant de NextGenerationEU.</w:t>
      </w:r>
    </w:p>
    <w:p>
      <w:pPr>
        <w:pStyle w:val="DGTextstand-alone"/>
        <w:rPr>
          <w:u w:val="single"/>
        </w:rPr>
      </w:pPr>
      <w:r>
        <w:rPr>
          <w:u w:val="single"/>
        </w:rPr>
        <w:t>Exécution des crédits de paiement</w:t>
      </w:r>
    </w:p>
    <w:p>
      <w:pPr>
        <w:pStyle w:val="DGTextstand-alone"/>
      </w:pPr>
      <w:r>
        <w:t>L’exécution du total des crédits de paiement en 2025 s’est élevée à 216,4 milliards d’EUR:</w:t>
      </w:r>
    </w:p>
    <w:p>
      <w:pPr>
        <w:pStyle w:val="DGTextstand-alonedashesjustified"/>
      </w:pPr>
      <w:r>
        <w:t>155,2 milliards d’EUR du budget définitif adopté;</w:t>
      </w:r>
    </w:p>
    <w:p>
      <w:pPr>
        <w:pStyle w:val="DGTextstand-alonedashesjustified"/>
      </w:pPr>
      <w:r>
        <w:t>3,6 milliards d’EUR de crédits reportés ou reconstitués de 2024;</w:t>
      </w:r>
    </w:p>
    <w:p>
      <w:pPr>
        <w:pStyle w:val="DGTextstand-alonedashesjustified"/>
      </w:pPr>
      <w:r>
        <w:t>57,6 milliards d’EUR de crédits issus de recettes affectées;</w:t>
      </w:r>
    </w:p>
    <w:p>
      <w:pPr>
        <w:pStyle w:val="DGTextstand-alone"/>
        <w:spacing w:before="120"/>
        <w:ind w:left="714"/>
      </w:pPr>
      <w:r>
        <w:t>— dont 41,7 milliards d’EUR provenant de NextGenerationEU.</w:t>
      </w:r>
    </w:p>
    <w:p>
      <w:pPr>
        <w:pStyle w:val="DGTextstand-alone"/>
      </w:pPr>
      <w:r>
        <w:t>Dans les cas autorisés par le règlement financier</w:t>
      </w:r>
      <w:r>
        <w:rPr>
          <w:rStyle w:val="FootnoteReference"/>
        </w:rPr>
        <w:footnoteReference w:id="3"/>
      </w:r>
      <w:r>
        <w:t xml:space="preserve"> et/ou par les bases juridiques de programmes spécifiques, les crédits du budget voté non exécutés en 2025 ont été reportés à 2026: 2,1 milliards d’EUR de crédits d’engagement et 6,1 milliards d’EUR de crédits de paiement.</w:t>
      </w:r>
    </w:p>
    <w:p>
      <w:pPr>
        <w:pStyle w:val="DGTextstand-alone"/>
      </w:pPr>
      <w:r>
        <w:t>De même, 12,4 milliards d’EUR de crédits d’engagement de recettes affectées et 28,3 milliards d’EUR de crédits de paiement de recettes affectées ont été reportés à 2026 conformément au règlement financier.</w:t>
      </w:r>
    </w:p>
    <w:p>
      <w:pPr>
        <w:pStyle w:val="DGTextstand-alone"/>
      </w:pPr>
      <w:r>
        <w:t>Le total des crédits d’engagement en 2025 par rubrique du CFP 2021-2027 a été exécuté comme suit:</w:t>
      </w:r>
    </w:p>
    <w:p>
      <w:pPr>
        <w:pStyle w:val="DGTextstand-alone"/>
        <w:jc w:val="center"/>
      </w:pPr>
      <w:r>
        <w:lastRenderedPageBreak/>
        <w:drawing>
          <wp:inline distT="0" distB="0" distL="0" distR="0">
            <wp:extent cx="5418666" cy="5985323"/>
            <wp:effectExtent l="0" t="0" r="0" b="0"/>
            <wp:docPr id="10754517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451742" name=""/>
                    <pic:cNvPicPr/>
                  </pic:nvPicPr>
                  <pic:blipFill>
                    <a:blip r:embed="rId31"/>
                    <a:stretch>
                      <a:fillRect/>
                    </a:stretch>
                  </pic:blipFill>
                  <pic:spPr>
                    <a:xfrm>
                      <a:off x="0" y="0"/>
                      <a:ext cx="5432488" cy="6000590"/>
                    </a:xfrm>
                    <a:prstGeom prst="rect">
                      <a:avLst/>
                    </a:prstGeom>
                  </pic:spPr>
                </pic:pic>
              </a:graphicData>
            </a:graphic>
          </wp:inline>
        </w:drawing>
      </w:r>
    </w:p>
    <w:p>
      <w:pPr>
        <w:pStyle w:val="DGTextstand-alone"/>
      </w:pPr>
      <w:r>
        <w:t>En 2025, l’exécution de tous les types de crédits (budget, crédits reportés de l’exercice précédent et recettes affectées) a atteint 93 % pour les engagements et 86 % pour les paiements. Les taux d’exécution, y compris les crédits reportés à 2026 (conformément au règlement financier et/ou aux bases juridiques), ont atteint 99,5 % pour les crédits d’engagement et 100 % pour les crédits de paiement du budget voté pour 2025.</w:t>
      </w:r>
    </w:p>
    <w:p>
      <w:pPr>
        <w:pStyle w:val="DGTextstand-alone"/>
      </w:pPr>
      <w:r>
        <w:t>Les crédits de NextGenerationEU pour le soutien non remboursable ont été intégralement inscrits en 2021, soit 421,1 milliards d’EUR en crédits d’engagement. 2023 a été la dernière année pour laquelle les engagements juridiques correspondants ont pu être contractés.</w:t>
      </w:r>
    </w:p>
    <w:p>
      <w:pPr>
        <w:pStyle w:val="DGTextstand-alone"/>
      </w:pPr>
      <w:r>
        <w:t>En 2025, les crédits de paiement relevant de NextGenerationEU se sont élevés à 43,8 milliards d’EUR et la mise en œuvre a atteint 95,4 %. Les 2,0 milliards d’EUR de crédits de paiement restants ont été reportés à 2026.</w:t>
      </w:r>
    </w:p>
    <w:p>
      <w:pPr>
        <w:rPr>
          <w:rFonts w:ascii="Verdana" w:hAnsi="Verdana"/>
          <w:noProof/>
          <w:sz w:val="18"/>
          <w:szCs w:val="18"/>
          <w:lang w:eastAsia="en-US"/>
        </w:rPr>
      </w:pPr>
      <w:r>
        <w:rPr>
          <w:noProof/>
        </w:rPr>
        <w:br w:type="page"/>
      </w:r>
    </w:p>
    <w:p>
      <w:pPr>
        <w:pStyle w:val="DGTextstand-alone"/>
      </w:pPr>
    </w:p>
    <w:p>
      <w:pPr>
        <w:pStyle w:val="HEADER3Part4"/>
        <w:rPr>
          <w:noProof/>
        </w:rPr>
      </w:pPr>
      <w:r>
        <w:rPr>
          <w:noProof/>
        </w:rPr>
        <w:t>Crédits d’engagement définitivement annulés</w:t>
      </w:r>
    </w:p>
    <w:p>
      <w:pPr>
        <w:pStyle w:val="HEADER3Part4"/>
        <w:numPr>
          <w:ilvl w:val="0"/>
          <w:numId w:val="0"/>
        </w:numPr>
        <w:jc w:val="both"/>
        <w:rPr>
          <w:noProof/>
          <w:color w:val="auto"/>
          <w:sz w:val="18"/>
          <w:szCs w:val="18"/>
        </w:rPr>
      </w:pPr>
      <w:r>
        <w:rPr>
          <w:noProof/>
          <w:color w:val="auto"/>
          <w:sz w:val="18"/>
        </w:rPr>
        <w:t>En application du règlement relatif à la conditionnalité, des dégagements d’un montant total de 1 078 millions d’EUR (dont 30 millions d’EUR au titre de NextGenerationEU) ont été affectés au cours de l’année 2023 à des engagements liés à la Hongrie. À la fin de 2025, les crédits d’engagement correspondants n’ont pas pu être reconstitués et ont été définitivement annulés.</w:t>
      </w:r>
    </w:p>
    <w:p>
      <w:pPr>
        <w:pStyle w:val="HEADER3Part4"/>
        <w:rPr>
          <w:noProof/>
        </w:rPr>
      </w:pPr>
      <w:r>
        <w:rPr>
          <w:noProof/>
        </w:rPr>
        <w:t>Engagements restant à liquider</w:t>
      </w:r>
    </w:p>
    <w:p>
      <w:pPr>
        <w:pStyle w:val="DGTextstand-alone"/>
      </w:pPr>
      <w:r>
        <w:t>Les engagements restant à liquider (communément appelés le «RAL», ou «reste à liquider»), à savoir les montants engagés mais non encore payés, se chiffraient à 501,1 milliards d’EUR à la fin de l’exercice 2025. Les engagements restant à liquider ont diminué par rapport à 2024 (de 6,3 milliards d’EUR).</w:t>
      </w:r>
    </w:p>
    <w:p>
      <w:pPr>
        <w:pStyle w:val="DGTextstand-alone"/>
      </w:pPr>
      <w:r>
        <w:t>Le principal facteur à l’origine de la diminution du RAL en 2025 a été la mise en œuvre de NextGenerationEU (partie non remboursable), qui a contribué à hauteur de 124,1 milliards d’EUR (24,9 %) au RAL total à la fin de 2025.</w:t>
      </w:r>
    </w:p>
    <w:p>
      <w:pPr>
        <w:pStyle w:val="HEADER3Part4"/>
        <w:rPr>
          <w:noProof/>
        </w:rPr>
      </w:pPr>
      <w:r>
        <w:rPr>
          <w:noProof/>
        </w:rPr>
        <w:t>Résultat de l’exécution du budget</w:t>
      </w:r>
    </w:p>
    <w:p>
      <w:pPr>
        <w:pStyle w:val="DGTextstand-alone"/>
        <w:spacing w:before="120"/>
      </w:pPr>
      <w:r>
        <w:t>Le résultat de l’exécution du budget (excédent) a augmenté, passant de 1,3 milliard d’EUR en 2024 à 2,1 milliards d’EUR en 2025. Le résultat du budget 2025 est principalement affecté par la surexécution des recettes budgétaires du titre 4 — Recettes financières, intérêts de retard et amendes.</w:t>
      </w:r>
      <w:r>
        <w:br w:type="page"/>
      </w:r>
    </w:p>
    <w:p>
      <w:pPr>
        <w:pStyle w:val="HEADER1Part4"/>
        <w:rPr>
          <w:noProof/>
        </w:rPr>
      </w:pPr>
      <w:bookmarkStart w:id="18" w:name="_Toc237348527"/>
      <w:r>
        <w:rPr>
          <w:noProof/>
        </w:rPr>
        <w:lastRenderedPageBreak/>
        <w:t>Mise en œuvre de NextGenerationEU</w:t>
      </w:r>
      <w:bookmarkEnd w:id="18"/>
    </w:p>
    <w:p>
      <w:pPr>
        <w:pStyle w:val="HEADER2Part4"/>
      </w:pPr>
      <w:bookmarkStart w:id="19" w:name="_Toc237348528"/>
      <w:r>
        <w:t>Présentation</w:t>
      </w:r>
      <w:bookmarkEnd w:id="19"/>
    </w:p>
    <w:p>
      <w:pPr>
        <w:pStyle w:val="DGTextstand-alone"/>
      </w:pPr>
      <w:r>
        <w:t>À la fin de 2025, la Commission avait décaissé un montant total de 468,8 milliards d’EUR à titre de soutien financier. La majorité de ce montant, soit 393,4 milliards d’EUR, a été versée au titre de la FRR (y compris un soutien destiné aux réformes et aux investissements dans le cadre de REPowerEU), avec 237,5 milliards d’EUR de soutien non remboursable et 155,9 milliards d’EUR de soutien financier sous forme de prêts. Un montant supplémentaire de 75,4 milliards d’EUR (hors recouvrements) a été décaissé en tant que paiements au titre du CFP dans le cadre de programmes existants.</w:t>
      </w:r>
    </w:p>
    <w:p>
      <w:pPr>
        <w:pStyle w:val="HEADER2Part4"/>
      </w:pPr>
      <w:bookmarkStart w:id="20" w:name="_Toc237348529"/>
      <w:r>
        <w:t>Décaissements du soutien non remboursable en faveur des États membres au titre de la FRR (y compris REPowerEU)</w:t>
      </w:r>
      <w:bookmarkEnd w:id="20"/>
    </w:p>
    <w:p>
      <w:pPr>
        <w:pStyle w:val="DGTextstand-alone"/>
        <w:spacing w:after="120"/>
      </w:pPr>
      <w:r>
        <w:t>Fin 2025, le montant total du soutien non remboursable approuvé et juridiquement engagé s’élevait à</w:t>
      </w:r>
      <w:r>
        <w:br/>
        <w:t>359,9 milliards d’EUR. Le montant total du soutien non remboursable décaissé s’élevait à 237,5 milliards d’EUR:</w:t>
      </w:r>
    </w:p>
    <w:tbl>
      <w:tblPr>
        <w:tblStyle w:val="TableGrid"/>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4"/>
        <w:gridCol w:w="2551"/>
        <w:gridCol w:w="2551"/>
        <w:gridCol w:w="2552"/>
      </w:tblGrid>
      <w:tr>
        <w:trPr>
          <w:trHeight w:val="255"/>
          <w:tblHeader/>
          <w:jc w:val="center"/>
        </w:trPr>
        <w:tc>
          <w:tcPr>
            <w:tcW w:w="1984" w:type="dxa"/>
            <w:vAlign w:val="center"/>
          </w:tcPr>
          <w:p>
            <w:pPr>
              <w:pStyle w:val="DGTextstand-alone"/>
              <w:spacing w:before="0" w:after="0"/>
              <w:jc w:val="right"/>
              <w:rPr>
                <w:color w:val="FFFFFF" w:themeColor="background1"/>
                <w:sz w:val="14"/>
                <w:szCs w:val="14"/>
              </w:rPr>
            </w:pPr>
          </w:p>
        </w:tc>
        <w:tc>
          <w:tcPr>
            <w:tcW w:w="2551" w:type="dxa"/>
          </w:tcPr>
          <w:p>
            <w:pPr>
              <w:pStyle w:val="DGTextstand-alone"/>
              <w:spacing w:before="0" w:after="0"/>
              <w:jc w:val="right"/>
              <w:rPr>
                <w:b/>
                <w:color w:val="FFFFFF" w:themeColor="background1"/>
                <w:sz w:val="14"/>
                <w:szCs w:val="14"/>
              </w:rPr>
            </w:pPr>
          </w:p>
        </w:tc>
        <w:tc>
          <w:tcPr>
            <w:tcW w:w="2551" w:type="dxa"/>
          </w:tcPr>
          <w:p>
            <w:pPr>
              <w:pStyle w:val="DGTextstand-alone"/>
              <w:spacing w:before="0" w:after="0"/>
              <w:jc w:val="right"/>
              <w:rPr>
                <w:i/>
                <w:sz w:val="14"/>
                <w:szCs w:val="14"/>
              </w:rPr>
            </w:pPr>
          </w:p>
        </w:tc>
        <w:tc>
          <w:tcPr>
            <w:tcW w:w="2552" w:type="dxa"/>
            <w:vAlign w:val="center"/>
          </w:tcPr>
          <w:p>
            <w:pPr>
              <w:pStyle w:val="DGTextstand-alone"/>
              <w:spacing w:before="0" w:after="0"/>
              <w:jc w:val="right"/>
              <w:rPr>
                <w:i/>
                <w:sz w:val="14"/>
                <w:szCs w:val="14"/>
              </w:rPr>
            </w:pPr>
            <w:r>
              <w:rPr>
                <w:i/>
                <w:sz w:val="14"/>
              </w:rPr>
              <w:t>en Mrd EUR</w:t>
            </w:r>
          </w:p>
        </w:tc>
      </w:tr>
      <w:tr>
        <w:trPr>
          <w:trHeight w:val="255"/>
          <w:tblHeader/>
          <w:jc w:val="center"/>
        </w:trPr>
        <w:tc>
          <w:tcPr>
            <w:tcW w:w="1984" w:type="dxa"/>
            <w:shd w:val="clear" w:color="auto" w:fill="016794"/>
            <w:vAlign w:val="bottom"/>
          </w:tcPr>
          <w:p>
            <w:pPr>
              <w:pStyle w:val="DGTextstand-alone"/>
              <w:spacing w:before="0" w:after="0"/>
              <w:jc w:val="left"/>
              <w:rPr>
                <w:b/>
                <w:color w:val="FFFFFF" w:themeColor="background1"/>
                <w:sz w:val="14"/>
                <w:szCs w:val="14"/>
              </w:rPr>
            </w:pPr>
            <w:r>
              <w:rPr>
                <w:b/>
                <w:color w:val="FFFFFF" w:themeColor="background1"/>
                <w:sz w:val="14"/>
              </w:rPr>
              <w:br/>
              <w:t>État membre</w:t>
            </w:r>
          </w:p>
        </w:tc>
        <w:tc>
          <w:tcPr>
            <w:tcW w:w="2551" w:type="dxa"/>
            <w:shd w:val="clear" w:color="auto" w:fill="016794"/>
            <w:vAlign w:val="bottom"/>
          </w:tcPr>
          <w:p>
            <w:pPr>
              <w:pStyle w:val="DGTextstand-alone"/>
              <w:spacing w:before="0" w:after="0"/>
              <w:jc w:val="right"/>
              <w:rPr>
                <w:b/>
                <w:color w:val="FFFFFF" w:themeColor="background1"/>
                <w:sz w:val="14"/>
                <w:szCs w:val="14"/>
              </w:rPr>
            </w:pPr>
            <w:r>
              <w:rPr>
                <w:b/>
                <w:color w:val="FFFFFF" w:themeColor="background1"/>
                <w:sz w:val="14"/>
              </w:rPr>
              <w:t>Valeur totale</w:t>
            </w:r>
            <w:r>
              <w:rPr>
                <w:b/>
                <w:color w:val="FFFFFF" w:themeColor="background1"/>
                <w:sz w:val="14"/>
              </w:rPr>
              <w:br/>
              <w:t>des subventions</w:t>
            </w:r>
            <w:r>
              <w:rPr>
                <w:b/>
                <w:color w:val="FFFFFF" w:themeColor="background1"/>
                <w:sz w:val="14"/>
              </w:rPr>
              <w:br/>
              <w:t>au 31.12.2025</w:t>
            </w:r>
          </w:p>
        </w:tc>
        <w:tc>
          <w:tcPr>
            <w:tcW w:w="2551" w:type="dxa"/>
            <w:shd w:val="clear" w:color="auto" w:fill="016794"/>
            <w:vAlign w:val="bottom"/>
          </w:tcPr>
          <w:p>
            <w:pPr>
              <w:pStyle w:val="DGTextstand-alone"/>
              <w:spacing w:before="0" w:after="0"/>
              <w:jc w:val="right"/>
              <w:rPr>
                <w:b/>
                <w:bCs/>
                <w:i/>
                <w:iCs/>
                <w:color w:val="FFFFFF" w:themeColor="background1"/>
                <w:sz w:val="14"/>
                <w:szCs w:val="14"/>
              </w:rPr>
            </w:pPr>
            <w:r>
              <w:rPr>
                <w:b/>
                <w:color w:val="FFFFFF" w:themeColor="background1"/>
                <w:sz w:val="14"/>
              </w:rPr>
              <w:t>Engagements</w:t>
            </w:r>
            <w:r>
              <w:rPr>
                <w:b/>
                <w:color w:val="FFFFFF" w:themeColor="background1"/>
                <w:sz w:val="14"/>
              </w:rPr>
              <w:br/>
              <w:t>budgétaires</w:t>
            </w:r>
            <w:r>
              <w:rPr>
                <w:b/>
                <w:color w:val="FFFFFF" w:themeColor="background1"/>
                <w:sz w:val="14"/>
              </w:rPr>
              <w:br/>
              <w:t>au 31.12.2025</w:t>
            </w:r>
            <w:r>
              <w:rPr>
                <w:b/>
                <w:color w:val="FFFFFF" w:themeColor="background1"/>
                <w:sz w:val="14"/>
                <w:vertAlign w:val="superscript"/>
              </w:rPr>
              <w:t>*</w:t>
            </w:r>
          </w:p>
        </w:tc>
        <w:tc>
          <w:tcPr>
            <w:tcW w:w="2552" w:type="dxa"/>
            <w:shd w:val="clear" w:color="auto" w:fill="016794"/>
            <w:vAlign w:val="bottom"/>
          </w:tcPr>
          <w:p>
            <w:pPr>
              <w:pStyle w:val="DGTextstand-alone"/>
              <w:spacing w:before="0" w:after="0"/>
              <w:jc w:val="right"/>
              <w:rPr>
                <w:b/>
                <w:bCs/>
                <w:color w:val="FFFFFF" w:themeColor="background1"/>
                <w:sz w:val="14"/>
                <w:szCs w:val="14"/>
              </w:rPr>
            </w:pPr>
            <w:r>
              <w:rPr>
                <w:b/>
                <w:color w:val="FFFFFF" w:themeColor="background1"/>
                <w:sz w:val="14"/>
              </w:rPr>
              <w:t xml:space="preserve">Total </w:t>
            </w:r>
            <w:r>
              <w:rPr>
                <w:b/>
                <w:color w:val="FFFFFF" w:themeColor="background1"/>
                <w:sz w:val="14"/>
              </w:rPr>
              <w:br/>
              <w:t xml:space="preserve">décaissé </w:t>
            </w:r>
            <w:r>
              <w:rPr>
                <w:b/>
                <w:color w:val="FFFFFF" w:themeColor="background1"/>
                <w:sz w:val="14"/>
              </w:rPr>
              <w:br/>
              <w:t>au 31.12.2025</w:t>
            </w:r>
          </w:p>
        </w:tc>
      </w:tr>
      <w:tr>
        <w:trPr>
          <w:trHeight w:val="255"/>
          <w:jc w:val="center"/>
        </w:trPr>
        <w:tc>
          <w:tcPr>
            <w:tcW w:w="1984" w:type="dxa"/>
            <w:vAlign w:val="center"/>
          </w:tcPr>
          <w:p>
            <w:pPr>
              <w:rPr>
                <w:rFonts w:ascii="Verdana" w:hAnsi="Verdana" w:cs="Calibri"/>
                <w:noProof/>
                <w:color w:val="000000"/>
                <w:sz w:val="14"/>
                <w:szCs w:val="14"/>
              </w:rPr>
            </w:pPr>
            <w:r>
              <w:rPr>
                <w:rFonts w:ascii="Verdana" w:hAnsi="Verdana"/>
                <w:noProof/>
                <w:color w:val="000000"/>
                <w:sz w:val="14"/>
              </w:rPr>
              <w:t>Autriche</w:t>
            </w:r>
          </w:p>
        </w:tc>
        <w:tc>
          <w:tcPr>
            <w:tcW w:w="2551" w:type="dxa"/>
            <w:vAlign w:val="center"/>
          </w:tcPr>
          <w:p>
            <w:pPr>
              <w:jc w:val="right"/>
              <w:rPr>
                <w:rFonts w:ascii="Verdana" w:hAnsi="Verdana" w:cs="Calibri"/>
                <w:noProof/>
                <w:color w:val="000000"/>
                <w:sz w:val="14"/>
                <w:szCs w:val="14"/>
              </w:rPr>
            </w:pPr>
            <w:r>
              <w:rPr>
                <w:rFonts w:ascii="Verdana" w:hAnsi="Verdana"/>
                <w:noProof/>
                <w:color w:val="000000"/>
                <w:sz w:val="14"/>
              </w:rPr>
              <w:t>4,0</w:t>
            </w:r>
          </w:p>
        </w:tc>
        <w:tc>
          <w:tcPr>
            <w:tcW w:w="2551" w:type="dxa"/>
            <w:vAlign w:val="bottom"/>
          </w:tcPr>
          <w:p>
            <w:pPr>
              <w:jc w:val="right"/>
              <w:rPr>
                <w:rFonts w:ascii="Verdana" w:hAnsi="Verdana" w:cs="Calibri"/>
                <w:noProof/>
                <w:color w:val="000000"/>
                <w:sz w:val="14"/>
                <w:szCs w:val="14"/>
              </w:rPr>
            </w:pPr>
            <w:r>
              <w:rPr>
                <w:rFonts w:ascii="Verdana" w:hAnsi="Verdana"/>
                <w:noProof/>
                <w:color w:val="000000"/>
                <w:sz w:val="14"/>
              </w:rPr>
              <w:t>4,0</w:t>
            </w:r>
          </w:p>
        </w:tc>
        <w:tc>
          <w:tcPr>
            <w:tcW w:w="2552" w:type="dxa"/>
            <w:vAlign w:val="center"/>
          </w:tcPr>
          <w:p>
            <w:pPr>
              <w:jc w:val="right"/>
              <w:rPr>
                <w:rFonts w:ascii="Verdana" w:hAnsi="Verdana" w:cs="Calibri"/>
                <w:noProof/>
                <w:color w:val="000000"/>
                <w:sz w:val="14"/>
                <w:szCs w:val="14"/>
              </w:rPr>
            </w:pPr>
            <w:r>
              <w:rPr>
                <w:rFonts w:ascii="Verdana" w:hAnsi="Verdana"/>
                <w:noProof/>
                <w:color w:val="000000"/>
                <w:sz w:val="14"/>
              </w:rPr>
              <w:t>3,3</w:t>
            </w:r>
          </w:p>
        </w:tc>
      </w:tr>
      <w:tr>
        <w:trPr>
          <w:trHeight w:val="255"/>
          <w:jc w:val="center"/>
        </w:trPr>
        <w:tc>
          <w:tcPr>
            <w:tcW w:w="1984" w:type="dxa"/>
            <w:vAlign w:val="center"/>
          </w:tcPr>
          <w:p>
            <w:pPr>
              <w:rPr>
                <w:rFonts w:ascii="Verdana" w:hAnsi="Verdana" w:cs="Calibri"/>
                <w:noProof/>
                <w:color w:val="000000"/>
                <w:sz w:val="14"/>
                <w:szCs w:val="14"/>
              </w:rPr>
            </w:pPr>
            <w:r>
              <w:rPr>
                <w:rFonts w:ascii="Verdana" w:hAnsi="Verdana"/>
                <w:noProof/>
                <w:color w:val="000000"/>
                <w:sz w:val="14"/>
              </w:rPr>
              <w:t>Belgique</w:t>
            </w:r>
          </w:p>
        </w:tc>
        <w:tc>
          <w:tcPr>
            <w:tcW w:w="2551" w:type="dxa"/>
            <w:vAlign w:val="center"/>
          </w:tcPr>
          <w:p>
            <w:pPr>
              <w:jc w:val="right"/>
              <w:rPr>
                <w:rFonts w:ascii="Verdana" w:hAnsi="Verdana" w:cs="Calibri"/>
                <w:noProof/>
                <w:color w:val="000000"/>
                <w:sz w:val="14"/>
                <w:szCs w:val="14"/>
              </w:rPr>
            </w:pPr>
            <w:r>
              <w:rPr>
                <w:rFonts w:ascii="Verdana" w:hAnsi="Verdana"/>
                <w:noProof/>
                <w:color w:val="000000"/>
                <w:sz w:val="14"/>
              </w:rPr>
              <w:t>5,0</w:t>
            </w:r>
          </w:p>
        </w:tc>
        <w:tc>
          <w:tcPr>
            <w:tcW w:w="2551" w:type="dxa"/>
            <w:vAlign w:val="bottom"/>
          </w:tcPr>
          <w:p>
            <w:pPr>
              <w:jc w:val="right"/>
              <w:rPr>
                <w:rFonts w:ascii="Verdana" w:hAnsi="Verdana" w:cs="Calibri"/>
                <w:noProof/>
                <w:color w:val="000000"/>
                <w:sz w:val="14"/>
                <w:szCs w:val="14"/>
              </w:rPr>
            </w:pPr>
            <w:r>
              <w:rPr>
                <w:rFonts w:ascii="Verdana" w:hAnsi="Verdana"/>
                <w:noProof/>
                <w:color w:val="000000"/>
                <w:sz w:val="14"/>
              </w:rPr>
              <w:t>5,0</w:t>
            </w:r>
          </w:p>
        </w:tc>
        <w:tc>
          <w:tcPr>
            <w:tcW w:w="2552" w:type="dxa"/>
            <w:vAlign w:val="center"/>
          </w:tcPr>
          <w:p>
            <w:pPr>
              <w:jc w:val="right"/>
              <w:rPr>
                <w:rFonts w:ascii="Verdana" w:hAnsi="Verdana" w:cs="Calibri"/>
                <w:noProof/>
                <w:color w:val="000000"/>
                <w:sz w:val="14"/>
                <w:szCs w:val="14"/>
              </w:rPr>
            </w:pPr>
            <w:r>
              <w:rPr>
                <w:rFonts w:ascii="Verdana" w:hAnsi="Verdana"/>
                <w:noProof/>
                <w:color w:val="000000"/>
                <w:sz w:val="14"/>
              </w:rPr>
              <w:t>3,0</w:t>
            </w:r>
          </w:p>
        </w:tc>
      </w:tr>
      <w:tr>
        <w:trPr>
          <w:trHeight w:val="255"/>
          <w:jc w:val="center"/>
        </w:trPr>
        <w:tc>
          <w:tcPr>
            <w:tcW w:w="1984" w:type="dxa"/>
            <w:vAlign w:val="center"/>
          </w:tcPr>
          <w:p>
            <w:pPr>
              <w:rPr>
                <w:rFonts w:ascii="Verdana" w:hAnsi="Verdana" w:cs="Calibri"/>
                <w:noProof/>
                <w:color w:val="000000"/>
                <w:sz w:val="14"/>
                <w:szCs w:val="14"/>
              </w:rPr>
            </w:pPr>
            <w:r>
              <w:rPr>
                <w:rFonts w:ascii="Verdana" w:hAnsi="Verdana"/>
                <w:noProof/>
                <w:color w:val="000000"/>
                <w:sz w:val="14"/>
              </w:rPr>
              <w:t>Bulgarie</w:t>
            </w:r>
          </w:p>
        </w:tc>
        <w:tc>
          <w:tcPr>
            <w:tcW w:w="2551" w:type="dxa"/>
            <w:vAlign w:val="center"/>
          </w:tcPr>
          <w:p>
            <w:pPr>
              <w:jc w:val="right"/>
              <w:rPr>
                <w:rFonts w:ascii="Verdana" w:hAnsi="Verdana" w:cs="Calibri"/>
                <w:noProof/>
                <w:color w:val="000000"/>
                <w:sz w:val="14"/>
                <w:szCs w:val="14"/>
              </w:rPr>
            </w:pPr>
            <w:r>
              <w:rPr>
                <w:rFonts w:ascii="Verdana" w:hAnsi="Verdana"/>
                <w:noProof/>
                <w:color w:val="000000"/>
                <w:sz w:val="14"/>
              </w:rPr>
              <w:t>6,2</w:t>
            </w:r>
          </w:p>
        </w:tc>
        <w:tc>
          <w:tcPr>
            <w:tcW w:w="2551" w:type="dxa"/>
            <w:vAlign w:val="bottom"/>
          </w:tcPr>
          <w:p>
            <w:pPr>
              <w:jc w:val="right"/>
              <w:rPr>
                <w:rFonts w:ascii="Verdana" w:hAnsi="Verdana" w:cs="Calibri"/>
                <w:noProof/>
                <w:color w:val="000000"/>
                <w:sz w:val="14"/>
                <w:szCs w:val="14"/>
              </w:rPr>
            </w:pPr>
            <w:r>
              <w:rPr>
                <w:rFonts w:ascii="Verdana" w:hAnsi="Verdana"/>
                <w:noProof/>
                <w:color w:val="000000"/>
                <w:sz w:val="14"/>
              </w:rPr>
              <w:t>6,2</w:t>
            </w:r>
          </w:p>
        </w:tc>
        <w:tc>
          <w:tcPr>
            <w:tcW w:w="2552" w:type="dxa"/>
            <w:vAlign w:val="center"/>
          </w:tcPr>
          <w:p>
            <w:pPr>
              <w:jc w:val="right"/>
              <w:rPr>
                <w:rFonts w:ascii="Verdana" w:hAnsi="Verdana" w:cs="Calibri"/>
                <w:noProof/>
                <w:color w:val="000000"/>
                <w:sz w:val="14"/>
                <w:szCs w:val="14"/>
              </w:rPr>
            </w:pPr>
            <w:r>
              <w:rPr>
                <w:rFonts w:ascii="Verdana" w:hAnsi="Verdana"/>
                <w:noProof/>
                <w:color w:val="000000"/>
                <w:sz w:val="14"/>
              </w:rPr>
              <w:t>3,3</w:t>
            </w:r>
          </w:p>
        </w:tc>
      </w:tr>
      <w:tr>
        <w:trPr>
          <w:trHeight w:val="255"/>
          <w:jc w:val="center"/>
        </w:trPr>
        <w:tc>
          <w:tcPr>
            <w:tcW w:w="1984" w:type="dxa"/>
            <w:vAlign w:val="center"/>
          </w:tcPr>
          <w:p>
            <w:pPr>
              <w:rPr>
                <w:rFonts w:ascii="Verdana" w:hAnsi="Verdana" w:cs="Calibri"/>
                <w:noProof/>
                <w:color w:val="000000"/>
                <w:sz w:val="14"/>
                <w:szCs w:val="14"/>
              </w:rPr>
            </w:pPr>
            <w:r>
              <w:rPr>
                <w:rFonts w:ascii="Verdana" w:hAnsi="Verdana"/>
                <w:noProof/>
                <w:color w:val="000000"/>
                <w:sz w:val="14"/>
              </w:rPr>
              <w:t>Croatie</w:t>
            </w:r>
          </w:p>
        </w:tc>
        <w:tc>
          <w:tcPr>
            <w:tcW w:w="2551" w:type="dxa"/>
            <w:vAlign w:val="center"/>
          </w:tcPr>
          <w:p>
            <w:pPr>
              <w:jc w:val="right"/>
              <w:rPr>
                <w:rFonts w:ascii="Verdana" w:hAnsi="Verdana" w:cs="Calibri"/>
                <w:noProof/>
                <w:color w:val="000000"/>
                <w:sz w:val="14"/>
                <w:szCs w:val="14"/>
              </w:rPr>
            </w:pPr>
            <w:r>
              <w:rPr>
                <w:rFonts w:ascii="Verdana" w:hAnsi="Verdana"/>
                <w:noProof/>
                <w:color w:val="000000"/>
                <w:sz w:val="14"/>
              </w:rPr>
              <w:t>5,8</w:t>
            </w:r>
          </w:p>
        </w:tc>
        <w:tc>
          <w:tcPr>
            <w:tcW w:w="2551" w:type="dxa"/>
            <w:vAlign w:val="bottom"/>
          </w:tcPr>
          <w:p>
            <w:pPr>
              <w:jc w:val="right"/>
              <w:rPr>
                <w:rFonts w:ascii="Verdana" w:hAnsi="Verdana" w:cs="Calibri"/>
                <w:noProof/>
                <w:color w:val="000000"/>
                <w:sz w:val="14"/>
                <w:szCs w:val="14"/>
              </w:rPr>
            </w:pPr>
            <w:r>
              <w:rPr>
                <w:rFonts w:ascii="Verdana" w:hAnsi="Verdana"/>
                <w:noProof/>
                <w:color w:val="000000"/>
                <w:sz w:val="14"/>
              </w:rPr>
              <w:t>5,8</w:t>
            </w:r>
          </w:p>
        </w:tc>
        <w:tc>
          <w:tcPr>
            <w:tcW w:w="2552" w:type="dxa"/>
            <w:vAlign w:val="center"/>
          </w:tcPr>
          <w:p>
            <w:pPr>
              <w:jc w:val="right"/>
              <w:rPr>
                <w:rFonts w:ascii="Verdana" w:hAnsi="Verdana" w:cs="Calibri"/>
                <w:noProof/>
                <w:color w:val="000000"/>
                <w:sz w:val="14"/>
                <w:szCs w:val="14"/>
              </w:rPr>
            </w:pPr>
            <w:r>
              <w:rPr>
                <w:rFonts w:ascii="Verdana" w:hAnsi="Verdana"/>
                <w:noProof/>
                <w:color w:val="000000"/>
                <w:sz w:val="14"/>
              </w:rPr>
              <w:t>4,7</w:t>
            </w:r>
          </w:p>
        </w:tc>
      </w:tr>
      <w:tr>
        <w:trPr>
          <w:trHeight w:val="255"/>
          <w:jc w:val="center"/>
        </w:trPr>
        <w:tc>
          <w:tcPr>
            <w:tcW w:w="1984" w:type="dxa"/>
            <w:vAlign w:val="center"/>
          </w:tcPr>
          <w:p>
            <w:pPr>
              <w:rPr>
                <w:rFonts w:ascii="Verdana" w:hAnsi="Verdana" w:cs="Calibri"/>
                <w:noProof/>
                <w:color w:val="000000"/>
                <w:sz w:val="14"/>
                <w:szCs w:val="14"/>
              </w:rPr>
            </w:pPr>
            <w:r>
              <w:rPr>
                <w:rFonts w:ascii="Verdana" w:hAnsi="Verdana"/>
                <w:noProof/>
                <w:color w:val="000000"/>
                <w:sz w:val="14"/>
              </w:rPr>
              <w:t>Chypre</w:t>
            </w:r>
          </w:p>
        </w:tc>
        <w:tc>
          <w:tcPr>
            <w:tcW w:w="2551" w:type="dxa"/>
            <w:vAlign w:val="center"/>
          </w:tcPr>
          <w:p>
            <w:pPr>
              <w:jc w:val="right"/>
              <w:rPr>
                <w:rFonts w:ascii="Verdana" w:hAnsi="Verdana" w:cs="Calibri"/>
                <w:noProof/>
                <w:color w:val="000000"/>
                <w:sz w:val="14"/>
                <w:szCs w:val="14"/>
              </w:rPr>
            </w:pPr>
            <w:r>
              <w:rPr>
                <w:rFonts w:ascii="Verdana" w:hAnsi="Verdana"/>
                <w:noProof/>
                <w:color w:val="000000"/>
                <w:sz w:val="14"/>
              </w:rPr>
              <w:t>1,0</w:t>
            </w:r>
          </w:p>
        </w:tc>
        <w:tc>
          <w:tcPr>
            <w:tcW w:w="2551" w:type="dxa"/>
            <w:vAlign w:val="bottom"/>
          </w:tcPr>
          <w:p>
            <w:pPr>
              <w:jc w:val="right"/>
              <w:rPr>
                <w:rFonts w:ascii="Verdana" w:hAnsi="Verdana" w:cs="Calibri"/>
                <w:noProof/>
                <w:color w:val="000000"/>
                <w:sz w:val="14"/>
                <w:szCs w:val="14"/>
              </w:rPr>
            </w:pPr>
            <w:r>
              <w:rPr>
                <w:rFonts w:ascii="Verdana" w:hAnsi="Verdana"/>
                <w:noProof/>
                <w:color w:val="000000"/>
                <w:sz w:val="14"/>
              </w:rPr>
              <w:t>1,0</w:t>
            </w:r>
          </w:p>
        </w:tc>
        <w:tc>
          <w:tcPr>
            <w:tcW w:w="2552" w:type="dxa"/>
            <w:vAlign w:val="center"/>
          </w:tcPr>
          <w:p>
            <w:pPr>
              <w:jc w:val="right"/>
              <w:rPr>
                <w:rFonts w:ascii="Verdana" w:hAnsi="Verdana" w:cs="Calibri"/>
                <w:noProof/>
                <w:color w:val="000000"/>
                <w:sz w:val="14"/>
                <w:szCs w:val="14"/>
              </w:rPr>
            </w:pPr>
            <w:r>
              <w:rPr>
                <w:rFonts w:ascii="Verdana" w:hAnsi="Verdana"/>
                <w:noProof/>
                <w:color w:val="000000"/>
                <w:sz w:val="14"/>
              </w:rPr>
              <w:t>0,5</w:t>
            </w:r>
          </w:p>
        </w:tc>
      </w:tr>
      <w:tr>
        <w:trPr>
          <w:trHeight w:val="255"/>
          <w:jc w:val="center"/>
        </w:trPr>
        <w:tc>
          <w:tcPr>
            <w:tcW w:w="1984" w:type="dxa"/>
            <w:vAlign w:val="center"/>
          </w:tcPr>
          <w:p>
            <w:pPr>
              <w:rPr>
                <w:rFonts w:ascii="Verdana" w:hAnsi="Verdana" w:cs="Calibri"/>
                <w:noProof/>
                <w:color w:val="000000"/>
                <w:sz w:val="14"/>
                <w:szCs w:val="14"/>
              </w:rPr>
            </w:pPr>
            <w:r>
              <w:rPr>
                <w:rFonts w:ascii="Verdana" w:hAnsi="Verdana"/>
                <w:noProof/>
                <w:color w:val="000000"/>
                <w:sz w:val="14"/>
              </w:rPr>
              <w:t>Tchéquie</w:t>
            </w:r>
          </w:p>
        </w:tc>
        <w:tc>
          <w:tcPr>
            <w:tcW w:w="2551" w:type="dxa"/>
            <w:vAlign w:val="center"/>
          </w:tcPr>
          <w:p>
            <w:pPr>
              <w:jc w:val="right"/>
              <w:rPr>
                <w:rFonts w:ascii="Verdana" w:hAnsi="Verdana" w:cs="Calibri"/>
                <w:noProof/>
                <w:color w:val="000000"/>
                <w:sz w:val="14"/>
                <w:szCs w:val="14"/>
              </w:rPr>
            </w:pPr>
            <w:r>
              <w:rPr>
                <w:rFonts w:ascii="Verdana" w:hAnsi="Verdana"/>
                <w:noProof/>
                <w:color w:val="000000"/>
                <w:sz w:val="14"/>
              </w:rPr>
              <w:t>8,4</w:t>
            </w:r>
          </w:p>
        </w:tc>
        <w:tc>
          <w:tcPr>
            <w:tcW w:w="2551" w:type="dxa"/>
            <w:vAlign w:val="bottom"/>
          </w:tcPr>
          <w:p>
            <w:pPr>
              <w:jc w:val="right"/>
              <w:rPr>
                <w:rFonts w:ascii="Verdana" w:hAnsi="Verdana" w:cs="Calibri"/>
                <w:noProof/>
                <w:color w:val="000000"/>
                <w:sz w:val="14"/>
                <w:szCs w:val="14"/>
              </w:rPr>
            </w:pPr>
            <w:r>
              <w:rPr>
                <w:rFonts w:ascii="Verdana" w:hAnsi="Verdana"/>
                <w:noProof/>
                <w:color w:val="000000"/>
                <w:sz w:val="14"/>
              </w:rPr>
              <w:t>8,4</w:t>
            </w:r>
          </w:p>
        </w:tc>
        <w:tc>
          <w:tcPr>
            <w:tcW w:w="2552" w:type="dxa"/>
            <w:vAlign w:val="center"/>
          </w:tcPr>
          <w:p>
            <w:pPr>
              <w:jc w:val="right"/>
              <w:rPr>
                <w:rFonts w:ascii="Verdana" w:hAnsi="Verdana" w:cs="Calibri"/>
                <w:noProof/>
                <w:color w:val="000000"/>
                <w:sz w:val="14"/>
                <w:szCs w:val="14"/>
              </w:rPr>
            </w:pPr>
            <w:r>
              <w:rPr>
                <w:rFonts w:ascii="Verdana" w:hAnsi="Verdana"/>
                <w:noProof/>
                <w:color w:val="000000"/>
                <w:sz w:val="14"/>
              </w:rPr>
              <w:t>5,9</w:t>
            </w:r>
          </w:p>
        </w:tc>
      </w:tr>
      <w:tr>
        <w:trPr>
          <w:trHeight w:val="255"/>
          <w:jc w:val="center"/>
        </w:trPr>
        <w:tc>
          <w:tcPr>
            <w:tcW w:w="1984" w:type="dxa"/>
            <w:vAlign w:val="center"/>
          </w:tcPr>
          <w:p>
            <w:pPr>
              <w:rPr>
                <w:rFonts w:ascii="Verdana" w:hAnsi="Verdana" w:cs="Calibri"/>
                <w:noProof/>
                <w:color w:val="000000"/>
                <w:sz w:val="14"/>
                <w:szCs w:val="14"/>
              </w:rPr>
            </w:pPr>
            <w:r>
              <w:rPr>
                <w:rFonts w:ascii="Verdana" w:hAnsi="Verdana"/>
                <w:noProof/>
                <w:color w:val="000000"/>
                <w:sz w:val="14"/>
              </w:rPr>
              <w:t>Danemark</w:t>
            </w:r>
          </w:p>
        </w:tc>
        <w:tc>
          <w:tcPr>
            <w:tcW w:w="2551" w:type="dxa"/>
            <w:vAlign w:val="center"/>
          </w:tcPr>
          <w:p>
            <w:pPr>
              <w:jc w:val="right"/>
              <w:rPr>
                <w:rFonts w:ascii="Verdana" w:hAnsi="Verdana" w:cs="Calibri"/>
                <w:noProof/>
                <w:color w:val="000000"/>
                <w:sz w:val="14"/>
                <w:szCs w:val="14"/>
              </w:rPr>
            </w:pPr>
            <w:r>
              <w:rPr>
                <w:rFonts w:ascii="Verdana" w:hAnsi="Verdana"/>
                <w:noProof/>
                <w:color w:val="000000"/>
                <w:sz w:val="14"/>
              </w:rPr>
              <w:t>1,6</w:t>
            </w:r>
          </w:p>
        </w:tc>
        <w:tc>
          <w:tcPr>
            <w:tcW w:w="2551" w:type="dxa"/>
            <w:vAlign w:val="bottom"/>
          </w:tcPr>
          <w:p>
            <w:pPr>
              <w:jc w:val="right"/>
              <w:rPr>
                <w:rFonts w:ascii="Verdana" w:hAnsi="Verdana" w:cs="Calibri"/>
                <w:noProof/>
                <w:color w:val="000000"/>
                <w:sz w:val="14"/>
                <w:szCs w:val="14"/>
              </w:rPr>
            </w:pPr>
            <w:r>
              <w:rPr>
                <w:rFonts w:ascii="Verdana" w:hAnsi="Verdana"/>
                <w:noProof/>
                <w:color w:val="000000"/>
                <w:sz w:val="14"/>
              </w:rPr>
              <w:t>1,6</w:t>
            </w:r>
          </w:p>
        </w:tc>
        <w:tc>
          <w:tcPr>
            <w:tcW w:w="2552" w:type="dxa"/>
            <w:vAlign w:val="center"/>
          </w:tcPr>
          <w:p>
            <w:pPr>
              <w:jc w:val="right"/>
              <w:rPr>
                <w:rFonts w:ascii="Verdana" w:hAnsi="Verdana" w:cs="Calibri"/>
                <w:noProof/>
                <w:color w:val="000000"/>
                <w:sz w:val="14"/>
                <w:szCs w:val="14"/>
              </w:rPr>
            </w:pPr>
            <w:r>
              <w:rPr>
                <w:rFonts w:ascii="Verdana" w:hAnsi="Verdana"/>
                <w:noProof/>
                <w:color w:val="000000"/>
                <w:sz w:val="14"/>
              </w:rPr>
              <w:t>1,1</w:t>
            </w:r>
          </w:p>
        </w:tc>
      </w:tr>
      <w:tr>
        <w:trPr>
          <w:trHeight w:val="255"/>
          <w:jc w:val="center"/>
        </w:trPr>
        <w:tc>
          <w:tcPr>
            <w:tcW w:w="1984" w:type="dxa"/>
            <w:vAlign w:val="center"/>
          </w:tcPr>
          <w:p>
            <w:pPr>
              <w:rPr>
                <w:rFonts w:ascii="Verdana" w:hAnsi="Verdana" w:cs="Calibri"/>
                <w:noProof/>
                <w:color w:val="000000"/>
                <w:sz w:val="14"/>
                <w:szCs w:val="14"/>
              </w:rPr>
            </w:pPr>
            <w:r>
              <w:rPr>
                <w:rFonts w:ascii="Verdana" w:hAnsi="Verdana"/>
                <w:noProof/>
                <w:color w:val="000000"/>
                <w:sz w:val="14"/>
              </w:rPr>
              <w:t>Estonie</w:t>
            </w:r>
          </w:p>
        </w:tc>
        <w:tc>
          <w:tcPr>
            <w:tcW w:w="2551" w:type="dxa"/>
            <w:vAlign w:val="center"/>
          </w:tcPr>
          <w:p>
            <w:pPr>
              <w:jc w:val="right"/>
              <w:rPr>
                <w:rFonts w:ascii="Verdana" w:hAnsi="Verdana" w:cs="Calibri"/>
                <w:noProof/>
                <w:color w:val="000000"/>
                <w:sz w:val="14"/>
                <w:szCs w:val="14"/>
              </w:rPr>
            </w:pPr>
            <w:r>
              <w:rPr>
                <w:rFonts w:ascii="Verdana" w:hAnsi="Verdana"/>
                <w:noProof/>
                <w:color w:val="000000"/>
                <w:sz w:val="14"/>
              </w:rPr>
              <w:t>1,0</w:t>
            </w:r>
          </w:p>
        </w:tc>
        <w:tc>
          <w:tcPr>
            <w:tcW w:w="2551" w:type="dxa"/>
            <w:vAlign w:val="bottom"/>
          </w:tcPr>
          <w:p>
            <w:pPr>
              <w:jc w:val="right"/>
              <w:rPr>
                <w:rFonts w:ascii="Verdana" w:hAnsi="Verdana" w:cs="Calibri"/>
                <w:noProof/>
                <w:color w:val="000000"/>
                <w:sz w:val="14"/>
                <w:szCs w:val="14"/>
              </w:rPr>
            </w:pPr>
            <w:r>
              <w:rPr>
                <w:rFonts w:ascii="Verdana" w:hAnsi="Verdana"/>
                <w:noProof/>
                <w:color w:val="000000"/>
                <w:sz w:val="14"/>
              </w:rPr>
              <w:t>1,0</w:t>
            </w:r>
          </w:p>
        </w:tc>
        <w:tc>
          <w:tcPr>
            <w:tcW w:w="2552" w:type="dxa"/>
            <w:vAlign w:val="center"/>
          </w:tcPr>
          <w:p>
            <w:pPr>
              <w:jc w:val="right"/>
              <w:rPr>
                <w:rFonts w:ascii="Verdana" w:hAnsi="Verdana" w:cs="Calibri"/>
                <w:noProof/>
                <w:color w:val="000000"/>
                <w:sz w:val="14"/>
                <w:szCs w:val="14"/>
              </w:rPr>
            </w:pPr>
            <w:r>
              <w:rPr>
                <w:rFonts w:ascii="Verdana" w:hAnsi="Verdana"/>
                <w:noProof/>
                <w:color w:val="000000"/>
                <w:sz w:val="14"/>
              </w:rPr>
              <w:t>0,6</w:t>
            </w:r>
          </w:p>
        </w:tc>
      </w:tr>
      <w:tr>
        <w:trPr>
          <w:trHeight w:val="255"/>
          <w:jc w:val="center"/>
        </w:trPr>
        <w:tc>
          <w:tcPr>
            <w:tcW w:w="1984" w:type="dxa"/>
            <w:vAlign w:val="center"/>
          </w:tcPr>
          <w:p>
            <w:pPr>
              <w:rPr>
                <w:rFonts w:ascii="Verdana" w:hAnsi="Verdana" w:cs="Calibri"/>
                <w:noProof/>
                <w:color w:val="000000"/>
                <w:sz w:val="14"/>
                <w:szCs w:val="14"/>
              </w:rPr>
            </w:pPr>
            <w:r>
              <w:rPr>
                <w:rFonts w:ascii="Verdana" w:hAnsi="Verdana"/>
                <w:noProof/>
                <w:color w:val="000000"/>
                <w:sz w:val="14"/>
              </w:rPr>
              <w:t>Finlande</w:t>
            </w:r>
          </w:p>
        </w:tc>
        <w:tc>
          <w:tcPr>
            <w:tcW w:w="2551" w:type="dxa"/>
            <w:vAlign w:val="center"/>
          </w:tcPr>
          <w:p>
            <w:pPr>
              <w:jc w:val="right"/>
              <w:rPr>
                <w:rFonts w:ascii="Verdana" w:hAnsi="Verdana" w:cs="Calibri"/>
                <w:noProof/>
                <w:color w:val="000000"/>
                <w:sz w:val="14"/>
                <w:szCs w:val="14"/>
              </w:rPr>
            </w:pPr>
            <w:r>
              <w:rPr>
                <w:rFonts w:ascii="Verdana" w:hAnsi="Verdana"/>
                <w:noProof/>
                <w:color w:val="000000"/>
                <w:sz w:val="14"/>
              </w:rPr>
              <w:t>1,9</w:t>
            </w:r>
          </w:p>
        </w:tc>
        <w:tc>
          <w:tcPr>
            <w:tcW w:w="2551" w:type="dxa"/>
            <w:vAlign w:val="bottom"/>
          </w:tcPr>
          <w:p>
            <w:pPr>
              <w:jc w:val="right"/>
              <w:rPr>
                <w:rFonts w:ascii="Verdana" w:hAnsi="Verdana" w:cs="Calibri"/>
                <w:noProof/>
                <w:color w:val="000000"/>
                <w:sz w:val="14"/>
                <w:szCs w:val="14"/>
              </w:rPr>
            </w:pPr>
            <w:r>
              <w:rPr>
                <w:rFonts w:ascii="Verdana" w:hAnsi="Verdana"/>
                <w:noProof/>
                <w:color w:val="000000"/>
                <w:sz w:val="14"/>
              </w:rPr>
              <w:t>1,9</w:t>
            </w:r>
          </w:p>
        </w:tc>
        <w:tc>
          <w:tcPr>
            <w:tcW w:w="2552" w:type="dxa"/>
            <w:vAlign w:val="center"/>
          </w:tcPr>
          <w:p>
            <w:pPr>
              <w:jc w:val="right"/>
              <w:rPr>
                <w:rFonts w:ascii="Verdana" w:hAnsi="Verdana" w:cs="Calibri"/>
                <w:noProof/>
                <w:color w:val="000000"/>
                <w:sz w:val="14"/>
                <w:szCs w:val="14"/>
              </w:rPr>
            </w:pPr>
            <w:r>
              <w:rPr>
                <w:rFonts w:ascii="Verdana" w:hAnsi="Verdana"/>
                <w:noProof/>
                <w:color w:val="000000"/>
                <w:sz w:val="14"/>
              </w:rPr>
              <w:t>1,1</w:t>
            </w:r>
          </w:p>
        </w:tc>
      </w:tr>
      <w:tr>
        <w:trPr>
          <w:trHeight w:val="255"/>
          <w:jc w:val="center"/>
        </w:trPr>
        <w:tc>
          <w:tcPr>
            <w:tcW w:w="1984" w:type="dxa"/>
            <w:vAlign w:val="center"/>
          </w:tcPr>
          <w:p>
            <w:pPr>
              <w:rPr>
                <w:rFonts w:ascii="Verdana" w:hAnsi="Verdana" w:cs="Calibri"/>
                <w:noProof/>
                <w:color w:val="000000"/>
                <w:sz w:val="14"/>
                <w:szCs w:val="14"/>
              </w:rPr>
            </w:pPr>
            <w:r>
              <w:rPr>
                <w:rFonts w:ascii="Verdana" w:hAnsi="Verdana"/>
                <w:noProof/>
                <w:color w:val="000000"/>
                <w:sz w:val="14"/>
              </w:rPr>
              <w:t>France</w:t>
            </w:r>
          </w:p>
        </w:tc>
        <w:tc>
          <w:tcPr>
            <w:tcW w:w="2551" w:type="dxa"/>
            <w:vAlign w:val="center"/>
          </w:tcPr>
          <w:p>
            <w:pPr>
              <w:jc w:val="right"/>
              <w:rPr>
                <w:rFonts w:ascii="Verdana" w:hAnsi="Verdana" w:cs="Calibri"/>
                <w:noProof/>
                <w:color w:val="000000"/>
                <w:sz w:val="14"/>
                <w:szCs w:val="14"/>
              </w:rPr>
            </w:pPr>
            <w:r>
              <w:rPr>
                <w:rFonts w:ascii="Verdana" w:hAnsi="Verdana"/>
                <w:noProof/>
                <w:color w:val="000000"/>
                <w:sz w:val="14"/>
              </w:rPr>
              <w:t>40,3</w:t>
            </w:r>
          </w:p>
        </w:tc>
        <w:tc>
          <w:tcPr>
            <w:tcW w:w="2551" w:type="dxa"/>
            <w:vAlign w:val="bottom"/>
          </w:tcPr>
          <w:p>
            <w:pPr>
              <w:jc w:val="right"/>
              <w:rPr>
                <w:rFonts w:ascii="Verdana" w:hAnsi="Verdana" w:cs="Calibri"/>
                <w:noProof/>
                <w:color w:val="000000"/>
                <w:sz w:val="14"/>
                <w:szCs w:val="14"/>
              </w:rPr>
            </w:pPr>
            <w:r>
              <w:rPr>
                <w:rFonts w:ascii="Verdana" w:hAnsi="Verdana"/>
                <w:noProof/>
                <w:color w:val="000000"/>
                <w:sz w:val="14"/>
              </w:rPr>
              <w:t>40,3</w:t>
            </w:r>
          </w:p>
        </w:tc>
        <w:tc>
          <w:tcPr>
            <w:tcW w:w="2552" w:type="dxa"/>
            <w:vAlign w:val="center"/>
          </w:tcPr>
          <w:p>
            <w:pPr>
              <w:jc w:val="right"/>
              <w:rPr>
                <w:rFonts w:ascii="Verdana" w:hAnsi="Verdana" w:cs="Calibri"/>
                <w:noProof/>
                <w:color w:val="000000"/>
                <w:sz w:val="14"/>
                <w:szCs w:val="14"/>
              </w:rPr>
            </w:pPr>
            <w:r>
              <w:rPr>
                <w:rFonts w:ascii="Verdana" w:hAnsi="Verdana"/>
                <w:noProof/>
                <w:color w:val="000000"/>
                <w:sz w:val="14"/>
              </w:rPr>
              <w:t>34,1</w:t>
            </w:r>
          </w:p>
        </w:tc>
      </w:tr>
      <w:tr>
        <w:trPr>
          <w:trHeight w:val="255"/>
          <w:jc w:val="center"/>
        </w:trPr>
        <w:tc>
          <w:tcPr>
            <w:tcW w:w="1984" w:type="dxa"/>
            <w:vAlign w:val="center"/>
          </w:tcPr>
          <w:p>
            <w:pPr>
              <w:rPr>
                <w:rFonts w:ascii="Verdana" w:hAnsi="Verdana" w:cs="Calibri"/>
                <w:noProof/>
                <w:color w:val="000000"/>
                <w:sz w:val="14"/>
                <w:szCs w:val="14"/>
              </w:rPr>
            </w:pPr>
            <w:r>
              <w:rPr>
                <w:rFonts w:ascii="Verdana" w:hAnsi="Verdana"/>
                <w:noProof/>
                <w:color w:val="000000"/>
                <w:sz w:val="14"/>
              </w:rPr>
              <w:t>Allemagne</w:t>
            </w:r>
          </w:p>
        </w:tc>
        <w:tc>
          <w:tcPr>
            <w:tcW w:w="2551" w:type="dxa"/>
            <w:vAlign w:val="center"/>
          </w:tcPr>
          <w:p>
            <w:pPr>
              <w:jc w:val="right"/>
              <w:rPr>
                <w:rFonts w:ascii="Verdana" w:hAnsi="Verdana" w:cs="Calibri"/>
                <w:noProof/>
                <w:color w:val="000000"/>
                <w:sz w:val="14"/>
                <w:szCs w:val="14"/>
              </w:rPr>
            </w:pPr>
            <w:r>
              <w:rPr>
                <w:rFonts w:ascii="Verdana" w:hAnsi="Verdana"/>
                <w:noProof/>
                <w:color w:val="000000"/>
                <w:sz w:val="14"/>
              </w:rPr>
              <w:t>30,3</w:t>
            </w:r>
          </w:p>
        </w:tc>
        <w:tc>
          <w:tcPr>
            <w:tcW w:w="2551" w:type="dxa"/>
            <w:vAlign w:val="bottom"/>
          </w:tcPr>
          <w:p>
            <w:pPr>
              <w:jc w:val="right"/>
              <w:rPr>
                <w:rFonts w:ascii="Verdana" w:hAnsi="Verdana" w:cs="Calibri"/>
                <w:noProof/>
                <w:color w:val="000000"/>
                <w:sz w:val="14"/>
                <w:szCs w:val="14"/>
              </w:rPr>
            </w:pPr>
            <w:r>
              <w:rPr>
                <w:rFonts w:ascii="Verdana" w:hAnsi="Verdana"/>
                <w:noProof/>
                <w:color w:val="000000"/>
                <w:sz w:val="14"/>
              </w:rPr>
              <w:t>30,3</w:t>
            </w:r>
          </w:p>
        </w:tc>
        <w:tc>
          <w:tcPr>
            <w:tcW w:w="2552" w:type="dxa"/>
            <w:vAlign w:val="center"/>
          </w:tcPr>
          <w:p>
            <w:pPr>
              <w:jc w:val="right"/>
              <w:rPr>
                <w:rFonts w:ascii="Verdana" w:hAnsi="Verdana" w:cs="Calibri"/>
                <w:noProof/>
                <w:color w:val="000000"/>
                <w:sz w:val="14"/>
                <w:szCs w:val="14"/>
              </w:rPr>
            </w:pPr>
            <w:r>
              <w:rPr>
                <w:rFonts w:ascii="Verdana" w:hAnsi="Verdana"/>
                <w:noProof/>
                <w:color w:val="000000"/>
                <w:sz w:val="14"/>
              </w:rPr>
              <w:t>19,8</w:t>
            </w:r>
          </w:p>
        </w:tc>
      </w:tr>
      <w:tr>
        <w:trPr>
          <w:trHeight w:val="255"/>
          <w:jc w:val="center"/>
        </w:trPr>
        <w:tc>
          <w:tcPr>
            <w:tcW w:w="1984" w:type="dxa"/>
            <w:vAlign w:val="center"/>
          </w:tcPr>
          <w:p>
            <w:pPr>
              <w:rPr>
                <w:rFonts w:ascii="Verdana" w:hAnsi="Verdana" w:cs="Calibri"/>
                <w:noProof/>
                <w:color w:val="000000"/>
                <w:sz w:val="14"/>
                <w:szCs w:val="14"/>
              </w:rPr>
            </w:pPr>
            <w:r>
              <w:rPr>
                <w:rFonts w:ascii="Verdana" w:hAnsi="Verdana"/>
                <w:noProof/>
                <w:color w:val="000000"/>
                <w:sz w:val="14"/>
              </w:rPr>
              <w:t>Grèce</w:t>
            </w:r>
          </w:p>
        </w:tc>
        <w:tc>
          <w:tcPr>
            <w:tcW w:w="2551" w:type="dxa"/>
            <w:vAlign w:val="center"/>
          </w:tcPr>
          <w:p>
            <w:pPr>
              <w:jc w:val="right"/>
              <w:rPr>
                <w:rFonts w:ascii="Verdana" w:hAnsi="Verdana" w:cs="Calibri"/>
                <w:noProof/>
                <w:color w:val="000000"/>
                <w:sz w:val="14"/>
                <w:szCs w:val="14"/>
              </w:rPr>
            </w:pPr>
            <w:r>
              <w:rPr>
                <w:rFonts w:ascii="Verdana" w:hAnsi="Verdana"/>
                <w:noProof/>
                <w:color w:val="000000"/>
                <w:sz w:val="14"/>
              </w:rPr>
              <w:t>18,2</w:t>
            </w:r>
          </w:p>
        </w:tc>
        <w:tc>
          <w:tcPr>
            <w:tcW w:w="2551" w:type="dxa"/>
            <w:vAlign w:val="bottom"/>
          </w:tcPr>
          <w:p>
            <w:pPr>
              <w:jc w:val="right"/>
              <w:rPr>
                <w:rFonts w:ascii="Verdana" w:hAnsi="Verdana" w:cs="Calibri"/>
                <w:noProof/>
                <w:color w:val="000000"/>
                <w:sz w:val="14"/>
                <w:szCs w:val="14"/>
              </w:rPr>
            </w:pPr>
            <w:r>
              <w:rPr>
                <w:rFonts w:ascii="Verdana" w:hAnsi="Verdana"/>
                <w:noProof/>
                <w:color w:val="000000"/>
                <w:sz w:val="14"/>
              </w:rPr>
              <w:t>18,2</w:t>
            </w:r>
          </w:p>
        </w:tc>
        <w:tc>
          <w:tcPr>
            <w:tcW w:w="2552" w:type="dxa"/>
            <w:vAlign w:val="center"/>
          </w:tcPr>
          <w:p>
            <w:pPr>
              <w:jc w:val="right"/>
              <w:rPr>
                <w:rFonts w:ascii="Verdana" w:hAnsi="Verdana" w:cs="Calibri"/>
                <w:noProof/>
                <w:color w:val="000000"/>
                <w:sz w:val="14"/>
                <w:szCs w:val="14"/>
              </w:rPr>
            </w:pPr>
            <w:r>
              <w:rPr>
                <w:rFonts w:ascii="Verdana" w:hAnsi="Verdana"/>
                <w:noProof/>
                <w:color w:val="000000"/>
                <w:sz w:val="14"/>
              </w:rPr>
              <w:t>12,0</w:t>
            </w:r>
          </w:p>
        </w:tc>
      </w:tr>
      <w:tr>
        <w:trPr>
          <w:trHeight w:val="255"/>
          <w:jc w:val="center"/>
        </w:trPr>
        <w:tc>
          <w:tcPr>
            <w:tcW w:w="1984" w:type="dxa"/>
            <w:vAlign w:val="center"/>
          </w:tcPr>
          <w:p>
            <w:pPr>
              <w:rPr>
                <w:rFonts w:ascii="Verdana" w:hAnsi="Verdana" w:cs="Calibri"/>
                <w:noProof/>
                <w:color w:val="000000"/>
                <w:sz w:val="14"/>
                <w:szCs w:val="14"/>
              </w:rPr>
            </w:pPr>
            <w:r>
              <w:rPr>
                <w:rFonts w:ascii="Verdana" w:hAnsi="Verdana"/>
                <w:noProof/>
                <w:color w:val="000000"/>
                <w:sz w:val="14"/>
              </w:rPr>
              <w:t>Hongrie</w:t>
            </w:r>
          </w:p>
        </w:tc>
        <w:tc>
          <w:tcPr>
            <w:tcW w:w="2551" w:type="dxa"/>
            <w:vAlign w:val="center"/>
          </w:tcPr>
          <w:p>
            <w:pPr>
              <w:jc w:val="right"/>
              <w:rPr>
                <w:rFonts w:ascii="Verdana" w:hAnsi="Verdana" w:cs="Calibri"/>
                <w:noProof/>
                <w:color w:val="000000"/>
                <w:sz w:val="14"/>
                <w:szCs w:val="14"/>
              </w:rPr>
            </w:pPr>
            <w:r>
              <w:rPr>
                <w:rFonts w:ascii="Verdana" w:hAnsi="Verdana"/>
                <w:noProof/>
                <w:color w:val="000000"/>
                <w:sz w:val="14"/>
              </w:rPr>
              <w:t>6,5</w:t>
            </w:r>
          </w:p>
        </w:tc>
        <w:tc>
          <w:tcPr>
            <w:tcW w:w="2551" w:type="dxa"/>
            <w:vAlign w:val="bottom"/>
          </w:tcPr>
          <w:p>
            <w:pPr>
              <w:jc w:val="right"/>
              <w:rPr>
                <w:rFonts w:ascii="Verdana" w:hAnsi="Verdana" w:cs="Calibri"/>
                <w:noProof/>
                <w:color w:val="000000"/>
                <w:sz w:val="14"/>
                <w:szCs w:val="14"/>
              </w:rPr>
            </w:pPr>
            <w:r>
              <w:rPr>
                <w:rFonts w:ascii="Verdana" w:hAnsi="Verdana"/>
                <w:noProof/>
                <w:color w:val="000000"/>
                <w:sz w:val="14"/>
              </w:rPr>
              <w:t>6,5</w:t>
            </w:r>
          </w:p>
        </w:tc>
        <w:tc>
          <w:tcPr>
            <w:tcW w:w="2552" w:type="dxa"/>
            <w:vAlign w:val="center"/>
          </w:tcPr>
          <w:p>
            <w:pPr>
              <w:jc w:val="right"/>
              <w:rPr>
                <w:rFonts w:ascii="Verdana" w:hAnsi="Verdana" w:cs="Calibri"/>
                <w:noProof/>
                <w:color w:val="000000"/>
                <w:sz w:val="14"/>
                <w:szCs w:val="14"/>
              </w:rPr>
            </w:pPr>
            <w:r>
              <w:rPr>
                <w:rFonts w:ascii="Verdana" w:hAnsi="Verdana"/>
                <w:noProof/>
                <w:color w:val="000000"/>
                <w:sz w:val="14"/>
              </w:rPr>
              <w:t>0,1</w:t>
            </w:r>
          </w:p>
        </w:tc>
      </w:tr>
      <w:tr>
        <w:trPr>
          <w:trHeight w:val="255"/>
          <w:jc w:val="center"/>
        </w:trPr>
        <w:tc>
          <w:tcPr>
            <w:tcW w:w="1984" w:type="dxa"/>
            <w:vAlign w:val="center"/>
          </w:tcPr>
          <w:p>
            <w:pPr>
              <w:rPr>
                <w:rFonts w:ascii="Verdana" w:hAnsi="Verdana" w:cs="Calibri"/>
                <w:noProof/>
                <w:color w:val="000000"/>
                <w:sz w:val="14"/>
                <w:szCs w:val="14"/>
              </w:rPr>
            </w:pPr>
            <w:r>
              <w:rPr>
                <w:rFonts w:ascii="Verdana" w:hAnsi="Verdana"/>
                <w:noProof/>
                <w:color w:val="000000"/>
                <w:sz w:val="14"/>
              </w:rPr>
              <w:t>Irlande</w:t>
            </w:r>
          </w:p>
        </w:tc>
        <w:tc>
          <w:tcPr>
            <w:tcW w:w="2551" w:type="dxa"/>
            <w:vAlign w:val="center"/>
          </w:tcPr>
          <w:p>
            <w:pPr>
              <w:jc w:val="right"/>
              <w:rPr>
                <w:rFonts w:ascii="Verdana" w:hAnsi="Verdana" w:cs="Calibri"/>
                <w:noProof/>
                <w:color w:val="000000"/>
                <w:sz w:val="14"/>
                <w:szCs w:val="14"/>
              </w:rPr>
            </w:pPr>
            <w:r>
              <w:rPr>
                <w:rFonts w:ascii="Verdana" w:hAnsi="Verdana"/>
                <w:noProof/>
                <w:color w:val="000000"/>
                <w:sz w:val="14"/>
              </w:rPr>
              <w:t>1,2</w:t>
            </w:r>
          </w:p>
        </w:tc>
        <w:tc>
          <w:tcPr>
            <w:tcW w:w="2551" w:type="dxa"/>
            <w:vAlign w:val="bottom"/>
          </w:tcPr>
          <w:p>
            <w:pPr>
              <w:jc w:val="right"/>
              <w:rPr>
                <w:rFonts w:ascii="Verdana" w:hAnsi="Verdana" w:cs="Calibri"/>
                <w:noProof/>
                <w:color w:val="000000"/>
                <w:sz w:val="14"/>
                <w:szCs w:val="14"/>
              </w:rPr>
            </w:pPr>
            <w:r>
              <w:rPr>
                <w:rFonts w:ascii="Verdana" w:hAnsi="Verdana"/>
                <w:noProof/>
                <w:color w:val="000000"/>
                <w:sz w:val="14"/>
              </w:rPr>
              <w:t>1,2</w:t>
            </w:r>
          </w:p>
        </w:tc>
        <w:tc>
          <w:tcPr>
            <w:tcW w:w="2552" w:type="dxa"/>
            <w:vAlign w:val="center"/>
          </w:tcPr>
          <w:p>
            <w:pPr>
              <w:jc w:val="right"/>
              <w:rPr>
                <w:rFonts w:ascii="Verdana" w:hAnsi="Verdana" w:cs="Calibri"/>
                <w:noProof/>
                <w:color w:val="000000"/>
                <w:sz w:val="14"/>
                <w:szCs w:val="14"/>
              </w:rPr>
            </w:pPr>
            <w:r>
              <w:rPr>
                <w:rFonts w:ascii="Verdana" w:hAnsi="Verdana"/>
                <w:noProof/>
                <w:color w:val="000000"/>
                <w:sz w:val="14"/>
              </w:rPr>
              <w:t>0,7</w:t>
            </w:r>
          </w:p>
        </w:tc>
      </w:tr>
      <w:tr>
        <w:trPr>
          <w:trHeight w:val="255"/>
          <w:jc w:val="center"/>
        </w:trPr>
        <w:tc>
          <w:tcPr>
            <w:tcW w:w="1984" w:type="dxa"/>
            <w:vAlign w:val="center"/>
          </w:tcPr>
          <w:p>
            <w:pPr>
              <w:rPr>
                <w:rFonts w:ascii="Verdana" w:hAnsi="Verdana" w:cs="Calibri"/>
                <w:noProof/>
                <w:color w:val="000000"/>
                <w:sz w:val="14"/>
                <w:szCs w:val="14"/>
              </w:rPr>
            </w:pPr>
            <w:r>
              <w:rPr>
                <w:rFonts w:ascii="Verdana" w:hAnsi="Verdana"/>
                <w:noProof/>
                <w:color w:val="000000"/>
                <w:sz w:val="14"/>
              </w:rPr>
              <w:t>Italie</w:t>
            </w:r>
          </w:p>
        </w:tc>
        <w:tc>
          <w:tcPr>
            <w:tcW w:w="2551" w:type="dxa"/>
            <w:vAlign w:val="center"/>
          </w:tcPr>
          <w:p>
            <w:pPr>
              <w:jc w:val="right"/>
              <w:rPr>
                <w:rFonts w:ascii="Verdana" w:hAnsi="Verdana" w:cs="Calibri"/>
                <w:noProof/>
                <w:color w:val="000000"/>
                <w:sz w:val="14"/>
                <w:szCs w:val="14"/>
              </w:rPr>
            </w:pPr>
            <w:r>
              <w:rPr>
                <w:rFonts w:ascii="Verdana" w:hAnsi="Verdana"/>
                <w:noProof/>
                <w:color w:val="000000"/>
                <w:sz w:val="14"/>
              </w:rPr>
              <w:t>71,8</w:t>
            </w:r>
          </w:p>
        </w:tc>
        <w:tc>
          <w:tcPr>
            <w:tcW w:w="2551" w:type="dxa"/>
            <w:vAlign w:val="bottom"/>
          </w:tcPr>
          <w:p>
            <w:pPr>
              <w:jc w:val="right"/>
              <w:rPr>
                <w:rFonts w:ascii="Verdana" w:hAnsi="Verdana" w:cs="Calibri"/>
                <w:noProof/>
                <w:color w:val="000000"/>
                <w:sz w:val="14"/>
                <w:szCs w:val="14"/>
              </w:rPr>
            </w:pPr>
            <w:r>
              <w:rPr>
                <w:rFonts w:ascii="Verdana" w:hAnsi="Verdana"/>
                <w:noProof/>
                <w:color w:val="000000"/>
                <w:sz w:val="14"/>
              </w:rPr>
              <w:t>71,8</w:t>
            </w:r>
          </w:p>
        </w:tc>
        <w:tc>
          <w:tcPr>
            <w:tcW w:w="2552" w:type="dxa"/>
            <w:vAlign w:val="center"/>
          </w:tcPr>
          <w:p>
            <w:pPr>
              <w:jc w:val="right"/>
              <w:rPr>
                <w:rFonts w:ascii="Verdana" w:hAnsi="Verdana" w:cs="Calibri"/>
                <w:noProof/>
                <w:color w:val="000000"/>
                <w:sz w:val="14"/>
                <w:szCs w:val="14"/>
              </w:rPr>
            </w:pPr>
            <w:r>
              <w:rPr>
                <w:rFonts w:ascii="Verdana" w:hAnsi="Verdana"/>
                <w:noProof/>
                <w:color w:val="000000"/>
                <w:sz w:val="14"/>
              </w:rPr>
              <w:t>54,1</w:t>
            </w:r>
          </w:p>
        </w:tc>
      </w:tr>
      <w:tr>
        <w:trPr>
          <w:trHeight w:val="255"/>
          <w:jc w:val="center"/>
        </w:trPr>
        <w:tc>
          <w:tcPr>
            <w:tcW w:w="1984" w:type="dxa"/>
            <w:vAlign w:val="center"/>
          </w:tcPr>
          <w:p>
            <w:pPr>
              <w:rPr>
                <w:rFonts w:ascii="Verdana" w:hAnsi="Verdana" w:cs="Calibri"/>
                <w:noProof/>
                <w:color w:val="000000"/>
                <w:sz w:val="14"/>
                <w:szCs w:val="14"/>
              </w:rPr>
            </w:pPr>
            <w:r>
              <w:rPr>
                <w:rFonts w:ascii="Verdana" w:hAnsi="Verdana"/>
                <w:noProof/>
                <w:color w:val="000000"/>
                <w:sz w:val="14"/>
              </w:rPr>
              <w:t>Lettonie</w:t>
            </w:r>
          </w:p>
        </w:tc>
        <w:tc>
          <w:tcPr>
            <w:tcW w:w="2551" w:type="dxa"/>
            <w:vAlign w:val="center"/>
          </w:tcPr>
          <w:p>
            <w:pPr>
              <w:jc w:val="right"/>
              <w:rPr>
                <w:rFonts w:ascii="Verdana" w:hAnsi="Verdana" w:cs="Calibri"/>
                <w:noProof/>
                <w:color w:val="000000"/>
                <w:sz w:val="14"/>
                <w:szCs w:val="14"/>
              </w:rPr>
            </w:pPr>
            <w:r>
              <w:rPr>
                <w:rFonts w:ascii="Verdana" w:hAnsi="Verdana"/>
                <w:noProof/>
                <w:color w:val="000000"/>
                <w:sz w:val="14"/>
              </w:rPr>
              <w:t>2,0</w:t>
            </w:r>
          </w:p>
        </w:tc>
        <w:tc>
          <w:tcPr>
            <w:tcW w:w="2551" w:type="dxa"/>
            <w:vAlign w:val="bottom"/>
          </w:tcPr>
          <w:p>
            <w:pPr>
              <w:jc w:val="right"/>
              <w:rPr>
                <w:rFonts w:ascii="Verdana" w:hAnsi="Verdana" w:cs="Calibri"/>
                <w:noProof/>
                <w:color w:val="000000"/>
                <w:sz w:val="14"/>
                <w:szCs w:val="14"/>
              </w:rPr>
            </w:pPr>
            <w:r>
              <w:rPr>
                <w:rFonts w:ascii="Verdana" w:hAnsi="Verdana"/>
                <w:noProof/>
                <w:color w:val="000000"/>
                <w:sz w:val="14"/>
              </w:rPr>
              <w:t>2,0</w:t>
            </w:r>
          </w:p>
        </w:tc>
        <w:tc>
          <w:tcPr>
            <w:tcW w:w="2552" w:type="dxa"/>
            <w:vAlign w:val="center"/>
          </w:tcPr>
          <w:p>
            <w:pPr>
              <w:jc w:val="right"/>
              <w:rPr>
                <w:rFonts w:ascii="Verdana" w:hAnsi="Verdana" w:cs="Calibri"/>
                <w:noProof/>
                <w:color w:val="000000"/>
                <w:sz w:val="14"/>
                <w:szCs w:val="14"/>
              </w:rPr>
            </w:pPr>
            <w:r>
              <w:rPr>
                <w:rFonts w:ascii="Verdana" w:hAnsi="Verdana"/>
                <w:noProof/>
                <w:color w:val="000000"/>
                <w:sz w:val="14"/>
              </w:rPr>
              <w:t>1,1</w:t>
            </w:r>
          </w:p>
        </w:tc>
      </w:tr>
      <w:tr>
        <w:trPr>
          <w:trHeight w:val="255"/>
          <w:jc w:val="center"/>
        </w:trPr>
        <w:tc>
          <w:tcPr>
            <w:tcW w:w="1984" w:type="dxa"/>
            <w:vAlign w:val="center"/>
          </w:tcPr>
          <w:p>
            <w:pPr>
              <w:rPr>
                <w:rFonts w:ascii="Verdana" w:hAnsi="Verdana" w:cs="Calibri"/>
                <w:noProof/>
                <w:color w:val="000000"/>
                <w:sz w:val="14"/>
                <w:szCs w:val="14"/>
              </w:rPr>
            </w:pPr>
            <w:r>
              <w:rPr>
                <w:rFonts w:ascii="Verdana" w:hAnsi="Verdana"/>
                <w:noProof/>
                <w:color w:val="000000"/>
                <w:sz w:val="14"/>
              </w:rPr>
              <w:t>Lituanie</w:t>
            </w:r>
          </w:p>
        </w:tc>
        <w:tc>
          <w:tcPr>
            <w:tcW w:w="2551" w:type="dxa"/>
            <w:vAlign w:val="center"/>
          </w:tcPr>
          <w:p>
            <w:pPr>
              <w:jc w:val="right"/>
              <w:rPr>
                <w:rFonts w:ascii="Verdana" w:hAnsi="Verdana" w:cs="Calibri"/>
                <w:noProof/>
                <w:color w:val="000000"/>
                <w:sz w:val="14"/>
                <w:szCs w:val="14"/>
              </w:rPr>
            </w:pPr>
            <w:r>
              <w:rPr>
                <w:rFonts w:ascii="Verdana" w:hAnsi="Verdana"/>
                <w:noProof/>
                <w:color w:val="000000"/>
                <w:sz w:val="14"/>
              </w:rPr>
              <w:t>2,3</w:t>
            </w:r>
          </w:p>
        </w:tc>
        <w:tc>
          <w:tcPr>
            <w:tcW w:w="2551" w:type="dxa"/>
            <w:vAlign w:val="bottom"/>
          </w:tcPr>
          <w:p>
            <w:pPr>
              <w:jc w:val="right"/>
              <w:rPr>
                <w:rFonts w:ascii="Verdana" w:hAnsi="Verdana" w:cs="Calibri"/>
                <w:noProof/>
                <w:color w:val="000000"/>
                <w:sz w:val="14"/>
                <w:szCs w:val="14"/>
              </w:rPr>
            </w:pPr>
            <w:r>
              <w:rPr>
                <w:rFonts w:ascii="Verdana" w:hAnsi="Verdana"/>
                <w:noProof/>
                <w:color w:val="000000"/>
                <w:sz w:val="14"/>
              </w:rPr>
              <w:t>2,3</w:t>
            </w:r>
          </w:p>
        </w:tc>
        <w:tc>
          <w:tcPr>
            <w:tcW w:w="2552" w:type="dxa"/>
            <w:vAlign w:val="center"/>
          </w:tcPr>
          <w:p>
            <w:pPr>
              <w:jc w:val="right"/>
              <w:rPr>
                <w:rFonts w:ascii="Verdana" w:hAnsi="Verdana" w:cs="Calibri"/>
                <w:noProof/>
                <w:color w:val="000000"/>
                <w:sz w:val="14"/>
                <w:szCs w:val="14"/>
              </w:rPr>
            </w:pPr>
            <w:r>
              <w:rPr>
                <w:rFonts w:ascii="Verdana" w:hAnsi="Verdana"/>
                <w:noProof/>
                <w:color w:val="000000"/>
                <w:sz w:val="14"/>
              </w:rPr>
              <w:t>1,1</w:t>
            </w:r>
          </w:p>
        </w:tc>
      </w:tr>
      <w:tr>
        <w:trPr>
          <w:trHeight w:val="255"/>
          <w:jc w:val="center"/>
        </w:trPr>
        <w:tc>
          <w:tcPr>
            <w:tcW w:w="1984" w:type="dxa"/>
            <w:vAlign w:val="center"/>
          </w:tcPr>
          <w:p>
            <w:pPr>
              <w:rPr>
                <w:rFonts w:ascii="Verdana" w:hAnsi="Verdana" w:cs="Calibri"/>
                <w:noProof/>
                <w:color w:val="000000"/>
                <w:sz w:val="14"/>
                <w:szCs w:val="14"/>
              </w:rPr>
            </w:pPr>
            <w:r>
              <w:rPr>
                <w:rFonts w:ascii="Verdana" w:hAnsi="Verdana"/>
                <w:noProof/>
                <w:color w:val="000000"/>
                <w:sz w:val="14"/>
              </w:rPr>
              <w:t>Luxembourg</w:t>
            </w:r>
          </w:p>
        </w:tc>
        <w:tc>
          <w:tcPr>
            <w:tcW w:w="2551" w:type="dxa"/>
            <w:vAlign w:val="center"/>
          </w:tcPr>
          <w:p>
            <w:pPr>
              <w:jc w:val="right"/>
              <w:rPr>
                <w:rFonts w:ascii="Verdana" w:hAnsi="Verdana" w:cs="Calibri"/>
                <w:noProof/>
                <w:color w:val="000000"/>
                <w:sz w:val="14"/>
                <w:szCs w:val="14"/>
              </w:rPr>
            </w:pPr>
            <w:r>
              <w:rPr>
                <w:rFonts w:ascii="Verdana" w:hAnsi="Verdana"/>
                <w:noProof/>
                <w:color w:val="000000"/>
                <w:sz w:val="14"/>
              </w:rPr>
              <w:t>0,2</w:t>
            </w:r>
          </w:p>
        </w:tc>
        <w:tc>
          <w:tcPr>
            <w:tcW w:w="2551" w:type="dxa"/>
            <w:vAlign w:val="bottom"/>
          </w:tcPr>
          <w:p>
            <w:pPr>
              <w:jc w:val="right"/>
              <w:rPr>
                <w:rFonts w:ascii="Verdana" w:hAnsi="Verdana" w:cs="Calibri"/>
                <w:noProof/>
                <w:color w:val="000000"/>
                <w:sz w:val="14"/>
                <w:szCs w:val="14"/>
              </w:rPr>
            </w:pPr>
            <w:r>
              <w:rPr>
                <w:rFonts w:ascii="Verdana" w:hAnsi="Verdana"/>
                <w:noProof/>
                <w:color w:val="000000"/>
                <w:sz w:val="14"/>
              </w:rPr>
              <w:t>0,2</w:t>
            </w:r>
          </w:p>
        </w:tc>
        <w:tc>
          <w:tcPr>
            <w:tcW w:w="2552" w:type="dxa"/>
            <w:vAlign w:val="center"/>
          </w:tcPr>
          <w:p>
            <w:pPr>
              <w:jc w:val="right"/>
              <w:rPr>
                <w:rFonts w:ascii="Verdana" w:hAnsi="Verdana" w:cs="Calibri"/>
                <w:noProof/>
                <w:color w:val="000000"/>
                <w:sz w:val="14"/>
                <w:szCs w:val="14"/>
              </w:rPr>
            </w:pPr>
            <w:r>
              <w:rPr>
                <w:rFonts w:ascii="Verdana" w:hAnsi="Verdana"/>
                <w:noProof/>
                <w:color w:val="000000"/>
                <w:sz w:val="14"/>
              </w:rPr>
              <w:t>0,1</w:t>
            </w:r>
          </w:p>
        </w:tc>
      </w:tr>
      <w:tr>
        <w:trPr>
          <w:trHeight w:val="255"/>
          <w:jc w:val="center"/>
        </w:trPr>
        <w:tc>
          <w:tcPr>
            <w:tcW w:w="1984" w:type="dxa"/>
            <w:vAlign w:val="center"/>
          </w:tcPr>
          <w:p>
            <w:pPr>
              <w:rPr>
                <w:rFonts w:ascii="Verdana" w:hAnsi="Verdana" w:cs="Calibri"/>
                <w:noProof/>
                <w:color w:val="000000"/>
                <w:sz w:val="14"/>
                <w:szCs w:val="14"/>
              </w:rPr>
            </w:pPr>
            <w:r>
              <w:rPr>
                <w:rFonts w:ascii="Verdana" w:hAnsi="Verdana"/>
                <w:noProof/>
                <w:color w:val="000000"/>
                <w:sz w:val="14"/>
              </w:rPr>
              <w:t>Malte</w:t>
            </w:r>
          </w:p>
        </w:tc>
        <w:tc>
          <w:tcPr>
            <w:tcW w:w="2551" w:type="dxa"/>
            <w:vAlign w:val="center"/>
          </w:tcPr>
          <w:p>
            <w:pPr>
              <w:jc w:val="right"/>
              <w:rPr>
                <w:rFonts w:ascii="Verdana" w:hAnsi="Verdana" w:cs="Calibri"/>
                <w:noProof/>
                <w:color w:val="000000"/>
                <w:sz w:val="14"/>
                <w:szCs w:val="14"/>
              </w:rPr>
            </w:pPr>
            <w:r>
              <w:rPr>
                <w:rFonts w:ascii="Verdana" w:hAnsi="Verdana"/>
                <w:noProof/>
                <w:color w:val="000000"/>
                <w:sz w:val="14"/>
              </w:rPr>
              <w:t>0,3</w:t>
            </w:r>
          </w:p>
        </w:tc>
        <w:tc>
          <w:tcPr>
            <w:tcW w:w="2551" w:type="dxa"/>
            <w:vAlign w:val="bottom"/>
          </w:tcPr>
          <w:p>
            <w:pPr>
              <w:jc w:val="right"/>
              <w:rPr>
                <w:rFonts w:ascii="Verdana" w:hAnsi="Verdana" w:cs="Calibri"/>
                <w:noProof/>
                <w:color w:val="000000"/>
                <w:sz w:val="14"/>
                <w:szCs w:val="14"/>
              </w:rPr>
            </w:pPr>
            <w:r>
              <w:rPr>
                <w:rFonts w:ascii="Verdana" w:hAnsi="Verdana"/>
                <w:noProof/>
                <w:color w:val="000000"/>
                <w:sz w:val="14"/>
              </w:rPr>
              <w:t>0,3</w:t>
            </w:r>
          </w:p>
        </w:tc>
        <w:tc>
          <w:tcPr>
            <w:tcW w:w="2552" w:type="dxa"/>
            <w:vAlign w:val="center"/>
          </w:tcPr>
          <w:p>
            <w:pPr>
              <w:jc w:val="right"/>
              <w:rPr>
                <w:rFonts w:ascii="Verdana" w:hAnsi="Verdana" w:cs="Calibri"/>
                <w:noProof/>
                <w:color w:val="000000"/>
                <w:sz w:val="14"/>
                <w:szCs w:val="14"/>
              </w:rPr>
            </w:pPr>
            <w:r>
              <w:rPr>
                <w:rFonts w:ascii="Verdana" w:hAnsi="Verdana"/>
                <w:noProof/>
                <w:color w:val="000000"/>
                <w:sz w:val="14"/>
              </w:rPr>
              <w:t>0,2</w:t>
            </w:r>
          </w:p>
        </w:tc>
      </w:tr>
      <w:tr>
        <w:trPr>
          <w:trHeight w:val="255"/>
          <w:jc w:val="center"/>
        </w:trPr>
        <w:tc>
          <w:tcPr>
            <w:tcW w:w="1984" w:type="dxa"/>
            <w:vAlign w:val="center"/>
          </w:tcPr>
          <w:p>
            <w:pPr>
              <w:rPr>
                <w:rFonts w:ascii="Verdana" w:hAnsi="Verdana" w:cs="Calibri"/>
                <w:noProof/>
                <w:color w:val="000000"/>
                <w:sz w:val="14"/>
                <w:szCs w:val="14"/>
              </w:rPr>
            </w:pPr>
            <w:r>
              <w:rPr>
                <w:rFonts w:ascii="Verdana" w:hAnsi="Verdana"/>
                <w:noProof/>
                <w:color w:val="000000"/>
                <w:sz w:val="14"/>
              </w:rPr>
              <w:t>Pays-Bas</w:t>
            </w:r>
          </w:p>
        </w:tc>
        <w:tc>
          <w:tcPr>
            <w:tcW w:w="2551" w:type="dxa"/>
            <w:vAlign w:val="center"/>
          </w:tcPr>
          <w:p>
            <w:pPr>
              <w:jc w:val="right"/>
              <w:rPr>
                <w:rFonts w:ascii="Verdana" w:hAnsi="Verdana" w:cs="Calibri"/>
                <w:noProof/>
                <w:color w:val="000000"/>
                <w:sz w:val="14"/>
                <w:szCs w:val="14"/>
              </w:rPr>
            </w:pPr>
            <w:r>
              <w:rPr>
                <w:rFonts w:ascii="Verdana" w:hAnsi="Verdana"/>
                <w:noProof/>
                <w:color w:val="000000"/>
                <w:sz w:val="14"/>
              </w:rPr>
              <w:t>5,4</w:t>
            </w:r>
          </w:p>
        </w:tc>
        <w:tc>
          <w:tcPr>
            <w:tcW w:w="2551" w:type="dxa"/>
            <w:vAlign w:val="bottom"/>
          </w:tcPr>
          <w:p>
            <w:pPr>
              <w:jc w:val="right"/>
              <w:rPr>
                <w:rFonts w:ascii="Verdana" w:hAnsi="Verdana" w:cs="Calibri"/>
                <w:noProof/>
                <w:color w:val="000000"/>
                <w:sz w:val="14"/>
                <w:szCs w:val="14"/>
              </w:rPr>
            </w:pPr>
            <w:r>
              <w:rPr>
                <w:rFonts w:ascii="Verdana" w:hAnsi="Verdana"/>
                <w:noProof/>
                <w:color w:val="000000"/>
                <w:sz w:val="14"/>
              </w:rPr>
              <w:t>5,4</w:t>
            </w:r>
          </w:p>
        </w:tc>
        <w:tc>
          <w:tcPr>
            <w:tcW w:w="2552" w:type="dxa"/>
            <w:vAlign w:val="center"/>
          </w:tcPr>
          <w:p>
            <w:pPr>
              <w:jc w:val="right"/>
              <w:rPr>
                <w:rFonts w:ascii="Verdana" w:hAnsi="Verdana" w:cs="Calibri"/>
                <w:noProof/>
                <w:color w:val="000000"/>
                <w:sz w:val="14"/>
                <w:szCs w:val="14"/>
              </w:rPr>
            </w:pPr>
            <w:r>
              <w:rPr>
                <w:rFonts w:ascii="Verdana" w:hAnsi="Verdana"/>
                <w:noProof/>
                <w:color w:val="000000"/>
                <w:sz w:val="14"/>
              </w:rPr>
              <w:t>2,5</w:t>
            </w:r>
          </w:p>
        </w:tc>
      </w:tr>
      <w:tr>
        <w:trPr>
          <w:trHeight w:val="255"/>
          <w:jc w:val="center"/>
        </w:trPr>
        <w:tc>
          <w:tcPr>
            <w:tcW w:w="1984" w:type="dxa"/>
            <w:vAlign w:val="center"/>
          </w:tcPr>
          <w:p>
            <w:pPr>
              <w:rPr>
                <w:rFonts w:ascii="Verdana" w:hAnsi="Verdana" w:cs="Calibri"/>
                <w:noProof/>
                <w:color w:val="000000"/>
                <w:sz w:val="14"/>
                <w:szCs w:val="14"/>
              </w:rPr>
            </w:pPr>
            <w:r>
              <w:rPr>
                <w:rFonts w:ascii="Verdana" w:hAnsi="Verdana"/>
                <w:noProof/>
                <w:color w:val="000000"/>
                <w:sz w:val="14"/>
              </w:rPr>
              <w:t>Pologne</w:t>
            </w:r>
          </w:p>
        </w:tc>
        <w:tc>
          <w:tcPr>
            <w:tcW w:w="2551" w:type="dxa"/>
            <w:vAlign w:val="center"/>
          </w:tcPr>
          <w:p>
            <w:pPr>
              <w:jc w:val="right"/>
              <w:rPr>
                <w:rFonts w:ascii="Verdana" w:hAnsi="Verdana" w:cs="Calibri"/>
                <w:noProof/>
                <w:color w:val="000000"/>
                <w:sz w:val="14"/>
                <w:szCs w:val="14"/>
              </w:rPr>
            </w:pPr>
            <w:r>
              <w:rPr>
                <w:rFonts w:ascii="Verdana" w:hAnsi="Verdana"/>
                <w:noProof/>
                <w:color w:val="000000"/>
                <w:sz w:val="14"/>
              </w:rPr>
              <w:t>25,3</w:t>
            </w:r>
          </w:p>
        </w:tc>
        <w:tc>
          <w:tcPr>
            <w:tcW w:w="2551" w:type="dxa"/>
            <w:vAlign w:val="bottom"/>
          </w:tcPr>
          <w:p>
            <w:pPr>
              <w:jc w:val="right"/>
              <w:rPr>
                <w:rFonts w:ascii="Verdana" w:hAnsi="Verdana" w:cs="Calibri"/>
                <w:noProof/>
                <w:color w:val="000000"/>
                <w:sz w:val="14"/>
                <w:szCs w:val="14"/>
              </w:rPr>
            </w:pPr>
            <w:r>
              <w:rPr>
                <w:rFonts w:ascii="Verdana" w:hAnsi="Verdana"/>
                <w:noProof/>
                <w:color w:val="000000"/>
                <w:sz w:val="14"/>
              </w:rPr>
              <w:t>25,3</w:t>
            </w:r>
          </w:p>
        </w:tc>
        <w:tc>
          <w:tcPr>
            <w:tcW w:w="2552" w:type="dxa"/>
            <w:vAlign w:val="center"/>
          </w:tcPr>
          <w:p>
            <w:pPr>
              <w:jc w:val="right"/>
              <w:rPr>
                <w:rFonts w:ascii="Verdana" w:hAnsi="Verdana" w:cs="Calibri"/>
                <w:noProof/>
                <w:color w:val="000000"/>
                <w:sz w:val="14"/>
                <w:szCs w:val="14"/>
              </w:rPr>
            </w:pPr>
            <w:r>
              <w:rPr>
                <w:rFonts w:ascii="Verdana" w:hAnsi="Verdana"/>
                <w:noProof/>
                <w:color w:val="000000"/>
                <w:sz w:val="14"/>
              </w:rPr>
              <w:t>9,5</w:t>
            </w:r>
          </w:p>
        </w:tc>
      </w:tr>
      <w:tr>
        <w:trPr>
          <w:trHeight w:val="255"/>
          <w:jc w:val="center"/>
        </w:trPr>
        <w:tc>
          <w:tcPr>
            <w:tcW w:w="1984" w:type="dxa"/>
            <w:vAlign w:val="center"/>
          </w:tcPr>
          <w:p>
            <w:pPr>
              <w:rPr>
                <w:rFonts w:ascii="Verdana" w:hAnsi="Verdana" w:cs="Calibri"/>
                <w:noProof/>
                <w:color w:val="000000"/>
                <w:sz w:val="14"/>
                <w:szCs w:val="14"/>
              </w:rPr>
            </w:pPr>
            <w:r>
              <w:rPr>
                <w:rFonts w:ascii="Verdana" w:hAnsi="Verdana"/>
                <w:noProof/>
                <w:color w:val="000000"/>
                <w:sz w:val="14"/>
              </w:rPr>
              <w:t>Portugal</w:t>
            </w:r>
          </w:p>
        </w:tc>
        <w:tc>
          <w:tcPr>
            <w:tcW w:w="2551" w:type="dxa"/>
            <w:vAlign w:val="center"/>
          </w:tcPr>
          <w:p>
            <w:pPr>
              <w:jc w:val="right"/>
              <w:rPr>
                <w:rFonts w:ascii="Verdana" w:hAnsi="Verdana" w:cs="Calibri"/>
                <w:noProof/>
                <w:color w:val="000000"/>
                <w:sz w:val="14"/>
                <w:szCs w:val="14"/>
              </w:rPr>
            </w:pPr>
            <w:r>
              <w:rPr>
                <w:rFonts w:ascii="Verdana" w:hAnsi="Verdana"/>
                <w:noProof/>
                <w:color w:val="000000"/>
                <w:sz w:val="14"/>
              </w:rPr>
              <w:t>16,3</w:t>
            </w:r>
          </w:p>
        </w:tc>
        <w:tc>
          <w:tcPr>
            <w:tcW w:w="2551" w:type="dxa"/>
            <w:vAlign w:val="bottom"/>
          </w:tcPr>
          <w:p>
            <w:pPr>
              <w:jc w:val="right"/>
              <w:rPr>
                <w:rFonts w:ascii="Verdana" w:hAnsi="Verdana" w:cs="Calibri"/>
                <w:noProof/>
                <w:color w:val="000000"/>
                <w:sz w:val="14"/>
                <w:szCs w:val="14"/>
              </w:rPr>
            </w:pPr>
            <w:r>
              <w:rPr>
                <w:rFonts w:ascii="Verdana" w:hAnsi="Verdana"/>
                <w:noProof/>
                <w:color w:val="000000"/>
                <w:sz w:val="14"/>
              </w:rPr>
              <w:t>16,3</w:t>
            </w:r>
          </w:p>
        </w:tc>
        <w:tc>
          <w:tcPr>
            <w:tcW w:w="2552" w:type="dxa"/>
            <w:vAlign w:val="center"/>
          </w:tcPr>
          <w:p>
            <w:pPr>
              <w:jc w:val="right"/>
              <w:rPr>
                <w:rFonts w:ascii="Verdana" w:hAnsi="Verdana" w:cs="Calibri"/>
                <w:noProof/>
                <w:color w:val="000000"/>
                <w:sz w:val="14"/>
                <w:szCs w:val="14"/>
              </w:rPr>
            </w:pPr>
            <w:r>
              <w:rPr>
                <w:rFonts w:ascii="Verdana" w:hAnsi="Verdana"/>
                <w:noProof/>
                <w:color w:val="000000"/>
                <w:sz w:val="14"/>
              </w:rPr>
              <w:t>10,4</w:t>
            </w:r>
          </w:p>
        </w:tc>
      </w:tr>
      <w:tr>
        <w:trPr>
          <w:trHeight w:val="255"/>
          <w:jc w:val="center"/>
        </w:trPr>
        <w:tc>
          <w:tcPr>
            <w:tcW w:w="1984" w:type="dxa"/>
            <w:vAlign w:val="center"/>
          </w:tcPr>
          <w:p>
            <w:pPr>
              <w:rPr>
                <w:rFonts w:ascii="Verdana" w:hAnsi="Verdana" w:cs="Calibri"/>
                <w:noProof/>
                <w:color w:val="000000"/>
                <w:sz w:val="14"/>
                <w:szCs w:val="14"/>
              </w:rPr>
            </w:pPr>
            <w:r>
              <w:rPr>
                <w:rFonts w:ascii="Verdana" w:hAnsi="Verdana"/>
                <w:noProof/>
                <w:color w:val="000000"/>
                <w:sz w:val="14"/>
              </w:rPr>
              <w:t>Roumanie</w:t>
            </w:r>
          </w:p>
        </w:tc>
        <w:tc>
          <w:tcPr>
            <w:tcW w:w="2551" w:type="dxa"/>
            <w:vAlign w:val="center"/>
          </w:tcPr>
          <w:p>
            <w:pPr>
              <w:jc w:val="right"/>
              <w:rPr>
                <w:rFonts w:ascii="Verdana" w:hAnsi="Verdana" w:cs="Calibri"/>
                <w:noProof/>
                <w:color w:val="000000"/>
                <w:sz w:val="14"/>
                <w:szCs w:val="14"/>
              </w:rPr>
            </w:pPr>
            <w:r>
              <w:rPr>
                <w:rFonts w:ascii="Verdana" w:hAnsi="Verdana"/>
                <w:noProof/>
                <w:color w:val="000000"/>
                <w:sz w:val="14"/>
              </w:rPr>
              <w:t>13,6</w:t>
            </w:r>
          </w:p>
        </w:tc>
        <w:tc>
          <w:tcPr>
            <w:tcW w:w="2551" w:type="dxa"/>
            <w:vAlign w:val="bottom"/>
          </w:tcPr>
          <w:p>
            <w:pPr>
              <w:jc w:val="right"/>
              <w:rPr>
                <w:rFonts w:ascii="Verdana" w:hAnsi="Verdana" w:cs="Calibri"/>
                <w:noProof/>
                <w:color w:val="000000"/>
                <w:sz w:val="14"/>
                <w:szCs w:val="14"/>
              </w:rPr>
            </w:pPr>
            <w:r>
              <w:rPr>
                <w:rFonts w:ascii="Verdana" w:hAnsi="Verdana"/>
                <w:noProof/>
                <w:color w:val="000000"/>
                <w:sz w:val="14"/>
              </w:rPr>
              <w:t>13,6</w:t>
            </w:r>
          </w:p>
        </w:tc>
        <w:tc>
          <w:tcPr>
            <w:tcW w:w="2552" w:type="dxa"/>
            <w:vAlign w:val="center"/>
          </w:tcPr>
          <w:p>
            <w:pPr>
              <w:jc w:val="right"/>
              <w:rPr>
                <w:rFonts w:ascii="Verdana" w:hAnsi="Verdana" w:cs="Calibri"/>
                <w:noProof/>
                <w:color w:val="000000"/>
                <w:sz w:val="14"/>
                <w:szCs w:val="14"/>
              </w:rPr>
            </w:pPr>
            <w:r>
              <w:rPr>
                <w:rFonts w:ascii="Verdana" w:hAnsi="Verdana"/>
                <w:noProof/>
                <w:color w:val="000000"/>
                <w:sz w:val="14"/>
              </w:rPr>
              <w:t>6,4</w:t>
            </w:r>
          </w:p>
        </w:tc>
      </w:tr>
      <w:tr>
        <w:trPr>
          <w:trHeight w:val="255"/>
          <w:jc w:val="center"/>
        </w:trPr>
        <w:tc>
          <w:tcPr>
            <w:tcW w:w="1984" w:type="dxa"/>
            <w:vAlign w:val="center"/>
          </w:tcPr>
          <w:p>
            <w:pPr>
              <w:rPr>
                <w:rFonts w:ascii="Verdana" w:hAnsi="Verdana" w:cs="Calibri"/>
                <w:noProof/>
                <w:color w:val="000000"/>
                <w:sz w:val="14"/>
                <w:szCs w:val="14"/>
              </w:rPr>
            </w:pPr>
            <w:r>
              <w:rPr>
                <w:rFonts w:ascii="Verdana" w:hAnsi="Verdana"/>
                <w:noProof/>
                <w:color w:val="000000"/>
                <w:sz w:val="14"/>
              </w:rPr>
              <w:t>Slovaquie</w:t>
            </w:r>
          </w:p>
        </w:tc>
        <w:tc>
          <w:tcPr>
            <w:tcW w:w="2551" w:type="dxa"/>
            <w:vAlign w:val="center"/>
          </w:tcPr>
          <w:p>
            <w:pPr>
              <w:jc w:val="right"/>
              <w:rPr>
                <w:rFonts w:ascii="Verdana" w:hAnsi="Verdana" w:cs="Calibri"/>
                <w:noProof/>
                <w:color w:val="000000"/>
                <w:sz w:val="14"/>
                <w:szCs w:val="14"/>
              </w:rPr>
            </w:pPr>
            <w:r>
              <w:rPr>
                <w:rFonts w:ascii="Verdana" w:hAnsi="Verdana"/>
                <w:noProof/>
                <w:color w:val="000000"/>
                <w:sz w:val="14"/>
              </w:rPr>
              <w:t>6,4</w:t>
            </w:r>
          </w:p>
        </w:tc>
        <w:tc>
          <w:tcPr>
            <w:tcW w:w="2551" w:type="dxa"/>
            <w:vAlign w:val="bottom"/>
          </w:tcPr>
          <w:p>
            <w:pPr>
              <w:jc w:val="right"/>
              <w:rPr>
                <w:rFonts w:ascii="Verdana" w:hAnsi="Verdana" w:cs="Calibri"/>
                <w:noProof/>
                <w:color w:val="000000"/>
                <w:sz w:val="14"/>
                <w:szCs w:val="14"/>
              </w:rPr>
            </w:pPr>
            <w:r>
              <w:rPr>
                <w:rFonts w:ascii="Verdana" w:hAnsi="Verdana"/>
                <w:noProof/>
                <w:color w:val="000000"/>
                <w:sz w:val="14"/>
              </w:rPr>
              <w:t>6,4</w:t>
            </w:r>
          </w:p>
        </w:tc>
        <w:tc>
          <w:tcPr>
            <w:tcW w:w="2552" w:type="dxa"/>
            <w:vAlign w:val="center"/>
          </w:tcPr>
          <w:p>
            <w:pPr>
              <w:jc w:val="right"/>
              <w:rPr>
                <w:rFonts w:ascii="Verdana" w:hAnsi="Verdana" w:cs="Calibri"/>
                <w:noProof/>
                <w:color w:val="000000"/>
                <w:sz w:val="14"/>
                <w:szCs w:val="14"/>
              </w:rPr>
            </w:pPr>
            <w:r>
              <w:rPr>
                <w:rFonts w:ascii="Verdana" w:hAnsi="Verdana"/>
                <w:noProof/>
                <w:color w:val="000000"/>
                <w:sz w:val="14"/>
              </w:rPr>
              <w:t>4,0</w:t>
            </w:r>
          </w:p>
        </w:tc>
      </w:tr>
      <w:tr>
        <w:trPr>
          <w:trHeight w:val="255"/>
          <w:jc w:val="center"/>
        </w:trPr>
        <w:tc>
          <w:tcPr>
            <w:tcW w:w="1984" w:type="dxa"/>
            <w:vAlign w:val="center"/>
          </w:tcPr>
          <w:p>
            <w:pPr>
              <w:rPr>
                <w:rFonts w:ascii="Verdana" w:hAnsi="Verdana" w:cs="Calibri"/>
                <w:noProof/>
                <w:color w:val="000000"/>
                <w:sz w:val="14"/>
                <w:szCs w:val="14"/>
              </w:rPr>
            </w:pPr>
            <w:r>
              <w:rPr>
                <w:rFonts w:ascii="Verdana" w:hAnsi="Verdana"/>
                <w:noProof/>
                <w:color w:val="000000"/>
                <w:sz w:val="14"/>
              </w:rPr>
              <w:t>Slovénie</w:t>
            </w:r>
          </w:p>
        </w:tc>
        <w:tc>
          <w:tcPr>
            <w:tcW w:w="2551" w:type="dxa"/>
            <w:vAlign w:val="center"/>
          </w:tcPr>
          <w:p>
            <w:pPr>
              <w:jc w:val="right"/>
              <w:rPr>
                <w:rFonts w:ascii="Verdana" w:hAnsi="Verdana" w:cs="Calibri"/>
                <w:noProof/>
                <w:color w:val="000000"/>
                <w:sz w:val="14"/>
                <w:szCs w:val="14"/>
              </w:rPr>
            </w:pPr>
            <w:r>
              <w:rPr>
                <w:rFonts w:ascii="Verdana" w:hAnsi="Verdana"/>
                <w:noProof/>
                <w:color w:val="000000"/>
                <w:sz w:val="14"/>
              </w:rPr>
              <w:t>1,6</w:t>
            </w:r>
          </w:p>
        </w:tc>
        <w:tc>
          <w:tcPr>
            <w:tcW w:w="2551" w:type="dxa"/>
            <w:vAlign w:val="bottom"/>
          </w:tcPr>
          <w:p>
            <w:pPr>
              <w:jc w:val="right"/>
              <w:rPr>
                <w:rFonts w:ascii="Verdana" w:hAnsi="Verdana" w:cs="Calibri"/>
                <w:noProof/>
                <w:color w:val="000000"/>
                <w:sz w:val="14"/>
                <w:szCs w:val="14"/>
              </w:rPr>
            </w:pPr>
            <w:r>
              <w:rPr>
                <w:rFonts w:ascii="Verdana" w:hAnsi="Verdana"/>
                <w:noProof/>
                <w:color w:val="000000"/>
                <w:sz w:val="14"/>
              </w:rPr>
              <w:t>1,6</w:t>
            </w:r>
          </w:p>
        </w:tc>
        <w:tc>
          <w:tcPr>
            <w:tcW w:w="2552" w:type="dxa"/>
            <w:vAlign w:val="center"/>
          </w:tcPr>
          <w:p>
            <w:pPr>
              <w:jc w:val="right"/>
              <w:rPr>
                <w:rFonts w:ascii="Verdana" w:hAnsi="Verdana" w:cs="Calibri"/>
                <w:noProof/>
                <w:color w:val="000000"/>
                <w:sz w:val="14"/>
                <w:szCs w:val="14"/>
              </w:rPr>
            </w:pPr>
            <w:r>
              <w:rPr>
                <w:rFonts w:ascii="Verdana" w:hAnsi="Verdana"/>
                <w:noProof/>
                <w:color w:val="000000"/>
                <w:sz w:val="14"/>
              </w:rPr>
              <w:t>1,1</w:t>
            </w:r>
          </w:p>
        </w:tc>
      </w:tr>
      <w:tr>
        <w:trPr>
          <w:trHeight w:val="255"/>
          <w:jc w:val="center"/>
        </w:trPr>
        <w:tc>
          <w:tcPr>
            <w:tcW w:w="1984" w:type="dxa"/>
            <w:vAlign w:val="center"/>
          </w:tcPr>
          <w:p>
            <w:pPr>
              <w:rPr>
                <w:rFonts w:ascii="Verdana" w:hAnsi="Verdana" w:cs="Calibri"/>
                <w:noProof/>
                <w:color w:val="000000"/>
                <w:sz w:val="14"/>
                <w:szCs w:val="14"/>
              </w:rPr>
            </w:pPr>
            <w:r>
              <w:rPr>
                <w:rFonts w:ascii="Verdana" w:hAnsi="Verdana"/>
                <w:noProof/>
                <w:color w:val="000000"/>
                <w:sz w:val="14"/>
              </w:rPr>
              <w:t>Espagne</w:t>
            </w:r>
          </w:p>
        </w:tc>
        <w:tc>
          <w:tcPr>
            <w:tcW w:w="2551" w:type="dxa"/>
            <w:vAlign w:val="center"/>
          </w:tcPr>
          <w:p>
            <w:pPr>
              <w:jc w:val="right"/>
              <w:rPr>
                <w:rFonts w:ascii="Verdana" w:hAnsi="Verdana" w:cs="Calibri"/>
                <w:noProof/>
                <w:color w:val="000000"/>
                <w:sz w:val="14"/>
                <w:szCs w:val="14"/>
              </w:rPr>
            </w:pPr>
            <w:r>
              <w:rPr>
                <w:rFonts w:ascii="Verdana" w:hAnsi="Verdana"/>
                <w:noProof/>
                <w:color w:val="000000"/>
                <w:sz w:val="14"/>
              </w:rPr>
              <w:t>79,9</w:t>
            </w:r>
          </w:p>
        </w:tc>
        <w:tc>
          <w:tcPr>
            <w:tcW w:w="2551" w:type="dxa"/>
            <w:vAlign w:val="bottom"/>
          </w:tcPr>
          <w:p>
            <w:pPr>
              <w:jc w:val="right"/>
              <w:rPr>
                <w:rFonts w:ascii="Verdana" w:hAnsi="Verdana" w:cs="Calibri"/>
                <w:noProof/>
                <w:color w:val="000000"/>
                <w:sz w:val="14"/>
                <w:szCs w:val="14"/>
              </w:rPr>
            </w:pPr>
            <w:r>
              <w:rPr>
                <w:rFonts w:ascii="Verdana" w:hAnsi="Verdana"/>
                <w:noProof/>
                <w:color w:val="000000"/>
                <w:sz w:val="14"/>
              </w:rPr>
              <w:t>79,9</w:t>
            </w:r>
          </w:p>
        </w:tc>
        <w:tc>
          <w:tcPr>
            <w:tcW w:w="2552" w:type="dxa"/>
            <w:vAlign w:val="center"/>
          </w:tcPr>
          <w:p>
            <w:pPr>
              <w:jc w:val="right"/>
              <w:rPr>
                <w:rFonts w:ascii="Verdana" w:hAnsi="Verdana" w:cs="Calibri"/>
                <w:noProof/>
                <w:color w:val="000000"/>
                <w:sz w:val="14"/>
                <w:szCs w:val="14"/>
              </w:rPr>
            </w:pPr>
            <w:r>
              <w:rPr>
                <w:rFonts w:ascii="Verdana" w:hAnsi="Verdana"/>
                <w:noProof/>
                <w:color w:val="000000"/>
                <w:sz w:val="14"/>
              </w:rPr>
              <w:t>55,1</w:t>
            </w:r>
          </w:p>
        </w:tc>
      </w:tr>
      <w:tr>
        <w:trPr>
          <w:trHeight w:val="255"/>
          <w:jc w:val="center"/>
        </w:trPr>
        <w:tc>
          <w:tcPr>
            <w:tcW w:w="1984" w:type="dxa"/>
            <w:tcBorders>
              <w:bottom w:val="single" w:sz="4" w:space="0" w:color="016794"/>
            </w:tcBorders>
            <w:vAlign w:val="center"/>
          </w:tcPr>
          <w:p>
            <w:pPr>
              <w:rPr>
                <w:rFonts w:ascii="Verdana" w:hAnsi="Verdana" w:cs="Calibri"/>
                <w:noProof/>
                <w:color w:val="000000"/>
                <w:sz w:val="14"/>
                <w:szCs w:val="14"/>
              </w:rPr>
            </w:pPr>
            <w:r>
              <w:rPr>
                <w:rFonts w:ascii="Verdana" w:hAnsi="Verdana"/>
                <w:noProof/>
                <w:color w:val="000000"/>
                <w:sz w:val="14"/>
              </w:rPr>
              <w:t>Suède</w:t>
            </w:r>
          </w:p>
        </w:tc>
        <w:tc>
          <w:tcPr>
            <w:tcW w:w="2551" w:type="dxa"/>
            <w:tcBorders>
              <w:bottom w:val="single" w:sz="4" w:space="0" w:color="016794"/>
            </w:tcBorders>
            <w:vAlign w:val="center"/>
          </w:tcPr>
          <w:p>
            <w:pPr>
              <w:jc w:val="right"/>
              <w:rPr>
                <w:rFonts w:ascii="Verdana" w:hAnsi="Verdana" w:cs="Calibri"/>
                <w:noProof/>
                <w:color w:val="000000"/>
                <w:sz w:val="14"/>
                <w:szCs w:val="14"/>
              </w:rPr>
            </w:pPr>
            <w:r>
              <w:rPr>
                <w:rFonts w:ascii="Verdana" w:hAnsi="Verdana"/>
                <w:noProof/>
                <w:color w:val="000000"/>
                <w:sz w:val="14"/>
              </w:rPr>
              <w:t>3,4</w:t>
            </w:r>
          </w:p>
        </w:tc>
        <w:tc>
          <w:tcPr>
            <w:tcW w:w="2551" w:type="dxa"/>
            <w:tcBorders>
              <w:bottom w:val="single" w:sz="4" w:space="0" w:color="016794"/>
            </w:tcBorders>
            <w:vAlign w:val="bottom"/>
          </w:tcPr>
          <w:p>
            <w:pPr>
              <w:jc w:val="right"/>
              <w:rPr>
                <w:rFonts w:ascii="Verdana" w:hAnsi="Verdana" w:cs="Calibri"/>
                <w:noProof/>
                <w:color w:val="000000"/>
                <w:sz w:val="14"/>
                <w:szCs w:val="14"/>
              </w:rPr>
            </w:pPr>
            <w:r>
              <w:rPr>
                <w:rFonts w:ascii="Verdana" w:hAnsi="Verdana"/>
                <w:noProof/>
                <w:color w:val="000000"/>
                <w:sz w:val="14"/>
              </w:rPr>
              <w:t>3,4</w:t>
            </w:r>
          </w:p>
        </w:tc>
        <w:tc>
          <w:tcPr>
            <w:tcW w:w="2552" w:type="dxa"/>
            <w:tcBorders>
              <w:bottom w:val="single" w:sz="4" w:space="0" w:color="016794"/>
            </w:tcBorders>
            <w:vAlign w:val="center"/>
          </w:tcPr>
          <w:p>
            <w:pPr>
              <w:jc w:val="right"/>
              <w:rPr>
                <w:rFonts w:ascii="Verdana" w:hAnsi="Verdana" w:cs="Calibri"/>
                <w:noProof/>
                <w:color w:val="000000"/>
                <w:sz w:val="14"/>
                <w:szCs w:val="14"/>
              </w:rPr>
            </w:pPr>
            <w:r>
              <w:rPr>
                <w:rFonts w:ascii="Verdana" w:hAnsi="Verdana"/>
                <w:noProof/>
                <w:color w:val="000000"/>
                <w:sz w:val="14"/>
              </w:rPr>
              <w:t>1,6</w:t>
            </w:r>
          </w:p>
        </w:tc>
      </w:tr>
      <w:tr>
        <w:trPr>
          <w:trHeight w:val="255"/>
          <w:jc w:val="center"/>
        </w:trPr>
        <w:tc>
          <w:tcPr>
            <w:tcW w:w="1984" w:type="dxa"/>
            <w:tcBorders>
              <w:top w:val="single" w:sz="4" w:space="0" w:color="016794"/>
              <w:bottom w:val="single" w:sz="4" w:space="0" w:color="016794"/>
            </w:tcBorders>
            <w:vAlign w:val="center"/>
          </w:tcPr>
          <w:p>
            <w:pPr>
              <w:pStyle w:val="DGTextstand-alone"/>
              <w:spacing w:before="0" w:after="0"/>
              <w:jc w:val="left"/>
              <w:rPr>
                <w:b/>
                <w:sz w:val="14"/>
                <w:szCs w:val="14"/>
              </w:rPr>
            </w:pPr>
            <w:r>
              <w:rPr>
                <w:b/>
                <w:sz w:val="14"/>
              </w:rPr>
              <w:t>Total</w:t>
            </w:r>
          </w:p>
        </w:tc>
        <w:tc>
          <w:tcPr>
            <w:tcW w:w="2551" w:type="dxa"/>
            <w:tcBorders>
              <w:top w:val="single" w:sz="4" w:space="0" w:color="016794"/>
              <w:bottom w:val="single" w:sz="4" w:space="0" w:color="016794"/>
            </w:tcBorders>
            <w:vAlign w:val="center"/>
          </w:tcPr>
          <w:p>
            <w:pPr>
              <w:jc w:val="right"/>
              <w:rPr>
                <w:rFonts w:ascii="Verdana" w:hAnsi="Verdana" w:cs="Calibri"/>
                <w:b/>
                <w:bCs/>
                <w:noProof/>
                <w:color w:val="000000"/>
                <w:sz w:val="14"/>
                <w:szCs w:val="14"/>
              </w:rPr>
            </w:pPr>
            <w:r>
              <w:rPr>
                <w:rFonts w:ascii="Verdana" w:hAnsi="Verdana"/>
                <w:b/>
                <w:noProof/>
                <w:color w:val="000000"/>
                <w:sz w:val="14"/>
              </w:rPr>
              <w:t>359,9</w:t>
            </w:r>
          </w:p>
        </w:tc>
        <w:tc>
          <w:tcPr>
            <w:tcW w:w="2551" w:type="dxa"/>
            <w:tcBorders>
              <w:top w:val="single" w:sz="4" w:space="0" w:color="016794"/>
              <w:bottom w:val="single" w:sz="4" w:space="0" w:color="016794"/>
            </w:tcBorders>
            <w:vAlign w:val="center"/>
          </w:tcPr>
          <w:p>
            <w:pPr>
              <w:jc w:val="right"/>
              <w:rPr>
                <w:rFonts w:ascii="Verdana" w:hAnsi="Verdana" w:cs="Calibri"/>
                <w:b/>
                <w:bCs/>
                <w:noProof/>
                <w:color w:val="000000"/>
                <w:sz w:val="14"/>
                <w:szCs w:val="14"/>
              </w:rPr>
            </w:pPr>
            <w:r>
              <w:rPr>
                <w:rFonts w:ascii="Verdana" w:hAnsi="Verdana"/>
                <w:b/>
                <w:noProof/>
                <w:color w:val="000000"/>
                <w:sz w:val="14"/>
              </w:rPr>
              <w:t>359,9</w:t>
            </w:r>
          </w:p>
        </w:tc>
        <w:tc>
          <w:tcPr>
            <w:tcW w:w="2552" w:type="dxa"/>
            <w:tcBorders>
              <w:top w:val="single" w:sz="4" w:space="0" w:color="016794"/>
              <w:bottom w:val="single" w:sz="4" w:space="0" w:color="016794"/>
            </w:tcBorders>
            <w:vAlign w:val="center"/>
          </w:tcPr>
          <w:p>
            <w:pPr>
              <w:jc w:val="right"/>
              <w:rPr>
                <w:rFonts w:ascii="Verdana" w:hAnsi="Verdana" w:cs="Calibri"/>
                <w:b/>
                <w:bCs/>
                <w:noProof/>
                <w:color w:val="000000"/>
                <w:sz w:val="14"/>
                <w:szCs w:val="14"/>
              </w:rPr>
            </w:pPr>
            <w:r>
              <w:rPr>
                <w:rFonts w:ascii="Verdana" w:hAnsi="Verdana"/>
                <w:b/>
                <w:noProof/>
                <w:color w:val="000000"/>
                <w:sz w:val="14"/>
              </w:rPr>
              <w:t>237,5</w:t>
            </w:r>
          </w:p>
        </w:tc>
      </w:tr>
      <w:tr>
        <w:trPr>
          <w:trHeight w:val="454"/>
          <w:jc w:val="center"/>
        </w:trPr>
        <w:tc>
          <w:tcPr>
            <w:tcW w:w="9638" w:type="dxa"/>
            <w:gridSpan w:val="4"/>
          </w:tcPr>
          <w:p>
            <w:pPr>
              <w:tabs>
                <w:tab w:val="left" w:pos="85"/>
              </w:tabs>
              <w:spacing w:before="60"/>
              <w:ind w:left="85" w:hanging="85"/>
              <w:jc w:val="both"/>
              <w:rPr>
                <w:rFonts w:ascii="Verdana" w:hAnsi="Verdana"/>
                <w:i/>
                <w:noProof/>
                <w:color w:val="000000" w:themeColor="text1"/>
                <w:sz w:val="14"/>
                <w:szCs w:val="14"/>
                <w:vertAlign w:val="superscript"/>
              </w:rPr>
            </w:pPr>
            <w:r>
              <w:rPr>
                <w:rFonts w:ascii="Verdana" w:hAnsi="Verdana"/>
                <w:i/>
                <w:noProof/>
                <w:color w:val="000000" w:themeColor="text1"/>
                <w:sz w:val="14"/>
                <w:vertAlign w:val="superscript"/>
              </w:rPr>
              <w:t>*</w:t>
            </w:r>
            <w:r>
              <w:rPr>
                <w:rFonts w:ascii="Verdana" w:hAnsi="Verdana"/>
                <w:i/>
                <w:noProof/>
                <w:color w:val="000000" w:themeColor="text1"/>
                <w:sz w:val="14"/>
                <w:vertAlign w:val="superscript"/>
              </w:rPr>
              <w:tab/>
            </w:r>
            <w:r>
              <w:rPr>
                <w:rFonts w:ascii="Verdana" w:hAnsi="Verdana"/>
                <w:i/>
                <w:noProof/>
                <w:color w:val="000000" w:themeColor="text1"/>
                <w:sz w:val="14"/>
              </w:rPr>
              <w:t>Les engagements budgétaires tiennent compte de tous les dégagements, y compris ceux liés aux engagements contractés avant 2025. Sur le total des engagements budgétaires, 1,0 milliard d’EUR ont été engagés en 2025.</w:t>
            </w:r>
          </w:p>
        </w:tc>
      </w:tr>
    </w:tbl>
    <w:p>
      <w:pPr>
        <w:pStyle w:val="DGTextstand-alone"/>
        <w:spacing w:after="120"/>
      </w:pPr>
      <w:r>
        <w:t>En 2025, la Commission a versé un soutien non remboursable d’un montant total de 40,1 milliards d’EUR. Les principaux décaissements ont été effectués en faveur de l’Italie (7,6 milliards d’EUR), de l’Espagne (7,1 milliards d’EUR), suivie de la Grèce (3,5 milliards d’EUR) et de la France (3,3 milliards d’EUR).</w:t>
      </w:r>
      <w:r>
        <w:br w:type="page"/>
      </w:r>
    </w:p>
    <w:p>
      <w:pPr>
        <w:pStyle w:val="HEADER2Part4"/>
      </w:pPr>
      <w:bookmarkStart w:id="21" w:name="_Toc237348530"/>
      <w:r>
        <w:lastRenderedPageBreak/>
        <w:t>Décaissements de prêts au titre de la FRR</w:t>
      </w:r>
      <w:r>
        <w:br/>
        <w:t>(y compris REPowerEU)</w:t>
      </w:r>
      <w:bookmarkEnd w:id="21"/>
    </w:p>
    <w:p>
      <w:pPr>
        <w:pStyle w:val="DGTextstand-alone"/>
        <w:spacing w:after="120"/>
      </w:pPr>
      <w:r>
        <w:t>À la fin de 2025, le montant total du soutien financier sous la forme de prêts approuvé et couvert par des accords de prêt signés s’élevait à 277,2 milliards d’EUR. Le montant total du soutien financier sous la forme de prêts décaissé s’élevait à 155,9 milliards d’EUR:</w:t>
      </w:r>
    </w:p>
    <w:tbl>
      <w:tblPr>
        <w:tblStyle w:val="TableGrid"/>
        <w:tblW w:w="963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587"/>
        <w:gridCol w:w="1587"/>
        <w:gridCol w:w="1587"/>
        <w:gridCol w:w="1587"/>
        <w:gridCol w:w="1587"/>
      </w:tblGrid>
      <w:tr>
        <w:trPr>
          <w:trHeight w:val="255"/>
          <w:tblHeader/>
          <w:jc w:val="center"/>
        </w:trPr>
        <w:tc>
          <w:tcPr>
            <w:tcW w:w="1701" w:type="dxa"/>
            <w:vAlign w:val="bottom"/>
          </w:tcPr>
          <w:p>
            <w:pPr>
              <w:pStyle w:val="DGTextstand-alone"/>
              <w:spacing w:before="0" w:after="0"/>
              <w:jc w:val="left"/>
              <w:rPr>
                <w:b/>
                <w:color w:val="FFFFFF" w:themeColor="background1"/>
                <w:sz w:val="14"/>
                <w:szCs w:val="14"/>
              </w:rPr>
            </w:pPr>
            <w:bookmarkStart w:id="22" w:name="_Hlk162193631"/>
          </w:p>
        </w:tc>
        <w:tc>
          <w:tcPr>
            <w:tcW w:w="1587" w:type="dxa"/>
            <w:vAlign w:val="bottom"/>
          </w:tcPr>
          <w:p>
            <w:pPr>
              <w:pStyle w:val="DGTextstand-alone"/>
              <w:spacing w:before="0" w:after="0"/>
              <w:jc w:val="right"/>
              <w:rPr>
                <w:b/>
                <w:bCs/>
                <w:color w:val="FFFFFF" w:themeColor="background1"/>
                <w:sz w:val="14"/>
                <w:szCs w:val="14"/>
              </w:rPr>
            </w:pPr>
          </w:p>
        </w:tc>
        <w:tc>
          <w:tcPr>
            <w:tcW w:w="1587" w:type="dxa"/>
            <w:vAlign w:val="bottom"/>
          </w:tcPr>
          <w:p>
            <w:pPr>
              <w:pStyle w:val="DGTextstand-alone"/>
              <w:spacing w:before="0" w:after="0"/>
              <w:jc w:val="right"/>
              <w:rPr>
                <w:b/>
                <w:color w:val="FFFFFF" w:themeColor="background1"/>
                <w:sz w:val="14"/>
                <w:szCs w:val="14"/>
              </w:rPr>
            </w:pPr>
          </w:p>
        </w:tc>
        <w:tc>
          <w:tcPr>
            <w:tcW w:w="1587" w:type="dxa"/>
            <w:vAlign w:val="bottom"/>
          </w:tcPr>
          <w:p>
            <w:pPr>
              <w:pStyle w:val="DGTextstand-alone"/>
              <w:spacing w:before="0" w:after="0"/>
              <w:jc w:val="right"/>
              <w:rPr>
                <w:i/>
                <w:sz w:val="14"/>
                <w:szCs w:val="14"/>
              </w:rPr>
            </w:pPr>
          </w:p>
        </w:tc>
        <w:tc>
          <w:tcPr>
            <w:tcW w:w="1587" w:type="dxa"/>
            <w:vAlign w:val="bottom"/>
          </w:tcPr>
          <w:p>
            <w:pPr>
              <w:pStyle w:val="DGTextstand-alone"/>
              <w:spacing w:before="0" w:after="0"/>
              <w:jc w:val="right"/>
              <w:rPr>
                <w:i/>
                <w:sz w:val="14"/>
                <w:szCs w:val="14"/>
              </w:rPr>
            </w:pPr>
          </w:p>
        </w:tc>
        <w:tc>
          <w:tcPr>
            <w:tcW w:w="1587" w:type="dxa"/>
            <w:vAlign w:val="bottom"/>
          </w:tcPr>
          <w:p>
            <w:pPr>
              <w:pStyle w:val="DGTextstand-alone"/>
              <w:spacing w:before="0" w:after="0"/>
              <w:jc w:val="right"/>
              <w:rPr>
                <w:b/>
                <w:color w:val="FFFFFF" w:themeColor="background1"/>
                <w:sz w:val="14"/>
                <w:szCs w:val="14"/>
              </w:rPr>
            </w:pPr>
            <w:r>
              <w:rPr>
                <w:i/>
                <w:sz w:val="14"/>
              </w:rPr>
              <w:t>en Mrd EUR</w:t>
            </w:r>
          </w:p>
        </w:tc>
      </w:tr>
      <w:bookmarkEnd w:id="22"/>
      <w:tr>
        <w:trPr>
          <w:trHeight w:val="255"/>
          <w:tblHeader/>
          <w:jc w:val="center"/>
        </w:trPr>
        <w:tc>
          <w:tcPr>
            <w:tcW w:w="1701" w:type="dxa"/>
            <w:shd w:val="clear" w:color="auto" w:fill="016794"/>
            <w:vAlign w:val="bottom"/>
            <w:hideMark/>
          </w:tcPr>
          <w:p>
            <w:pPr>
              <w:pStyle w:val="DGTextstand-alone"/>
              <w:spacing w:before="0" w:after="0"/>
              <w:jc w:val="left"/>
              <w:rPr>
                <w:b/>
                <w:color w:val="FFFFFF" w:themeColor="background1"/>
                <w:sz w:val="14"/>
                <w:szCs w:val="14"/>
              </w:rPr>
            </w:pPr>
            <w:r>
              <w:rPr>
                <w:b/>
                <w:color w:val="FFFFFF" w:themeColor="background1"/>
                <w:sz w:val="14"/>
              </w:rPr>
              <w:br/>
              <w:t>État membre</w:t>
            </w:r>
          </w:p>
        </w:tc>
        <w:tc>
          <w:tcPr>
            <w:tcW w:w="1587" w:type="dxa"/>
            <w:shd w:val="clear" w:color="auto" w:fill="016794"/>
            <w:vAlign w:val="bottom"/>
            <w:hideMark/>
          </w:tcPr>
          <w:p>
            <w:pPr>
              <w:pStyle w:val="DGTextstand-alone"/>
              <w:spacing w:before="0" w:after="0"/>
              <w:jc w:val="right"/>
              <w:rPr>
                <w:b/>
                <w:bCs/>
                <w:color w:val="FFFFFF" w:themeColor="background1"/>
                <w:sz w:val="14"/>
                <w:szCs w:val="14"/>
              </w:rPr>
            </w:pPr>
            <w:r>
              <w:rPr>
                <w:b/>
                <w:color w:val="FFFFFF" w:themeColor="background1"/>
                <w:sz w:val="14"/>
              </w:rPr>
              <w:t>Total</w:t>
            </w:r>
            <w:r>
              <w:rPr>
                <w:b/>
                <w:color w:val="FFFFFF" w:themeColor="background1"/>
                <w:sz w:val="14"/>
              </w:rPr>
              <w:br/>
              <w:t>octroyés au 31.12.2025</w:t>
            </w:r>
          </w:p>
        </w:tc>
        <w:tc>
          <w:tcPr>
            <w:tcW w:w="1587" w:type="dxa"/>
            <w:shd w:val="clear" w:color="auto" w:fill="016794"/>
            <w:vAlign w:val="bottom"/>
            <w:hideMark/>
          </w:tcPr>
          <w:p>
            <w:pPr>
              <w:pStyle w:val="DGTextstand-alone"/>
              <w:spacing w:before="0" w:after="0"/>
              <w:jc w:val="right"/>
              <w:rPr>
                <w:b/>
                <w:color w:val="FFFFFF" w:themeColor="background1"/>
                <w:sz w:val="14"/>
                <w:szCs w:val="14"/>
              </w:rPr>
            </w:pPr>
            <w:r>
              <w:rPr>
                <w:b/>
                <w:color w:val="FFFFFF" w:themeColor="background1"/>
                <w:sz w:val="14"/>
              </w:rPr>
              <w:t xml:space="preserve">Total </w:t>
            </w:r>
            <w:r>
              <w:rPr>
                <w:b/>
                <w:color w:val="FFFFFF" w:themeColor="background1"/>
                <w:sz w:val="14"/>
              </w:rPr>
              <w:br/>
              <w:t>signés au</w:t>
            </w:r>
            <w:r>
              <w:rPr>
                <w:b/>
                <w:color w:val="FFFFFF" w:themeColor="background1"/>
                <w:sz w:val="14"/>
              </w:rPr>
              <w:br/>
              <w:t>31.12.2025</w:t>
            </w:r>
          </w:p>
        </w:tc>
        <w:tc>
          <w:tcPr>
            <w:tcW w:w="1587" w:type="dxa"/>
            <w:shd w:val="clear" w:color="auto" w:fill="016794"/>
            <w:vAlign w:val="bottom"/>
          </w:tcPr>
          <w:p>
            <w:pPr>
              <w:pStyle w:val="DGTextstand-alone"/>
              <w:spacing w:before="0" w:after="0"/>
              <w:jc w:val="right"/>
              <w:rPr>
                <w:b/>
                <w:bCs/>
                <w:color w:val="FFFFFF" w:themeColor="background1"/>
                <w:sz w:val="14"/>
                <w:szCs w:val="14"/>
              </w:rPr>
            </w:pPr>
            <w:r>
              <w:rPr>
                <w:b/>
                <w:color w:val="FFFFFF" w:themeColor="background1"/>
                <w:sz w:val="14"/>
              </w:rPr>
              <w:t>Total</w:t>
            </w:r>
            <w:r>
              <w:rPr>
                <w:b/>
                <w:color w:val="FFFFFF" w:themeColor="background1"/>
                <w:sz w:val="14"/>
              </w:rPr>
              <w:br/>
              <w:t>décaissés</w:t>
            </w:r>
            <w:r>
              <w:rPr>
                <w:b/>
                <w:color w:val="FFFFFF" w:themeColor="background1"/>
                <w:sz w:val="14"/>
              </w:rPr>
              <w:br/>
              <w:t>au 31.12.2025</w:t>
            </w:r>
          </w:p>
        </w:tc>
        <w:tc>
          <w:tcPr>
            <w:tcW w:w="1587" w:type="dxa"/>
            <w:shd w:val="clear" w:color="auto" w:fill="016794"/>
            <w:vAlign w:val="bottom"/>
          </w:tcPr>
          <w:p>
            <w:pPr>
              <w:pStyle w:val="DGTextstand-alone"/>
              <w:spacing w:before="0" w:after="0"/>
              <w:jc w:val="right"/>
              <w:rPr>
                <w:b/>
                <w:bCs/>
                <w:color w:val="FFFFFF" w:themeColor="background1"/>
                <w:sz w:val="14"/>
                <w:szCs w:val="14"/>
              </w:rPr>
            </w:pPr>
            <w:r>
              <w:rPr>
                <w:b/>
                <w:color w:val="FFFFFF" w:themeColor="background1"/>
                <w:sz w:val="14"/>
              </w:rPr>
              <w:t>Total</w:t>
            </w:r>
            <w:r>
              <w:rPr>
                <w:b/>
                <w:color w:val="FFFFFF" w:themeColor="background1"/>
                <w:sz w:val="14"/>
              </w:rPr>
              <w:br/>
              <w:t>remboursés</w:t>
            </w:r>
            <w:r>
              <w:rPr>
                <w:b/>
                <w:color w:val="FFFFFF" w:themeColor="background1"/>
                <w:sz w:val="14"/>
              </w:rPr>
              <w:br/>
              <w:t>au 31.12.2025</w:t>
            </w:r>
          </w:p>
        </w:tc>
        <w:tc>
          <w:tcPr>
            <w:tcW w:w="1587" w:type="dxa"/>
            <w:shd w:val="clear" w:color="auto" w:fill="016794"/>
            <w:vAlign w:val="bottom"/>
            <w:hideMark/>
          </w:tcPr>
          <w:p>
            <w:pPr>
              <w:pStyle w:val="DGTextstand-alone"/>
              <w:spacing w:before="0" w:after="0"/>
              <w:jc w:val="right"/>
              <w:rPr>
                <w:b/>
                <w:color w:val="FFFFFF" w:themeColor="background1"/>
                <w:sz w:val="14"/>
                <w:szCs w:val="14"/>
              </w:rPr>
            </w:pPr>
            <w:r>
              <w:rPr>
                <w:b/>
                <w:color w:val="FFFFFF" w:themeColor="background1"/>
                <w:sz w:val="14"/>
              </w:rPr>
              <w:t>Total</w:t>
            </w:r>
            <w:r>
              <w:rPr>
                <w:b/>
                <w:color w:val="FFFFFF" w:themeColor="background1"/>
                <w:sz w:val="14"/>
              </w:rPr>
              <w:br/>
              <w:t>Encours</w:t>
            </w:r>
            <w:r>
              <w:rPr>
                <w:b/>
                <w:color w:val="FFFFFF" w:themeColor="background1"/>
                <w:sz w:val="14"/>
              </w:rPr>
              <w:br/>
              <w:t>au 31.12.2025</w:t>
            </w:r>
          </w:p>
        </w:tc>
      </w:tr>
      <w:tr>
        <w:trPr>
          <w:trHeight w:val="255"/>
          <w:jc w:val="center"/>
        </w:trPr>
        <w:tc>
          <w:tcPr>
            <w:tcW w:w="1701" w:type="dxa"/>
            <w:vAlign w:val="center"/>
            <w:hideMark/>
          </w:tcPr>
          <w:p>
            <w:pPr>
              <w:rPr>
                <w:rFonts w:ascii="Verdana" w:hAnsi="Verdana"/>
                <w:noProof/>
                <w:color w:val="000000" w:themeColor="text1"/>
                <w:sz w:val="14"/>
                <w:szCs w:val="14"/>
              </w:rPr>
            </w:pPr>
            <w:r>
              <w:rPr>
                <w:rFonts w:ascii="Verdana" w:hAnsi="Verdana"/>
                <w:noProof/>
                <w:color w:val="000000"/>
                <w:sz w:val="14"/>
              </w:rPr>
              <w:t>Belgique</w:t>
            </w:r>
          </w:p>
        </w:tc>
        <w:tc>
          <w:tcPr>
            <w:tcW w:w="1587" w:type="dxa"/>
            <w:vAlign w:val="center"/>
            <w:hideMark/>
          </w:tcPr>
          <w:p>
            <w:pPr>
              <w:jc w:val="right"/>
              <w:rPr>
                <w:rFonts w:ascii="Verdana" w:hAnsi="Verdana"/>
                <w:noProof/>
                <w:color w:val="000000" w:themeColor="text1"/>
                <w:sz w:val="14"/>
                <w:szCs w:val="14"/>
              </w:rPr>
            </w:pPr>
            <w:r>
              <w:rPr>
                <w:rFonts w:ascii="Verdana" w:hAnsi="Verdana"/>
                <w:noProof/>
                <w:color w:val="000000"/>
                <w:sz w:val="14"/>
              </w:rPr>
              <w:t>0,2</w:t>
            </w:r>
          </w:p>
        </w:tc>
        <w:tc>
          <w:tcPr>
            <w:tcW w:w="1587" w:type="dxa"/>
            <w:vAlign w:val="center"/>
            <w:hideMark/>
          </w:tcPr>
          <w:p>
            <w:pPr>
              <w:jc w:val="right"/>
              <w:rPr>
                <w:rFonts w:ascii="Verdana" w:hAnsi="Verdana"/>
                <w:noProof/>
                <w:color w:val="000000" w:themeColor="text1"/>
                <w:sz w:val="14"/>
                <w:szCs w:val="14"/>
              </w:rPr>
            </w:pPr>
            <w:r>
              <w:rPr>
                <w:rFonts w:ascii="Verdana" w:hAnsi="Verdana"/>
                <w:noProof/>
                <w:color w:val="000000"/>
                <w:sz w:val="14"/>
              </w:rPr>
              <w:t>0,2</w:t>
            </w:r>
          </w:p>
        </w:tc>
        <w:tc>
          <w:tcPr>
            <w:tcW w:w="1587" w:type="dxa"/>
            <w:vAlign w:val="center"/>
          </w:tcPr>
          <w:p>
            <w:pPr>
              <w:jc w:val="right"/>
              <w:rPr>
                <w:rFonts w:ascii="Verdana" w:hAnsi="Verdana" w:cs="Calibri"/>
                <w:noProof/>
                <w:color w:val="000000"/>
                <w:sz w:val="14"/>
                <w:szCs w:val="14"/>
              </w:rPr>
            </w:pPr>
            <w:r>
              <w:rPr>
                <w:rFonts w:ascii="Verdana" w:hAnsi="Verdana"/>
                <w:noProof/>
                <w:color w:val="000000"/>
                <w:sz w:val="14"/>
              </w:rPr>
              <w:t>0,1</w:t>
            </w:r>
          </w:p>
        </w:tc>
        <w:tc>
          <w:tcPr>
            <w:tcW w:w="1587" w:type="dxa"/>
            <w:vAlign w:val="center"/>
          </w:tcPr>
          <w:p>
            <w:pPr>
              <w:jc w:val="right"/>
              <w:rPr>
                <w:rFonts w:ascii="Verdana" w:hAnsi="Verdana" w:cs="Calibri"/>
                <w:noProof/>
                <w:color w:val="000000"/>
                <w:sz w:val="14"/>
                <w:szCs w:val="14"/>
              </w:rPr>
            </w:pPr>
            <w:r>
              <w:rPr>
                <w:rFonts w:ascii="Verdana" w:hAnsi="Verdana"/>
                <w:noProof/>
                <w:color w:val="000000"/>
                <w:sz w:val="14"/>
              </w:rPr>
              <w:t xml:space="preserve">– </w:t>
            </w:r>
          </w:p>
        </w:tc>
        <w:tc>
          <w:tcPr>
            <w:tcW w:w="1587" w:type="dxa"/>
            <w:vAlign w:val="center"/>
          </w:tcPr>
          <w:p>
            <w:pPr>
              <w:jc w:val="right"/>
              <w:rPr>
                <w:rFonts w:ascii="Verdana" w:hAnsi="Verdana"/>
                <w:noProof/>
                <w:color w:val="000000" w:themeColor="text1"/>
                <w:sz w:val="14"/>
                <w:szCs w:val="14"/>
                <w:highlight w:val="yellow"/>
              </w:rPr>
            </w:pPr>
            <w:r>
              <w:rPr>
                <w:rFonts w:ascii="Verdana" w:hAnsi="Verdana"/>
                <w:noProof/>
                <w:color w:val="000000"/>
                <w:sz w:val="14"/>
              </w:rPr>
              <w:t>0,1</w:t>
            </w:r>
          </w:p>
        </w:tc>
      </w:tr>
      <w:tr>
        <w:trPr>
          <w:trHeight w:val="255"/>
          <w:jc w:val="center"/>
        </w:trPr>
        <w:tc>
          <w:tcPr>
            <w:tcW w:w="1701" w:type="dxa"/>
            <w:vAlign w:val="center"/>
            <w:hideMark/>
          </w:tcPr>
          <w:p>
            <w:pPr>
              <w:rPr>
                <w:rFonts w:ascii="Verdana" w:hAnsi="Verdana"/>
                <w:noProof/>
                <w:color w:val="000000" w:themeColor="text1"/>
                <w:sz w:val="14"/>
                <w:szCs w:val="14"/>
              </w:rPr>
            </w:pPr>
            <w:r>
              <w:rPr>
                <w:rFonts w:ascii="Verdana" w:hAnsi="Verdana"/>
                <w:noProof/>
                <w:color w:val="000000"/>
                <w:sz w:val="14"/>
              </w:rPr>
              <w:t>Croatie</w:t>
            </w:r>
          </w:p>
        </w:tc>
        <w:tc>
          <w:tcPr>
            <w:tcW w:w="1587" w:type="dxa"/>
            <w:vAlign w:val="center"/>
            <w:hideMark/>
          </w:tcPr>
          <w:p>
            <w:pPr>
              <w:jc w:val="right"/>
              <w:rPr>
                <w:rFonts w:ascii="Verdana" w:hAnsi="Verdana"/>
                <w:noProof/>
                <w:color w:val="000000" w:themeColor="text1"/>
                <w:sz w:val="14"/>
                <w:szCs w:val="14"/>
              </w:rPr>
            </w:pPr>
            <w:r>
              <w:rPr>
                <w:rFonts w:ascii="Verdana" w:hAnsi="Verdana"/>
                <w:noProof/>
                <w:color w:val="000000"/>
                <w:sz w:val="14"/>
              </w:rPr>
              <w:t>4,3</w:t>
            </w:r>
          </w:p>
        </w:tc>
        <w:tc>
          <w:tcPr>
            <w:tcW w:w="1587" w:type="dxa"/>
            <w:vAlign w:val="center"/>
            <w:hideMark/>
          </w:tcPr>
          <w:p>
            <w:pPr>
              <w:jc w:val="right"/>
              <w:rPr>
                <w:rFonts w:ascii="Verdana" w:hAnsi="Verdana"/>
                <w:noProof/>
                <w:color w:val="000000" w:themeColor="text1"/>
                <w:sz w:val="14"/>
                <w:szCs w:val="14"/>
              </w:rPr>
            </w:pPr>
            <w:r>
              <w:rPr>
                <w:rFonts w:ascii="Verdana" w:hAnsi="Verdana"/>
                <w:noProof/>
                <w:color w:val="000000"/>
                <w:sz w:val="14"/>
              </w:rPr>
              <w:t>4,3</w:t>
            </w:r>
          </w:p>
        </w:tc>
        <w:tc>
          <w:tcPr>
            <w:tcW w:w="1587" w:type="dxa"/>
            <w:vAlign w:val="center"/>
          </w:tcPr>
          <w:p>
            <w:pPr>
              <w:jc w:val="right"/>
              <w:rPr>
                <w:rFonts w:ascii="Verdana" w:hAnsi="Verdana" w:cs="Calibri"/>
                <w:noProof/>
                <w:color w:val="000000"/>
                <w:sz w:val="14"/>
                <w:szCs w:val="14"/>
              </w:rPr>
            </w:pPr>
            <w:r>
              <w:rPr>
                <w:rFonts w:ascii="Verdana" w:hAnsi="Verdana"/>
                <w:noProof/>
                <w:color w:val="000000"/>
                <w:sz w:val="14"/>
              </w:rPr>
              <w:t>1,7</w:t>
            </w:r>
          </w:p>
        </w:tc>
        <w:tc>
          <w:tcPr>
            <w:tcW w:w="1587" w:type="dxa"/>
            <w:vAlign w:val="center"/>
          </w:tcPr>
          <w:p>
            <w:pPr>
              <w:jc w:val="right"/>
              <w:rPr>
                <w:rFonts w:ascii="Verdana" w:hAnsi="Verdana" w:cs="Calibri"/>
                <w:noProof/>
                <w:color w:val="000000"/>
                <w:sz w:val="14"/>
                <w:szCs w:val="14"/>
              </w:rPr>
            </w:pPr>
            <w:r>
              <w:rPr>
                <w:rFonts w:ascii="Verdana" w:hAnsi="Verdana"/>
                <w:noProof/>
                <w:color w:val="000000"/>
                <w:sz w:val="14"/>
              </w:rPr>
              <w:t>–</w:t>
            </w:r>
          </w:p>
        </w:tc>
        <w:tc>
          <w:tcPr>
            <w:tcW w:w="1587" w:type="dxa"/>
            <w:vAlign w:val="center"/>
          </w:tcPr>
          <w:p>
            <w:pPr>
              <w:jc w:val="right"/>
              <w:rPr>
                <w:rFonts w:ascii="Verdana" w:hAnsi="Verdana"/>
                <w:noProof/>
                <w:color w:val="000000" w:themeColor="text1"/>
                <w:sz w:val="14"/>
                <w:szCs w:val="14"/>
                <w:highlight w:val="yellow"/>
              </w:rPr>
            </w:pPr>
            <w:r>
              <w:rPr>
                <w:rFonts w:ascii="Verdana" w:hAnsi="Verdana"/>
                <w:noProof/>
                <w:color w:val="000000"/>
                <w:sz w:val="14"/>
              </w:rPr>
              <w:t>1,7</w:t>
            </w:r>
          </w:p>
        </w:tc>
      </w:tr>
      <w:tr>
        <w:trPr>
          <w:trHeight w:val="255"/>
          <w:jc w:val="center"/>
        </w:trPr>
        <w:tc>
          <w:tcPr>
            <w:tcW w:w="1701" w:type="dxa"/>
            <w:vAlign w:val="center"/>
            <w:hideMark/>
          </w:tcPr>
          <w:p>
            <w:pPr>
              <w:rPr>
                <w:rFonts w:ascii="Verdana" w:hAnsi="Verdana"/>
                <w:noProof/>
                <w:color w:val="000000" w:themeColor="text1"/>
                <w:sz w:val="14"/>
                <w:szCs w:val="14"/>
              </w:rPr>
            </w:pPr>
            <w:r>
              <w:rPr>
                <w:rFonts w:ascii="Verdana" w:hAnsi="Verdana"/>
                <w:noProof/>
                <w:color w:val="000000"/>
                <w:sz w:val="14"/>
              </w:rPr>
              <w:t>Chypre</w:t>
            </w:r>
            <w:r>
              <w:rPr>
                <w:rFonts w:ascii="Verdana" w:hAnsi="Verdana"/>
                <w:noProof/>
                <w:color w:val="000000"/>
                <w:sz w:val="14"/>
                <w:vertAlign w:val="superscript"/>
              </w:rPr>
              <w:t>*</w:t>
            </w:r>
          </w:p>
        </w:tc>
        <w:tc>
          <w:tcPr>
            <w:tcW w:w="1587" w:type="dxa"/>
            <w:vAlign w:val="center"/>
            <w:hideMark/>
          </w:tcPr>
          <w:p>
            <w:pPr>
              <w:jc w:val="right"/>
              <w:rPr>
                <w:rFonts w:ascii="Verdana" w:hAnsi="Verdana"/>
                <w:noProof/>
                <w:color w:val="000000" w:themeColor="text1"/>
                <w:sz w:val="14"/>
                <w:szCs w:val="14"/>
              </w:rPr>
            </w:pPr>
            <w:r>
              <w:rPr>
                <w:rFonts w:ascii="Verdana" w:hAnsi="Verdana"/>
                <w:noProof/>
                <w:color w:val="000000"/>
                <w:sz w:val="14"/>
              </w:rPr>
              <w:t>0,0</w:t>
            </w:r>
          </w:p>
        </w:tc>
        <w:tc>
          <w:tcPr>
            <w:tcW w:w="1587" w:type="dxa"/>
            <w:vAlign w:val="center"/>
            <w:hideMark/>
          </w:tcPr>
          <w:p>
            <w:pPr>
              <w:jc w:val="right"/>
              <w:rPr>
                <w:rFonts w:ascii="Verdana" w:hAnsi="Verdana"/>
                <w:noProof/>
                <w:color w:val="000000" w:themeColor="text1"/>
                <w:sz w:val="14"/>
                <w:szCs w:val="14"/>
              </w:rPr>
            </w:pPr>
            <w:r>
              <w:rPr>
                <w:rFonts w:ascii="Verdana" w:hAnsi="Verdana"/>
                <w:noProof/>
                <w:color w:val="000000"/>
                <w:sz w:val="14"/>
              </w:rPr>
              <w:t>0,0</w:t>
            </w:r>
          </w:p>
        </w:tc>
        <w:tc>
          <w:tcPr>
            <w:tcW w:w="1587" w:type="dxa"/>
            <w:vAlign w:val="center"/>
          </w:tcPr>
          <w:p>
            <w:pPr>
              <w:jc w:val="right"/>
              <w:rPr>
                <w:rFonts w:ascii="Verdana" w:hAnsi="Verdana" w:cs="Calibri"/>
                <w:noProof/>
                <w:color w:val="000000"/>
                <w:sz w:val="14"/>
                <w:szCs w:val="14"/>
              </w:rPr>
            </w:pPr>
            <w:r>
              <w:rPr>
                <w:rFonts w:ascii="Verdana" w:hAnsi="Verdana"/>
                <w:noProof/>
                <w:color w:val="000000"/>
                <w:sz w:val="14"/>
              </w:rPr>
              <w:t>0,0</w:t>
            </w:r>
          </w:p>
        </w:tc>
        <w:tc>
          <w:tcPr>
            <w:tcW w:w="1587" w:type="dxa"/>
            <w:vAlign w:val="center"/>
          </w:tcPr>
          <w:p>
            <w:pPr>
              <w:jc w:val="right"/>
              <w:rPr>
                <w:rFonts w:ascii="Verdana" w:hAnsi="Verdana" w:cs="Calibri"/>
                <w:noProof/>
                <w:color w:val="000000"/>
                <w:sz w:val="14"/>
                <w:szCs w:val="14"/>
              </w:rPr>
            </w:pPr>
            <w:r>
              <w:rPr>
                <w:rFonts w:ascii="Verdana" w:hAnsi="Verdana"/>
                <w:noProof/>
                <w:color w:val="000000"/>
                <w:sz w:val="14"/>
              </w:rPr>
              <w:t>–</w:t>
            </w:r>
          </w:p>
        </w:tc>
        <w:tc>
          <w:tcPr>
            <w:tcW w:w="1587" w:type="dxa"/>
            <w:vAlign w:val="center"/>
            <w:hideMark/>
          </w:tcPr>
          <w:p>
            <w:pPr>
              <w:jc w:val="right"/>
              <w:rPr>
                <w:rFonts w:ascii="Verdana" w:hAnsi="Verdana"/>
                <w:noProof/>
                <w:color w:val="000000" w:themeColor="text1"/>
                <w:sz w:val="14"/>
                <w:szCs w:val="14"/>
                <w:highlight w:val="yellow"/>
              </w:rPr>
            </w:pPr>
            <w:r>
              <w:rPr>
                <w:rFonts w:ascii="Verdana" w:hAnsi="Verdana"/>
                <w:noProof/>
                <w:color w:val="000000"/>
                <w:sz w:val="14"/>
              </w:rPr>
              <w:t>0,0</w:t>
            </w:r>
          </w:p>
        </w:tc>
      </w:tr>
      <w:tr>
        <w:trPr>
          <w:trHeight w:val="255"/>
          <w:jc w:val="center"/>
        </w:trPr>
        <w:tc>
          <w:tcPr>
            <w:tcW w:w="1701" w:type="dxa"/>
            <w:vAlign w:val="center"/>
            <w:hideMark/>
          </w:tcPr>
          <w:p>
            <w:pPr>
              <w:rPr>
                <w:rFonts w:ascii="Verdana" w:hAnsi="Verdana"/>
                <w:noProof/>
                <w:color w:val="000000" w:themeColor="text1"/>
                <w:sz w:val="14"/>
                <w:szCs w:val="14"/>
              </w:rPr>
            </w:pPr>
            <w:r>
              <w:rPr>
                <w:rFonts w:ascii="Verdana" w:hAnsi="Verdana"/>
                <w:noProof/>
                <w:color w:val="000000"/>
                <w:sz w:val="14"/>
              </w:rPr>
              <w:t>Tchéquie</w:t>
            </w:r>
          </w:p>
        </w:tc>
        <w:tc>
          <w:tcPr>
            <w:tcW w:w="1587" w:type="dxa"/>
            <w:vAlign w:val="center"/>
            <w:hideMark/>
          </w:tcPr>
          <w:p>
            <w:pPr>
              <w:jc w:val="right"/>
              <w:rPr>
                <w:rFonts w:ascii="Verdana" w:hAnsi="Verdana"/>
                <w:noProof/>
                <w:color w:val="000000" w:themeColor="text1"/>
                <w:sz w:val="14"/>
                <w:szCs w:val="14"/>
              </w:rPr>
            </w:pPr>
            <w:r>
              <w:rPr>
                <w:rFonts w:ascii="Verdana" w:hAnsi="Verdana"/>
                <w:noProof/>
                <w:color w:val="000000"/>
                <w:sz w:val="14"/>
              </w:rPr>
              <w:t>0,3</w:t>
            </w:r>
          </w:p>
        </w:tc>
        <w:tc>
          <w:tcPr>
            <w:tcW w:w="1587" w:type="dxa"/>
            <w:vAlign w:val="center"/>
          </w:tcPr>
          <w:p>
            <w:pPr>
              <w:jc w:val="right"/>
              <w:rPr>
                <w:rFonts w:ascii="Verdana" w:hAnsi="Verdana"/>
                <w:noProof/>
                <w:color w:val="000000" w:themeColor="text1"/>
                <w:sz w:val="14"/>
                <w:szCs w:val="14"/>
              </w:rPr>
            </w:pPr>
            <w:r>
              <w:rPr>
                <w:rFonts w:ascii="Verdana" w:hAnsi="Verdana"/>
                <w:noProof/>
                <w:color w:val="000000"/>
                <w:sz w:val="14"/>
              </w:rPr>
              <w:t>0,3</w:t>
            </w:r>
          </w:p>
        </w:tc>
        <w:tc>
          <w:tcPr>
            <w:tcW w:w="1587" w:type="dxa"/>
            <w:vAlign w:val="center"/>
          </w:tcPr>
          <w:p>
            <w:pPr>
              <w:jc w:val="right"/>
              <w:rPr>
                <w:rFonts w:ascii="Verdana" w:hAnsi="Verdana" w:cs="Calibri"/>
                <w:noProof/>
                <w:color w:val="000000"/>
                <w:sz w:val="14"/>
                <w:szCs w:val="14"/>
              </w:rPr>
            </w:pPr>
            <w:r>
              <w:rPr>
                <w:rFonts w:ascii="Verdana" w:hAnsi="Verdana"/>
                <w:noProof/>
                <w:color w:val="000000"/>
                <w:sz w:val="14"/>
              </w:rPr>
              <w:t>0,2</w:t>
            </w:r>
          </w:p>
        </w:tc>
        <w:tc>
          <w:tcPr>
            <w:tcW w:w="1587" w:type="dxa"/>
            <w:vAlign w:val="center"/>
          </w:tcPr>
          <w:p>
            <w:pPr>
              <w:jc w:val="right"/>
              <w:rPr>
                <w:rFonts w:ascii="Verdana" w:hAnsi="Verdana" w:cs="Calibri"/>
                <w:noProof/>
                <w:color w:val="000000"/>
                <w:sz w:val="14"/>
                <w:szCs w:val="14"/>
              </w:rPr>
            </w:pPr>
            <w:r>
              <w:rPr>
                <w:rFonts w:ascii="Verdana" w:hAnsi="Verdana"/>
                <w:noProof/>
                <w:color w:val="000000"/>
                <w:sz w:val="14"/>
              </w:rPr>
              <w:t>–</w:t>
            </w:r>
          </w:p>
        </w:tc>
        <w:tc>
          <w:tcPr>
            <w:tcW w:w="1587" w:type="dxa"/>
            <w:vAlign w:val="center"/>
          </w:tcPr>
          <w:p>
            <w:pPr>
              <w:jc w:val="right"/>
              <w:rPr>
                <w:rFonts w:ascii="Verdana" w:hAnsi="Verdana"/>
                <w:noProof/>
                <w:color w:val="000000" w:themeColor="text1"/>
                <w:sz w:val="14"/>
                <w:szCs w:val="14"/>
                <w:highlight w:val="yellow"/>
              </w:rPr>
            </w:pPr>
            <w:r>
              <w:rPr>
                <w:rFonts w:ascii="Verdana" w:hAnsi="Verdana"/>
                <w:noProof/>
                <w:color w:val="000000"/>
                <w:sz w:val="14"/>
              </w:rPr>
              <w:t>0,2</w:t>
            </w:r>
          </w:p>
        </w:tc>
      </w:tr>
      <w:tr>
        <w:trPr>
          <w:trHeight w:val="255"/>
          <w:jc w:val="center"/>
        </w:trPr>
        <w:tc>
          <w:tcPr>
            <w:tcW w:w="1701" w:type="dxa"/>
            <w:vAlign w:val="center"/>
            <w:hideMark/>
          </w:tcPr>
          <w:p>
            <w:pPr>
              <w:rPr>
                <w:rFonts w:ascii="Verdana" w:hAnsi="Verdana"/>
                <w:noProof/>
                <w:color w:val="000000" w:themeColor="text1"/>
                <w:sz w:val="14"/>
                <w:szCs w:val="14"/>
              </w:rPr>
            </w:pPr>
            <w:r>
              <w:rPr>
                <w:rFonts w:ascii="Verdana" w:hAnsi="Verdana"/>
                <w:noProof/>
                <w:color w:val="000000"/>
                <w:sz w:val="14"/>
              </w:rPr>
              <w:t>Grèce</w:t>
            </w:r>
          </w:p>
        </w:tc>
        <w:tc>
          <w:tcPr>
            <w:tcW w:w="1587" w:type="dxa"/>
            <w:vAlign w:val="center"/>
            <w:hideMark/>
          </w:tcPr>
          <w:p>
            <w:pPr>
              <w:jc w:val="right"/>
              <w:rPr>
                <w:rFonts w:ascii="Verdana" w:hAnsi="Verdana"/>
                <w:noProof/>
                <w:color w:val="000000" w:themeColor="text1"/>
                <w:sz w:val="14"/>
                <w:szCs w:val="14"/>
              </w:rPr>
            </w:pPr>
            <w:r>
              <w:rPr>
                <w:rFonts w:ascii="Verdana" w:hAnsi="Verdana"/>
                <w:noProof/>
                <w:color w:val="000000"/>
                <w:sz w:val="14"/>
              </w:rPr>
              <w:t>17,7</w:t>
            </w:r>
          </w:p>
        </w:tc>
        <w:tc>
          <w:tcPr>
            <w:tcW w:w="1587" w:type="dxa"/>
            <w:vAlign w:val="center"/>
            <w:hideMark/>
          </w:tcPr>
          <w:p>
            <w:pPr>
              <w:jc w:val="right"/>
              <w:rPr>
                <w:rFonts w:ascii="Verdana" w:hAnsi="Verdana"/>
                <w:noProof/>
                <w:color w:val="000000" w:themeColor="text1"/>
                <w:sz w:val="14"/>
                <w:szCs w:val="14"/>
              </w:rPr>
            </w:pPr>
            <w:r>
              <w:rPr>
                <w:rFonts w:ascii="Verdana" w:hAnsi="Verdana"/>
                <w:noProof/>
                <w:color w:val="000000"/>
                <w:sz w:val="14"/>
              </w:rPr>
              <w:t>17,7</w:t>
            </w:r>
          </w:p>
        </w:tc>
        <w:tc>
          <w:tcPr>
            <w:tcW w:w="1587" w:type="dxa"/>
            <w:vAlign w:val="center"/>
          </w:tcPr>
          <w:p>
            <w:pPr>
              <w:jc w:val="right"/>
              <w:rPr>
                <w:rFonts w:ascii="Verdana" w:hAnsi="Verdana" w:cs="Calibri"/>
                <w:noProof/>
                <w:color w:val="000000"/>
                <w:sz w:val="14"/>
                <w:szCs w:val="14"/>
              </w:rPr>
            </w:pPr>
            <w:r>
              <w:rPr>
                <w:rFonts w:ascii="Verdana" w:hAnsi="Verdana"/>
                <w:noProof/>
                <w:color w:val="000000"/>
                <w:sz w:val="14"/>
              </w:rPr>
              <w:t>11,4</w:t>
            </w:r>
          </w:p>
        </w:tc>
        <w:tc>
          <w:tcPr>
            <w:tcW w:w="1587" w:type="dxa"/>
            <w:vAlign w:val="center"/>
          </w:tcPr>
          <w:p>
            <w:pPr>
              <w:jc w:val="right"/>
              <w:rPr>
                <w:rFonts w:ascii="Verdana" w:hAnsi="Verdana" w:cs="Calibri"/>
                <w:noProof/>
                <w:color w:val="000000"/>
                <w:sz w:val="14"/>
                <w:szCs w:val="14"/>
              </w:rPr>
            </w:pPr>
            <w:r>
              <w:rPr>
                <w:rFonts w:ascii="Verdana" w:hAnsi="Verdana"/>
                <w:noProof/>
                <w:color w:val="000000"/>
                <w:sz w:val="14"/>
              </w:rPr>
              <w:t>–</w:t>
            </w:r>
          </w:p>
        </w:tc>
        <w:tc>
          <w:tcPr>
            <w:tcW w:w="1587" w:type="dxa"/>
            <w:vAlign w:val="center"/>
            <w:hideMark/>
          </w:tcPr>
          <w:p>
            <w:pPr>
              <w:jc w:val="right"/>
              <w:rPr>
                <w:rFonts w:ascii="Verdana" w:hAnsi="Verdana"/>
                <w:noProof/>
                <w:color w:val="000000" w:themeColor="text1"/>
                <w:sz w:val="14"/>
                <w:szCs w:val="14"/>
                <w:highlight w:val="yellow"/>
              </w:rPr>
            </w:pPr>
            <w:r>
              <w:rPr>
                <w:rFonts w:ascii="Verdana" w:hAnsi="Verdana"/>
                <w:noProof/>
                <w:color w:val="000000"/>
                <w:sz w:val="14"/>
              </w:rPr>
              <w:t>11,4</w:t>
            </w:r>
          </w:p>
        </w:tc>
      </w:tr>
      <w:tr>
        <w:trPr>
          <w:trHeight w:val="255"/>
          <w:jc w:val="center"/>
        </w:trPr>
        <w:tc>
          <w:tcPr>
            <w:tcW w:w="1701" w:type="dxa"/>
            <w:vAlign w:val="center"/>
            <w:hideMark/>
          </w:tcPr>
          <w:p>
            <w:pPr>
              <w:rPr>
                <w:rFonts w:ascii="Verdana" w:hAnsi="Verdana"/>
                <w:noProof/>
                <w:color w:val="000000" w:themeColor="text1"/>
                <w:sz w:val="14"/>
                <w:szCs w:val="14"/>
              </w:rPr>
            </w:pPr>
            <w:r>
              <w:rPr>
                <w:rFonts w:ascii="Verdana" w:hAnsi="Verdana"/>
                <w:noProof/>
                <w:color w:val="000000"/>
                <w:sz w:val="14"/>
              </w:rPr>
              <w:t>Hongrie</w:t>
            </w:r>
          </w:p>
        </w:tc>
        <w:tc>
          <w:tcPr>
            <w:tcW w:w="1587" w:type="dxa"/>
            <w:vAlign w:val="center"/>
            <w:hideMark/>
          </w:tcPr>
          <w:p>
            <w:pPr>
              <w:jc w:val="right"/>
              <w:rPr>
                <w:rFonts w:ascii="Verdana" w:hAnsi="Verdana"/>
                <w:noProof/>
                <w:color w:val="000000" w:themeColor="text1"/>
                <w:sz w:val="14"/>
                <w:szCs w:val="14"/>
              </w:rPr>
            </w:pPr>
            <w:r>
              <w:rPr>
                <w:rFonts w:ascii="Verdana" w:hAnsi="Verdana"/>
                <w:noProof/>
                <w:color w:val="000000"/>
                <w:sz w:val="14"/>
              </w:rPr>
              <w:t>3,9</w:t>
            </w:r>
          </w:p>
        </w:tc>
        <w:tc>
          <w:tcPr>
            <w:tcW w:w="1587" w:type="dxa"/>
            <w:vAlign w:val="center"/>
            <w:hideMark/>
          </w:tcPr>
          <w:p>
            <w:pPr>
              <w:jc w:val="right"/>
              <w:rPr>
                <w:rFonts w:ascii="Verdana" w:hAnsi="Verdana"/>
                <w:noProof/>
                <w:color w:val="000000" w:themeColor="text1"/>
                <w:sz w:val="14"/>
                <w:szCs w:val="14"/>
              </w:rPr>
            </w:pPr>
            <w:r>
              <w:rPr>
                <w:rFonts w:ascii="Verdana" w:hAnsi="Verdana"/>
                <w:noProof/>
                <w:color w:val="000000"/>
                <w:sz w:val="14"/>
              </w:rPr>
              <w:t>3,9</w:t>
            </w:r>
          </w:p>
        </w:tc>
        <w:tc>
          <w:tcPr>
            <w:tcW w:w="1587" w:type="dxa"/>
            <w:vAlign w:val="center"/>
          </w:tcPr>
          <w:p>
            <w:pPr>
              <w:jc w:val="right"/>
              <w:rPr>
                <w:rFonts w:ascii="Verdana" w:hAnsi="Verdana" w:cs="Calibri"/>
                <w:noProof/>
                <w:color w:val="000000"/>
                <w:sz w:val="14"/>
                <w:szCs w:val="14"/>
              </w:rPr>
            </w:pPr>
            <w:r>
              <w:rPr>
                <w:rFonts w:ascii="Verdana" w:hAnsi="Verdana"/>
                <w:noProof/>
                <w:color w:val="000000"/>
                <w:sz w:val="14"/>
              </w:rPr>
              <w:t>0,8</w:t>
            </w:r>
          </w:p>
        </w:tc>
        <w:tc>
          <w:tcPr>
            <w:tcW w:w="1587" w:type="dxa"/>
            <w:vAlign w:val="center"/>
          </w:tcPr>
          <w:p>
            <w:pPr>
              <w:jc w:val="right"/>
              <w:rPr>
                <w:rFonts w:ascii="Verdana" w:hAnsi="Verdana" w:cs="Calibri"/>
                <w:noProof/>
                <w:color w:val="000000"/>
                <w:sz w:val="14"/>
                <w:szCs w:val="14"/>
              </w:rPr>
            </w:pPr>
            <w:r>
              <w:rPr>
                <w:rFonts w:ascii="Verdana" w:hAnsi="Verdana"/>
                <w:noProof/>
                <w:color w:val="000000"/>
                <w:sz w:val="14"/>
              </w:rPr>
              <w:t>–</w:t>
            </w:r>
          </w:p>
        </w:tc>
        <w:tc>
          <w:tcPr>
            <w:tcW w:w="1587" w:type="dxa"/>
            <w:vAlign w:val="center"/>
            <w:hideMark/>
          </w:tcPr>
          <w:p>
            <w:pPr>
              <w:jc w:val="right"/>
              <w:rPr>
                <w:rFonts w:ascii="Verdana" w:hAnsi="Verdana"/>
                <w:noProof/>
                <w:color w:val="000000" w:themeColor="text1"/>
                <w:sz w:val="14"/>
                <w:szCs w:val="14"/>
                <w:highlight w:val="yellow"/>
              </w:rPr>
            </w:pPr>
            <w:r>
              <w:rPr>
                <w:rFonts w:ascii="Verdana" w:hAnsi="Verdana"/>
                <w:noProof/>
                <w:color w:val="000000"/>
                <w:sz w:val="14"/>
              </w:rPr>
              <w:t>0,8</w:t>
            </w:r>
          </w:p>
        </w:tc>
      </w:tr>
      <w:tr>
        <w:trPr>
          <w:trHeight w:val="255"/>
          <w:jc w:val="center"/>
        </w:trPr>
        <w:tc>
          <w:tcPr>
            <w:tcW w:w="1701" w:type="dxa"/>
            <w:vAlign w:val="center"/>
            <w:hideMark/>
          </w:tcPr>
          <w:p>
            <w:pPr>
              <w:rPr>
                <w:rFonts w:ascii="Verdana" w:hAnsi="Verdana"/>
                <w:noProof/>
                <w:color w:val="000000" w:themeColor="text1"/>
                <w:sz w:val="14"/>
                <w:szCs w:val="14"/>
              </w:rPr>
            </w:pPr>
            <w:r>
              <w:rPr>
                <w:rFonts w:ascii="Verdana" w:hAnsi="Verdana"/>
                <w:noProof/>
                <w:color w:val="000000"/>
                <w:sz w:val="14"/>
              </w:rPr>
              <w:t>Italie</w:t>
            </w:r>
          </w:p>
        </w:tc>
        <w:tc>
          <w:tcPr>
            <w:tcW w:w="1587" w:type="dxa"/>
            <w:vAlign w:val="center"/>
            <w:hideMark/>
          </w:tcPr>
          <w:p>
            <w:pPr>
              <w:jc w:val="right"/>
              <w:rPr>
                <w:rFonts w:ascii="Verdana" w:hAnsi="Verdana"/>
                <w:noProof/>
                <w:color w:val="000000" w:themeColor="text1"/>
                <w:sz w:val="14"/>
                <w:szCs w:val="14"/>
              </w:rPr>
            </w:pPr>
            <w:r>
              <w:rPr>
                <w:rFonts w:ascii="Verdana" w:hAnsi="Verdana"/>
                <w:noProof/>
                <w:color w:val="000000"/>
                <w:sz w:val="14"/>
              </w:rPr>
              <w:t>122,6</w:t>
            </w:r>
          </w:p>
        </w:tc>
        <w:tc>
          <w:tcPr>
            <w:tcW w:w="1587" w:type="dxa"/>
            <w:vAlign w:val="center"/>
            <w:hideMark/>
          </w:tcPr>
          <w:p>
            <w:pPr>
              <w:jc w:val="right"/>
              <w:rPr>
                <w:rFonts w:ascii="Verdana" w:hAnsi="Verdana"/>
                <w:noProof/>
                <w:color w:val="000000" w:themeColor="text1"/>
                <w:sz w:val="14"/>
                <w:szCs w:val="14"/>
              </w:rPr>
            </w:pPr>
            <w:r>
              <w:rPr>
                <w:rFonts w:ascii="Verdana" w:hAnsi="Verdana"/>
                <w:noProof/>
                <w:color w:val="000000"/>
                <w:sz w:val="14"/>
              </w:rPr>
              <w:t>122,6</w:t>
            </w:r>
          </w:p>
        </w:tc>
        <w:tc>
          <w:tcPr>
            <w:tcW w:w="1587" w:type="dxa"/>
            <w:vAlign w:val="center"/>
          </w:tcPr>
          <w:p>
            <w:pPr>
              <w:jc w:val="right"/>
              <w:rPr>
                <w:rFonts w:ascii="Verdana" w:hAnsi="Verdana" w:cs="Calibri"/>
                <w:noProof/>
                <w:color w:val="000000"/>
                <w:sz w:val="14"/>
                <w:szCs w:val="14"/>
              </w:rPr>
            </w:pPr>
            <w:r>
              <w:rPr>
                <w:rFonts w:ascii="Verdana" w:hAnsi="Verdana"/>
                <w:noProof/>
                <w:color w:val="000000"/>
                <w:sz w:val="14"/>
              </w:rPr>
              <w:t>99,1</w:t>
            </w:r>
          </w:p>
        </w:tc>
        <w:tc>
          <w:tcPr>
            <w:tcW w:w="1587" w:type="dxa"/>
            <w:vAlign w:val="center"/>
          </w:tcPr>
          <w:p>
            <w:pPr>
              <w:jc w:val="right"/>
              <w:rPr>
                <w:rFonts w:ascii="Verdana" w:hAnsi="Verdana" w:cs="Calibri"/>
                <w:noProof/>
                <w:color w:val="000000"/>
                <w:sz w:val="14"/>
                <w:szCs w:val="14"/>
              </w:rPr>
            </w:pPr>
            <w:r>
              <w:rPr>
                <w:rFonts w:ascii="Verdana" w:hAnsi="Verdana"/>
                <w:noProof/>
                <w:color w:val="000000"/>
                <w:sz w:val="14"/>
              </w:rPr>
              <w:t>–</w:t>
            </w:r>
          </w:p>
        </w:tc>
        <w:tc>
          <w:tcPr>
            <w:tcW w:w="1587" w:type="dxa"/>
            <w:vAlign w:val="center"/>
            <w:hideMark/>
          </w:tcPr>
          <w:p>
            <w:pPr>
              <w:jc w:val="right"/>
              <w:rPr>
                <w:rFonts w:ascii="Verdana" w:hAnsi="Verdana"/>
                <w:noProof/>
                <w:color w:val="000000" w:themeColor="text1"/>
                <w:sz w:val="14"/>
                <w:szCs w:val="14"/>
                <w:highlight w:val="yellow"/>
              </w:rPr>
            </w:pPr>
            <w:r>
              <w:rPr>
                <w:rFonts w:ascii="Verdana" w:hAnsi="Verdana"/>
                <w:noProof/>
                <w:color w:val="000000"/>
                <w:sz w:val="14"/>
              </w:rPr>
              <w:t>99,1</w:t>
            </w:r>
          </w:p>
        </w:tc>
      </w:tr>
      <w:tr>
        <w:trPr>
          <w:trHeight w:val="255"/>
          <w:jc w:val="center"/>
        </w:trPr>
        <w:tc>
          <w:tcPr>
            <w:tcW w:w="1701" w:type="dxa"/>
            <w:vAlign w:val="center"/>
            <w:hideMark/>
          </w:tcPr>
          <w:p>
            <w:pPr>
              <w:rPr>
                <w:rFonts w:ascii="Verdana" w:hAnsi="Verdana"/>
                <w:noProof/>
                <w:color w:val="000000" w:themeColor="text1"/>
                <w:sz w:val="14"/>
                <w:szCs w:val="14"/>
              </w:rPr>
            </w:pPr>
            <w:r>
              <w:rPr>
                <w:rFonts w:ascii="Verdana" w:hAnsi="Verdana"/>
                <w:noProof/>
                <w:color w:val="000000"/>
                <w:sz w:val="14"/>
              </w:rPr>
              <w:t>Lituanie</w:t>
            </w:r>
          </w:p>
        </w:tc>
        <w:tc>
          <w:tcPr>
            <w:tcW w:w="1587" w:type="dxa"/>
            <w:vAlign w:val="center"/>
            <w:hideMark/>
          </w:tcPr>
          <w:p>
            <w:pPr>
              <w:jc w:val="right"/>
              <w:rPr>
                <w:rFonts w:ascii="Verdana" w:hAnsi="Verdana"/>
                <w:noProof/>
                <w:color w:val="000000" w:themeColor="text1"/>
                <w:sz w:val="14"/>
                <w:szCs w:val="14"/>
              </w:rPr>
            </w:pPr>
            <w:r>
              <w:rPr>
                <w:rFonts w:ascii="Verdana" w:hAnsi="Verdana"/>
                <w:noProof/>
                <w:color w:val="000000"/>
                <w:sz w:val="14"/>
              </w:rPr>
              <w:t>1,6</w:t>
            </w:r>
          </w:p>
        </w:tc>
        <w:tc>
          <w:tcPr>
            <w:tcW w:w="1587" w:type="dxa"/>
            <w:vAlign w:val="center"/>
            <w:hideMark/>
          </w:tcPr>
          <w:p>
            <w:pPr>
              <w:jc w:val="right"/>
              <w:rPr>
                <w:rFonts w:ascii="Verdana" w:hAnsi="Verdana"/>
                <w:noProof/>
                <w:sz w:val="14"/>
                <w:szCs w:val="14"/>
              </w:rPr>
            </w:pPr>
            <w:r>
              <w:rPr>
                <w:rFonts w:ascii="Verdana" w:hAnsi="Verdana"/>
                <w:noProof/>
                <w:color w:val="000000"/>
                <w:sz w:val="14"/>
              </w:rPr>
              <w:t>1,6</w:t>
            </w:r>
          </w:p>
        </w:tc>
        <w:tc>
          <w:tcPr>
            <w:tcW w:w="1587" w:type="dxa"/>
            <w:vAlign w:val="center"/>
          </w:tcPr>
          <w:p>
            <w:pPr>
              <w:jc w:val="right"/>
              <w:rPr>
                <w:rFonts w:ascii="Verdana" w:hAnsi="Verdana" w:cs="Calibri"/>
                <w:noProof/>
                <w:color w:val="000000"/>
                <w:sz w:val="14"/>
                <w:szCs w:val="14"/>
              </w:rPr>
            </w:pPr>
            <w:r>
              <w:rPr>
                <w:rFonts w:ascii="Verdana" w:hAnsi="Verdana"/>
                <w:noProof/>
                <w:color w:val="000000"/>
                <w:sz w:val="14"/>
              </w:rPr>
              <w:t>0,8</w:t>
            </w:r>
          </w:p>
        </w:tc>
        <w:tc>
          <w:tcPr>
            <w:tcW w:w="1587" w:type="dxa"/>
            <w:vAlign w:val="center"/>
          </w:tcPr>
          <w:p>
            <w:pPr>
              <w:jc w:val="right"/>
              <w:rPr>
                <w:rFonts w:ascii="Verdana" w:hAnsi="Verdana" w:cs="Calibri"/>
                <w:noProof/>
                <w:color w:val="000000"/>
                <w:sz w:val="14"/>
                <w:szCs w:val="14"/>
              </w:rPr>
            </w:pPr>
            <w:r>
              <w:rPr>
                <w:rFonts w:ascii="Verdana" w:hAnsi="Verdana"/>
                <w:noProof/>
                <w:color w:val="000000"/>
                <w:sz w:val="14"/>
              </w:rPr>
              <w:t>–</w:t>
            </w:r>
          </w:p>
        </w:tc>
        <w:tc>
          <w:tcPr>
            <w:tcW w:w="1587" w:type="dxa"/>
            <w:vAlign w:val="center"/>
            <w:hideMark/>
          </w:tcPr>
          <w:p>
            <w:pPr>
              <w:jc w:val="right"/>
              <w:rPr>
                <w:rFonts w:ascii="Verdana" w:hAnsi="Verdana"/>
                <w:noProof/>
                <w:color w:val="000000" w:themeColor="text1"/>
                <w:sz w:val="14"/>
                <w:szCs w:val="14"/>
                <w:highlight w:val="yellow"/>
              </w:rPr>
            </w:pPr>
            <w:r>
              <w:rPr>
                <w:rFonts w:ascii="Verdana" w:hAnsi="Verdana"/>
                <w:noProof/>
                <w:color w:val="000000"/>
                <w:sz w:val="14"/>
              </w:rPr>
              <w:t>0,8</w:t>
            </w:r>
          </w:p>
        </w:tc>
      </w:tr>
      <w:tr>
        <w:trPr>
          <w:trHeight w:val="255"/>
          <w:jc w:val="center"/>
        </w:trPr>
        <w:tc>
          <w:tcPr>
            <w:tcW w:w="1701" w:type="dxa"/>
            <w:vAlign w:val="center"/>
            <w:hideMark/>
          </w:tcPr>
          <w:p>
            <w:pPr>
              <w:rPr>
                <w:rFonts w:ascii="Verdana" w:hAnsi="Verdana"/>
                <w:noProof/>
                <w:color w:val="000000" w:themeColor="text1"/>
                <w:sz w:val="14"/>
                <w:szCs w:val="14"/>
              </w:rPr>
            </w:pPr>
            <w:r>
              <w:rPr>
                <w:rFonts w:ascii="Verdana" w:hAnsi="Verdana"/>
                <w:noProof/>
                <w:color w:val="000000"/>
                <w:sz w:val="14"/>
              </w:rPr>
              <w:t>Pologne</w:t>
            </w:r>
          </w:p>
        </w:tc>
        <w:tc>
          <w:tcPr>
            <w:tcW w:w="1587" w:type="dxa"/>
            <w:vAlign w:val="center"/>
            <w:hideMark/>
          </w:tcPr>
          <w:p>
            <w:pPr>
              <w:jc w:val="right"/>
              <w:rPr>
                <w:rFonts w:ascii="Verdana" w:hAnsi="Verdana"/>
                <w:noProof/>
                <w:color w:val="000000" w:themeColor="text1"/>
                <w:sz w:val="14"/>
                <w:szCs w:val="14"/>
              </w:rPr>
            </w:pPr>
            <w:r>
              <w:rPr>
                <w:rFonts w:ascii="Verdana" w:hAnsi="Verdana"/>
                <w:noProof/>
                <w:color w:val="000000"/>
                <w:sz w:val="14"/>
              </w:rPr>
              <w:t>29,4</w:t>
            </w:r>
          </w:p>
        </w:tc>
        <w:tc>
          <w:tcPr>
            <w:tcW w:w="1587" w:type="dxa"/>
            <w:vAlign w:val="center"/>
            <w:hideMark/>
          </w:tcPr>
          <w:p>
            <w:pPr>
              <w:jc w:val="right"/>
              <w:rPr>
                <w:rFonts w:ascii="Verdana" w:hAnsi="Verdana"/>
                <w:noProof/>
                <w:sz w:val="14"/>
                <w:szCs w:val="14"/>
              </w:rPr>
            </w:pPr>
            <w:r>
              <w:rPr>
                <w:rFonts w:ascii="Verdana" w:hAnsi="Verdana"/>
                <w:noProof/>
                <w:color w:val="000000"/>
                <w:sz w:val="14"/>
              </w:rPr>
              <w:t>29,4</w:t>
            </w:r>
          </w:p>
        </w:tc>
        <w:tc>
          <w:tcPr>
            <w:tcW w:w="1587" w:type="dxa"/>
            <w:vAlign w:val="center"/>
          </w:tcPr>
          <w:p>
            <w:pPr>
              <w:jc w:val="right"/>
              <w:rPr>
                <w:rFonts w:ascii="Verdana" w:hAnsi="Verdana" w:cs="Calibri"/>
                <w:noProof/>
                <w:color w:val="000000"/>
                <w:sz w:val="14"/>
                <w:szCs w:val="14"/>
              </w:rPr>
            </w:pPr>
            <w:r>
              <w:rPr>
                <w:rFonts w:ascii="Verdana" w:hAnsi="Verdana"/>
                <w:noProof/>
                <w:color w:val="000000"/>
                <w:sz w:val="14"/>
              </w:rPr>
              <w:t>17,4</w:t>
            </w:r>
          </w:p>
        </w:tc>
        <w:tc>
          <w:tcPr>
            <w:tcW w:w="1587" w:type="dxa"/>
            <w:vAlign w:val="center"/>
          </w:tcPr>
          <w:p>
            <w:pPr>
              <w:jc w:val="right"/>
              <w:rPr>
                <w:rFonts w:ascii="Verdana" w:hAnsi="Verdana" w:cs="Calibri"/>
                <w:noProof/>
                <w:color w:val="000000"/>
                <w:sz w:val="14"/>
                <w:szCs w:val="14"/>
              </w:rPr>
            </w:pPr>
            <w:r>
              <w:rPr>
                <w:rFonts w:ascii="Verdana" w:hAnsi="Verdana"/>
                <w:noProof/>
                <w:color w:val="000000"/>
                <w:sz w:val="14"/>
              </w:rPr>
              <w:t>–</w:t>
            </w:r>
          </w:p>
        </w:tc>
        <w:tc>
          <w:tcPr>
            <w:tcW w:w="1587" w:type="dxa"/>
            <w:vAlign w:val="center"/>
            <w:hideMark/>
          </w:tcPr>
          <w:p>
            <w:pPr>
              <w:jc w:val="right"/>
              <w:rPr>
                <w:rFonts w:ascii="Verdana" w:hAnsi="Verdana"/>
                <w:noProof/>
                <w:color w:val="000000" w:themeColor="text1"/>
                <w:sz w:val="14"/>
                <w:szCs w:val="14"/>
                <w:highlight w:val="yellow"/>
              </w:rPr>
            </w:pPr>
            <w:r>
              <w:rPr>
                <w:rFonts w:ascii="Verdana" w:hAnsi="Verdana"/>
                <w:noProof/>
                <w:color w:val="000000"/>
                <w:sz w:val="14"/>
              </w:rPr>
              <w:t>17,4</w:t>
            </w:r>
          </w:p>
        </w:tc>
      </w:tr>
      <w:tr>
        <w:trPr>
          <w:trHeight w:val="255"/>
          <w:jc w:val="center"/>
        </w:trPr>
        <w:tc>
          <w:tcPr>
            <w:tcW w:w="1701" w:type="dxa"/>
            <w:vAlign w:val="center"/>
            <w:hideMark/>
          </w:tcPr>
          <w:p>
            <w:pPr>
              <w:rPr>
                <w:rFonts w:ascii="Verdana" w:hAnsi="Verdana"/>
                <w:noProof/>
                <w:color w:val="000000" w:themeColor="text1"/>
                <w:sz w:val="14"/>
                <w:szCs w:val="14"/>
              </w:rPr>
            </w:pPr>
            <w:r>
              <w:rPr>
                <w:rFonts w:ascii="Verdana" w:hAnsi="Verdana"/>
                <w:noProof/>
                <w:color w:val="000000"/>
                <w:sz w:val="14"/>
              </w:rPr>
              <w:t>Portugal</w:t>
            </w:r>
          </w:p>
        </w:tc>
        <w:tc>
          <w:tcPr>
            <w:tcW w:w="1587" w:type="dxa"/>
            <w:vAlign w:val="center"/>
            <w:hideMark/>
          </w:tcPr>
          <w:p>
            <w:pPr>
              <w:jc w:val="right"/>
              <w:rPr>
                <w:rFonts w:ascii="Verdana" w:hAnsi="Verdana"/>
                <w:noProof/>
                <w:color w:val="000000" w:themeColor="text1"/>
                <w:sz w:val="14"/>
                <w:szCs w:val="14"/>
              </w:rPr>
            </w:pPr>
            <w:r>
              <w:rPr>
                <w:rFonts w:ascii="Verdana" w:hAnsi="Verdana"/>
                <w:noProof/>
                <w:color w:val="000000"/>
                <w:sz w:val="14"/>
              </w:rPr>
              <w:t>5,6</w:t>
            </w:r>
          </w:p>
        </w:tc>
        <w:tc>
          <w:tcPr>
            <w:tcW w:w="1587" w:type="dxa"/>
            <w:vAlign w:val="center"/>
            <w:hideMark/>
          </w:tcPr>
          <w:p>
            <w:pPr>
              <w:jc w:val="right"/>
              <w:rPr>
                <w:rFonts w:ascii="Verdana" w:hAnsi="Verdana"/>
                <w:noProof/>
                <w:color w:val="000000" w:themeColor="text1"/>
                <w:sz w:val="14"/>
                <w:szCs w:val="14"/>
              </w:rPr>
            </w:pPr>
            <w:r>
              <w:rPr>
                <w:rFonts w:ascii="Verdana" w:hAnsi="Verdana"/>
                <w:noProof/>
                <w:color w:val="000000"/>
                <w:sz w:val="14"/>
              </w:rPr>
              <w:t>5,6</w:t>
            </w:r>
          </w:p>
        </w:tc>
        <w:tc>
          <w:tcPr>
            <w:tcW w:w="1587" w:type="dxa"/>
            <w:vAlign w:val="center"/>
          </w:tcPr>
          <w:p>
            <w:pPr>
              <w:jc w:val="right"/>
              <w:rPr>
                <w:rFonts w:ascii="Verdana" w:hAnsi="Verdana" w:cs="Calibri"/>
                <w:noProof/>
                <w:color w:val="000000"/>
                <w:sz w:val="14"/>
                <w:szCs w:val="14"/>
              </w:rPr>
            </w:pPr>
            <w:r>
              <w:rPr>
                <w:rFonts w:ascii="Verdana" w:hAnsi="Verdana"/>
                <w:noProof/>
                <w:color w:val="000000"/>
                <w:sz w:val="14"/>
              </w:rPr>
              <w:t>3,4</w:t>
            </w:r>
          </w:p>
        </w:tc>
        <w:tc>
          <w:tcPr>
            <w:tcW w:w="1587" w:type="dxa"/>
            <w:vAlign w:val="center"/>
          </w:tcPr>
          <w:p>
            <w:pPr>
              <w:jc w:val="right"/>
              <w:rPr>
                <w:rFonts w:ascii="Verdana" w:hAnsi="Verdana" w:cs="Calibri"/>
                <w:noProof/>
                <w:color w:val="000000"/>
                <w:sz w:val="14"/>
                <w:szCs w:val="14"/>
              </w:rPr>
            </w:pPr>
            <w:r>
              <w:rPr>
                <w:rFonts w:ascii="Verdana" w:hAnsi="Verdana"/>
                <w:noProof/>
                <w:color w:val="000000"/>
                <w:sz w:val="14"/>
              </w:rPr>
              <w:t>–</w:t>
            </w:r>
          </w:p>
        </w:tc>
        <w:tc>
          <w:tcPr>
            <w:tcW w:w="1587" w:type="dxa"/>
            <w:vAlign w:val="center"/>
            <w:hideMark/>
          </w:tcPr>
          <w:p>
            <w:pPr>
              <w:jc w:val="right"/>
              <w:rPr>
                <w:rFonts w:ascii="Verdana" w:hAnsi="Verdana"/>
                <w:noProof/>
                <w:color w:val="000000" w:themeColor="text1"/>
                <w:sz w:val="14"/>
                <w:szCs w:val="14"/>
                <w:highlight w:val="yellow"/>
              </w:rPr>
            </w:pPr>
            <w:r>
              <w:rPr>
                <w:rFonts w:ascii="Verdana" w:hAnsi="Verdana"/>
                <w:noProof/>
                <w:color w:val="000000"/>
                <w:sz w:val="14"/>
              </w:rPr>
              <w:t>3,4</w:t>
            </w:r>
          </w:p>
        </w:tc>
      </w:tr>
      <w:tr>
        <w:trPr>
          <w:trHeight w:val="255"/>
          <w:jc w:val="center"/>
        </w:trPr>
        <w:tc>
          <w:tcPr>
            <w:tcW w:w="1701" w:type="dxa"/>
            <w:vAlign w:val="center"/>
            <w:hideMark/>
          </w:tcPr>
          <w:p>
            <w:pPr>
              <w:rPr>
                <w:rFonts w:ascii="Verdana" w:hAnsi="Verdana"/>
                <w:noProof/>
                <w:color w:val="000000" w:themeColor="text1"/>
                <w:sz w:val="14"/>
                <w:szCs w:val="14"/>
              </w:rPr>
            </w:pPr>
            <w:r>
              <w:rPr>
                <w:rFonts w:ascii="Verdana" w:hAnsi="Verdana"/>
                <w:noProof/>
                <w:color w:val="000000"/>
                <w:sz w:val="14"/>
              </w:rPr>
              <w:t>Roumanie</w:t>
            </w:r>
          </w:p>
        </w:tc>
        <w:tc>
          <w:tcPr>
            <w:tcW w:w="1587" w:type="dxa"/>
            <w:vAlign w:val="center"/>
            <w:hideMark/>
          </w:tcPr>
          <w:p>
            <w:pPr>
              <w:jc w:val="right"/>
              <w:rPr>
                <w:rFonts w:ascii="Verdana" w:hAnsi="Verdana"/>
                <w:noProof/>
                <w:color w:val="000000" w:themeColor="text1"/>
                <w:sz w:val="14"/>
                <w:szCs w:val="14"/>
              </w:rPr>
            </w:pPr>
            <w:r>
              <w:rPr>
                <w:rFonts w:ascii="Verdana" w:hAnsi="Verdana"/>
                <w:noProof/>
                <w:color w:val="000000"/>
                <w:sz w:val="14"/>
              </w:rPr>
              <w:t>7,8</w:t>
            </w:r>
          </w:p>
        </w:tc>
        <w:tc>
          <w:tcPr>
            <w:tcW w:w="1587" w:type="dxa"/>
            <w:vAlign w:val="center"/>
            <w:hideMark/>
          </w:tcPr>
          <w:p>
            <w:pPr>
              <w:jc w:val="right"/>
              <w:rPr>
                <w:rFonts w:ascii="Verdana" w:hAnsi="Verdana"/>
                <w:noProof/>
                <w:sz w:val="14"/>
                <w:szCs w:val="14"/>
              </w:rPr>
            </w:pPr>
            <w:r>
              <w:rPr>
                <w:rFonts w:ascii="Verdana" w:hAnsi="Verdana"/>
                <w:noProof/>
                <w:color w:val="000000"/>
                <w:sz w:val="14"/>
              </w:rPr>
              <w:t>7,8</w:t>
            </w:r>
          </w:p>
        </w:tc>
        <w:tc>
          <w:tcPr>
            <w:tcW w:w="1587" w:type="dxa"/>
            <w:vAlign w:val="center"/>
          </w:tcPr>
          <w:p>
            <w:pPr>
              <w:jc w:val="right"/>
              <w:rPr>
                <w:rFonts w:ascii="Verdana" w:hAnsi="Verdana" w:cs="Calibri"/>
                <w:noProof/>
                <w:color w:val="000000"/>
                <w:sz w:val="14"/>
                <w:szCs w:val="14"/>
              </w:rPr>
            </w:pPr>
            <w:r>
              <w:rPr>
                <w:rFonts w:ascii="Verdana" w:hAnsi="Verdana"/>
                <w:noProof/>
                <w:color w:val="000000"/>
                <w:sz w:val="14"/>
              </w:rPr>
              <w:t>4,3</w:t>
            </w:r>
          </w:p>
        </w:tc>
        <w:tc>
          <w:tcPr>
            <w:tcW w:w="1587" w:type="dxa"/>
            <w:vAlign w:val="center"/>
          </w:tcPr>
          <w:p>
            <w:pPr>
              <w:jc w:val="right"/>
              <w:rPr>
                <w:rFonts w:ascii="Verdana" w:hAnsi="Verdana" w:cs="Calibri"/>
                <w:noProof/>
                <w:color w:val="000000"/>
                <w:sz w:val="14"/>
                <w:szCs w:val="14"/>
              </w:rPr>
            </w:pPr>
            <w:r>
              <w:rPr>
                <w:rFonts w:ascii="Verdana" w:hAnsi="Verdana"/>
                <w:noProof/>
                <w:color w:val="000000"/>
                <w:sz w:val="14"/>
              </w:rPr>
              <w:t>–</w:t>
            </w:r>
          </w:p>
        </w:tc>
        <w:tc>
          <w:tcPr>
            <w:tcW w:w="1587" w:type="dxa"/>
            <w:vAlign w:val="center"/>
            <w:hideMark/>
          </w:tcPr>
          <w:p>
            <w:pPr>
              <w:jc w:val="right"/>
              <w:rPr>
                <w:rFonts w:ascii="Verdana" w:hAnsi="Verdana"/>
                <w:noProof/>
                <w:color w:val="000000" w:themeColor="text1"/>
                <w:sz w:val="14"/>
                <w:szCs w:val="14"/>
                <w:highlight w:val="yellow"/>
              </w:rPr>
            </w:pPr>
            <w:r>
              <w:rPr>
                <w:rFonts w:ascii="Verdana" w:hAnsi="Verdana"/>
                <w:noProof/>
                <w:color w:val="000000"/>
                <w:sz w:val="14"/>
              </w:rPr>
              <w:t>4,3</w:t>
            </w:r>
          </w:p>
        </w:tc>
      </w:tr>
      <w:tr>
        <w:trPr>
          <w:trHeight w:val="255"/>
          <w:jc w:val="center"/>
        </w:trPr>
        <w:tc>
          <w:tcPr>
            <w:tcW w:w="1701" w:type="dxa"/>
            <w:vAlign w:val="center"/>
            <w:hideMark/>
          </w:tcPr>
          <w:p>
            <w:pPr>
              <w:rPr>
                <w:rFonts w:ascii="Verdana" w:hAnsi="Verdana"/>
                <w:noProof/>
                <w:color w:val="000000" w:themeColor="text1"/>
                <w:sz w:val="14"/>
                <w:szCs w:val="14"/>
              </w:rPr>
            </w:pPr>
            <w:r>
              <w:rPr>
                <w:rFonts w:ascii="Verdana" w:hAnsi="Verdana"/>
                <w:noProof/>
                <w:color w:val="000000"/>
                <w:sz w:val="14"/>
              </w:rPr>
              <w:t>Slovénie</w:t>
            </w:r>
          </w:p>
        </w:tc>
        <w:tc>
          <w:tcPr>
            <w:tcW w:w="1587" w:type="dxa"/>
            <w:vAlign w:val="center"/>
            <w:hideMark/>
          </w:tcPr>
          <w:p>
            <w:pPr>
              <w:jc w:val="right"/>
              <w:rPr>
                <w:rFonts w:ascii="Verdana" w:hAnsi="Verdana"/>
                <w:noProof/>
                <w:color w:val="000000" w:themeColor="text1"/>
                <w:sz w:val="14"/>
                <w:szCs w:val="14"/>
              </w:rPr>
            </w:pPr>
            <w:r>
              <w:rPr>
                <w:rFonts w:ascii="Verdana" w:hAnsi="Verdana"/>
                <w:noProof/>
                <w:color w:val="000000"/>
                <w:sz w:val="14"/>
              </w:rPr>
              <w:t>0,5</w:t>
            </w:r>
          </w:p>
        </w:tc>
        <w:tc>
          <w:tcPr>
            <w:tcW w:w="1587" w:type="dxa"/>
            <w:vAlign w:val="center"/>
            <w:hideMark/>
          </w:tcPr>
          <w:p>
            <w:pPr>
              <w:jc w:val="right"/>
              <w:rPr>
                <w:rFonts w:ascii="Verdana" w:hAnsi="Verdana"/>
                <w:noProof/>
                <w:sz w:val="14"/>
                <w:szCs w:val="14"/>
              </w:rPr>
            </w:pPr>
            <w:r>
              <w:rPr>
                <w:rFonts w:ascii="Verdana" w:hAnsi="Verdana"/>
                <w:noProof/>
                <w:color w:val="000000"/>
                <w:sz w:val="14"/>
              </w:rPr>
              <w:t>0,5</w:t>
            </w:r>
          </w:p>
        </w:tc>
        <w:tc>
          <w:tcPr>
            <w:tcW w:w="1587" w:type="dxa"/>
            <w:vAlign w:val="center"/>
          </w:tcPr>
          <w:p>
            <w:pPr>
              <w:jc w:val="right"/>
              <w:rPr>
                <w:rFonts w:ascii="Verdana" w:hAnsi="Verdana" w:cs="Calibri"/>
                <w:noProof/>
                <w:color w:val="000000"/>
                <w:sz w:val="14"/>
                <w:szCs w:val="14"/>
              </w:rPr>
            </w:pPr>
            <w:r>
              <w:rPr>
                <w:rFonts w:ascii="Verdana" w:hAnsi="Verdana"/>
                <w:noProof/>
                <w:color w:val="000000"/>
                <w:sz w:val="14"/>
              </w:rPr>
              <w:t>0,5</w:t>
            </w:r>
          </w:p>
        </w:tc>
        <w:tc>
          <w:tcPr>
            <w:tcW w:w="1587" w:type="dxa"/>
            <w:vAlign w:val="center"/>
          </w:tcPr>
          <w:p>
            <w:pPr>
              <w:jc w:val="right"/>
              <w:rPr>
                <w:rFonts w:ascii="Verdana" w:hAnsi="Verdana" w:cs="Calibri"/>
                <w:noProof/>
                <w:color w:val="000000"/>
                <w:sz w:val="14"/>
                <w:szCs w:val="14"/>
              </w:rPr>
            </w:pPr>
            <w:r>
              <w:rPr>
                <w:rFonts w:ascii="Verdana" w:hAnsi="Verdana"/>
                <w:noProof/>
                <w:color w:val="000000"/>
                <w:sz w:val="14"/>
              </w:rPr>
              <w:t>–</w:t>
            </w:r>
          </w:p>
        </w:tc>
        <w:tc>
          <w:tcPr>
            <w:tcW w:w="1587" w:type="dxa"/>
            <w:vAlign w:val="center"/>
            <w:hideMark/>
          </w:tcPr>
          <w:p>
            <w:pPr>
              <w:jc w:val="right"/>
              <w:rPr>
                <w:rFonts w:ascii="Verdana" w:hAnsi="Verdana"/>
                <w:noProof/>
                <w:color w:val="000000" w:themeColor="text1"/>
                <w:sz w:val="14"/>
                <w:szCs w:val="14"/>
                <w:highlight w:val="yellow"/>
              </w:rPr>
            </w:pPr>
            <w:r>
              <w:rPr>
                <w:rFonts w:ascii="Verdana" w:hAnsi="Verdana"/>
                <w:noProof/>
                <w:color w:val="000000"/>
                <w:sz w:val="14"/>
              </w:rPr>
              <w:t>0,5</w:t>
            </w:r>
          </w:p>
        </w:tc>
      </w:tr>
      <w:tr>
        <w:trPr>
          <w:trHeight w:val="255"/>
          <w:jc w:val="center"/>
        </w:trPr>
        <w:tc>
          <w:tcPr>
            <w:tcW w:w="1701" w:type="dxa"/>
            <w:vAlign w:val="center"/>
            <w:hideMark/>
          </w:tcPr>
          <w:p>
            <w:pPr>
              <w:rPr>
                <w:rFonts w:ascii="Verdana" w:hAnsi="Verdana"/>
                <w:noProof/>
                <w:color w:val="000000" w:themeColor="text1"/>
                <w:sz w:val="14"/>
                <w:szCs w:val="14"/>
              </w:rPr>
            </w:pPr>
            <w:r>
              <w:rPr>
                <w:rFonts w:ascii="Verdana" w:hAnsi="Verdana"/>
                <w:noProof/>
                <w:color w:val="000000"/>
                <w:sz w:val="14"/>
              </w:rPr>
              <w:t>Espagne</w:t>
            </w:r>
          </w:p>
        </w:tc>
        <w:tc>
          <w:tcPr>
            <w:tcW w:w="1587" w:type="dxa"/>
            <w:vAlign w:val="center"/>
            <w:hideMark/>
          </w:tcPr>
          <w:p>
            <w:pPr>
              <w:jc w:val="right"/>
              <w:rPr>
                <w:rFonts w:ascii="Verdana" w:hAnsi="Verdana"/>
                <w:noProof/>
                <w:color w:val="000000" w:themeColor="text1"/>
                <w:sz w:val="14"/>
                <w:szCs w:val="14"/>
              </w:rPr>
            </w:pPr>
            <w:r>
              <w:rPr>
                <w:rFonts w:ascii="Verdana" w:hAnsi="Verdana"/>
                <w:noProof/>
                <w:color w:val="000000"/>
                <w:sz w:val="14"/>
              </w:rPr>
              <w:t>83,2</w:t>
            </w:r>
          </w:p>
        </w:tc>
        <w:tc>
          <w:tcPr>
            <w:tcW w:w="1587" w:type="dxa"/>
            <w:vAlign w:val="center"/>
            <w:hideMark/>
          </w:tcPr>
          <w:p>
            <w:pPr>
              <w:jc w:val="right"/>
              <w:rPr>
                <w:rFonts w:ascii="Verdana" w:hAnsi="Verdana"/>
                <w:noProof/>
                <w:sz w:val="14"/>
                <w:szCs w:val="14"/>
              </w:rPr>
            </w:pPr>
            <w:r>
              <w:rPr>
                <w:rFonts w:ascii="Verdana" w:hAnsi="Verdana"/>
                <w:noProof/>
                <w:color w:val="000000"/>
                <w:sz w:val="14"/>
              </w:rPr>
              <w:t>83,2</w:t>
            </w:r>
          </w:p>
        </w:tc>
        <w:tc>
          <w:tcPr>
            <w:tcW w:w="1587" w:type="dxa"/>
            <w:vAlign w:val="center"/>
          </w:tcPr>
          <w:p>
            <w:pPr>
              <w:jc w:val="right"/>
              <w:rPr>
                <w:rFonts w:ascii="Verdana" w:hAnsi="Verdana" w:cs="Calibri"/>
                <w:noProof/>
                <w:color w:val="000000"/>
                <w:sz w:val="14"/>
                <w:szCs w:val="14"/>
              </w:rPr>
            </w:pPr>
            <w:r>
              <w:rPr>
                <w:rFonts w:ascii="Verdana" w:hAnsi="Verdana"/>
                <w:noProof/>
                <w:color w:val="000000"/>
                <w:sz w:val="14"/>
              </w:rPr>
              <w:t>16,3</w:t>
            </w:r>
          </w:p>
        </w:tc>
        <w:tc>
          <w:tcPr>
            <w:tcW w:w="1587" w:type="dxa"/>
            <w:vAlign w:val="center"/>
          </w:tcPr>
          <w:p>
            <w:pPr>
              <w:jc w:val="right"/>
              <w:rPr>
                <w:rFonts w:ascii="Verdana" w:hAnsi="Verdana" w:cs="Calibri"/>
                <w:noProof/>
                <w:color w:val="000000"/>
                <w:sz w:val="14"/>
                <w:szCs w:val="14"/>
              </w:rPr>
            </w:pPr>
            <w:r>
              <w:rPr>
                <w:rFonts w:ascii="Verdana" w:hAnsi="Verdana"/>
                <w:noProof/>
                <w:color w:val="000000"/>
                <w:sz w:val="14"/>
              </w:rPr>
              <w:t>–</w:t>
            </w:r>
          </w:p>
        </w:tc>
        <w:tc>
          <w:tcPr>
            <w:tcW w:w="1587" w:type="dxa"/>
            <w:vAlign w:val="center"/>
          </w:tcPr>
          <w:p>
            <w:pPr>
              <w:jc w:val="right"/>
              <w:rPr>
                <w:rFonts w:ascii="Verdana" w:hAnsi="Verdana"/>
                <w:noProof/>
                <w:color w:val="000000" w:themeColor="text1"/>
                <w:sz w:val="14"/>
                <w:szCs w:val="14"/>
                <w:highlight w:val="yellow"/>
              </w:rPr>
            </w:pPr>
            <w:r>
              <w:rPr>
                <w:rFonts w:ascii="Verdana" w:hAnsi="Verdana"/>
                <w:noProof/>
                <w:color w:val="000000"/>
                <w:sz w:val="14"/>
              </w:rPr>
              <w:t>16,3</w:t>
            </w:r>
          </w:p>
        </w:tc>
      </w:tr>
      <w:tr>
        <w:trPr>
          <w:trHeight w:val="255"/>
          <w:jc w:val="center"/>
        </w:trPr>
        <w:tc>
          <w:tcPr>
            <w:tcW w:w="1701" w:type="dxa"/>
            <w:tcBorders>
              <w:top w:val="single" w:sz="4" w:space="0" w:color="016794"/>
              <w:left w:val="nil"/>
              <w:bottom w:val="single" w:sz="4" w:space="0" w:color="016794"/>
              <w:right w:val="nil"/>
            </w:tcBorders>
            <w:vAlign w:val="center"/>
            <w:hideMark/>
          </w:tcPr>
          <w:p>
            <w:pPr>
              <w:rPr>
                <w:rFonts w:ascii="Verdana" w:hAnsi="Verdana"/>
                <w:b/>
                <w:noProof/>
                <w:color w:val="000000" w:themeColor="text1"/>
                <w:sz w:val="14"/>
                <w:szCs w:val="14"/>
              </w:rPr>
            </w:pPr>
            <w:r>
              <w:rPr>
                <w:rFonts w:ascii="Verdana" w:hAnsi="Verdana"/>
                <w:b/>
                <w:noProof/>
                <w:color w:val="000000" w:themeColor="text1"/>
                <w:sz w:val="14"/>
              </w:rPr>
              <w:t>Total</w:t>
            </w:r>
          </w:p>
        </w:tc>
        <w:tc>
          <w:tcPr>
            <w:tcW w:w="1587" w:type="dxa"/>
            <w:tcBorders>
              <w:top w:val="single" w:sz="4" w:space="0" w:color="016794"/>
              <w:left w:val="nil"/>
              <w:bottom w:val="single" w:sz="4" w:space="0" w:color="016794"/>
              <w:right w:val="nil"/>
            </w:tcBorders>
            <w:vAlign w:val="center"/>
            <w:hideMark/>
          </w:tcPr>
          <w:p>
            <w:pPr>
              <w:jc w:val="right"/>
              <w:rPr>
                <w:rFonts w:ascii="Verdana" w:hAnsi="Verdana" w:cs="Arial"/>
                <w:b/>
                <w:bCs/>
                <w:noProof/>
                <w:sz w:val="14"/>
                <w:szCs w:val="14"/>
              </w:rPr>
            </w:pPr>
            <w:r>
              <w:rPr>
                <w:rFonts w:ascii="Verdana" w:hAnsi="Verdana"/>
                <w:b/>
                <w:noProof/>
                <w:color w:val="000000"/>
                <w:sz w:val="14"/>
              </w:rPr>
              <w:t>277,2</w:t>
            </w:r>
          </w:p>
        </w:tc>
        <w:tc>
          <w:tcPr>
            <w:tcW w:w="1587" w:type="dxa"/>
            <w:tcBorders>
              <w:top w:val="single" w:sz="4" w:space="0" w:color="016794"/>
              <w:left w:val="nil"/>
              <w:bottom w:val="single" w:sz="4" w:space="0" w:color="016794"/>
              <w:right w:val="nil"/>
            </w:tcBorders>
            <w:vAlign w:val="center"/>
            <w:hideMark/>
          </w:tcPr>
          <w:p>
            <w:pPr>
              <w:jc w:val="right"/>
              <w:rPr>
                <w:rFonts w:ascii="Verdana" w:hAnsi="Verdana" w:cs="Arial"/>
                <w:b/>
                <w:bCs/>
                <w:noProof/>
                <w:sz w:val="14"/>
                <w:szCs w:val="14"/>
              </w:rPr>
            </w:pPr>
            <w:r>
              <w:rPr>
                <w:rFonts w:ascii="Verdana" w:hAnsi="Verdana"/>
                <w:b/>
                <w:noProof/>
                <w:color w:val="000000"/>
                <w:sz w:val="14"/>
              </w:rPr>
              <w:t>277,2</w:t>
            </w:r>
          </w:p>
        </w:tc>
        <w:tc>
          <w:tcPr>
            <w:tcW w:w="1587" w:type="dxa"/>
            <w:tcBorders>
              <w:top w:val="single" w:sz="4" w:space="0" w:color="016794"/>
              <w:left w:val="nil"/>
              <w:bottom w:val="single" w:sz="4" w:space="0" w:color="016794"/>
              <w:right w:val="nil"/>
            </w:tcBorders>
            <w:vAlign w:val="center"/>
          </w:tcPr>
          <w:p>
            <w:pPr>
              <w:jc w:val="right"/>
              <w:rPr>
                <w:rFonts w:ascii="Verdana" w:hAnsi="Verdana" w:cs="Calibri"/>
                <w:b/>
                <w:bCs/>
                <w:noProof/>
                <w:color w:val="000000"/>
                <w:sz w:val="14"/>
                <w:szCs w:val="14"/>
              </w:rPr>
            </w:pPr>
            <w:r>
              <w:rPr>
                <w:rFonts w:ascii="Verdana" w:hAnsi="Verdana"/>
                <w:b/>
                <w:noProof/>
                <w:color w:val="000000"/>
                <w:sz w:val="14"/>
              </w:rPr>
              <w:t>155,9</w:t>
            </w:r>
          </w:p>
        </w:tc>
        <w:tc>
          <w:tcPr>
            <w:tcW w:w="1587" w:type="dxa"/>
            <w:tcBorders>
              <w:top w:val="single" w:sz="4" w:space="0" w:color="016794"/>
              <w:left w:val="nil"/>
              <w:bottom w:val="single" w:sz="4" w:space="0" w:color="016794"/>
              <w:right w:val="nil"/>
            </w:tcBorders>
            <w:vAlign w:val="center"/>
          </w:tcPr>
          <w:p>
            <w:pPr>
              <w:jc w:val="right"/>
              <w:rPr>
                <w:rFonts w:ascii="Verdana" w:hAnsi="Verdana" w:cs="Calibri"/>
                <w:b/>
                <w:bCs/>
                <w:noProof/>
                <w:color w:val="000000"/>
                <w:sz w:val="14"/>
                <w:szCs w:val="14"/>
                <w:highlight w:val="yellow"/>
              </w:rPr>
            </w:pPr>
            <w:r>
              <w:rPr>
                <w:rFonts w:ascii="Verdana" w:hAnsi="Verdana"/>
                <w:b/>
                <w:noProof/>
                <w:color w:val="000000"/>
                <w:sz w:val="14"/>
              </w:rPr>
              <w:t>–</w:t>
            </w:r>
          </w:p>
        </w:tc>
        <w:tc>
          <w:tcPr>
            <w:tcW w:w="1587" w:type="dxa"/>
            <w:tcBorders>
              <w:top w:val="single" w:sz="4" w:space="0" w:color="016794"/>
              <w:left w:val="nil"/>
              <w:bottom w:val="single" w:sz="4" w:space="0" w:color="016794"/>
              <w:right w:val="nil"/>
            </w:tcBorders>
            <w:vAlign w:val="center"/>
            <w:hideMark/>
          </w:tcPr>
          <w:p>
            <w:pPr>
              <w:jc w:val="right"/>
              <w:rPr>
                <w:rFonts w:ascii="Verdana" w:hAnsi="Verdana" w:cs="Arial"/>
                <w:b/>
                <w:bCs/>
                <w:noProof/>
                <w:sz w:val="14"/>
                <w:szCs w:val="14"/>
                <w:highlight w:val="yellow"/>
              </w:rPr>
            </w:pPr>
            <w:r>
              <w:rPr>
                <w:rFonts w:ascii="Verdana" w:hAnsi="Verdana"/>
                <w:b/>
                <w:noProof/>
                <w:color w:val="000000"/>
                <w:sz w:val="14"/>
              </w:rPr>
              <w:t>155,9</w:t>
            </w:r>
          </w:p>
        </w:tc>
      </w:tr>
    </w:tbl>
    <w:p>
      <w:pPr>
        <w:pStyle w:val="DGTextstand-alone"/>
        <w:tabs>
          <w:tab w:val="left" w:pos="85"/>
        </w:tabs>
        <w:spacing w:before="60" w:after="120"/>
        <w:ind w:left="85" w:hanging="85"/>
        <w:rPr>
          <w:i/>
          <w:iCs/>
          <w:sz w:val="14"/>
          <w:szCs w:val="14"/>
        </w:rPr>
      </w:pPr>
      <w:r>
        <w:rPr>
          <w:i/>
          <w:color w:val="000000"/>
          <w:sz w:val="14"/>
          <w:vertAlign w:val="superscript"/>
        </w:rPr>
        <w:t>*</w:t>
      </w:r>
      <w:r>
        <w:rPr>
          <w:i/>
          <w:color w:val="000000"/>
          <w:sz w:val="14"/>
          <w:vertAlign w:val="superscript"/>
        </w:rPr>
        <w:tab/>
      </w:r>
      <w:r>
        <w:rPr>
          <w:i/>
          <w:sz w:val="14"/>
        </w:rPr>
        <w:t>Un soutien sous la forme de prêts d’un montant total de 0,2 milliard d’EUR a été mis à la disposition de Chypre par voie de décision d’exécution du Conseil du 28 juillet 2021 afin de soutenir les réformes et les investissements. Chypre a demandé la suppression de ces réformes et investissements et n’a pas demandé à utiliser les ressources de prêt libérées pour soutenir de nouvelles mesures ou accroître le niveau de mise en œuvre des mesures existantes dans le cadre de son plan pour la reprise et la résilience. Par conséquent, aucun soutien sous la forme de prêts n’est mis à la disposition de Chypre à terme, et le préfinancement de prêts déjà décaissé, d’un montant de 26,0 millions d’EUR, est remboursable conformément aux conditions de l’accord de prêt concerné.</w:t>
      </w:r>
    </w:p>
    <w:p>
      <w:pPr>
        <w:pStyle w:val="DGTextstand-alone"/>
        <w:spacing w:after="120"/>
      </w:pPr>
      <w:r>
        <w:t>En 2025, la Commission a accordé un nouveau soutien financier sous la forme de prêts pour un montant de 47,2 milliards d’EUR. Les principaux décaissements ont été effectués en faveur de l’Italie (23,4 milliards d’EUR) et de l’Espagne (15,9 milliards d’EUR), suivie de la Pologne (4,0 milliards d’EUR). Conformément aux accords de prêt, les États membres rembourseront sur une base annuelle 5 % des montants décaissés à partir de dix ans après la date de décaissement. Il en résulte une période de remboursement allant de 2032 à 2055 pour les prêts décaissés jusqu’au 31 décembre 2025.</w:t>
      </w:r>
    </w:p>
    <w:p>
      <w:pPr>
        <w:pStyle w:val="HEADER2Part4"/>
      </w:pPr>
      <w:bookmarkStart w:id="23" w:name="_Toc237348531"/>
      <w:r>
        <w:t>Décaissements du soutien non remboursable au titre de programmes relevant du budget de l’UE</w:t>
      </w:r>
      <w:bookmarkEnd w:id="23"/>
    </w:p>
    <w:p>
      <w:pPr>
        <w:pStyle w:val="DGTextstand-alone"/>
        <w:spacing w:after="120"/>
      </w:pPr>
      <w:r>
        <w:t>À la fin de 2025, le montant total des paiements nets décaissés en faveur d’autres programmes relevant du CFP s’élevait à 75,4 milliards d’EUR. Cette contribution, hors recouvrements, concernait principalement REACT-EU, qui finance le Fonds européen de développement régional (FEDER) et le Fonds social européen (FSE, y compris le FEAD):</w:t>
      </w:r>
    </w:p>
    <w:tbl>
      <w:tblPr>
        <w:tblStyle w:val="TableGrid"/>
        <w:tblW w:w="963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1"/>
        <w:gridCol w:w="2324"/>
        <w:gridCol w:w="2381"/>
        <w:gridCol w:w="2381"/>
      </w:tblGrid>
      <w:tr>
        <w:trPr>
          <w:trHeight w:val="255"/>
          <w:tblHeader/>
          <w:jc w:val="center"/>
        </w:trPr>
        <w:tc>
          <w:tcPr>
            <w:tcW w:w="2551" w:type="dxa"/>
            <w:vAlign w:val="center"/>
          </w:tcPr>
          <w:p>
            <w:pPr>
              <w:pStyle w:val="DGTextstand-alone"/>
              <w:spacing w:before="0" w:after="0"/>
              <w:jc w:val="left"/>
              <w:rPr>
                <w:color w:val="000000" w:themeColor="text1"/>
              </w:rPr>
            </w:pPr>
          </w:p>
        </w:tc>
        <w:tc>
          <w:tcPr>
            <w:tcW w:w="2324" w:type="dxa"/>
            <w:vAlign w:val="center"/>
          </w:tcPr>
          <w:p>
            <w:pPr>
              <w:pStyle w:val="DGTextstand-alone"/>
              <w:spacing w:before="0" w:after="0"/>
              <w:jc w:val="right"/>
              <w:rPr>
                <w:bCs/>
                <w:color w:val="000000" w:themeColor="text1"/>
              </w:rPr>
            </w:pPr>
          </w:p>
        </w:tc>
        <w:tc>
          <w:tcPr>
            <w:tcW w:w="2381" w:type="dxa"/>
            <w:vAlign w:val="center"/>
          </w:tcPr>
          <w:p>
            <w:pPr>
              <w:pStyle w:val="DGTextstand-alone"/>
              <w:spacing w:before="0" w:after="0"/>
              <w:jc w:val="right"/>
              <w:rPr>
                <w:bCs/>
                <w:color w:val="000000" w:themeColor="text1"/>
              </w:rPr>
            </w:pPr>
          </w:p>
        </w:tc>
        <w:tc>
          <w:tcPr>
            <w:tcW w:w="2381" w:type="dxa"/>
            <w:vAlign w:val="center"/>
          </w:tcPr>
          <w:p>
            <w:pPr>
              <w:pStyle w:val="DGTextstand-alone"/>
              <w:spacing w:before="0" w:after="0"/>
              <w:jc w:val="right"/>
              <w:rPr>
                <w:bCs/>
                <w:i/>
                <w:color w:val="000000" w:themeColor="text1"/>
              </w:rPr>
            </w:pPr>
            <w:r>
              <w:rPr>
                <w:i/>
                <w:color w:val="000000" w:themeColor="text1"/>
                <w:sz w:val="14"/>
              </w:rPr>
              <w:t>en Mrd EUR</w:t>
            </w:r>
          </w:p>
        </w:tc>
      </w:tr>
      <w:tr>
        <w:trPr>
          <w:trHeight w:val="255"/>
          <w:tblHeader/>
          <w:jc w:val="center"/>
        </w:trPr>
        <w:tc>
          <w:tcPr>
            <w:tcW w:w="2551" w:type="dxa"/>
            <w:shd w:val="clear" w:color="auto" w:fill="016794"/>
            <w:vAlign w:val="center"/>
          </w:tcPr>
          <w:p>
            <w:pPr>
              <w:pStyle w:val="DGTextstand-alone"/>
              <w:spacing w:before="0" w:after="0"/>
              <w:jc w:val="left"/>
              <w:rPr>
                <w:b/>
                <w:color w:val="FFFFFF" w:themeColor="background1"/>
                <w:sz w:val="14"/>
                <w:szCs w:val="14"/>
              </w:rPr>
            </w:pPr>
            <w:r>
              <w:rPr>
                <w:b/>
                <w:color w:val="FFFFFF" w:themeColor="background1"/>
                <w:sz w:val="14"/>
              </w:rPr>
              <w:br/>
              <w:t>Programme du CFP</w:t>
            </w:r>
          </w:p>
        </w:tc>
        <w:tc>
          <w:tcPr>
            <w:tcW w:w="2324" w:type="dxa"/>
            <w:shd w:val="clear" w:color="auto" w:fill="016794"/>
            <w:vAlign w:val="center"/>
          </w:tcPr>
          <w:p>
            <w:pPr>
              <w:pStyle w:val="DGTextstand-alone"/>
              <w:spacing w:before="0" w:after="0"/>
              <w:jc w:val="right"/>
              <w:rPr>
                <w:b/>
                <w:color w:val="FFFFFF" w:themeColor="background1"/>
                <w:sz w:val="14"/>
                <w:szCs w:val="14"/>
              </w:rPr>
            </w:pPr>
            <w:r>
              <w:rPr>
                <w:b/>
                <w:color w:val="FFFFFF" w:themeColor="background1"/>
                <w:sz w:val="14"/>
              </w:rPr>
              <w:t>Dotation</w:t>
            </w:r>
            <w:r>
              <w:rPr>
                <w:b/>
                <w:color w:val="FFFFFF" w:themeColor="background1"/>
                <w:sz w:val="14"/>
              </w:rPr>
              <w:br/>
              <w:t>totale</w:t>
            </w:r>
            <w:r>
              <w:rPr>
                <w:b/>
                <w:color w:val="FFFFFF" w:themeColor="background1"/>
                <w:sz w:val="14"/>
              </w:rPr>
              <w:br/>
              <w:t>31.12.2025</w:t>
            </w:r>
          </w:p>
        </w:tc>
        <w:tc>
          <w:tcPr>
            <w:tcW w:w="2381" w:type="dxa"/>
            <w:shd w:val="clear" w:color="auto" w:fill="016794"/>
            <w:vAlign w:val="center"/>
          </w:tcPr>
          <w:p>
            <w:pPr>
              <w:pStyle w:val="DGTextstand-alone"/>
              <w:spacing w:before="0" w:after="0"/>
              <w:jc w:val="right"/>
              <w:rPr>
                <w:b/>
                <w:color w:val="FFFFFF" w:themeColor="background1"/>
                <w:sz w:val="14"/>
                <w:szCs w:val="14"/>
              </w:rPr>
            </w:pPr>
            <w:r>
              <w:rPr>
                <w:b/>
                <w:color w:val="FFFFFF" w:themeColor="background1"/>
                <w:sz w:val="14"/>
              </w:rPr>
              <w:t xml:space="preserve">Engagements </w:t>
            </w:r>
            <w:r>
              <w:rPr>
                <w:b/>
                <w:color w:val="FFFFFF" w:themeColor="background1"/>
                <w:sz w:val="14"/>
              </w:rPr>
              <w:br/>
              <w:t xml:space="preserve">nets totaux </w:t>
            </w:r>
            <w:r>
              <w:rPr>
                <w:b/>
                <w:color w:val="FFFFFF" w:themeColor="background1"/>
                <w:sz w:val="14"/>
              </w:rPr>
              <w:br/>
              <w:t>31.12.2025</w:t>
            </w:r>
          </w:p>
        </w:tc>
        <w:tc>
          <w:tcPr>
            <w:tcW w:w="2381" w:type="dxa"/>
            <w:shd w:val="clear" w:color="auto" w:fill="016794"/>
            <w:vAlign w:val="center"/>
          </w:tcPr>
          <w:p>
            <w:pPr>
              <w:pStyle w:val="DGTextstand-alone"/>
              <w:spacing w:before="0" w:after="0"/>
              <w:jc w:val="right"/>
              <w:rPr>
                <w:b/>
                <w:color w:val="FFFFFF" w:themeColor="background1"/>
                <w:sz w:val="14"/>
                <w:szCs w:val="14"/>
              </w:rPr>
            </w:pPr>
            <w:r>
              <w:rPr>
                <w:b/>
                <w:color w:val="FFFFFF" w:themeColor="background1"/>
                <w:sz w:val="14"/>
              </w:rPr>
              <w:t>Paiements nets</w:t>
            </w:r>
            <w:r>
              <w:rPr>
                <w:b/>
                <w:color w:val="FFFFFF" w:themeColor="background1"/>
                <w:sz w:val="14"/>
              </w:rPr>
              <w:br/>
              <w:t>totaux</w:t>
            </w:r>
            <w:r>
              <w:rPr>
                <w:b/>
                <w:color w:val="FFFFFF" w:themeColor="background1"/>
                <w:sz w:val="14"/>
              </w:rPr>
              <w:br/>
              <w:t>31.12.2025</w:t>
            </w:r>
          </w:p>
        </w:tc>
      </w:tr>
      <w:tr>
        <w:trPr>
          <w:trHeight w:val="255"/>
          <w:jc w:val="center"/>
        </w:trPr>
        <w:tc>
          <w:tcPr>
            <w:tcW w:w="2551" w:type="dxa"/>
            <w:vAlign w:val="center"/>
          </w:tcPr>
          <w:p>
            <w:pPr>
              <w:rPr>
                <w:rFonts w:ascii="Verdana" w:hAnsi="Verdana"/>
                <w:noProof/>
                <w:color w:val="000000" w:themeColor="text1"/>
                <w:sz w:val="16"/>
                <w:szCs w:val="16"/>
              </w:rPr>
            </w:pPr>
            <w:r>
              <w:rPr>
                <w:rFonts w:ascii="Verdana" w:hAnsi="Verdana"/>
                <w:noProof/>
                <w:color w:val="000000" w:themeColor="text1"/>
                <w:sz w:val="14"/>
              </w:rPr>
              <w:t>REACT-EU</w:t>
            </w:r>
          </w:p>
        </w:tc>
        <w:tc>
          <w:tcPr>
            <w:tcW w:w="2324" w:type="dxa"/>
            <w:vAlign w:val="center"/>
          </w:tcPr>
          <w:p>
            <w:pPr>
              <w:jc w:val="right"/>
              <w:rPr>
                <w:rFonts w:ascii="Verdana" w:hAnsi="Verdana" w:cs="Calibri"/>
                <w:noProof/>
                <w:color w:val="000000"/>
                <w:sz w:val="16"/>
                <w:szCs w:val="16"/>
              </w:rPr>
            </w:pPr>
            <w:r>
              <w:rPr>
                <w:rFonts w:ascii="Verdana" w:hAnsi="Verdana"/>
                <w:noProof/>
                <w:color w:val="000000"/>
                <w:sz w:val="14"/>
              </w:rPr>
              <w:t>50,6</w:t>
            </w:r>
          </w:p>
        </w:tc>
        <w:tc>
          <w:tcPr>
            <w:tcW w:w="2381" w:type="dxa"/>
            <w:vAlign w:val="center"/>
          </w:tcPr>
          <w:p>
            <w:pPr>
              <w:jc w:val="right"/>
              <w:rPr>
                <w:rFonts w:ascii="Verdana" w:hAnsi="Verdana" w:cs="Calibri"/>
                <w:noProof/>
                <w:color w:val="000000"/>
                <w:sz w:val="16"/>
                <w:szCs w:val="16"/>
              </w:rPr>
            </w:pPr>
            <w:r>
              <w:rPr>
                <w:rFonts w:ascii="Verdana" w:hAnsi="Verdana"/>
                <w:noProof/>
                <w:color w:val="000000"/>
                <w:sz w:val="14"/>
              </w:rPr>
              <w:t>50,6</w:t>
            </w:r>
          </w:p>
        </w:tc>
        <w:tc>
          <w:tcPr>
            <w:tcW w:w="2381" w:type="dxa"/>
            <w:vAlign w:val="center"/>
          </w:tcPr>
          <w:p>
            <w:pPr>
              <w:jc w:val="right"/>
              <w:rPr>
                <w:rFonts w:ascii="Verdana" w:hAnsi="Verdana" w:cs="Calibri"/>
                <w:noProof/>
                <w:color w:val="000000"/>
                <w:sz w:val="16"/>
                <w:szCs w:val="16"/>
              </w:rPr>
            </w:pPr>
            <w:r>
              <w:rPr>
                <w:rFonts w:ascii="Verdana" w:hAnsi="Verdana"/>
                <w:noProof/>
                <w:color w:val="000000"/>
                <w:sz w:val="14"/>
              </w:rPr>
              <w:t>50,4</w:t>
            </w:r>
          </w:p>
        </w:tc>
      </w:tr>
      <w:tr>
        <w:trPr>
          <w:trHeight w:val="255"/>
          <w:jc w:val="center"/>
        </w:trPr>
        <w:tc>
          <w:tcPr>
            <w:tcW w:w="2551" w:type="dxa"/>
            <w:vAlign w:val="center"/>
          </w:tcPr>
          <w:p>
            <w:pPr>
              <w:rPr>
                <w:rFonts w:ascii="Verdana" w:hAnsi="Verdana"/>
                <w:i/>
                <w:iCs/>
                <w:noProof/>
                <w:color w:val="000000" w:themeColor="text1"/>
                <w:sz w:val="16"/>
                <w:szCs w:val="16"/>
              </w:rPr>
            </w:pPr>
            <w:r>
              <w:rPr>
                <w:rFonts w:ascii="Verdana" w:hAnsi="Verdana"/>
                <w:i/>
                <w:noProof/>
                <w:color w:val="000000" w:themeColor="text1"/>
                <w:sz w:val="14"/>
              </w:rPr>
              <w:t>— dont FEDER</w:t>
            </w:r>
          </w:p>
        </w:tc>
        <w:tc>
          <w:tcPr>
            <w:tcW w:w="2324" w:type="dxa"/>
            <w:vAlign w:val="center"/>
          </w:tcPr>
          <w:p>
            <w:pPr>
              <w:jc w:val="right"/>
              <w:rPr>
                <w:rFonts w:ascii="Verdana" w:hAnsi="Verdana" w:cs="Calibri"/>
                <w:i/>
                <w:iCs/>
                <w:noProof/>
                <w:color w:val="000000"/>
                <w:sz w:val="16"/>
                <w:szCs w:val="16"/>
              </w:rPr>
            </w:pPr>
            <w:r>
              <w:rPr>
                <w:rFonts w:ascii="Verdana" w:hAnsi="Verdana"/>
                <w:i/>
                <w:noProof/>
                <w:color w:val="000000"/>
                <w:sz w:val="14"/>
              </w:rPr>
              <w:t>30,0</w:t>
            </w:r>
          </w:p>
        </w:tc>
        <w:tc>
          <w:tcPr>
            <w:tcW w:w="2381" w:type="dxa"/>
            <w:vAlign w:val="center"/>
          </w:tcPr>
          <w:p>
            <w:pPr>
              <w:jc w:val="right"/>
              <w:rPr>
                <w:rFonts w:ascii="Verdana" w:hAnsi="Verdana" w:cs="Calibri"/>
                <w:i/>
                <w:iCs/>
                <w:noProof/>
                <w:color w:val="000000"/>
                <w:sz w:val="16"/>
                <w:szCs w:val="16"/>
              </w:rPr>
            </w:pPr>
            <w:r>
              <w:rPr>
                <w:rFonts w:ascii="Verdana" w:hAnsi="Verdana"/>
                <w:i/>
                <w:noProof/>
                <w:color w:val="000000"/>
                <w:sz w:val="14"/>
              </w:rPr>
              <w:t>30,0</w:t>
            </w:r>
          </w:p>
        </w:tc>
        <w:tc>
          <w:tcPr>
            <w:tcW w:w="2381" w:type="dxa"/>
            <w:vAlign w:val="center"/>
          </w:tcPr>
          <w:p>
            <w:pPr>
              <w:jc w:val="right"/>
              <w:rPr>
                <w:rFonts w:ascii="Verdana" w:hAnsi="Verdana" w:cs="Calibri"/>
                <w:i/>
                <w:iCs/>
                <w:noProof/>
                <w:color w:val="000000"/>
                <w:sz w:val="16"/>
                <w:szCs w:val="16"/>
              </w:rPr>
            </w:pPr>
            <w:r>
              <w:rPr>
                <w:rFonts w:ascii="Verdana" w:hAnsi="Verdana"/>
                <w:i/>
                <w:noProof/>
                <w:color w:val="000000"/>
                <w:sz w:val="14"/>
              </w:rPr>
              <w:t>29,9</w:t>
            </w:r>
          </w:p>
        </w:tc>
      </w:tr>
      <w:tr>
        <w:trPr>
          <w:trHeight w:val="255"/>
          <w:jc w:val="center"/>
        </w:trPr>
        <w:tc>
          <w:tcPr>
            <w:tcW w:w="2551" w:type="dxa"/>
            <w:vAlign w:val="center"/>
          </w:tcPr>
          <w:p>
            <w:pPr>
              <w:rPr>
                <w:rFonts w:ascii="Verdana" w:hAnsi="Verdana"/>
                <w:i/>
                <w:iCs/>
                <w:noProof/>
                <w:color w:val="000000" w:themeColor="text1"/>
                <w:sz w:val="16"/>
                <w:szCs w:val="16"/>
              </w:rPr>
            </w:pPr>
            <w:r>
              <w:rPr>
                <w:rFonts w:ascii="Verdana" w:hAnsi="Verdana"/>
                <w:i/>
                <w:noProof/>
                <w:color w:val="000000" w:themeColor="text1"/>
                <w:sz w:val="14"/>
              </w:rPr>
              <w:t>- dont FSE (y compris FEAD)</w:t>
            </w:r>
          </w:p>
        </w:tc>
        <w:tc>
          <w:tcPr>
            <w:tcW w:w="2324" w:type="dxa"/>
            <w:vAlign w:val="center"/>
          </w:tcPr>
          <w:p>
            <w:pPr>
              <w:jc w:val="right"/>
              <w:rPr>
                <w:rFonts w:ascii="Verdana" w:hAnsi="Verdana" w:cs="Calibri"/>
                <w:i/>
                <w:iCs/>
                <w:noProof/>
                <w:color w:val="000000"/>
                <w:sz w:val="16"/>
                <w:szCs w:val="16"/>
              </w:rPr>
            </w:pPr>
            <w:r>
              <w:rPr>
                <w:rFonts w:ascii="Verdana" w:hAnsi="Verdana"/>
                <w:i/>
                <w:noProof/>
                <w:color w:val="000000"/>
                <w:sz w:val="14"/>
              </w:rPr>
              <w:t>20,6</w:t>
            </w:r>
          </w:p>
        </w:tc>
        <w:tc>
          <w:tcPr>
            <w:tcW w:w="2381" w:type="dxa"/>
            <w:vAlign w:val="center"/>
          </w:tcPr>
          <w:p>
            <w:pPr>
              <w:jc w:val="right"/>
              <w:rPr>
                <w:rFonts w:ascii="Verdana" w:hAnsi="Verdana" w:cs="Calibri"/>
                <w:i/>
                <w:iCs/>
                <w:noProof/>
                <w:color w:val="000000"/>
                <w:sz w:val="16"/>
                <w:szCs w:val="16"/>
              </w:rPr>
            </w:pPr>
            <w:r>
              <w:rPr>
                <w:rFonts w:ascii="Verdana" w:hAnsi="Verdana"/>
                <w:i/>
                <w:noProof/>
                <w:color w:val="000000"/>
                <w:sz w:val="14"/>
              </w:rPr>
              <w:t>20,6</w:t>
            </w:r>
          </w:p>
        </w:tc>
        <w:tc>
          <w:tcPr>
            <w:tcW w:w="2381" w:type="dxa"/>
            <w:vAlign w:val="center"/>
          </w:tcPr>
          <w:p>
            <w:pPr>
              <w:jc w:val="right"/>
              <w:rPr>
                <w:rFonts w:ascii="Verdana" w:hAnsi="Verdana" w:cs="Calibri"/>
                <w:i/>
                <w:iCs/>
                <w:noProof/>
                <w:color w:val="000000"/>
                <w:sz w:val="16"/>
                <w:szCs w:val="16"/>
              </w:rPr>
            </w:pPr>
            <w:r>
              <w:rPr>
                <w:rFonts w:ascii="Verdana" w:hAnsi="Verdana"/>
                <w:i/>
                <w:noProof/>
                <w:color w:val="000000"/>
                <w:sz w:val="14"/>
              </w:rPr>
              <w:t>20,5</w:t>
            </w:r>
          </w:p>
        </w:tc>
      </w:tr>
      <w:tr>
        <w:trPr>
          <w:trHeight w:val="255"/>
          <w:jc w:val="center"/>
        </w:trPr>
        <w:tc>
          <w:tcPr>
            <w:tcW w:w="2551" w:type="dxa"/>
            <w:vAlign w:val="center"/>
          </w:tcPr>
          <w:p>
            <w:pPr>
              <w:rPr>
                <w:rFonts w:ascii="Verdana" w:hAnsi="Verdana"/>
                <w:noProof/>
                <w:color w:val="000000" w:themeColor="text1"/>
                <w:sz w:val="16"/>
                <w:szCs w:val="16"/>
              </w:rPr>
            </w:pPr>
            <w:r>
              <w:rPr>
                <w:rFonts w:ascii="Verdana" w:hAnsi="Verdana"/>
                <w:noProof/>
                <w:color w:val="000000" w:themeColor="text1"/>
                <w:sz w:val="14"/>
              </w:rPr>
              <w:t>Fonds pour une transition juste</w:t>
            </w:r>
          </w:p>
        </w:tc>
        <w:tc>
          <w:tcPr>
            <w:tcW w:w="2324" w:type="dxa"/>
            <w:vAlign w:val="center"/>
          </w:tcPr>
          <w:p>
            <w:pPr>
              <w:jc w:val="right"/>
              <w:rPr>
                <w:rFonts w:ascii="Verdana" w:hAnsi="Verdana" w:cs="Calibri"/>
                <w:noProof/>
                <w:color w:val="000000"/>
                <w:sz w:val="16"/>
                <w:szCs w:val="16"/>
              </w:rPr>
            </w:pPr>
            <w:r>
              <w:rPr>
                <w:rFonts w:ascii="Verdana" w:hAnsi="Verdana"/>
                <w:noProof/>
                <w:color w:val="000000"/>
                <w:sz w:val="14"/>
              </w:rPr>
              <w:t>10,9</w:t>
            </w:r>
          </w:p>
        </w:tc>
        <w:tc>
          <w:tcPr>
            <w:tcW w:w="2381" w:type="dxa"/>
            <w:vAlign w:val="center"/>
          </w:tcPr>
          <w:p>
            <w:pPr>
              <w:jc w:val="right"/>
              <w:rPr>
                <w:rFonts w:ascii="Verdana" w:hAnsi="Verdana" w:cs="Calibri"/>
                <w:noProof/>
                <w:color w:val="000000"/>
                <w:sz w:val="16"/>
                <w:szCs w:val="16"/>
              </w:rPr>
            </w:pPr>
            <w:r>
              <w:rPr>
                <w:rFonts w:ascii="Verdana" w:hAnsi="Verdana"/>
                <w:noProof/>
                <w:color w:val="000000"/>
                <w:sz w:val="14"/>
              </w:rPr>
              <w:t>10,8</w:t>
            </w:r>
          </w:p>
        </w:tc>
        <w:tc>
          <w:tcPr>
            <w:tcW w:w="2381" w:type="dxa"/>
            <w:vAlign w:val="center"/>
          </w:tcPr>
          <w:p>
            <w:pPr>
              <w:jc w:val="right"/>
              <w:rPr>
                <w:rFonts w:ascii="Verdana" w:hAnsi="Verdana" w:cs="Calibri"/>
                <w:noProof/>
                <w:color w:val="000000"/>
                <w:sz w:val="16"/>
                <w:szCs w:val="16"/>
              </w:rPr>
            </w:pPr>
            <w:r>
              <w:rPr>
                <w:rFonts w:ascii="Verdana" w:hAnsi="Verdana"/>
                <w:noProof/>
                <w:color w:val="000000"/>
                <w:sz w:val="14"/>
              </w:rPr>
              <w:t>7,4</w:t>
            </w:r>
          </w:p>
        </w:tc>
      </w:tr>
      <w:tr>
        <w:trPr>
          <w:trHeight w:val="255"/>
          <w:jc w:val="center"/>
        </w:trPr>
        <w:tc>
          <w:tcPr>
            <w:tcW w:w="2551" w:type="dxa"/>
            <w:vAlign w:val="center"/>
          </w:tcPr>
          <w:p>
            <w:pPr>
              <w:rPr>
                <w:rFonts w:ascii="Verdana" w:hAnsi="Verdana"/>
                <w:noProof/>
                <w:color w:val="000000" w:themeColor="text1"/>
                <w:sz w:val="16"/>
                <w:szCs w:val="16"/>
              </w:rPr>
            </w:pPr>
            <w:r>
              <w:rPr>
                <w:rFonts w:ascii="Verdana" w:hAnsi="Verdana"/>
                <w:noProof/>
                <w:color w:val="000000" w:themeColor="text1"/>
                <w:sz w:val="14"/>
              </w:rPr>
              <w:t>Développement rural (Feader)</w:t>
            </w:r>
          </w:p>
        </w:tc>
        <w:tc>
          <w:tcPr>
            <w:tcW w:w="2324" w:type="dxa"/>
            <w:vAlign w:val="center"/>
          </w:tcPr>
          <w:p>
            <w:pPr>
              <w:jc w:val="right"/>
              <w:rPr>
                <w:rFonts w:ascii="Verdana" w:hAnsi="Verdana" w:cs="Calibri"/>
                <w:noProof/>
                <w:color w:val="000000"/>
                <w:sz w:val="16"/>
                <w:szCs w:val="16"/>
              </w:rPr>
            </w:pPr>
            <w:r>
              <w:rPr>
                <w:rFonts w:ascii="Verdana" w:hAnsi="Verdana"/>
                <w:noProof/>
                <w:color w:val="000000"/>
                <w:sz w:val="14"/>
              </w:rPr>
              <w:t>8,1</w:t>
            </w:r>
          </w:p>
        </w:tc>
        <w:tc>
          <w:tcPr>
            <w:tcW w:w="2381" w:type="dxa"/>
            <w:vAlign w:val="center"/>
          </w:tcPr>
          <w:p>
            <w:pPr>
              <w:jc w:val="right"/>
              <w:rPr>
                <w:rFonts w:ascii="Verdana" w:hAnsi="Verdana" w:cs="Calibri"/>
                <w:noProof/>
                <w:color w:val="000000"/>
                <w:sz w:val="16"/>
                <w:szCs w:val="16"/>
              </w:rPr>
            </w:pPr>
            <w:r>
              <w:rPr>
                <w:rFonts w:ascii="Verdana" w:hAnsi="Verdana"/>
                <w:noProof/>
                <w:color w:val="000000"/>
                <w:sz w:val="14"/>
              </w:rPr>
              <w:t>8,1</w:t>
            </w:r>
          </w:p>
        </w:tc>
        <w:tc>
          <w:tcPr>
            <w:tcW w:w="2381" w:type="dxa"/>
            <w:vAlign w:val="center"/>
          </w:tcPr>
          <w:p>
            <w:pPr>
              <w:jc w:val="right"/>
              <w:rPr>
                <w:rFonts w:ascii="Verdana" w:hAnsi="Verdana" w:cs="Calibri"/>
                <w:noProof/>
                <w:color w:val="000000"/>
                <w:sz w:val="16"/>
                <w:szCs w:val="16"/>
              </w:rPr>
            </w:pPr>
            <w:r>
              <w:rPr>
                <w:rFonts w:ascii="Verdana" w:hAnsi="Verdana"/>
                <w:noProof/>
                <w:color w:val="000000"/>
                <w:sz w:val="14"/>
              </w:rPr>
              <w:t>6,0</w:t>
            </w:r>
          </w:p>
        </w:tc>
      </w:tr>
      <w:tr>
        <w:trPr>
          <w:trHeight w:val="255"/>
          <w:jc w:val="center"/>
        </w:trPr>
        <w:tc>
          <w:tcPr>
            <w:tcW w:w="2551" w:type="dxa"/>
            <w:vAlign w:val="center"/>
          </w:tcPr>
          <w:p>
            <w:pPr>
              <w:rPr>
                <w:rFonts w:ascii="Verdana" w:hAnsi="Verdana"/>
                <w:noProof/>
                <w:color w:val="000000" w:themeColor="text1"/>
                <w:sz w:val="16"/>
                <w:szCs w:val="16"/>
              </w:rPr>
            </w:pPr>
            <w:r>
              <w:rPr>
                <w:rFonts w:ascii="Verdana" w:hAnsi="Verdana"/>
                <w:noProof/>
                <w:color w:val="000000" w:themeColor="text1"/>
                <w:sz w:val="14"/>
              </w:rPr>
              <w:t>InvestEU</w:t>
            </w:r>
          </w:p>
        </w:tc>
        <w:tc>
          <w:tcPr>
            <w:tcW w:w="2324" w:type="dxa"/>
            <w:vAlign w:val="center"/>
          </w:tcPr>
          <w:p>
            <w:pPr>
              <w:jc w:val="right"/>
              <w:rPr>
                <w:rFonts w:ascii="Verdana" w:hAnsi="Verdana" w:cs="Calibri"/>
                <w:noProof/>
                <w:color w:val="000000"/>
                <w:sz w:val="16"/>
                <w:szCs w:val="16"/>
              </w:rPr>
            </w:pPr>
            <w:r>
              <w:rPr>
                <w:rFonts w:ascii="Verdana" w:hAnsi="Verdana"/>
                <w:noProof/>
                <w:color w:val="000000"/>
                <w:sz w:val="14"/>
              </w:rPr>
              <w:t>6,1</w:t>
            </w:r>
          </w:p>
        </w:tc>
        <w:tc>
          <w:tcPr>
            <w:tcW w:w="2381" w:type="dxa"/>
            <w:vAlign w:val="center"/>
          </w:tcPr>
          <w:p>
            <w:pPr>
              <w:jc w:val="right"/>
              <w:rPr>
                <w:rFonts w:ascii="Verdana" w:hAnsi="Verdana" w:cs="Calibri"/>
                <w:noProof/>
                <w:color w:val="000000"/>
                <w:sz w:val="16"/>
                <w:szCs w:val="16"/>
              </w:rPr>
            </w:pPr>
            <w:r>
              <w:rPr>
                <w:rFonts w:ascii="Verdana" w:hAnsi="Verdana"/>
                <w:noProof/>
                <w:color w:val="000000"/>
                <w:sz w:val="14"/>
              </w:rPr>
              <w:t>6,1</w:t>
            </w:r>
          </w:p>
        </w:tc>
        <w:tc>
          <w:tcPr>
            <w:tcW w:w="2381" w:type="dxa"/>
            <w:vAlign w:val="center"/>
          </w:tcPr>
          <w:p>
            <w:pPr>
              <w:jc w:val="right"/>
              <w:rPr>
                <w:rFonts w:ascii="Verdana" w:hAnsi="Verdana" w:cs="Calibri"/>
                <w:noProof/>
                <w:color w:val="000000"/>
                <w:sz w:val="16"/>
                <w:szCs w:val="16"/>
              </w:rPr>
            </w:pPr>
            <w:r>
              <w:rPr>
                <w:rFonts w:ascii="Verdana" w:hAnsi="Verdana"/>
                <w:noProof/>
                <w:color w:val="000000"/>
                <w:sz w:val="14"/>
              </w:rPr>
              <w:t>4,9</w:t>
            </w:r>
          </w:p>
        </w:tc>
      </w:tr>
      <w:tr>
        <w:trPr>
          <w:trHeight w:val="255"/>
          <w:jc w:val="center"/>
        </w:trPr>
        <w:tc>
          <w:tcPr>
            <w:tcW w:w="2551" w:type="dxa"/>
            <w:vAlign w:val="center"/>
          </w:tcPr>
          <w:p>
            <w:pPr>
              <w:rPr>
                <w:rFonts w:ascii="Verdana" w:hAnsi="Verdana"/>
                <w:noProof/>
                <w:color w:val="000000" w:themeColor="text1"/>
                <w:sz w:val="16"/>
                <w:szCs w:val="16"/>
              </w:rPr>
            </w:pPr>
            <w:r>
              <w:rPr>
                <w:rFonts w:ascii="Verdana" w:hAnsi="Verdana"/>
                <w:noProof/>
                <w:color w:val="000000" w:themeColor="text1"/>
                <w:sz w:val="14"/>
              </w:rPr>
              <w:t>Horizon Europe</w:t>
            </w:r>
          </w:p>
        </w:tc>
        <w:tc>
          <w:tcPr>
            <w:tcW w:w="2324" w:type="dxa"/>
            <w:vAlign w:val="center"/>
          </w:tcPr>
          <w:p>
            <w:pPr>
              <w:jc w:val="right"/>
              <w:rPr>
                <w:rFonts w:ascii="Verdana" w:hAnsi="Verdana" w:cs="Calibri"/>
                <w:noProof/>
                <w:color w:val="000000"/>
                <w:sz w:val="16"/>
                <w:szCs w:val="16"/>
              </w:rPr>
            </w:pPr>
            <w:r>
              <w:rPr>
                <w:rFonts w:ascii="Verdana" w:hAnsi="Verdana"/>
                <w:noProof/>
                <w:color w:val="000000"/>
                <w:sz w:val="14"/>
              </w:rPr>
              <w:t>5,4</w:t>
            </w:r>
          </w:p>
        </w:tc>
        <w:tc>
          <w:tcPr>
            <w:tcW w:w="2381" w:type="dxa"/>
            <w:vAlign w:val="center"/>
          </w:tcPr>
          <w:p>
            <w:pPr>
              <w:jc w:val="right"/>
              <w:rPr>
                <w:rFonts w:ascii="Verdana" w:hAnsi="Verdana" w:cs="Calibri"/>
                <w:noProof/>
                <w:color w:val="000000"/>
                <w:sz w:val="16"/>
                <w:szCs w:val="16"/>
              </w:rPr>
            </w:pPr>
            <w:r>
              <w:rPr>
                <w:rFonts w:ascii="Verdana" w:hAnsi="Verdana"/>
                <w:noProof/>
                <w:color w:val="000000"/>
                <w:sz w:val="14"/>
              </w:rPr>
              <w:t>5,4</w:t>
            </w:r>
          </w:p>
        </w:tc>
        <w:tc>
          <w:tcPr>
            <w:tcW w:w="2381" w:type="dxa"/>
            <w:vAlign w:val="center"/>
          </w:tcPr>
          <w:p>
            <w:pPr>
              <w:jc w:val="right"/>
              <w:rPr>
                <w:rFonts w:ascii="Verdana" w:hAnsi="Verdana" w:cs="Calibri"/>
                <w:noProof/>
                <w:color w:val="000000"/>
                <w:sz w:val="16"/>
                <w:szCs w:val="16"/>
              </w:rPr>
            </w:pPr>
            <w:r>
              <w:rPr>
                <w:rFonts w:ascii="Verdana" w:hAnsi="Verdana"/>
                <w:noProof/>
                <w:color w:val="000000"/>
                <w:sz w:val="14"/>
              </w:rPr>
              <w:t>5,2</w:t>
            </w:r>
          </w:p>
        </w:tc>
      </w:tr>
      <w:tr>
        <w:trPr>
          <w:trHeight w:val="255"/>
          <w:jc w:val="center"/>
        </w:trPr>
        <w:tc>
          <w:tcPr>
            <w:tcW w:w="2551" w:type="dxa"/>
            <w:vAlign w:val="center"/>
          </w:tcPr>
          <w:p>
            <w:pPr>
              <w:rPr>
                <w:rFonts w:ascii="Verdana" w:hAnsi="Verdana"/>
                <w:noProof/>
                <w:color w:val="000000" w:themeColor="text1"/>
                <w:sz w:val="16"/>
                <w:szCs w:val="16"/>
              </w:rPr>
            </w:pPr>
            <w:r>
              <w:rPr>
                <w:rFonts w:ascii="Verdana" w:hAnsi="Verdana"/>
                <w:noProof/>
                <w:color w:val="000000" w:themeColor="text1"/>
                <w:sz w:val="14"/>
              </w:rPr>
              <w:t>rescEU</w:t>
            </w:r>
          </w:p>
        </w:tc>
        <w:tc>
          <w:tcPr>
            <w:tcW w:w="2324" w:type="dxa"/>
            <w:vAlign w:val="center"/>
          </w:tcPr>
          <w:p>
            <w:pPr>
              <w:jc w:val="right"/>
              <w:rPr>
                <w:rFonts w:ascii="Verdana" w:hAnsi="Verdana" w:cs="Calibri"/>
                <w:noProof/>
                <w:color w:val="000000"/>
                <w:sz w:val="16"/>
                <w:szCs w:val="16"/>
              </w:rPr>
            </w:pPr>
            <w:r>
              <w:rPr>
                <w:rFonts w:ascii="Verdana" w:hAnsi="Verdana"/>
                <w:noProof/>
                <w:color w:val="000000"/>
                <w:sz w:val="14"/>
              </w:rPr>
              <w:t>2,0</w:t>
            </w:r>
          </w:p>
        </w:tc>
        <w:tc>
          <w:tcPr>
            <w:tcW w:w="2381" w:type="dxa"/>
            <w:vAlign w:val="center"/>
          </w:tcPr>
          <w:p>
            <w:pPr>
              <w:jc w:val="right"/>
              <w:rPr>
                <w:rFonts w:ascii="Verdana" w:hAnsi="Verdana" w:cs="Calibri"/>
                <w:noProof/>
                <w:color w:val="000000"/>
                <w:sz w:val="16"/>
                <w:szCs w:val="16"/>
              </w:rPr>
            </w:pPr>
            <w:r>
              <w:rPr>
                <w:rFonts w:ascii="Verdana" w:hAnsi="Verdana"/>
                <w:noProof/>
                <w:color w:val="000000"/>
                <w:sz w:val="14"/>
              </w:rPr>
              <w:t>2,0</w:t>
            </w:r>
          </w:p>
        </w:tc>
        <w:tc>
          <w:tcPr>
            <w:tcW w:w="2381" w:type="dxa"/>
            <w:vAlign w:val="center"/>
          </w:tcPr>
          <w:p>
            <w:pPr>
              <w:jc w:val="right"/>
              <w:rPr>
                <w:rFonts w:ascii="Verdana" w:hAnsi="Verdana" w:cs="Calibri"/>
                <w:noProof/>
                <w:color w:val="000000"/>
                <w:sz w:val="16"/>
                <w:szCs w:val="16"/>
              </w:rPr>
            </w:pPr>
            <w:r>
              <w:rPr>
                <w:rFonts w:ascii="Verdana" w:hAnsi="Verdana"/>
                <w:noProof/>
                <w:color w:val="000000"/>
                <w:sz w:val="14"/>
              </w:rPr>
              <w:t>1,5</w:t>
            </w:r>
          </w:p>
        </w:tc>
      </w:tr>
      <w:tr>
        <w:trPr>
          <w:trHeight w:val="255"/>
          <w:jc w:val="center"/>
        </w:trPr>
        <w:tc>
          <w:tcPr>
            <w:tcW w:w="2551" w:type="dxa"/>
            <w:tcBorders>
              <w:top w:val="single" w:sz="4" w:space="0" w:color="016794"/>
              <w:bottom w:val="single" w:sz="4" w:space="0" w:color="016794"/>
            </w:tcBorders>
            <w:vAlign w:val="center"/>
          </w:tcPr>
          <w:p>
            <w:pPr>
              <w:rPr>
                <w:rFonts w:ascii="Verdana" w:hAnsi="Verdana"/>
                <w:b/>
                <w:bCs/>
                <w:noProof/>
                <w:color w:val="000000" w:themeColor="text1"/>
                <w:sz w:val="16"/>
                <w:szCs w:val="16"/>
              </w:rPr>
            </w:pPr>
            <w:r>
              <w:rPr>
                <w:rFonts w:ascii="Verdana" w:hAnsi="Verdana"/>
                <w:b/>
                <w:noProof/>
                <w:color w:val="000000" w:themeColor="text1"/>
                <w:sz w:val="14"/>
              </w:rPr>
              <w:t>Total</w:t>
            </w:r>
          </w:p>
        </w:tc>
        <w:tc>
          <w:tcPr>
            <w:tcW w:w="2324" w:type="dxa"/>
            <w:tcBorders>
              <w:top w:val="single" w:sz="4" w:space="0" w:color="016794"/>
              <w:bottom w:val="single" w:sz="4" w:space="0" w:color="016794"/>
            </w:tcBorders>
            <w:vAlign w:val="center"/>
          </w:tcPr>
          <w:p>
            <w:pPr>
              <w:jc w:val="right"/>
              <w:rPr>
                <w:rFonts w:ascii="Verdana" w:hAnsi="Verdana" w:cs="Calibri"/>
                <w:b/>
                <w:bCs/>
                <w:noProof/>
                <w:color w:val="000000"/>
                <w:sz w:val="16"/>
                <w:szCs w:val="16"/>
              </w:rPr>
            </w:pPr>
            <w:r>
              <w:rPr>
                <w:rFonts w:ascii="Verdana" w:hAnsi="Verdana"/>
                <w:b/>
                <w:noProof/>
                <w:color w:val="000000"/>
                <w:sz w:val="14"/>
              </w:rPr>
              <w:t>83,1</w:t>
            </w:r>
          </w:p>
        </w:tc>
        <w:tc>
          <w:tcPr>
            <w:tcW w:w="2381" w:type="dxa"/>
            <w:tcBorders>
              <w:top w:val="single" w:sz="4" w:space="0" w:color="016794"/>
              <w:bottom w:val="single" w:sz="4" w:space="0" w:color="016794"/>
            </w:tcBorders>
            <w:vAlign w:val="center"/>
          </w:tcPr>
          <w:p>
            <w:pPr>
              <w:jc w:val="right"/>
              <w:rPr>
                <w:rFonts w:ascii="Verdana" w:hAnsi="Verdana" w:cs="Calibri"/>
                <w:b/>
                <w:bCs/>
                <w:noProof/>
                <w:color w:val="000000"/>
                <w:sz w:val="16"/>
                <w:szCs w:val="16"/>
              </w:rPr>
            </w:pPr>
            <w:r>
              <w:rPr>
                <w:rFonts w:ascii="Verdana" w:hAnsi="Verdana"/>
                <w:b/>
                <w:noProof/>
                <w:color w:val="000000"/>
                <w:sz w:val="14"/>
              </w:rPr>
              <w:t>83,0</w:t>
            </w:r>
          </w:p>
        </w:tc>
        <w:tc>
          <w:tcPr>
            <w:tcW w:w="2381" w:type="dxa"/>
            <w:tcBorders>
              <w:top w:val="single" w:sz="4" w:space="0" w:color="016794"/>
              <w:bottom w:val="single" w:sz="4" w:space="0" w:color="016794"/>
            </w:tcBorders>
            <w:vAlign w:val="center"/>
          </w:tcPr>
          <w:p>
            <w:pPr>
              <w:jc w:val="right"/>
              <w:rPr>
                <w:rFonts w:ascii="Verdana" w:hAnsi="Verdana" w:cs="Calibri"/>
                <w:b/>
                <w:bCs/>
                <w:noProof/>
                <w:color w:val="000000"/>
                <w:sz w:val="16"/>
                <w:szCs w:val="16"/>
              </w:rPr>
            </w:pPr>
            <w:r>
              <w:rPr>
                <w:rFonts w:ascii="Verdana" w:hAnsi="Verdana"/>
                <w:b/>
                <w:noProof/>
                <w:color w:val="000000"/>
                <w:sz w:val="14"/>
              </w:rPr>
              <w:t>75,4</w:t>
            </w:r>
          </w:p>
        </w:tc>
      </w:tr>
    </w:tbl>
    <w:p>
      <w:pPr>
        <w:pStyle w:val="DGTextstand-alone"/>
      </w:pPr>
      <w:r>
        <w:lastRenderedPageBreak/>
        <w:t>En 2025, la Commission a décaissé 8,5 milliards d’EUR en paiements à d’autres programmes du CFP, dont la majeure partie en faveur de REACT-EU (4,1 milliards d’EUR).</w:t>
      </w:r>
      <w:r>
        <w:br w:type="page"/>
      </w:r>
    </w:p>
    <w:p>
      <w:pPr>
        <w:pStyle w:val="HEADER1Part4"/>
        <w:rPr>
          <w:noProof/>
        </w:rPr>
      </w:pPr>
      <w:bookmarkStart w:id="24" w:name="_Toc237348532"/>
      <w:bookmarkEnd w:id="8"/>
      <w:r>
        <w:rPr>
          <w:noProof/>
        </w:rPr>
        <w:lastRenderedPageBreak/>
        <w:t>ANALYSE DES ÉTATS FINANCIERS</w:t>
      </w:r>
      <w:bookmarkEnd w:id="24"/>
    </w:p>
    <w:p>
      <w:pPr>
        <w:pStyle w:val="HEADER2Part4"/>
      </w:pPr>
      <w:bookmarkStart w:id="25" w:name="_Toc168670247"/>
      <w:bookmarkStart w:id="26" w:name="_Toc237348533"/>
      <w:r>
        <w:t>Recettes</w:t>
      </w:r>
      <w:bookmarkEnd w:id="25"/>
      <w:bookmarkEnd w:id="26"/>
    </w:p>
    <w:p>
      <w:pPr>
        <w:pStyle w:val="DGTextstand-alone"/>
      </w:pPr>
      <w:r>
        <w:t>Les recettes consolidées de l’UE comprennent les montants liés aux opérations avec contrepartie directe et aux opérations sans contrepartie directe, ces dernières étant les plus importantes. L’évolution sur cinq ans des recettes provenant des principales opérations sans contrepartie directe (comprenant la ressource RNB, les ressources propres traditionnelles, la ressource TVA, la ressource propre fondée sur les matières plastiques, les amendes et la récupération de dépenses) est la suivante:</w:t>
      </w:r>
    </w:p>
    <w:p>
      <w:pPr>
        <w:pStyle w:val="HEADER5"/>
        <w:spacing w:after="120"/>
        <w:rPr>
          <w:b/>
          <w:noProof/>
          <w:highlight w:val="lightGray"/>
        </w:rPr>
      </w:pPr>
      <w:r>
        <w:rPr>
          <w:noProof/>
        </w:rPr>
        <w:t xml:space="preserve">Évolution, sur cinq ans, des recettes provenant des principales opérations sans contrepartie directe* </w:t>
      </w:r>
    </w:p>
    <w:p>
      <w:pPr>
        <w:pStyle w:val="Textstand-alone"/>
        <w:spacing w:before="0" w:after="0"/>
        <w:jc w:val="center"/>
        <w:rPr>
          <w:highlight w:val="lightGray"/>
        </w:rPr>
      </w:pPr>
      <w:r>
        <w:drawing>
          <wp:inline distT="0" distB="0" distL="0" distR="0">
            <wp:extent cx="5172075" cy="4294285"/>
            <wp:effectExtent l="0" t="0" r="0" b="0"/>
            <wp:docPr id="3226661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666196" name=""/>
                    <pic:cNvPicPr/>
                  </pic:nvPicPr>
                  <pic:blipFill>
                    <a:blip r:embed="rId32"/>
                    <a:stretch>
                      <a:fillRect/>
                    </a:stretch>
                  </pic:blipFill>
                  <pic:spPr>
                    <a:xfrm>
                      <a:off x="0" y="0"/>
                      <a:ext cx="5189105" cy="4308424"/>
                    </a:xfrm>
                    <a:prstGeom prst="rect">
                      <a:avLst/>
                    </a:prstGeom>
                  </pic:spPr>
                </pic:pic>
              </a:graphicData>
            </a:graphic>
          </wp:inline>
        </w:drawing>
      </w:r>
    </w:p>
    <w:p>
      <w:pPr>
        <w:pStyle w:val="DGTextstand-alone"/>
        <w:spacing w:before="0"/>
        <w:rPr>
          <w:i/>
          <w:color w:val="016794"/>
          <w:sz w:val="16"/>
        </w:rPr>
      </w:pPr>
      <w:r>
        <w:rPr>
          <w:color w:val="016794"/>
          <w:sz w:val="16"/>
          <w:vertAlign w:val="superscript"/>
        </w:rPr>
        <w:t>*</w:t>
      </w:r>
      <w:r>
        <w:rPr>
          <w:i/>
          <w:color w:val="016794"/>
          <w:sz w:val="16"/>
        </w:rPr>
        <w:t>Chiffres 2021 à 2025: hors recettes liées au retrait du Royaume-Uni de l’UE et autres recettes</w:t>
      </w:r>
    </w:p>
    <w:p>
      <w:pPr>
        <w:pStyle w:val="DGTextstand-alone"/>
      </w:pPr>
      <w:r>
        <w:t>Étant donné que les recettes budgétaires doivent être égales (ou supérieures) aux dépenses budgétaires, l’évolution des recettes indiquée ci-dessus est principalement déterminée par les paiements effectués chaque année.</w:t>
      </w:r>
    </w:p>
    <w:p>
      <w:pPr>
        <w:pStyle w:val="HEADER5"/>
        <w:spacing w:after="120"/>
        <w:rPr>
          <w:noProof/>
        </w:rPr>
      </w:pPr>
      <w:r>
        <w:rPr>
          <w:noProof/>
        </w:rPr>
        <w:t>Principales évolutions en 2025</w:t>
      </w:r>
    </w:p>
    <w:p>
      <w:pPr>
        <w:pStyle w:val="DGTextstand-alone"/>
      </w:pPr>
      <w:r>
        <w:t xml:space="preserve">En 2025, les recettes totales, toutes catégories confondues, se sont établies à 202,5 milliards d’EUR, contre 175,7 milliards d’EUR l’année précédente. Les principales évolutions expliquant la hausse de 26,8 milliards d’EUR, soit 15,3 %, sont les suivantes: </w:t>
      </w:r>
    </w:p>
    <w:p>
      <w:pPr>
        <w:pStyle w:val="DGTextstand-alonedashesjustified"/>
      </w:pPr>
      <w:r>
        <w:t xml:space="preserve">les recettes liées aux amendes ont augmenté de 1,3 milliard d’EUR, principalement en raison d’amendes infligées à des entreprises;  </w:t>
      </w:r>
    </w:p>
    <w:p>
      <w:pPr>
        <w:pStyle w:val="DGTextstand-alonedashesjustified"/>
      </w:pPr>
      <w:r>
        <w:t>les recettes financières ont augmenté de 2,6 milliards d’EUR, principalement en raison de l’augmentation des intérêts perçus sur les prêts;</w:t>
      </w:r>
    </w:p>
    <w:p>
      <w:pPr>
        <w:pStyle w:val="DGTextstand-alonedashesjustified"/>
      </w:pPr>
      <w:r>
        <w:t xml:space="preserve">les contributions au titre de la TVA ont augmenté de 24,5 milliards d’EUR en 2024 à 25,7 milliards d’EUR en 2025; </w:t>
      </w:r>
    </w:p>
    <w:p>
      <w:pPr>
        <w:pStyle w:val="DGTextstand-alonedashesjustified"/>
      </w:pPr>
      <w:r>
        <w:lastRenderedPageBreak/>
        <w:t>la ressource propre fondée sur les matières plastiques a diminué de 8,2 milliards d’EUR en 2024 à 7,5 milliards d’EUR en 2025;</w:t>
      </w:r>
    </w:p>
    <w:p>
      <w:pPr>
        <w:pStyle w:val="DGTextstand-alonedashesjustified"/>
      </w:pPr>
      <w:r>
        <w:t>les ressources propres traditionnelles ont augmenté de 20,6 milliards d’EUR en 2024 à 23,4 milliards d’EUR en 2025; et</w:t>
      </w:r>
    </w:p>
    <w:p>
      <w:pPr>
        <w:pStyle w:val="DGTextstand-alonedashesjustified"/>
      </w:pPr>
      <w:r>
        <w:t>les recettes provenant du RNB (revenu national brut), principal élément des produits d’exploitation de l’UE, sont passées de 95 milliards d’EUR en 2024 à 106,3 milliards d’EUR en 2025. La hausse de 11,3 milliards d’EUR ou de 11,9 % s’explique dans une large mesure par une augmentation des besoins en crédits de paiement.</w:t>
      </w:r>
    </w:p>
    <w:p>
      <w:pPr>
        <w:pStyle w:val="HEADER2Part4"/>
      </w:pPr>
      <w:bookmarkStart w:id="27" w:name="_Toc237348534"/>
      <w:r>
        <w:t>Dépenses</w:t>
      </w:r>
      <w:bookmarkEnd w:id="27"/>
    </w:p>
    <w:p>
      <w:pPr>
        <w:pStyle w:val="DGTextstand-alone"/>
      </w:pPr>
      <w:r>
        <w:t>Le principal poste de dépenses comptabilisé dans les états financiers consolidés concerne les dépenses déléguées aux États membres en gestion partagée et comprend les Fonds suivants: i) le Fonds européen agricole de garantie (FEAGA), ii) le Fonds européen agricole pour le développement rural (Feader) et les autres instruments de développement rural, iii) le Fonds européen de développement régional (FEDER) et le Fonds de cohésion (CF) et iv) le Fonds social européen (FSE). Ces fonds représentaient 106,3 milliards d’EUR, soit 41,3 % du total des dépenses engagées en 2025, à savoir 257,1 milliards d’EUR (contre 101,9 milliards d’EUR, soit 37,3 % du total des dépenses, en 2024). La ventilation des dépenses déléguées aux États membres et leur pondération relative sont présentées ci-dessous:</w:t>
      </w:r>
    </w:p>
    <w:p>
      <w:pPr>
        <w:pStyle w:val="HEADER5"/>
        <w:spacing w:after="120"/>
        <w:rPr>
          <w:noProof/>
        </w:rPr>
      </w:pPr>
      <w:r>
        <w:rPr>
          <w:noProof/>
        </w:rPr>
        <w:t>Principales dépenses déléguées aux États membres pour l’exercice 2025 (gestion partagée)</w:t>
      </w:r>
    </w:p>
    <w:p>
      <w:pPr>
        <w:pStyle w:val="HEADER5"/>
        <w:spacing w:after="120"/>
        <w:jc w:val="center"/>
        <w:rPr>
          <w:noProof/>
        </w:rPr>
      </w:pPr>
      <w:r>
        <w:rPr>
          <w:noProof/>
        </w:rPr>
        <w:drawing>
          <wp:inline distT="0" distB="0" distL="0" distR="0">
            <wp:extent cx="4762500" cy="4231671"/>
            <wp:effectExtent l="0" t="0" r="0" b="0"/>
            <wp:docPr id="10183541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354160" name=""/>
                    <pic:cNvPicPr/>
                  </pic:nvPicPr>
                  <pic:blipFill>
                    <a:blip r:embed="rId33"/>
                    <a:stretch>
                      <a:fillRect/>
                    </a:stretch>
                  </pic:blipFill>
                  <pic:spPr>
                    <a:xfrm>
                      <a:off x="0" y="0"/>
                      <a:ext cx="4791655" cy="4257576"/>
                    </a:xfrm>
                    <a:prstGeom prst="rect">
                      <a:avLst/>
                    </a:prstGeom>
                  </pic:spPr>
                </pic:pic>
              </a:graphicData>
            </a:graphic>
          </wp:inline>
        </w:drawing>
      </w:r>
    </w:p>
    <w:p>
      <w:pPr>
        <w:pStyle w:val="DGTextstand-alone"/>
        <w:spacing w:before="120"/>
      </w:pPr>
      <w:r>
        <w:t>L’augmentation des dépenses déléguées aux États membres (gestion partagée) concerne principalement le FEDER et le Fonds de cohésion (hausse de 2,2 milliards d’EUR), dans le cadre desquels les activités continuent de progresser, ainsi que le Fonds européen agricole pour le développement rural (Feader).</w:t>
      </w:r>
    </w:p>
    <w:p>
      <w:pPr>
        <w:pStyle w:val="DGTextstand-alone"/>
      </w:pPr>
      <w:r>
        <w:t>Les dépenses se rapportant aux transferts, comprenant les subventions et l’appui budgétaire, ont évolué à la baisse, passant de 98,8 milliards d’EUR en 2024 à 78,8 milliards d’EUR en 2025. La diminution de 19,9 milliards d’EUR est principalement due au financement du soutien non remboursable accordé au titre de la facilité pour la reprise et la résilience dans le cadre de NextGenerationEU, d’un montant de 46,8 milliards d’EUR (contre 65,8 milliards d’EUR en 2024). Malgré cette réduction significative des dépenses, les progrès dans la mise en œuvre des jalons et des cibles se poursuivent.</w:t>
      </w:r>
    </w:p>
    <w:p>
      <w:pPr>
        <w:pStyle w:val="HEADER2Part4"/>
        <w:keepNext/>
      </w:pPr>
      <w:bookmarkStart w:id="28" w:name="_Toc168670249"/>
      <w:bookmarkStart w:id="29" w:name="_Toc237348535"/>
      <w:r>
        <w:lastRenderedPageBreak/>
        <w:t>Actifs</w:t>
      </w:r>
      <w:bookmarkEnd w:id="28"/>
      <w:bookmarkEnd w:id="29"/>
    </w:p>
    <w:p>
      <w:pPr>
        <w:pStyle w:val="DGTextstand-alone"/>
        <w:rPr>
          <w:color w:val="016794"/>
        </w:rPr>
      </w:pPr>
      <w:r>
        <w:t>Au 31 décembre 2025, le total des actifs s’élevait à 617,4 milliards d’EUR (contre 518,5 milliards d’EUR en 2024) – cette hausse est due à la poursuite des prêts émis au titre du programme de la FRR ainsi qu’aux nouveaux prêts octroyés à l’Ukraine dans le cadre de la facilité pour l’Ukraine et de l’AMF MCPU. Les actifs les plus importants inscrits au bilan de l’UE étaient les actifs financiers autres que la trésorerie et les équivalents de trésorerie (386,1 milliards d’EUR), les préfinancements (76,7 milliards d’EUR), les créances à recevoir et à recouvrer (34,1 milliards d’EUR), ainsi que la trésorerie et les équivalents de trésorerie (103 milliards d’EUR). Les autres actifs, s’élevant à 17,5 milliards d’EUR, comprenaient principalement les immobilisations corporelles et les immobilisations incorporelles.</w:t>
      </w:r>
    </w:p>
    <w:p>
      <w:pPr>
        <w:pStyle w:val="DGTextstand-alone"/>
        <w:rPr>
          <w:color w:val="016794"/>
        </w:rPr>
      </w:pPr>
      <w:r>
        <w:rPr>
          <w:color w:val="016794"/>
        </w:rPr>
        <w:t>Composition de l’actif au 31 décembre 2025</w:t>
      </w:r>
    </w:p>
    <w:p>
      <w:pPr>
        <w:jc w:val="center"/>
        <w:rPr>
          <w:rFonts w:ascii="Verdana" w:hAnsi="Verdana"/>
          <w:noProof/>
          <w:color w:val="016794"/>
          <w:sz w:val="18"/>
          <w:szCs w:val="18"/>
          <w:highlight w:val="lightGray"/>
        </w:rPr>
      </w:pPr>
      <w:r>
        <w:rPr>
          <w:rFonts w:ascii="Verdana" w:hAnsi="Verdana"/>
          <w:noProof/>
          <w:color w:val="016794"/>
          <w:sz w:val="18"/>
          <w:szCs w:val="18"/>
        </w:rPr>
        <w:drawing>
          <wp:inline distT="0" distB="0" distL="0" distR="0">
            <wp:extent cx="5393266" cy="4600396"/>
            <wp:effectExtent l="0" t="0" r="0" b="0"/>
            <wp:docPr id="3461281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128158" name=""/>
                    <pic:cNvPicPr/>
                  </pic:nvPicPr>
                  <pic:blipFill>
                    <a:blip r:embed="rId34"/>
                    <a:stretch>
                      <a:fillRect/>
                    </a:stretch>
                  </pic:blipFill>
                  <pic:spPr>
                    <a:xfrm>
                      <a:off x="0" y="0"/>
                      <a:ext cx="5410004" cy="4614673"/>
                    </a:xfrm>
                    <a:prstGeom prst="rect">
                      <a:avLst/>
                    </a:prstGeom>
                  </pic:spPr>
                </pic:pic>
              </a:graphicData>
            </a:graphic>
          </wp:inline>
        </w:drawing>
      </w:r>
    </w:p>
    <w:p>
      <w:pPr>
        <w:jc w:val="center"/>
        <w:rPr>
          <w:rFonts w:ascii="Verdana" w:hAnsi="Verdana"/>
          <w:noProof/>
          <w:color w:val="016794"/>
          <w:sz w:val="18"/>
          <w:szCs w:val="18"/>
          <w:highlight w:val="lightGray"/>
        </w:rPr>
      </w:pPr>
    </w:p>
    <w:p>
      <w:pPr>
        <w:pStyle w:val="DGTextstand-alone"/>
      </w:pPr>
      <w:r>
        <w:t>L’augmentation du total de l’actif de 99,0 milliards d’EUR, soit 19,1 %, par rapport à l’année précédente s’explique principalement par les effets suivants:</w:t>
      </w:r>
    </w:p>
    <w:p>
      <w:pPr>
        <w:pStyle w:val="DGTextstand-alonedashesjustified"/>
      </w:pPr>
      <w:r>
        <w:t>les prêts en cours sont passés de 283,6 milliards d’EUR en 2024 à 333,4 milliards d’EUR en 2025. L’augmentation de 49,8 milliards d’EUR, soit 17,6 %, reflète essentiellement l’émission de nouveaux prêts aux États membres au titre de la FRR et de REPowerEU (47,2 milliards d’EUR) et de nouveaux prêts au titre de la facilité pour l’Ukraine et des programmes AMF (10,1 milliards d’EUR et 18,4 milliards d’EUR respectivement), compensés par des remboursements au titre du MESF et de SURE (4,9 milliards d’EUR et 8,0 milliards d’EUR respectivement) et une hausse des dépréciations de 14,4 milliards d’EUR due essentiellement aux nouveaux prêts accordés à l’Ukraine;</w:t>
      </w:r>
    </w:p>
    <w:p>
      <w:pPr>
        <w:pStyle w:val="DGTextstand-alonedashesjustified"/>
      </w:pPr>
      <w:r>
        <w:t>la trésorerie et les équivalents de trésorerie sont passés de 63,2 milliards d’EUR en 2024 à 103,0 milliards d’EUR en 2025. L’augmentation de 39,9 milliards d’EUR, soit 63 %, est principalement due à la hausse de la liquidité relative au financement unifié (33,9 milliards d’EUR en 2024 contre 65,2 milliards d’EUR à la fin de 2025), qui résulte du niveau élevé des décaissements prévus pour le début de 2026.</w:t>
      </w:r>
    </w:p>
    <w:p>
      <w:pPr>
        <w:pStyle w:val="DGTextstand-alone"/>
      </w:pPr>
      <w:r>
        <w:rPr>
          <w:color w:val="016794"/>
        </w:rPr>
        <w:lastRenderedPageBreak/>
        <w:t>Préfinancement (avances engagées juridiquement)</w:t>
      </w:r>
    </w:p>
    <w:p>
      <w:pPr>
        <w:pStyle w:val="DGTextstand-alone"/>
        <w:rPr>
          <w:highlight w:val="lightGray"/>
        </w:rPr>
      </w:pPr>
      <w:r>
        <w:t>En 2025, les préfinancements, à l’exclusion des autres avances aux États membres et des contributions aux fonds fiduciaires Bêkou et Afrique, s’élevaient à 71,3 milliards d’EUR (contre 75,1 milliards d’EUR en 2024). L’évolution la plus importante concerne les préfinancements au titre de la FRR, qui sont passés de 15,4 milliards d’EUR à 10,2 milliards d’EUR en 2025, conformément à la mise en œuvre normale du programme, étant donné qu’aucun préfinancement supplémentaire n’a été décaissé en 2025.</w:t>
      </w:r>
    </w:p>
    <w:p>
      <w:pPr>
        <w:pStyle w:val="DGTextstand-alone"/>
      </w:pPr>
      <w:r>
        <w:t>Le niveau des préfinancements octroyés au titre des programmes relevant du CFP est fortement tributaire du cycle CFP respectif: par exemple, au début de la période couverte par le CFP, il est à prévoir que d’importantes avances soient versées aux États membres au titre de la politique de cohésion, et ces montants restent à la disposition des États membres jusqu’à la clôture des programmes. Un préfinancement annuel est également versé, lequel doit être utilisé au cours de l’exercice ou être recouvré l’année suivante dans le cadre de la clôture annuelle du cycle des comptes. La Commission met tout en œuvre pour faire en sorte que les préfinancements soient maintenus à un niveau approprié. Il s’agit de trouver un juste équilibre entre la garantie d’un financement suffisant des projets et la comptabilisation en temps utile des dépenses.</w:t>
      </w:r>
      <w:r>
        <w:br w:type="page"/>
      </w:r>
    </w:p>
    <w:p>
      <w:pPr>
        <w:pStyle w:val="HEADER2Part4"/>
      </w:pPr>
      <w:bookmarkStart w:id="30" w:name="_Toc237348536"/>
      <w:r>
        <w:lastRenderedPageBreak/>
        <w:t>Passifs</w:t>
      </w:r>
      <w:bookmarkEnd w:id="30"/>
    </w:p>
    <w:p>
      <w:pPr>
        <w:pStyle w:val="DGTextstand-alone"/>
      </w:pPr>
      <w:r>
        <w:t xml:space="preserve">Au 31 décembre 2025, le total des passifs s’élevait à 976,6 milliards d’EUR (contre 827,3 milliards d’EUR en 2024) — cette augmentation est principalement due aux emprunts contractés en 2025 dans le cadre de l’approche unifiée en matière de financement. Les passifs les plus importants étaient les emprunts destinés à financer les prêts aux États membres et aux pays tiers (731,2 milliards d’EUR), les obligations en matière de pension de retraite et les passifs liés aux avantages postérieurs à l’emploi (91,1 milliards d’EUR), les charges à payer et les produits à reporter (77,0 milliards d’EUR) ainsi que les sommes à payer à des tiers (65 milliards d’EUR). </w:t>
      </w:r>
    </w:p>
    <w:p>
      <w:pPr>
        <w:pStyle w:val="HEADER5"/>
        <w:rPr>
          <w:noProof/>
        </w:rPr>
      </w:pPr>
      <w:r>
        <w:rPr>
          <w:noProof/>
        </w:rPr>
        <w:t>Composition du passif au 31 décembre 2025</w:t>
      </w:r>
    </w:p>
    <w:p>
      <w:pPr>
        <w:pStyle w:val="HEADER5"/>
        <w:jc w:val="center"/>
        <w:rPr>
          <w:noProof/>
          <w:highlight w:val="lightGray"/>
        </w:rPr>
      </w:pPr>
      <w:r>
        <w:rPr>
          <w:noProof/>
        </w:rPr>
        <w:drawing>
          <wp:inline distT="0" distB="0" distL="0" distR="0">
            <wp:extent cx="5601634" cy="4699000"/>
            <wp:effectExtent l="0" t="0" r="0" b="6350"/>
            <wp:docPr id="13509216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921679" name=""/>
                    <pic:cNvPicPr/>
                  </pic:nvPicPr>
                  <pic:blipFill>
                    <a:blip r:embed="rId35"/>
                    <a:stretch>
                      <a:fillRect/>
                    </a:stretch>
                  </pic:blipFill>
                  <pic:spPr>
                    <a:xfrm>
                      <a:off x="0" y="0"/>
                      <a:ext cx="5612972" cy="4708511"/>
                    </a:xfrm>
                    <a:prstGeom prst="rect">
                      <a:avLst/>
                    </a:prstGeom>
                  </pic:spPr>
                </pic:pic>
              </a:graphicData>
            </a:graphic>
          </wp:inline>
        </w:drawing>
      </w:r>
    </w:p>
    <w:p>
      <w:pPr>
        <w:pStyle w:val="DGTextstand-alone"/>
        <w:spacing w:before="120" w:after="120"/>
      </w:pPr>
      <w:r>
        <w:t>L’augmentation de 149,3 milliards d’EUR, soit 18,0 %, par rapport à l’année précédente s’explique principalement par les effets suivants:</w:t>
      </w:r>
    </w:p>
    <w:p>
      <w:pPr>
        <w:pStyle w:val="DGTextstand-alonedashesjustified"/>
      </w:pPr>
      <w:r>
        <w:t>les emprunts sont passés de 594,0 milliards d’EUR en 2024 à 731,2 milliards d’EUR en 2025. L’augmentation de 137,2 milliards d’EUR, soit 23,1 %, est liée principalement à la nouvelle émission dans le cadre de l’approche unifiée en matière de financement, hors remboursements (de 148,3 milliards d’EUR) pour la FRR, la facilité pour l’Ukraine et les prêts AMF, moins les remboursements au titre du MESF, de SURE et de la BDP de 10,6 milliards d’EUR;</w:t>
      </w:r>
    </w:p>
    <w:p>
      <w:pPr>
        <w:pStyle w:val="DGTextstand-alonedashesjustified"/>
      </w:pPr>
      <w:r>
        <w:t>les charges à payer et les produits à reporter ont évolué à la hausse, passant de 67,1 milliards d’EUR en 2024 à 77,0 milliards d’EUR en 2025. L’augmentation de 9,9 milliards d’EUR, soit 14,8 %, est principalement liée à la FRR; et</w:t>
      </w:r>
    </w:p>
    <w:p>
      <w:pPr>
        <w:pStyle w:val="DGTextstand-alonedashesjustified"/>
      </w:pPr>
      <w:r>
        <w:t>les sommes à payer sont passées de 55,4 milliards d’EUR en 2024 à 65,0 milliards d’EUR en 2025. L’augmentation de 9,6 milliards d’EUR, soit 17,3 %, est principalement liée au FEDER, au FC et au FSE (augmentation de 13,9 milliards d’EUR).</w:t>
      </w:r>
      <w:r>
        <w:br w:type="page"/>
      </w:r>
    </w:p>
    <w:p>
      <w:pPr>
        <w:pStyle w:val="DGTextstand-alone"/>
        <w:rPr>
          <w:color w:val="016794"/>
          <w:highlight w:val="lightGray"/>
        </w:rPr>
      </w:pPr>
      <w:r>
        <w:rPr>
          <w:color w:val="016794"/>
        </w:rPr>
        <w:lastRenderedPageBreak/>
        <w:t xml:space="preserve">Total des déclarations de dépenses et des factures reçues et comptabilisées au bilan dans la rubrique des sommes à payer </w:t>
      </w:r>
    </w:p>
    <w:p>
      <w:pPr>
        <w:pStyle w:val="HEADER5"/>
        <w:jc w:val="center"/>
        <w:rPr>
          <w:noProof/>
          <w:highlight w:val="lightGray"/>
        </w:rPr>
      </w:pPr>
      <w:r>
        <w:rPr>
          <w:noProof/>
        </w:rPr>
        <w:drawing>
          <wp:inline distT="0" distB="0" distL="0" distR="0">
            <wp:extent cx="6120765" cy="4262120"/>
            <wp:effectExtent l="0" t="0" r="0" b="5080"/>
            <wp:docPr id="2987103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710365" name=""/>
                    <pic:cNvPicPr/>
                  </pic:nvPicPr>
                  <pic:blipFill>
                    <a:blip r:embed="rId36"/>
                    <a:stretch>
                      <a:fillRect/>
                    </a:stretch>
                  </pic:blipFill>
                  <pic:spPr>
                    <a:xfrm>
                      <a:off x="0" y="0"/>
                      <a:ext cx="6120765" cy="4262120"/>
                    </a:xfrm>
                    <a:prstGeom prst="rect">
                      <a:avLst/>
                    </a:prstGeom>
                  </pic:spPr>
                </pic:pic>
              </a:graphicData>
            </a:graphic>
          </wp:inline>
        </w:drawing>
      </w:r>
    </w:p>
    <w:p>
      <w:pPr>
        <w:pStyle w:val="HEADER2Part4"/>
      </w:pPr>
      <w:bookmarkStart w:id="31" w:name="_Toc237348537"/>
      <w:r>
        <w:t>Actif net</w:t>
      </w:r>
      <w:bookmarkEnd w:id="31"/>
    </w:p>
    <w:p>
      <w:pPr>
        <w:pStyle w:val="DGTextstand-alone"/>
      </w:pPr>
      <w:r>
        <w:t>L’excédent du passif par rapport à l’actif au 31 décembre 2025 s’élevait à 359,2 milliards d’EUR (contre 308,8 milliards d’EUR en 2024). Les postes les plus importants ayant conduit à cette augmentation sont les emprunts supplémentaires relevant de l’approche unifiée en matière de financement (qui doivent être remboursés d'ici à 2055, voir section </w:t>
      </w:r>
      <w:r>
        <w:rPr>
          <w:b/>
        </w:rPr>
        <w:t>5.1.1</w:t>
      </w:r>
      <w:r>
        <w:t>), une augmentation relative à la mise en œuvre des politiques et l’augmentation connexe des crédits d’engagement, le passif lié aux avantages du personnel (qui doit être payé sur plusieurs décennies) ainsi que les paiements liés au FEAGA, dont la majeure partie a été versée au cours du premier trimestre de 2026.</w:t>
      </w:r>
    </w:p>
    <w:p>
      <w:pPr>
        <w:pStyle w:val="DGTextstand-alone"/>
        <w:spacing w:after="480"/>
      </w:pPr>
      <w:r>
        <w:t>Il convient de noter que le fait que le passif l’emporte sur l’actif ne signifie pas que les institutions et organes de l’UE sont en difficulté financière. Cela indique plutôt que certaines charges seront financées par les budgets annuels à venir. Conformément aux règles de la comptabilité d’exercice, nombre de dépenses sont imputées à l’exercice en cours, mais il se peut que les montants soient en réalité payés lors des exercices suivants et financés sur des budgets futurs; les recettes liées à ces financements futurs ne seront comptabilisées qu’à l’avenir.</w:t>
      </w:r>
    </w:p>
    <w:p>
      <w:pPr>
        <w:pStyle w:val="HEADER2Part4"/>
      </w:pPr>
      <w:bookmarkStart w:id="32" w:name="_Toc237348538"/>
      <w:r>
        <w:t>Retrait du Royaume-Uni de l’UE</w:t>
      </w:r>
      <w:bookmarkEnd w:id="32"/>
    </w:p>
    <w:p>
      <w:pPr>
        <w:pStyle w:val="DGTextstand-alone"/>
      </w:pPr>
      <w:r>
        <w:t>En vertu de l’accord de retrait, le Royaume-Uni continuera à contribuer au budget de l’UE et à bénéficier des programmes et des dépenses de l’UE antérieurs à 2021 comme s’il était un État membre. Le Royaume-Uni recevra également en retour certaines sommes spécifiques qu’il a versées au budget de l’UE ou des sommes reçues par le budget de l’UE au cours de la période pendant laquelle il était membre. L’UE communique deux fois par an au Royaume-Uni les montants dus et ce dernier les paie sur une base mensuelle. La communication est mise à jour chaque année sur la base des chiffres réels.</w:t>
      </w:r>
    </w:p>
    <w:p>
      <w:pPr>
        <w:pStyle w:val="DGTextstand-alone"/>
      </w:pPr>
      <w:r>
        <w:lastRenderedPageBreak/>
        <w:t>Les obligations prévues par l’accord de retrait génèrent des passifs et des créances à recevoir pour l’UE qui doivent être calculés et répercutés dans les comptes annuels de l’UE. Ces passifs et créances couvrent notamment les domaines suivants:</w:t>
      </w:r>
    </w:p>
    <w:p>
      <w:pPr>
        <w:pStyle w:val="DGTextstand-alonedashesjustified"/>
      </w:pPr>
      <w:r>
        <w:t>ressources propres (article 136)</w:t>
      </w:r>
    </w:p>
    <w:p>
      <w:pPr>
        <w:pStyle w:val="DGTextstand-alonedashesjustified"/>
      </w:pPr>
      <w:r>
        <w:t>engagements restant à liquider (article 140)</w:t>
      </w:r>
    </w:p>
    <w:p>
      <w:pPr>
        <w:pStyle w:val="DGTextstand-alonedashesjustified"/>
      </w:pPr>
      <w:r>
        <w:t>amendes pour des infractions aux règles de concurrence (article 141)</w:t>
      </w:r>
    </w:p>
    <w:p>
      <w:pPr>
        <w:pStyle w:val="DGTextstand-alonedashesjustified"/>
      </w:pPr>
      <w:r>
        <w:t>Passifs de l’Union (article 142)</w:t>
      </w:r>
    </w:p>
    <w:p>
      <w:pPr>
        <w:pStyle w:val="DGTextstand-alonedashesjustified"/>
      </w:pPr>
      <w:r>
        <w:t>passifs financiers éventuels et instruments financiers (articles 143 et 144)</w:t>
      </w:r>
    </w:p>
    <w:p>
      <w:pPr>
        <w:pStyle w:val="DGTextstand-alonedashesjustified"/>
      </w:pPr>
      <w:r>
        <w:t>avoirs nets de la Communauté européenne du charbon et de l’acier (article 145)</w:t>
      </w:r>
    </w:p>
    <w:p>
      <w:pPr>
        <w:pStyle w:val="DGTextstand-alonedashesjustified"/>
      </w:pPr>
      <w:r>
        <w:t>Investissement de l’Union dans le FEI, Fonds européen d’investissement, (article 146)</w:t>
      </w:r>
    </w:p>
    <w:p>
      <w:pPr>
        <w:pStyle w:val="DGTextstand-alonedashesjustified"/>
      </w:pPr>
      <w:r>
        <w:t>passifs éventuels liés à des affaires juridiques (article 147).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7"/>
        <w:gridCol w:w="1293"/>
        <w:gridCol w:w="1293"/>
        <w:gridCol w:w="1293"/>
        <w:gridCol w:w="1290"/>
        <w:gridCol w:w="1283"/>
      </w:tblGrid>
      <w:tr>
        <w:trPr>
          <w:trHeight w:val="255"/>
        </w:trPr>
        <w:tc>
          <w:tcPr>
            <w:tcW w:w="3307" w:type="dxa"/>
            <w:tcBorders>
              <w:top w:val="nil"/>
              <w:left w:val="nil"/>
              <w:bottom w:val="nil"/>
              <w:right w:val="nil"/>
              <w:tl2br w:val="nil"/>
              <w:tr2bl w:val="nil"/>
            </w:tcBorders>
            <w:tcMar>
              <w:left w:w="60" w:type="dxa"/>
              <w:right w:w="60" w:type="dxa"/>
            </w:tcMar>
            <w:vAlign w:val="bottom"/>
          </w:tcPr>
          <w:p>
            <w:pPr>
              <w:pStyle w:val="DMETW36745BIPUKWA"/>
              <w:rPr>
                <w:rFonts w:ascii="Arial" w:eastAsia="Arial" w:hAnsi="Arial" w:cs="Arial"/>
                <w:noProof/>
                <w:color w:val="000000"/>
                <w:lang w:bidi="en-GB"/>
              </w:rPr>
            </w:pPr>
          </w:p>
        </w:tc>
        <w:tc>
          <w:tcPr>
            <w:tcW w:w="1293" w:type="dxa"/>
            <w:tcBorders>
              <w:top w:val="nil"/>
              <w:left w:val="nil"/>
              <w:bottom w:val="nil"/>
              <w:right w:val="nil"/>
              <w:tl2br w:val="nil"/>
              <w:tr2bl w:val="nil"/>
            </w:tcBorders>
            <w:tcMar>
              <w:left w:w="60" w:type="dxa"/>
              <w:right w:w="60" w:type="dxa"/>
            </w:tcMar>
            <w:vAlign w:val="bottom"/>
          </w:tcPr>
          <w:p>
            <w:pPr>
              <w:pStyle w:val="DMETW36745BIPUKWA"/>
              <w:rPr>
                <w:rFonts w:ascii="Arial" w:eastAsia="Arial" w:hAnsi="Arial" w:cs="Arial"/>
                <w:noProof/>
                <w:color w:val="000000"/>
              </w:rPr>
            </w:pPr>
          </w:p>
        </w:tc>
        <w:tc>
          <w:tcPr>
            <w:tcW w:w="1293" w:type="dxa"/>
            <w:tcBorders>
              <w:top w:val="nil"/>
              <w:left w:val="nil"/>
              <w:bottom w:val="nil"/>
              <w:right w:val="nil"/>
              <w:tl2br w:val="nil"/>
              <w:tr2bl w:val="nil"/>
            </w:tcBorders>
            <w:tcMar>
              <w:left w:w="60" w:type="dxa"/>
              <w:right w:w="60" w:type="dxa"/>
            </w:tcMar>
            <w:vAlign w:val="bottom"/>
          </w:tcPr>
          <w:p>
            <w:pPr>
              <w:pStyle w:val="DMETW36745BIPUKWA"/>
              <w:rPr>
                <w:rFonts w:cs="Calibri"/>
                <w:noProof/>
                <w:color w:val="000000"/>
                <w:sz w:val="22"/>
              </w:rPr>
            </w:pPr>
          </w:p>
        </w:tc>
        <w:tc>
          <w:tcPr>
            <w:tcW w:w="1293" w:type="dxa"/>
            <w:tcBorders>
              <w:top w:val="nil"/>
              <w:left w:val="nil"/>
              <w:bottom w:val="nil"/>
              <w:right w:val="nil"/>
              <w:tl2br w:val="nil"/>
              <w:tr2bl w:val="nil"/>
            </w:tcBorders>
            <w:tcMar>
              <w:left w:w="60" w:type="dxa"/>
              <w:right w:w="60" w:type="dxa"/>
            </w:tcMar>
            <w:vAlign w:val="bottom"/>
          </w:tcPr>
          <w:p>
            <w:pPr>
              <w:pStyle w:val="DMETW36745BIPUKWA"/>
              <w:jc w:val="right"/>
              <w:rPr>
                <w:rFonts w:ascii="Verdana" w:eastAsia="Verdana" w:hAnsi="Verdana" w:cs="Verdana"/>
                <w:b/>
                <w:noProof/>
                <w:color w:val="000000"/>
                <w:sz w:val="18"/>
              </w:rPr>
            </w:pPr>
          </w:p>
        </w:tc>
        <w:tc>
          <w:tcPr>
            <w:tcW w:w="1290" w:type="dxa"/>
            <w:tcBorders>
              <w:top w:val="nil"/>
              <w:left w:val="nil"/>
              <w:bottom w:val="nil"/>
              <w:right w:val="nil"/>
              <w:tl2br w:val="nil"/>
              <w:tr2bl w:val="nil"/>
            </w:tcBorders>
            <w:tcMar>
              <w:left w:w="60" w:type="dxa"/>
              <w:right w:w="60" w:type="dxa"/>
            </w:tcMar>
            <w:vAlign w:val="bottom"/>
          </w:tcPr>
          <w:p>
            <w:pPr>
              <w:pStyle w:val="DMETW36745BIPUKWA"/>
              <w:rPr>
                <w:rFonts w:cs="Calibri"/>
                <w:noProof/>
                <w:color w:val="000000"/>
                <w:sz w:val="22"/>
              </w:rPr>
            </w:pPr>
          </w:p>
        </w:tc>
        <w:tc>
          <w:tcPr>
            <w:tcW w:w="1283" w:type="dxa"/>
            <w:tcBorders>
              <w:top w:val="nil"/>
              <w:left w:val="nil"/>
              <w:bottom w:val="nil"/>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00000"/>
                <w:sz w:val="16"/>
              </w:rPr>
            </w:pPr>
            <w:r>
              <w:rPr>
                <w:rFonts w:ascii="Verdana" w:hAnsi="Verdana"/>
                <w:i/>
                <w:noProof/>
                <w:color w:val="000000"/>
                <w:sz w:val="16"/>
              </w:rPr>
              <w:t>En Mio EUR</w:t>
            </w:r>
          </w:p>
        </w:tc>
      </w:tr>
      <w:tr>
        <w:trPr>
          <w:trHeight w:val="255"/>
        </w:trPr>
        <w:tc>
          <w:tcPr>
            <w:tcW w:w="3307" w:type="dxa"/>
            <w:tcBorders>
              <w:top w:val="nil"/>
              <w:left w:val="nil"/>
              <w:bottom w:val="nil"/>
              <w:right w:val="nil"/>
              <w:tl2br w:val="nil"/>
              <w:tr2bl w:val="nil"/>
            </w:tcBorders>
            <w:shd w:val="solid" w:color="016794" w:fill="FFFFFF"/>
            <w:tcMar>
              <w:left w:w="60" w:type="dxa"/>
              <w:right w:w="60" w:type="dxa"/>
            </w:tcMar>
            <w:vAlign w:val="center"/>
          </w:tcPr>
          <w:p>
            <w:pPr>
              <w:pStyle w:val="DMETW36745BIPUKWA"/>
              <w:jc w:val="center"/>
              <w:rPr>
                <w:rFonts w:ascii="Verdana" w:eastAsia="Verdana" w:hAnsi="Verdana" w:cs="Verdana"/>
                <w:noProof/>
                <w:color w:val="FFFFFF"/>
              </w:rPr>
            </w:pPr>
          </w:p>
        </w:tc>
        <w:tc>
          <w:tcPr>
            <w:tcW w:w="1293" w:type="dxa"/>
            <w:tcBorders>
              <w:top w:val="nil"/>
              <w:left w:val="nil"/>
              <w:bottom w:val="nil"/>
              <w:right w:val="nil"/>
              <w:tl2br w:val="nil"/>
              <w:tr2bl w:val="nil"/>
            </w:tcBorders>
            <w:shd w:val="solid" w:color="016794" w:fill="FFFFFF"/>
            <w:tcMar>
              <w:left w:w="60" w:type="dxa"/>
              <w:right w:w="60" w:type="dxa"/>
            </w:tcMar>
            <w:vAlign w:val="center"/>
          </w:tcPr>
          <w:p>
            <w:pPr>
              <w:pStyle w:val="DMETW36745BIPUKWA"/>
              <w:jc w:val="right"/>
              <w:rPr>
                <w:rFonts w:ascii="Verdana" w:eastAsia="Verdana" w:hAnsi="Verdana" w:cs="Verdana"/>
                <w:noProof/>
                <w:color w:val="FFFFFF"/>
              </w:rPr>
            </w:pPr>
            <w:r>
              <w:rPr>
                <w:rFonts w:ascii="Verdana" w:hAnsi="Verdana"/>
                <w:noProof/>
                <w:color w:val="FFFFFF"/>
              </w:rPr>
              <w:t>Article 140</w:t>
            </w:r>
          </w:p>
        </w:tc>
        <w:tc>
          <w:tcPr>
            <w:tcW w:w="1293" w:type="dxa"/>
            <w:tcBorders>
              <w:top w:val="nil"/>
              <w:left w:val="nil"/>
              <w:bottom w:val="nil"/>
              <w:right w:val="nil"/>
              <w:tl2br w:val="nil"/>
              <w:tr2bl w:val="nil"/>
            </w:tcBorders>
            <w:shd w:val="solid" w:color="016794" w:fill="FFFFFF"/>
            <w:tcMar>
              <w:left w:w="60" w:type="dxa"/>
              <w:right w:w="60" w:type="dxa"/>
            </w:tcMar>
            <w:vAlign w:val="center"/>
          </w:tcPr>
          <w:p>
            <w:pPr>
              <w:pStyle w:val="DMETW36745BIPUKWA"/>
              <w:jc w:val="right"/>
              <w:rPr>
                <w:rFonts w:ascii="Verdana" w:eastAsia="Verdana" w:hAnsi="Verdana" w:cs="Verdana"/>
                <w:noProof/>
                <w:color w:val="FFFFFF"/>
              </w:rPr>
            </w:pPr>
            <w:r>
              <w:rPr>
                <w:rFonts w:ascii="Verdana" w:hAnsi="Verdana"/>
                <w:noProof/>
                <w:color w:val="FFFFFF"/>
              </w:rPr>
              <w:t>Article 142</w:t>
            </w:r>
          </w:p>
        </w:tc>
        <w:tc>
          <w:tcPr>
            <w:tcW w:w="1293" w:type="dxa"/>
            <w:tcBorders>
              <w:top w:val="nil"/>
              <w:left w:val="nil"/>
              <w:bottom w:val="nil"/>
              <w:right w:val="nil"/>
              <w:tl2br w:val="nil"/>
              <w:tr2bl w:val="nil"/>
            </w:tcBorders>
            <w:shd w:val="solid" w:color="016794" w:fill="FFFFFF"/>
            <w:tcMar>
              <w:left w:w="60" w:type="dxa"/>
              <w:right w:w="60" w:type="dxa"/>
            </w:tcMar>
            <w:vAlign w:val="center"/>
          </w:tcPr>
          <w:p>
            <w:pPr>
              <w:pStyle w:val="DMETW36745BIPUKWA"/>
              <w:jc w:val="right"/>
              <w:rPr>
                <w:rFonts w:ascii="Verdana" w:eastAsia="Verdana" w:hAnsi="Verdana" w:cs="Verdana"/>
                <w:noProof/>
                <w:color w:val="FFFFFF"/>
              </w:rPr>
            </w:pPr>
            <w:r>
              <w:rPr>
                <w:rFonts w:ascii="Verdana" w:hAnsi="Verdana"/>
                <w:noProof/>
                <w:color w:val="FFFFFF"/>
              </w:rPr>
              <w:t>Autres</w:t>
            </w:r>
          </w:p>
        </w:tc>
        <w:tc>
          <w:tcPr>
            <w:tcW w:w="1290" w:type="dxa"/>
            <w:tcBorders>
              <w:top w:val="nil"/>
              <w:left w:val="nil"/>
              <w:bottom w:val="nil"/>
              <w:right w:val="nil"/>
              <w:tl2br w:val="nil"/>
              <w:tr2bl w:val="nil"/>
            </w:tcBorders>
            <w:shd w:val="solid" w:color="016794" w:fill="FFFFFF"/>
            <w:tcMar>
              <w:left w:w="60" w:type="dxa"/>
              <w:right w:w="60" w:type="dxa"/>
            </w:tcMar>
            <w:vAlign w:val="center"/>
          </w:tcPr>
          <w:p>
            <w:pPr>
              <w:pStyle w:val="DMETW36745BIPUKWA"/>
              <w:jc w:val="right"/>
              <w:rPr>
                <w:rFonts w:ascii="Verdana" w:eastAsia="Verdana" w:hAnsi="Verdana" w:cs="Verdana"/>
                <w:noProof/>
                <w:color w:val="FFFFFF"/>
              </w:rPr>
            </w:pPr>
            <w:r>
              <w:rPr>
                <w:rFonts w:ascii="Verdana" w:hAnsi="Verdana"/>
                <w:noProof/>
                <w:color w:val="FFFFFF"/>
              </w:rPr>
              <w:t>31.12.2025</w:t>
            </w:r>
          </w:p>
        </w:tc>
        <w:tc>
          <w:tcPr>
            <w:tcW w:w="1283" w:type="dxa"/>
            <w:tcBorders>
              <w:top w:val="nil"/>
              <w:left w:val="nil"/>
              <w:bottom w:val="nil"/>
              <w:right w:val="nil"/>
              <w:tl2br w:val="nil"/>
              <w:tr2bl w:val="nil"/>
            </w:tcBorders>
            <w:shd w:val="solid" w:color="016794" w:fill="FFFFFF"/>
            <w:tcMar>
              <w:left w:w="60" w:type="dxa"/>
              <w:right w:w="60" w:type="dxa"/>
            </w:tcMar>
            <w:vAlign w:val="center"/>
          </w:tcPr>
          <w:p>
            <w:pPr>
              <w:pStyle w:val="DMETW36745BIPUKWA"/>
              <w:jc w:val="right"/>
              <w:rPr>
                <w:rFonts w:ascii="Verdana" w:eastAsia="Verdana" w:hAnsi="Verdana" w:cs="Verdana"/>
                <w:noProof/>
                <w:color w:val="FFFFFF"/>
              </w:rPr>
            </w:pPr>
            <w:r>
              <w:rPr>
                <w:rFonts w:ascii="Verdana" w:hAnsi="Verdana"/>
                <w:noProof/>
                <w:color w:val="FFFFFF"/>
              </w:rPr>
              <w:t>31.12.2024</w:t>
            </w:r>
          </w:p>
        </w:tc>
      </w:tr>
      <w:tr>
        <w:trPr>
          <w:trHeight w:val="255"/>
        </w:trPr>
        <w:tc>
          <w:tcPr>
            <w:tcW w:w="3307" w:type="dxa"/>
            <w:tcBorders>
              <w:top w:val="nil"/>
              <w:left w:val="nil"/>
              <w:bottom w:val="nil"/>
              <w:right w:val="nil"/>
              <w:tl2br w:val="nil"/>
              <w:tr2bl w:val="nil"/>
            </w:tcBorders>
            <w:tcMar>
              <w:left w:w="60" w:type="dxa"/>
              <w:right w:w="60" w:type="dxa"/>
            </w:tcMar>
            <w:vAlign w:val="bottom"/>
          </w:tcPr>
          <w:p>
            <w:pPr>
              <w:pStyle w:val="DMETW36745BIPUKWA"/>
              <w:rPr>
                <w:rFonts w:ascii="Verdana" w:eastAsia="Verdana" w:hAnsi="Verdana" w:cs="Verdana"/>
                <w:i/>
                <w:noProof/>
                <w:color w:val="000000"/>
                <w:sz w:val="18"/>
              </w:rPr>
            </w:pPr>
            <w:r>
              <w:rPr>
                <w:rFonts w:ascii="Verdana" w:hAnsi="Verdana"/>
                <w:i/>
                <w:noProof/>
                <w:color w:val="000000"/>
                <w:sz w:val="18"/>
              </w:rPr>
              <w:t>Montants dus par le Royaume-Uni</w:t>
            </w:r>
          </w:p>
        </w:tc>
        <w:tc>
          <w:tcPr>
            <w:tcW w:w="1293" w:type="dxa"/>
            <w:tcBorders>
              <w:top w:val="nil"/>
              <w:left w:val="nil"/>
              <w:bottom w:val="nil"/>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00000"/>
                <w:sz w:val="18"/>
              </w:rPr>
            </w:pPr>
            <w:r>
              <w:rPr>
                <w:rFonts w:ascii="Verdana" w:hAnsi="Verdana"/>
                <w:i/>
                <w:noProof/>
                <w:color w:val="000000"/>
                <w:sz w:val="18"/>
              </w:rPr>
              <w:t>2 327</w:t>
            </w:r>
          </w:p>
        </w:tc>
        <w:tc>
          <w:tcPr>
            <w:tcW w:w="1293" w:type="dxa"/>
            <w:tcBorders>
              <w:top w:val="nil"/>
              <w:left w:val="nil"/>
              <w:bottom w:val="nil"/>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00000"/>
                <w:sz w:val="18"/>
              </w:rPr>
            </w:pPr>
            <w:r>
              <w:rPr>
                <w:rFonts w:ascii="Verdana" w:hAnsi="Verdana"/>
                <w:i/>
                <w:noProof/>
                <w:color w:val="000000"/>
                <w:sz w:val="18"/>
              </w:rPr>
              <w:t>9 599</w:t>
            </w:r>
          </w:p>
        </w:tc>
        <w:tc>
          <w:tcPr>
            <w:tcW w:w="1293" w:type="dxa"/>
            <w:tcBorders>
              <w:top w:val="nil"/>
              <w:left w:val="nil"/>
              <w:bottom w:val="nil"/>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00000"/>
                <w:sz w:val="18"/>
              </w:rPr>
            </w:pPr>
            <w:r>
              <w:rPr>
                <w:rFonts w:ascii="Verdana" w:hAnsi="Verdana"/>
                <w:i/>
                <w:noProof/>
                <w:color w:val="000000"/>
                <w:sz w:val="18"/>
              </w:rPr>
              <w:t xml:space="preserve"> 166</w:t>
            </w:r>
          </w:p>
        </w:tc>
        <w:tc>
          <w:tcPr>
            <w:tcW w:w="1290" w:type="dxa"/>
            <w:tcBorders>
              <w:top w:val="nil"/>
              <w:left w:val="nil"/>
              <w:bottom w:val="nil"/>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00000"/>
                <w:sz w:val="18"/>
              </w:rPr>
            </w:pPr>
            <w:r>
              <w:rPr>
                <w:rFonts w:ascii="Verdana" w:hAnsi="Verdana"/>
                <w:i/>
                <w:noProof/>
                <w:color w:val="000000"/>
                <w:sz w:val="18"/>
              </w:rPr>
              <w:t>12 092</w:t>
            </w:r>
          </w:p>
        </w:tc>
        <w:tc>
          <w:tcPr>
            <w:tcW w:w="1283" w:type="dxa"/>
            <w:tcBorders>
              <w:top w:val="nil"/>
              <w:left w:val="nil"/>
              <w:bottom w:val="nil"/>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00000"/>
                <w:sz w:val="18"/>
              </w:rPr>
            </w:pPr>
            <w:r>
              <w:rPr>
                <w:rFonts w:ascii="Verdana" w:hAnsi="Verdana"/>
                <w:i/>
                <w:noProof/>
                <w:color w:val="000000"/>
                <w:sz w:val="18"/>
              </w:rPr>
              <w:t>14 683</w:t>
            </w:r>
          </w:p>
        </w:tc>
      </w:tr>
      <w:tr>
        <w:trPr>
          <w:trHeight w:val="255"/>
        </w:trPr>
        <w:tc>
          <w:tcPr>
            <w:tcW w:w="3307" w:type="dxa"/>
            <w:tcBorders>
              <w:top w:val="nil"/>
              <w:left w:val="nil"/>
              <w:bottom w:val="single" w:sz="4" w:space="0" w:color="016794"/>
              <w:right w:val="nil"/>
              <w:tl2br w:val="nil"/>
              <w:tr2bl w:val="nil"/>
            </w:tcBorders>
            <w:tcMar>
              <w:left w:w="60" w:type="dxa"/>
              <w:right w:w="60" w:type="dxa"/>
            </w:tcMar>
            <w:vAlign w:val="bottom"/>
          </w:tcPr>
          <w:p>
            <w:pPr>
              <w:pStyle w:val="DMETW36745BIPUKWA"/>
              <w:rPr>
                <w:rFonts w:ascii="Verdana" w:eastAsia="Verdana" w:hAnsi="Verdana" w:cs="Verdana"/>
                <w:i/>
                <w:noProof/>
                <w:color w:val="000000"/>
                <w:sz w:val="18"/>
              </w:rPr>
            </w:pPr>
            <w:r>
              <w:rPr>
                <w:rFonts w:ascii="Verdana" w:hAnsi="Verdana"/>
                <w:i/>
                <w:noProof/>
                <w:color w:val="000000"/>
                <w:sz w:val="18"/>
              </w:rPr>
              <w:t>Montants dus au Royaume-Uni</w:t>
            </w:r>
          </w:p>
        </w:tc>
        <w:tc>
          <w:tcPr>
            <w:tcW w:w="1293" w:type="dxa"/>
            <w:tcBorders>
              <w:top w:val="nil"/>
              <w:left w:val="nil"/>
              <w:bottom w:val="single" w:sz="4" w:space="0" w:color="016794"/>
              <w:right w:val="nil"/>
              <w:tl2br w:val="nil"/>
              <w:tr2bl w:val="nil"/>
            </w:tcBorders>
            <w:tcMar>
              <w:left w:w="60" w:type="dxa"/>
              <w:right w:w="60" w:type="dxa"/>
            </w:tcMar>
            <w:vAlign w:val="center"/>
          </w:tcPr>
          <w:p>
            <w:pPr>
              <w:pStyle w:val="DMETW36745BIPUKWA"/>
              <w:jc w:val="right"/>
              <w:rPr>
                <w:rFonts w:ascii="Verdana" w:eastAsia="Verdana" w:hAnsi="Verdana" w:cs="Verdana"/>
                <w:i/>
                <w:noProof/>
                <w:color w:val="000000"/>
                <w:sz w:val="18"/>
              </w:rPr>
            </w:pPr>
            <w:r>
              <w:rPr>
                <w:rFonts w:ascii="Verdana" w:hAnsi="Verdana"/>
                <w:i/>
                <w:noProof/>
                <w:color w:val="000000"/>
                <w:sz w:val="18"/>
              </w:rPr>
              <w:t>–</w:t>
            </w:r>
          </w:p>
        </w:tc>
        <w:tc>
          <w:tcPr>
            <w:tcW w:w="1293" w:type="dxa"/>
            <w:tcBorders>
              <w:top w:val="nil"/>
              <w:left w:val="nil"/>
              <w:bottom w:val="single" w:sz="4" w:space="0" w:color="016794"/>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00000"/>
                <w:sz w:val="18"/>
              </w:rPr>
            </w:pPr>
            <w:r>
              <w:rPr>
                <w:rFonts w:ascii="Verdana" w:hAnsi="Verdana"/>
                <w:i/>
                <w:noProof/>
                <w:color w:val="000000"/>
                <w:sz w:val="18"/>
              </w:rPr>
              <w:t>–</w:t>
            </w:r>
          </w:p>
        </w:tc>
        <w:tc>
          <w:tcPr>
            <w:tcW w:w="1293" w:type="dxa"/>
            <w:tcBorders>
              <w:top w:val="nil"/>
              <w:left w:val="nil"/>
              <w:bottom w:val="single" w:sz="4" w:space="0" w:color="016794"/>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00000"/>
                <w:sz w:val="18"/>
              </w:rPr>
            </w:pPr>
            <w:r>
              <w:rPr>
                <w:rFonts w:ascii="Verdana" w:hAnsi="Verdana"/>
                <w:i/>
                <w:noProof/>
                <w:color w:val="000000"/>
                <w:sz w:val="18"/>
              </w:rPr>
              <w:t>(1 331)</w:t>
            </w:r>
          </w:p>
        </w:tc>
        <w:tc>
          <w:tcPr>
            <w:tcW w:w="1290" w:type="dxa"/>
            <w:tcBorders>
              <w:top w:val="nil"/>
              <w:left w:val="nil"/>
              <w:bottom w:val="single" w:sz="4" w:space="0" w:color="016794"/>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00000"/>
                <w:sz w:val="18"/>
              </w:rPr>
            </w:pPr>
            <w:r>
              <w:rPr>
                <w:rFonts w:ascii="Verdana" w:hAnsi="Verdana"/>
                <w:i/>
                <w:noProof/>
                <w:color w:val="000000"/>
                <w:sz w:val="18"/>
              </w:rPr>
              <w:t>(1 331)</w:t>
            </w:r>
          </w:p>
        </w:tc>
        <w:tc>
          <w:tcPr>
            <w:tcW w:w="1283" w:type="dxa"/>
            <w:tcBorders>
              <w:top w:val="nil"/>
              <w:left w:val="nil"/>
              <w:bottom w:val="single" w:sz="4" w:space="0" w:color="016794"/>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00000"/>
                <w:sz w:val="18"/>
              </w:rPr>
            </w:pPr>
            <w:r>
              <w:rPr>
                <w:rFonts w:ascii="Verdana" w:hAnsi="Verdana"/>
                <w:i/>
                <w:noProof/>
                <w:color w:val="000000"/>
                <w:sz w:val="18"/>
              </w:rPr>
              <w:t>(1 922)</w:t>
            </w:r>
          </w:p>
        </w:tc>
      </w:tr>
      <w:tr>
        <w:trPr>
          <w:trHeight w:val="255"/>
        </w:trPr>
        <w:tc>
          <w:tcPr>
            <w:tcW w:w="3307"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5BIPUKWA"/>
              <w:rPr>
                <w:rFonts w:ascii="Verdana" w:eastAsia="Verdana" w:hAnsi="Verdana" w:cs="Verdana"/>
                <w:b/>
                <w:noProof/>
                <w:color w:val="000000"/>
                <w:sz w:val="18"/>
              </w:rPr>
            </w:pPr>
            <w:r>
              <w:rPr>
                <w:rFonts w:ascii="Verdana" w:hAnsi="Verdana"/>
                <w:b/>
                <w:noProof/>
                <w:color w:val="000000"/>
                <w:sz w:val="18"/>
              </w:rPr>
              <w:t>Total</w:t>
            </w:r>
          </w:p>
        </w:tc>
        <w:tc>
          <w:tcPr>
            <w:tcW w:w="1293"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45BIPUKWA"/>
              <w:jc w:val="right"/>
              <w:rPr>
                <w:rFonts w:ascii="Verdana" w:eastAsia="Verdana" w:hAnsi="Verdana" w:cs="Verdana"/>
                <w:b/>
                <w:noProof/>
                <w:color w:val="000000"/>
                <w:sz w:val="18"/>
              </w:rPr>
            </w:pPr>
            <w:r>
              <w:rPr>
                <w:rFonts w:ascii="Verdana" w:hAnsi="Verdana"/>
                <w:b/>
                <w:noProof/>
                <w:color w:val="000000"/>
                <w:sz w:val="18"/>
              </w:rPr>
              <w:t>2 327</w:t>
            </w:r>
          </w:p>
        </w:tc>
        <w:tc>
          <w:tcPr>
            <w:tcW w:w="1293"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45BIPUKWA"/>
              <w:jc w:val="right"/>
              <w:rPr>
                <w:rFonts w:ascii="Verdana" w:eastAsia="Verdana" w:hAnsi="Verdana" w:cs="Verdana"/>
                <w:b/>
                <w:noProof/>
                <w:color w:val="000000"/>
                <w:sz w:val="18"/>
              </w:rPr>
            </w:pPr>
            <w:r>
              <w:rPr>
                <w:rFonts w:ascii="Verdana" w:hAnsi="Verdana"/>
                <w:b/>
                <w:noProof/>
                <w:color w:val="000000"/>
                <w:sz w:val="18"/>
              </w:rPr>
              <w:t>9 599</w:t>
            </w:r>
          </w:p>
        </w:tc>
        <w:tc>
          <w:tcPr>
            <w:tcW w:w="1293"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45BIPUKWA"/>
              <w:jc w:val="right"/>
              <w:rPr>
                <w:rFonts w:ascii="Verdana" w:eastAsia="Verdana" w:hAnsi="Verdana" w:cs="Verdana"/>
                <w:b/>
                <w:noProof/>
                <w:color w:val="000000"/>
                <w:sz w:val="18"/>
              </w:rPr>
            </w:pPr>
            <w:r>
              <w:rPr>
                <w:rFonts w:ascii="Verdana" w:hAnsi="Verdana"/>
                <w:b/>
                <w:noProof/>
                <w:color w:val="000000"/>
                <w:sz w:val="18"/>
              </w:rPr>
              <w:t>(1 165)</w:t>
            </w:r>
          </w:p>
        </w:tc>
        <w:tc>
          <w:tcPr>
            <w:tcW w:w="1290"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45BIPUKWA"/>
              <w:jc w:val="right"/>
              <w:rPr>
                <w:rFonts w:ascii="Verdana" w:eastAsia="Verdana" w:hAnsi="Verdana" w:cs="Verdana"/>
                <w:b/>
                <w:noProof/>
                <w:color w:val="000000"/>
                <w:sz w:val="18"/>
              </w:rPr>
            </w:pPr>
            <w:r>
              <w:rPr>
                <w:rFonts w:ascii="Verdana" w:hAnsi="Verdana"/>
                <w:b/>
                <w:noProof/>
                <w:color w:val="000000"/>
                <w:sz w:val="18"/>
              </w:rPr>
              <w:t>10 761</w:t>
            </w:r>
          </w:p>
        </w:tc>
        <w:tc>
          <w:tcPr>
            <w:tcW w:w="1283"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45BIPUKWA"/>
              <w:jc w:val="right"/>
              <w:rPr>
                <w:rFonts w:ascii="Verdana" w:eastAsia="Verdana" w:hAnsi="Verdana" w:cs="Verdana"/>
                <w:b/>
                <w:noProof/>
                <w:color w:val="000000"/>
                <w:sz w:val="18"/>
              </w:rPr>
            </w:pPr>
            <w:r>
              <w:rPr>
                <w:rFonts w:ascii="Verdana" w:hAnsi="Verdana"/>
                <w:b/>
                <w:noProof/>
                <w:color w:val="000000"/>
                <w:sz w:val="18"/>
              </w:rPr>
              <w:t>12 762</w:t>
            </w:r>
          </w:p>
        </w:tc>
      </w:tr>
      <w:tr>
        <w:trPr>
          <w:trHeight w:val="255"/>
        </w:trPr>
        <w:tc>
          <w:tcPr>
            <w:tcW w:w="3307" w:type="dxa"/>
            <w:tcBorders>
              <w:top w:val="single" w:sz="4" w:space="0" w:color="016794"/>
              <w:left w:val="nil"/>
              <w:bottom w:val="nil"/>
              <w:right w:val="nil"/>
              <w:tl2br w:val="nil"/>
              <w:tr2bl w:val="nil"/>
            </w:tcBorders>
            <w:tcMar>
              <w:left w:w="60" w:type="dxa"/>
              <w:right w:w="60" w:type="dxa"/>
            </w:tcMar>
            <w:vAlign w:val="center"/>
          </w:tcPr>
          <w:p>
            <w:pPr>
              <w:pStyle w:val="DMETW36745BIPUKWA"/>
              <w:rPr>
                <w:rFonts w:ascii="Verdana" w:eastAsia="Verdana" w:hAnsi="Verdana" w:cs="Verdana"/>
                <w:i/>
                <w:noProof/>
                <w:color w:val="016794"/>
                <w:sz w:val="18"/>
              </w:rPr>
            </w:pPr>
            <w:r>
              <w:rPr>
                <w:rFonts w:ascii="Verdana" w:hAnsi="Verdana"/>
                <w:i/>
                <w:noProof/>
                <w:color w:val="016794"/>
                <w:sz w:val="18"/>
              </w:rPr>
              <w:t>Non courants</w:t>
            </w:r>
          </w:p>
        </w:tc>
        <w:tc>
          <w:tcPr>
            <w:tcW w:w="1293" w:type="dxa"/>
            <w:tcBorders>
              <w:top w:val="single" w:sz="4" w:space="0" w:color="016794"/>
              <w:left w:val="nil"/>
              <w:bottom w:val="nil"/>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16794"/>
                <w:sz w:val="18"/>
              </w:rPr>
            </w:pPr>
            <w:r>
              <w:rPr>
                <w:rFonts w:ascii="Verdana" w:hAnsi="Verdana"/>
                <w:i/>
                <w:noProof/>
                <w:color w:val="016794"/>
                <w:sz w:val="18"/>
              </w:rPr>
              <w:t>1 928</w:t>
            </w:r>
          </w:p>
        </w:tc>
        <w:tc>
          <w:tcPr>
            <w:tcW w:w="1293" w:type="dxa"/>
            <w:tcBorders>
              <w:top w:val="single" w:sz="4" w:space="0" w:color="016794"/>
              <w:left w:val="nil"/>
              <w:bottom w:val="nil"/>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16794"/>
                <w:sz w:val="18"/>
              </w:rPr>
            </w:pPr>
            <w:r>
              <w:rPr>
                <w:rFonts w:ascii="Verdana" w:hAnsi="Verdana"/>
                <w:i/>
                <w:noProof/>
                <w:color w:val="016794"/>
                <w:sz w:val="18"/>
              </w:rPr>
              <w:t>9 244</w:t>
            </w:r>
          </w:p>
        </w:tc>
        <w:tc>
          <w:tcPr>
            <w:tcW w:w="1293" w:type="dxa"/>
            <w:tcBorders>
              <w:top w:val="single" w:sz="4" w:space="0" w:color="016794"/>
              <w:left w:val="nil"/>
              <w:bottom w:val="nil"/>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16794"/>
                <w:sz w:val="18"/>
              </w:rPr>
            </w:pPr>
            <w:r>
              <w:rPr>
                <w:rFonts w:ascii="Verdana" w:hAnsi="Verdana"/>
                <w:i/>
                <w:noProof/>
                <w:color w:val="016794"/>
                <w:sz w:val="18"/>
              </w:rPr>
              <w:t xml:space="preserve"> (915)</w:t>
            </w:r>
          </w:p>
        </w:tc>
        <w:tc>
          <w:tcPr>
            <w:tcW w:w="1290" w:type="dxa"/>
            <w:tcBorders>
              <w:top w:val="single" w:sz="4" w:space="0" w:color="016794"/>
              <w:left w:val="nil"/>
              <w:bottom w:val="nil"/>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16794"/>
                <w:sz w:val="18"/>
              </w:rPr>
            </w:pPr>
            <w:r>
              <w:rPr>
                <w:rFonts w:ascii="Verdana" w:hAnsi="Verdana"/>
                <w:i/>
                <w:noProof/>
                <w:color w:val="016794"/>
                <w:sz w:val="18"/>
              </w:rPr>
              <w:t>10 256</w:t>
            </w:r>
          </w:p>
        </w:tc>
        <w:tc>
          <w:tcPr>
            <w:tcW w:w="1283" w:type="dxa"/>
            <w:tcBorders>
              <w:top w:val="single" w:sz="4" w:space="0" w:color="016794"/>
              <w:left w:val="nil"/>
              <w:bottom w:val="nil"/>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16794"/>
                <w:sz w:val="18"/>
              </w:rPr>
            </w:pPr>
            <w:r>
              <w:rPr>
                <w:rFonts w:ascii="Verdana" w:hAnsi="Verdana"/>
                <w:i/>
                <w:noProof/>
                <w:color w:val="016794"/>
                <w:sz w:val="18"/>
              </w:rPr>
              <w:t>11 231</w:t>
            </w:r>
          </w:p>
        </w:tc>
      </w:tr>
      <w:tr>
        <w:trPr>
          <w:trHeight w:val="255"/>
        </w:trPr>
        <w:tc>
          <w:tcPr>
            <w:tcW w:w="3307" w:type="dxa"/>
            <w:tcBorders>
              <w:top w:val="nil"/>
              <w:left w:val="nil"/>
              <w:bottom w:val="nil"/>
              <w:right w:val="nil"/>
              <w:tl2br w:val="nil"/>
              <w:tr2bl w:val="nil"/>
            </w:tcBorders>
            <w:tcMar>
              <w:left w:w="60" w:type="dxa"/>
              <w:right w:w="60" w:type="dxa"/>
            </w:tcMar>
            <w:vAlign w:val="center"/>
          </w:tcPr>
          <w:p>
            <w:pPr>
              <w:pStyle w:val="DMETW36745BIPUKWA"/>
              <w:rPr>
                <w:rFonts w:ascii="Verdana" w:eastAsia="Verdana" w:hAnsi="Verdana" w:cs="Verdana"/>
                <w:i/>
                <w:noProof/>
                <w:color w:val="016794"/>
                <w:sz w:val="18"/>
              </w:rPr>
            </w:pPr>
            <w:r>
              <w:rPr>
                <w:rFonts w:ascii="Verdana" w:hAnsi="Verdana"/>
                <w:i/>
                <w:noProof/>
                <w:color w:val="016794"/>
                <w:sz w:val="18"/>
              </w:rPr>
              <w:t>Courants</w:t>
            </w:r>
          </w:p>
        </w:tc>
        <w:tc>
          <w:tcPr>
            <w:tcW w:w="1293" w:type="dxa"/>
            <w:tcBorders>
              <w:top w:val="nil"/>
              <w:left w:val="nil"/>
              <w:bottom w:val="nil"/>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16794"/>
                <w:sz w:val="18"/>
              </w:rPr>
            </w:pPr>
            <w:r>
              <w:rPr>
                <w:rFonts w:ascii="Verdana" w:hAnsi="Verdana"/>
                <w:i/>
                <w:noProof/>
                <w:color w:val="016794"/>
                <w:sz w:val="18"/>
              </w:rPr>
              <w:t xml:space="preserve"> 399</w:t>
            </w:r>
          </w:p>
        </w:tc>
        <w:tc>
          <w:tcPr>
            <w:tcW w:w="1293" w:type="dxa"/>
            <w:tcBorders>
              <w:top w:val="nil"/>
              <w:left w:val="nil"/>
              <w:bottom w:val="nil"/>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16794"/>
                <w:sz w:val="18"/>
              </w:rPr>
            </w:pPr>
            <w:r>
              <w:rPr>
                <w:rFonts w:ascii="Verdana" w:hAnsi="Verdana"/>
                <w:i/>
                <w:noProof/>
                <w:color w:val="016794"/>
                <w:sz w:val="18"/>
              </w:rPr>
              <w:t xml:space="preserve"> 355</w:t>
            </w:r>
          </w:p>
        </w:tc>
        <w:tc>
          <w:tcPr>
            <w:tcW w:w="1293" w:type="dxa"/>
            <w:tcBorders>
              <w:top w:val="nil"/>
              <w:left w:val="nil"/>
              <w:bottom w:val="nil"/>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16794"/>
                <w:sz w:val="18"/>
              </w:rPr>
            </w:pPr>
            <w:r>
              <w:rPr>
                <w:rFonts w:ascii="Verdana" w:hAnsi="Verdana"/>
                <w:i/>
                <w:noProof/>
                <w:color w:val="016794"/>
                <w:sz w:val="18"/>
              </w:rPr>
              <w:t xml:space="preserve"> (250)</w:t>
            </w:r>
          </w:p>
        </w:tc>
        <w:tc>
          <w:tcPr>
            <w:tcW w:w="1290" w:type="dxa"/>
            <w:tcBorders>
              <w:top w:val="nil"/>
              <w:left w:val="nil"/>
              <w:bottom w:val="nil"/>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16794"/>
                <w:sz w:val="18"/>
              </w:rPr>
            </w:pPr>
            <w:r>
              <w:rPr>
                <w:rFonts w:ascii="Verdana" w:hAnsi="Verdana"/>
                <w:i/>
                <w:noProof/>
                <w:color w:val="016794"/>
                <w:sz w:val="18"/>
              </w:rPr>
              <w:t xml:space="preserve"> 505</w:t>
            </w:r>
          </w:p>
        </w:tc>
        <w:tc>
          <w:tcPr>
            <w:tcW w:w="1283" w:type="dxa"/>
            <w:tcBorders>
              <w:top w:val="nil"/>
              <w:left w:val="nil"/>
              <w:bottom w:val="nil"/>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16794"/>
                <w:sz w:val="18"/>
              </w:rPr>
            </w:pPr>
            <w:r>
              <w:rPr>
                <w:rFonts w:ascii="Verdana" w:hAnsi="Verdana"/>
                <w:i/>
                <w:noProof/>
                <w:color w:val="016794"/>
                <w:sz w:val="18"/>
              </w:rPr>
              <w:t>1 530</w:t>
            </w:r>
          </w:p>
        </w:tc>
      </w:tr>
    </w:tbl>
    <w:p>
      <w:pPr>
        <w:pStyle w:val="DGTextstand-alone"/>
      </w:pPr>
      <w:r>
        <w:t>Au 31 décembre 2025, la créance nette à recevoir du Royaume-Uni sur la base des obligations découlant des dispositions financières de l’accord de retrait s’élevait à 10 761 millions d’EUR (contre 12 762 millions d’EUR en 2024). Les principaux éléments de cette créance comprennent les obligations du Royaume-Uni au titre de l’article 142, relatives aux passifs de l’UE liés aux avantages postérieurs à l’emploi (9 599 millions d’EUR), et de l’article 140, relatives aux engagements budgétaires restant à liquider (2 327 millions d’EUR).</w:t>
      </w:r>
    </w:p>
    <w:p>
      <w:pPr>
        <w:rPr>
          <w:rFonts w:ascii="Verdana" w:hAnsi="Verdana"/>
          <w:noProof/>
          <w:sz w:val="18"/>
          <w:szCs w:val="18"/>
        </w:rPr>
      </w:pPr>
      <w:r>
        <w:rPr>
          <w:noProof/>
        </w:rPr>
        <w:br w:type="page"/>
      </w:r>
    </w:p>
    <w:p>
      <w:pPr>
        <w:pStyle w:val="HEADER1Part4"/>
        <w:rPr>
          <w:noProof/>
        </w:rPr>
      </w:pPr>
      <w:bookmarkStart w:id="33" w:name="_Toc237348539"/>
      <w:r>
        <w:rPr>
          <w:noProof/>
        </w:rPr>
        <w:lastRenderedPageBreak/>
        <w:t>PASSIF ÉVENTUEL AU BUDGET</w:t>
      </w:r>
      <w:bookmarkEnd w:id="33"/>
    </w:p>
    <w:p>
      <w:pPr>
        <w:pStyle w:val="DGTextstand-alone"/>
      </w:pPr>
      <w:bookmarkStart w:id="34" w:name="_Hlk162268944"/>
      <w:r>
        <w:t>Ces dernières années, l’UE a de plus en plus souvent eu recours à des instruments financiers (tels que des prêts, des garanties et des investissements en fonds propres) pour mettre en œuvre ses politiques et poursuivre ses objectifs. Par exemple, les prêts accordés par l’UE à ses États membres ou à ses pays partenaires visent à rétablir la stabilité financière ou à favoriser la reprise économique après une situation de crise. Le principal objectif des programmes de garantie de l’UE est de stimuler les</w:t>
      </w:r>
      <w:bookmarkStart w:id="35" w:name="_Hlk225521922"/>
      <w:r>
        <w:t xml:space="preserve"> investissements et d’améliorer l’accès au financement afin de remédier aux défaillances du marché dans les principaux domaines d’action.</w:t>
      </w:r>
    </w:p>
    <w:p>
      <w:pPr>
        <w:pStyle w:val="DGTextstand-alone"/>
      </w:pPr>
      <w:r>
        <w:t>Lorsque l’UE fournit un soutien sous la forme de garanties, elle espère stimuler les investissements à hauteur d’un multiple de ses contributions budgétaires en mobilisant le soutien d’autres institutions financières et d’autres investisseurs.</w:t>
      </w:r>
    </w:p>
    <w:p>
      <w:pPr>
        <w:pStyle w:val="DGTextstand-alone"/>
      </w:pPr>
      <w:r>
        <w:t>Lors de l’octroi de prêts à des pays tiers ou de l’émission de garanties, le budget de l’UE peut subir des pertes lorsque se produisent des événements qui ne sont pas entièrement sous le contrôle de l’UE. Étant donné que les pertes dues à un non-remboursement par les bénéficiaires finals ne se concrétiseront vraisemblablement pas toutes, les actifs détenus par l’UE ne sont pas destinés à couvrir l’intégralité de ces passifs potentiels</w:t>
      </w:r>
      <w:r>
        <w:rPr>
          <w:rStyle w:val="FootnoteReference"/>
        </w:rPr>
        <w:footnoteReference w:id="4"/>
      </w:r>
      <w:r>
        <w:t xml:space="preserve">, mais seulement les pertes attendues ainsi qu’un coussin de sécurité suffisant pour faire face à des pertes imprévues. Néanmoins, si les pertes devaient dépasser les montants provisionnés, elles seraient couvertes par les États membres dans le cadre des futurs budgets de l’UE. En ce sens, les prêts et les garanties budgétaires créent des «passifs éventuels au budget» pour le budget de l’UE. </w:t>
      </w:r>
    </w:p>
    <w:bookmarkEnd w:id="35"/>
    <w:p>
      <w:pPr>
        <w:pStyle w:val="DGTextstand-alone"/>
      </w:pPr>
      <w:r>
        <w:t>L’UE contrôle régulièrement la viabilité de ses passifs éventuels et l’adéquation des actifs provisionnés détenus dans le fonds commun de provisionnement (FCP)</w:t>
      </w:r>
      <w:r>
        <w:rPr>
          <w:rStyle w:val="FootnoteReference"/>
        </w:rPr>
        <w:footnoteReference w:id="5"/>
      </w:r>
      <w:r>
        <w:t xml:space="preserve"> (voir section </w:t>
      </w:r>
      <w:r>
        <w:rPr>
          <w:b/>
          <w:bCs/>
        </w:rPr>
        <w:t>5.3</w:t>
      </w:r>
      <w:r>
        <w:t xml:space="preserve"> ci-dessous).</w:t>
      </w:r>
    </w:p>
    <w:p>
      <w:pPr>
        <w:pStyle w:val="DGTextstand-alone"/>
      </w:pPr>
      <w:bookmarkStart w:id="36" w:name="_Hlk162351686"/>
      <w:r>
        <w:t>À la fin de 2025, les passifs éventuels au budget de l’UE s’élevaient à 475,7 milliards d’EUR, dont 363,1 milliards d’EUR liés à l’encours des prêts aux emprunteurs souverains (359,4 milliards d’EUR en valeur nominale et 3,7 milliards d’EUR d’intérêts courus) et 112,6 milliards d’EUR liés aux montants maximaux (plafonds) des garanties émises. Quant aux prêts, 286,1 milliards d’EUR concernaient des prêts aux États membres et 77,0 milliards d’EUR des prêts aux pays tiers. Les actifs provisionnés pour les prêts aux pays tiers et pour les garanties s’élevaient à 27,4 milliards d’EUR.</w:t>
      </w:r>
    </w:p>
    <w:bookmarkEnd w:id="36"/>
    <w:p>
      <w:pPr>
        <w:pStyle w:val="DGTextstand-alone"/>
      </w:pPr>
      <w:r>
        <w:t>L’UE contracte également d’autres passifs, qui n’ont pas de caractère éventuel, mais qui, en raison de leur nature à long terme, ne seront financés par les États membres que dans le cadre des futurs budgets. Cela concerne principalement la charge des pensions (91,1 milliards d’EUR au 31 décembre 2025) ainsi que les emprunts dans le cadre du financement unifié qui ont financé les subventions octroyées au titre de la FRR/REPowerEU et certains autres programmes relevant du CFP (312,9 milliards d’EUR au 31 décembre 2025, voir sections </w:t>
      </w:r>
      <w:r>
        <w:rPr>
          <w:b/>
          <w:bCs/>
        </w:rPr>
        <w:t>3.2</w:t>
      </w:r>
      <w:r>
        <w:t xml:space="preserve"> et </w:t>
      </w:r>
      <w:r>
        <w:rPr>
          <w:b/>
          <w:bCs/>
        </w:rPr>
        <w:t>3.4</w:t>
      </w:r>
      <w:r>
        <w:t>).</w:t>
      </w:r>
      <w:bookmarkEnd w:id="34"/>
    </w:p>
    <w:p>
      <w:pPr>
        <w:pStyle w:val="HEADER2Part4"/>
      </w:pPr>
      <w:bookmarkStart w:id="37" w:name="_Toc237348540"/>
      <w:r>
        <w:t>Emprunts et prêts</w:t>
      </w:r>
      <w:bookmarkEnd w:id="37"/>
    </w:p>
    <w:p>
      <w:pPr>
        <w:pStyle w:val="HEADER3Part4"/>
        <w:rPr>
          <w:noProof/>
        </w:rPr>
      </w:pPr>
      <w:r>
        <w:rPr>
          <w:noProof/>
        </w:rPr>
        <w:t>Emprunts</w:t>
      </w:r>
    </w:p>
    <w:p>
      <w:pPr>
        <w:pStyle w:val="DGTextstand-alone"/>
        <w:rPr>
          <w:color w:val="016794"/>
        </w:rPr>
      </w:pPr>
      <w:r>
        <w:t>L’Union emprunte en émettant des titres sur les marchés internationaux des capitaux. Le budget de l’UE garantit, en dernier recours, tous les emprunts de la Commission. Jusqu’en 2020, les emprunts n’étaient utilisés que pour financer des activités de prêt (voir section </w:t>
      </w:r>
      <w:r>
        <w:rPr>
          <w:b/>
        </w:rPr>
        <w:t>5.1.2</w:t>
      </w:r>
      <w:r>
        <w:t>). Depuis l’introduction de l’instrument NextGenerationEU, les emprunts sont également utilisés pour financer un soutien non remboursable dans le cadre de la FRR/REPowerEU (voir section </w:t>
      </w:r>
      <w:r>
        <w:rPr>
          <w:b/>
          <w:bCs/>
        </w:rPr>
        <w:t>3.2</w:t>
      </w:r>
      <w:r>
        <w:t>).</w:t>
      </w:r>
    </w:p>
    <w:p>
      <w:pPr>
        <w:rPr>
          <w:rFonts w:ascii="Verdana" w:hAnsi="Verdana"/>
          <w:noProof/>
          <w:color w:val="016794"/>
          <w:sz w:val="18"/>
          <w:szCs w:val="18"/>
        </w:rPr>
      </w:pPr>
      <w:r>
        <w:rPr>
          <w:noProof/>
        </w:rPr>
        <w:br w:type="page"/>
      </w:r>
    </w:p>
    <w:p>
      <w:pPr>
        <w:pStyle w:val="DGTextstand-alone"/>
        <w:rPr>
          <w:color w:val="016794"/>
        </w:rPr>
      </w:pPr>
      <w:r>
        <w:rPr>
          <w:color w:val="016794"/>
        </w:rPr>
        <w:lastRenderedPageBreak/>
        <w:t>L’approche de financement</w:t>
      </w:r>
    </w:p>
    <w:p>
      <w:pPr>
        <w:pStyle w:val="DGTextstand-alone"/>
        <w:jc w:val="center"/>
      </w:pPr>
      <w:r>
        <w:drawing>
          <wp:inline distT="0" distB="0" distL="0" distR="0">
            <wp:extent cx="6120765" cy="3641725"/>
            <wp:effectExtent l="0" t="0" r="0" b="0"/>
            <wp:docPr id="10509577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957773" name=""/>
                    <pic:cNvPicPr/>
                  </pic:nvPicPr>
                  <pic:blipFill>
                    <a:blip r:embed="rId37"/>
                    <a:stretch>
                      <a:fillRect/>
                    </a:stretch>
                  </pic:blipFill>
                  <pic:spPr>
                    <a:xfrm>
                      <a:off x="0" y="0"/>
                      <a:ext cx="6120765" cy="3641725"/>
                    </a:xfrm>
                    <a:prstGeom prst="rect">
                      <a:avLst/>
                    </a:prstGeom>
                  </pic:spPr>
                </pic:pic>
              </a:graphicData>
            </a:graphic>
          </wp:inline>
        </w:drawing>
      </w:r>
    </w:p>
    <w:p>
      <w:pPr>
        <w:pStyle w:val="DGTextstand-alone"/>
      </w:pPr>
      <w:r>
        <w:t>Jusqu’en 2020, la Commission fonctionnait sur une base réciproque (approche «back-to-back»), en émettant une obligation spécifique pour financer un accord de prêt spécifique. Elle transférait l’argent directement au pays bénéficiaire dans les mêmes conditions (taux d’intérêt, échéance). Le calendrier, le volume et l’échéance des émissions d’obligations étaient entièrement conditionnés par les besoins du bénéficiaire.</w:t>
      </w:r>
    </w:p>
    <w:p>
      <w:pPr>
        <w:pStyle w:val="Textstand-alone"/>
        <w:rPr>
          <w:szCs w:val="24"/>
        </w:rPr>
      </w:pPr>
      <w:r>
        <w:t>Pour l’instrument NextGenerationEU, la Commission utilise une stratégie de financement diversifiée et combinée dans le cadre de laquelle les emprunts ne financent pas directement des décaissements spécifiques. Au lieu de cela, les créances sont émises selon des plans de financement semestriels, avec des obligations à long terme et des titres de créance à court terme. Pour émettre ces titres, la Commission a recours à des adjudications et à des opérations syndiquées. Elle répercute ensuite les coûts, conformément à la méthode de répartition des coûts convenue avec les États membres</w:t>
      </w:r>
      <w:r>
        <w:rPr>
          <w:rStyle w:val="FootnoteReference"/>
          <w:szCs w:val="24"/>
        </w:rPr>
        <w:footnoteReference w:id="6"/>
      </w:r>
      <w:r>
        <w:t>, sur les bénéficiaires pour les prêts et sur le budget de l’UE pour le soutien non remboursable. Cette stratégie de financement combinée permet des opérations d’emprunt et de prêt plus souples et cohérentes. Elle permet également de réduire les coûts de financement et de concevoir un meilleur cadre de risque et de conformité. Cette flexibilité de financement nécessite également un coussin de liquidité afin d’assurer une gestion efficace de la liquidité.</w:t>
      </w:r>
    </w:p>
    <w:p>
      <w:pPr>
        <w:pStyle w:val="Textstand-alone"/>
      </w:pPr>
      <w:r>
        <w:t>Conformément au règlement (UE, Euratom) 2022/2434 du Parlement européen et du Conseil</w:t>
      </w:r>
      <w:r>
        <w:rPr>
          <w:rStyle w:val="FootnoteReference"/>
        </w:rPr>
        <w:footnoteReference w:id="7"/>
      </w:r>
      <w:r>
        <w:t xml:space="preserve"> de décembre 2022, la Commission peut utiliser cette approche pour tous les emprunts futurs. Ainsi, l’instrument d’assistance macrofinancière (AMF) + en faveur de l’Ukraine, la facilité pour l’Ukraine et d’autres programmes de prêt pourront bénéficier de cette gestion souple et rentable de la dette, créant une approche unifiée en matière de financement pour tous les emprunts de l’UE. </w:t>
      </w:r>
    </w:p>
    <w:p>
      <w:pPr>
        <w:pStyle w:val="DGTextstand-alone"/>
        <w:spacing w:after="120"/>
        <w:rPr>
          <w:rFonts w:ascii="Arial" w:hAnsi="Arial" w:cs="Arial"/>
          <w:color w:val="404040"/>
        </w:rPr>
      </w:pPr>
      <w:bookmarkStart w:id="38" w:name="_Hlk225514343"/>
      <w:r>
        <w:t xml:space="preserve">L’encours des emprunts de l’UE a augmenté pour atteindre un montant total de 738,9 milliards d’EUR au 31 décembre 2025. </w:t>
      </w:r>
      <w:bookmarkEnd w:id="38"/>
      <w:r>
        <w:t>Ce montant comprend 78,5 milliards d’EUR d’obligations vertes NextGenerationEU. Ces émissions sont étayées par le cadre régissant ces obligations, qui est aligné sur les principes applicables aux obligations vertes définis par l’association internationale des marchés de capitaux (ICMA)</w:t>
      </w:r>
      <w:r>
        <w:rPr>
          <w:rStyle w:val="FootnoteReference"/>
        </w:rPr>
        <w:footnoteReference w:id="8"/>
      </w:r>
      <w:r>
        <w:t xml:space="preserve">. Les fonds levés au moyen d’obligations vertes NextGenerationEU financent des mesures liées au </w:t>
      </w:r>
      <w:r>
        <w:lastRenderedPageBreak/>
        <w:t>climat des plans nationaux pour la reprise et la résilience (PRR) au titre de la facilité pour la reprise et la résilience (FRR).</w:t>
      </w:r>
    </w:p>
    <w:p>
      <w:pPr>
        <w:pStyle w:val="DGTextstand-alone"/>
        <w:spacing w:after="360"/>
      </w:pPr>
      <w:r>
        <w:t>Le tableau figurant ci-dessous présente l’échéancier de remboursement de l’encours des emprunts de l’UE (valeur nominale en milliards d’EUR) au 31 décembre 2025:</w:t>
      </w:r>
    </w:p>
    <w:p>
      <w:pPr>
        <w:rPr>
          <w:rFonts w:ascii="Verdana" w:hAnsi="Verdana"/>
          <w:noProof/>
          <w:sz w:val="18"/>
          <w:szCs w:val="18"/>
        </w:rPr>
      </w:pPr>
    </w:p>
    <w:tbl>
      <w:tblPr>
        <w:tblW w:w="4945" w:type="pct"/>
        <w:tblInd w:w="108" w:type="dxa"/>
        <w:tblLook w:val="04A0" w:firstRow="1" w:lastRow="0" w:firstColumn="1" w:lastColumn="0" w:noHBand="0" w:noVBand="1"/>
      </w:tblPr>
      <w:tblGrid>
        <w:gridCol w:w="993"/>
        <w:gridCol w:w="1843"/>
        <w:gridCol w:w="1403"/>
        <w:gridCol w:w="1205"/>
        <w:gridCol w:w="1401"/>
        <w:gridCol w:w="1382"/>
        <w:gridCol w:w="1520"/>
      </w:tblGrid>
      <w:tr>
        <w:trPr>
          <w:trHeight w:val="247"/>
        </w:trPr>
        <w:tc>
          <w:tcPr>
            <w:tcW w:w="993" w:type="dxa"/>
            <w:tcBorders>
              <w:top w:val="nil"/>
              <w:left w:val="nil"/>
              <w:bottom w:val="nil"/>
              <w:right w:val="nil"/>
            </w:tcBorders>
            <w:noWrap/>
            <w:vAlign w:val="bottom"/>
            <w:hideMark/>
          </w:tcPr>
          <w:p>
            <w:pPr>
              <w:rPr>
                <w:rFonts w:ascii="Verdana" w:hAnsi="Verdana"/>
                <w:noProof/>
                <w:sz w:val="18"/>
                <w:szCs w:val="18"/>
              </w:rPr>
            </w:pPr>
          </w:p>
        </w:tc>
        <w:tc>
          <w:tcPr>
            <w:tcW w:w="1843" w:type="dxa"/>
            <w:tcBorders>
              <w:top w:val="nil"/>
              <w:left w:val="nil"/>
              <w:bottom w:val="nil"/>
              <w:right w:val="nil"/>
            </w:tcBorders>
            <w:shd w:val="clear" w:color="000000" w:fill="0099FF"/>
            <w:noWrap/>
            <w:vAlign w:val="center"/>
            <w:hideMark/>
          </w:tcPr>
          <w:p>
            <w:pPr>
              <w:jc w:val="center"/>
              <w:rPr>
                <w:rFonts w:ascii="Verdana" w:hAnsi="Verdana" w:cs="Calibri"/>
                <w:b/>
                <w:bCs/>
                <w:noProof/>
                <w:color w:val="FFFFFF"/>
                <w:sz w:val="18"/>
                <w:szCs w:val="18"/>
              </w:rPr>
            </w:pPr>
            <w:r>
              <w:rPr>
                <w:rFonts w:ascii="Verdana" w:hAnsi="Verdana"/>
                <w:b/>
                <w:noProof/>
                <w:color w:val="FFFFFF"/>
                <w:sz w:val="18"/>
              </w:rPr>
              <w:t xml:space="preserve">FINANCEMENT </w:t>
            </w:r>
          </w:p>
        </w:tc>
        <w:tc>
          <w:tcPr>
            <w:tcW w:w="5391" w:type="dxa"/>
            <w:gridSpan w:val="4"/>
            <w:tcBorders>
              <w:top w:val="nil"/>
              <w:left w:val="nil"/>
              <w:bottom w:val="nil"/>
              <w:right w:val="nil"/>
            </w:tcBorders>
            <w:shd w:val="clear" w:color="000000" w:fill="C00000"/>
            <w:noWrap/>
            <w:vAlign w:val="bottom"/>
            <w:hideMark/>
          </w:tcPr>
          <w:p>
            <w:pPr>
              <w:jc w:val="center"/>
              <w:rPr>
                <w:rFonts w:ascii="Verdana" w:hAnsi="Verdana" w:cs="Calibri"/>
                <w:b/>
                <w:bCs/>
                <w:noProof/>
                <w:color w:val="FFFFFF"/>
                <w:sz w:val="18"/>
                <w:szCs w:val="18"/>
                <w:lang w:val="en-IE"/>
              </w:rPr>
            </w:pPr>
            <w:r>
              <w:rPr>
                <w:rFonts w:ascii="Verdana" w:hAnsi="Verdana"/>
                <w:b/>
                <w:noProof/>
                <w:color w:val="FFFFFF"/>
                <w:sz w:val="18"/>
                <w:lang w:val="en-IE"/>
              </w:rPr>
              <w:t>EMPRUNTS RÉCIPROQUES («back-to-back»)</w:t>
            </w:r>
          </w:p>
        </w:tc>
        <w:tc>
          <w:tcPr>
            <w:tcW w:w="1520" w:type="dxa"/>
            <w:vMerge w:val="restart"/>
            <w:tcBorders>
              <w:top w:val="nil"/>
              <w:left w:val="nil"/>
              <w:bottom w:val="nil"/>
              <w:right w:val="nil"/>
            </w:tcBorders>
            <w:shd w:val="clear" w:color="000000" w:fill="A9D08E"/>
            <w:noWrap/>
            <w:vAlign w:val="center"/>
            <w:hideMark/>
          </w:tcPr>
          <w:p>
            <w:pPr>
              <w:jc w:val="center"/>
              <w:rPr>
                <w:rFonts w:ascii="Verdana" w:hAnsi="Verdana" w:cs="Calibri"/>
                <w:b/>
                <w:bCs/>
                <w:noProof/>
                <w:color w:val="FFFFFF"/>
                <w:sz w:val="18"/>
                <w:szCs w:val="18"/>
              </w:rPr>
            </w:pPr>
            <w:r>
              <w:rPr>
                <w:rFonts w:ascii="Verdana" w:hAnsi="Verdana"/>
                <w:b/>
                <w:noProof/>
                <w:color w:val="FFFFFF"/>
                <w:sz w:val="18"/>
              </w:rPr>
              <w:t>TOTAL</w:t>
            </w:r>
          </w:p>
        </w:tc>
      </w:tr>
      <w:tr>
        <w:trPr>
          <w:trHeight w:val="247"/>
        </w:trPr>
        <w:tc>
          <w:tcPr>
            <w:tcW w:w="993" w:type="dxa"/>
            <w:tcBorders>
              <w:top w:val="nil"/>
              <w:left w:val="nil"/>
              <w:bottom w:val="nil"/>
              <w:right w:val="nil"/>
            </w:tcBorders>
            <w:vAlign w:val="center"/>
            <w:hideMark/>
          </w:tcPr>
          <w:p>
            <w:pPr>
              <w:jc w:val="center"/>
              <w:rPr>
                <w:rFonts w:ascii="Verdana" w:hAnsi="Verdana" w:cs="Calibri"/>
                <w:b/>
                <w:bCs/>
                <w:noProof/>
                <w:color w:val="FFFFFF"/>
                <w:sz w:val="18"/>
                <w:szCs w:val="18"/>
              </w:rPr>
            </w:pPr>
          </w:p>
        </w:tc>
        <w:tc>
          <w:tcPr>
            <w:tcW w:w="1843" w:type="dxa"/>
            <w:tcBorders>
              <w:top w:val="nil"/>
              <w:left w:val="nil"/>
              <w:bottom w:val="nil"/>
              <w:right w:val="nil"/>
            </w:tcBorders>
            <w:shd w:val="clear" w:color="000000" w:fill="0099FF"/>
            <w:noWrap/>
            <w:vAlign w:val="center"/>
            <w:hideMark/>
          </w:tcPr>
          <w:p>
            <w:pPr>
              <w:jc w:val="center"/>
              <w:rPr>
                <w:rFonts w:ascii="Verdana" w:hAnsi="Verdana" w:cs="Calibri"/>
                <w:b/>
                <w:bCs/>
                <w:noProof/>
                <w:color w:val="FFFFFF"/>
                <w:sz w:val="18"/>
                <w:szCs w:val="18"/>
              </w:rPr>
            </w:pPr>
            <w:r>
              <w:rPr>
                <w:rFonts w:ascii="Verdana" w:hAnsi="Verdana"/>
                <w:b/>
                <w:noProof/>
                <w:color w:val="FFFFFF"/>
                <w:sz w:val="18"/>
              </w:rPr>
              <w:t>UNIFIÉ</w:t>
            </w:r>
          </w:p>
        </w:tc>
        <w:tc>
          <w:tcPr>
            <w:tcW w:w="1403" w:type="dxa"/>
            <w:tcBorders>
              <w:top w:val="nil"/>
              <w:left w:val="nil"/>
              <w:bottom w:val="nil"/>
              <w:right w:val="nil"/>
            </w:tcBorders>
            <w:shd w:val="clear" w:color="000000" w:fill="F4B084"/>
            <w:noWrap/>
            <w:vAlign w:val="center"/>
            <w:hideMark/>
          </w:tcPr>
          <w:p>
            <w:pPr>
              <w:jc w:val="center"/>
              <w:rPr>
                <w:rFonts w:ascii="Verdana" w:hAnsi="Verdana" w:cs="Calibri"/>
                <w:b/>
                <w:bCs/>
                <w:noProof/>
                <w:color w:val="FFFFFF"/>
                <w:sz w:val="18"/>
                <w:szCs w:val="18"/>
              </w:rPr>
            </w:pPr>
            <w:r>
              <w:rPr>
                <w:rFonts w:ascii="Verdana" w:hAnsi="Verdana"/>
                <w:b/>
                <w:noProof/>
                <w:color w:val="FFFFFF"/>
                <w:sz w:val="18"/>
              </w:rPr>
              <w:t>SURE</w:t>
            </w:r>
          </w:p>
        </w:tc>
        <w:tc>
          <w:tcPr>
            <w:tcW w:w="1205" w:type="dxa"/>
            <w:tcBorders>
              <w:top w:val="nil"/>
              <w:left w:val="nil"/>
              <w:bottom w:val="nil"/>
              <w:right w:val="nil"/>
            </w:tcBorders>
            <w:shd w:val="clear" w:color="000000" w:fill="FFD966"/>
            <w:noWrap/>
            <w:vAlign w:val="center"/>
            <w:hideMark/>
          </w:tcPr>
          <w:p>
            <w:pPr>
              <w:jc w:val="center"/>
              <w:rPr>
                <w:rFonts w:ascii="Verdana" w:hAnsi="Verdana" w:cs="Calibri"/>
                <w:b/>
                <w:bCs/>
                <w:noProof/>
                <w:color w:val="FFFFFF"/>
                <w:sz w:val="18"/>
                <w:szCs w:val="18"/>
              </w:rPr>
            </w:pPr>
            <w:r>
              <w:rPr>
                <w:rFonts w:ascii="Verdana" w:hAnsi="Verdana"/>
                <w:b/>
                <w:noProof/>
                <w:color w:val="FFFFFF"/>
                <w:sz w:val="18"/>
              </w:rPr>
              <w:t>MESF</w:t>
            </w:r>
          </w:p>
        </w:tc>
        <w:tc>
          <w:tcPr>
            <w:tcW w:w="1401" w:type="dxa"/>
            <w:tcBorders>
              <w:top w:val="nil"/>
              <w:left w:val="nil"/>
              <w:bottom w:val="nil"/>
              <w:right w:val="nil"/>
            </w:tcBorders>
            <w:shd w:val="clear" w:color="000000" w:fill="C9C9C9"/>
            <w:noWrap/>
            <w:vAlign w:val="center"/>
            <w:hideMark/>
          </w:tcPr>
          <w:p>
            <w:pPr>
              <w:jc w:val="center"/>
              <w:rPr>
                <w:rFonts w:ascii="Verdana" w:hAnsi="Verdana" w:cs="Calibri"/>
                <w:b/>
                <w:bCs/>
                <w:noProof/>
                <w:color w:val="FFFFFF"/>
                <w:sz w:val="18"/>
                <w:szCs w:val="18"/>
              </w:rPr>
            </w:pPr>
            <w:r>
              <w:rPr>
                <w:rFonts w:ascii="Verdana" w:hAnsi="Verdana"/>
                <w:b/>
                <w:noProof/>
                <w:color w:val="FFFFFF"/>
                <w:sz w:val="18"/>
              </w:rPr>
              <w:t>AMF</w:t>
            </w:r>
          </w:p>
        </w:tc>
        <w:tc>
          <w:tcPr>
            <w:tcW w:w="1382" w:type="dxa"/>
            <w:tcBorders>
              <w:top w:val="nil"/>
              <w:left w:val="nil"/>
              <w:bottom w:val="nil"/>
              <w:right w:val="nil"/>
            </w:tcBorders>
            <w:shd w:val="clear" w:color="000000" w:fill="8EA9DB"/>
            <w:noWrap/>
            <w:vAlign w:val="center"/>
            <w:hideMark/>
          </w:tcPr>
          <w:p>
            <w:pPr>
              <w:jc w:val="center"/>
              <w:rPr>
                <w:rFonts w:ascii="Verdana" w:hAnsi="Verdana" w:cs="Calibri"/>
                <w:b/>
                <w:bCs/>
                <w:noProof/>
                <w:color w:val="FFFFFF"/>
                <w:sz w:val="18"/>
                <w:szCs w:val="18"/>
              </w:rPr>
            </w:pPr>
            <w:r>
              <w:rPr>
                <w:rFonts w:ascii="Verdana" w:hAnsi="Verdana"/>
                <w:b/>
                <w:noProof/>
                <w:color w:val="FFFFFF"/>
                <w:sz w:val="18"/>
              </w:rPr>
              <w:t>EURATOM</w:t>
            </w:r>
          </w:p>
        </w:tc>
        <w:tc>
          <w:tcPr>
            <w:tcW w:w="1520" w:type="dxa"/>
            <w:vMerge/>
            <w:tcBorders>
              <w:top w:val="nil"/>
              <w:left w:val="nil"/>
              <w:bottom w:val="nil"/>
              <w:right w:val="nil"/>
            </w:tcBorders>
            <w:vAlign w:val="center"/>
            <w:hideMark/>
          </w:tcPr>
          <w:p>
            <w:pPr>
              <w:rPr>
                <w:rFonts w:ascii="Verdana" w:hAnsi="Verdana" w:cs="Calibri"/>
                <w:b/>
                <w:bCs/>
                <w:noProof/>
                <w:color w:val="FFFFFF"/>
                <w:sz w:val="18"/>
                <w:szCs w:val="18"/>
              </w:rPr>
            </w:pPr>
          </w:p>
        </w:tc>
      </w:tr>
      <w:tr>
        <w:trPr>
          <w:trHeight w:val="247"/>
        </w:trPr>
        <w:tc>
          <w:tcPr>
            <w:tcW w:w="993" w:type="dxa"/>
            <w:tcBorders>
              <w:top w:val="nil"/>
              <w:left w:val="nil"/>
              <w:bottom w:val="nil"/>
              <w:right w:val="nil"/>
            </w:tcBorders>
            <w:noWrap/>
            <w:vAlign w:val="bottom"/>
            <w:hideMark/>
          </w:tcPr>
          <w:p>
            <w:pPr>
              <w:jc w:val="center"/>
              <w:rPr>
                <w:rFonts w:ascii="Verdana" w:hAnsi="Verdana" w:cs="Calibri"/>
                <w:b/>
                <w:bCs/>
                <w:noProof/>
                <w:color w:val="FFFFFF"/>
                <w:sz w:val="18"/>
                <w:szCs w:val="18"/>
              </w:rPr>
            </w:pPr>
          </w:p>
        </w:tc>
        <w:tc>
          <w:tcPr>
            <w:tcW w:w="1843" w:type="dxa"/>
            <w:tcBorders>
              <w:top w:val="nil"/>
              <w:left w:val="nil"/>
              <w:bottom w:val="single" w:sz="4" w:space="0" w:color="auto"/>
              <w:right w:val="nil"/>
            </w:tcBorders>
            <w:noWrap/>
            <w:vAlign w:val="bottom"/>
            <w:hideMark/>
          </w:tcPr>
          <w:p>
            <w:pPr>
              <w:jc w:val="center"/>
              <w:rPr>
                <w:rFonts w:ascii="Verdana" w:hAnsi="Verdana" w:cs="Calibri"/>
                <w:noProof/>
                <w:color w:val="000000"/>
                <w:sz w:val="18"/>
                <w:szCs w:val="18"/>
              </w:rPr>
            </w:pPr>
            <w:r>
              <w:rPr>
                <w:rFonts w:ascii="Verdana" w:hAnsi="Verdana"/>
                <w:noProof/>
                <w:color w:val="000000"/>
                <w:sz w:val="18"/>
              </w:rPr>
              <w:t> </w:t>
            </w:r>
          </w:p>
        </w:tc>
        <w:tc>
          <w:tcPr>
            <w:tcW w:w="1403" w:type="dxa"/>
            <w:tcBorders>
              <w:top w:val="nil"/>
              <w:left w:val="nil"/>
              <w:bottom w:val="single" w:sz="4" w:space="0" w:color="auto"/>
              <w:right w:val="nil"/>
            </w:tcBorders>
            <w:noWrap/>
            <w:vAlign w:val="bottom"/>
            <w:hideMark/>
          </w:tcPr>
          <w:p>
            <w:pPr>
              <w:jc w:val="center"/>
              <w:rPr>
                <w:rFonts w:ascii="Verdana" w:hAnsi="Verdana" w:cs="Calibri"/>
                <w:noProof/>
                <w:color w:val="000000"/>
                <w:sz w:val="18"/>
                <w:szCs w:val="18"/>
              </w:rPr>
            </w:pPr>
            <w:r>
              <w:rPr>
                <w:rFonts w:ascii="Verdana" w:hAnsi="Verdana"/>
                <w:noProof/>
                <w:color w:val="000000"/>
                <w:sz w:val="18"/>
              </w:rPr>
              <w:t> </w:t>
            </w:r>
          </w:p>
        </w:tc>
        <w:tc>
          <w:tcPr>
            <w:tcW w:w="1205" w:type="dxa"/>
            <w:tcBorders>
              <w:top w:val="nil"/>
              <w:left w:val="nil"/>
              <w:bottom w:val="single" w:sz="4" w:space="0" w:color="auto"/>
              <w:right w:val="nil"/>
            </w:tcBorders>
            <w:noWrap/>
            <w:vAlign w:val="bottom"/>
            <w:hideMark/>
          </w:tcPr>
          <w:p>
            <w:pPr>
              <w:jc w:val="center"/>
              <w:rPr>
                <w:rFonts w:ascii="Verdana" w:hAnsi="Verdana" w:cs="Calibri"/>
                <w:noProof/>
                <w:color w:val="000000"/>
                <w:sz w:val="18"/>
                <w:szCs w:val="18"/>
              </w:rPr>
            </w:pPr>
            <w:r>
              <w:rPr>
                <w:rFonts w:ascii="Verdana" w:hAnsi="Verdana"/>
                <w:noProof/>
                <w:color w:val="000000"/>
                <w:sz w:val="18"/>
              </w:rPr>
              <w:t> </w:t>
            </w:r>
          </w:p>
        </w:tc>
        <w:tc>
          <w:tcPr>
            <w:tcW w:w="1401" w:type="dxa"/>
            <w:tcBorders>
              <w:top w:val="nil"/>
              <w:left w:val="nil"/>
              <w:bottom w:val="single" w:sz="4" w:space="0" w:color="auto"/>
              <w:right w:val="nil"/>
            </w:tcBorders>
            <w:noWrap/>
            <w:vAlign w:val="bottom"/>
            <w:hideMark/>
          </w:tcPr>
          <w:p>
            <w:pPr>
              <w:jc w:val="center"/>
              <w:rPr>
                <w:rFonts w:ascii="Verdana" w:hAnsi="Verdana" w:cs="Calibri"/>
                <w:noProof/>
                <w:color w:val="000000"/>
                <w:sz w:val="18"/>
                <w:szCs w:val="18"/>
              </w:rPr>
            </w:pPr>
            <w:r>
              <w:rPr>
                <w:rFonts w:ascii="Verdana" w:hAnsi="Verdana"/>
                <w:noProof/>
                <w:color w:val="000000"/>
                <w:sz w:val="18"/>
              </w:rPr>
              <w:t> </w:t>
            </w:r>
          </w:p>
        </w:tc>
        <w:tc>
          <w:tcPr>
            <w:tcW w:w="1382" w:type="dxa"/>
            <w:tcBorders>
              <w:top w:val="nil"/>
              <w:left w:val="nil"/>
              <w:bottom w:val="single" w:sz="4" w:space="0" w:color="auto"/>
              <w:right w:val="nil"/>
            </w:tcBorders>
            <w:noWrap/>
            <w:vAlign w:val="bottom"/>
            <w:hideMark/>
          </w:tcPr>
          <w:p>
            <w:pPr>
              <w:jc w:val="center"/>
              <w:rPr>
                <w:rFonts w:ascii="Verdana" w:hAnsi="Verdana" w:cs="Calibri"/>
                <w:noProof/>
                <w:color w:val="000000"/>
                <w:sz w:val="18"/>
                <w:szCs w:val="18"/>
              </w:rPr>
            </w:pPr>
            <w:r>
              <w:rPr>
                <w:rFonts w:ascii="Verdana" w:hAnsi="Verdana"/>
                <w:noProof/>
                <w:color w:val="000000"/>
                <w:sz w:val="18"/>
              </w:rPr>
              <w:t> </w:t>
            </w:r>
          </w:p>
        </w:tc>
        <w:tc>
          <w:tcPr>
            <w:tcW w:w="1520" w:type="dxa"/>
            <w:tcBorders>
              <w:top w:val="nil"/>
              <w:left w:val="nil"/>
              <w:bottom w:val="single" w:sz="4" w:space="0" w:color="auto"/>
              <w:right w:val="nil"/>
            </w:tcBorders>
            <w:noWrap/>
            <w:vAlign w:val="bottom"/>
            <w:hideMark/>
          </w:tcPr>
          <w:p>
            <w:pPr>
              <w:jc w:val="center"/>
              <w:rPr>
                <w:rFonts w:ascii="Verdana" w:hAnsi="Verdana" w:cs="Calibri"/>
                <w:noProof/>
                <w:color w:val="000000"/>
                <w:sz w:val="18"/>
                <w:szCs w:val="18"/>
              </w:rPr>
            </w:pPr>
            <w:r>
              <w:rPr>
                <w:rFonts w:ascii="Verdana" w:hAnsi="Verdana"/>
                <w:noProof/>
                <w:color w:val="000000"/>
                <w:sz w:val="18"/>
              </w:rPr>
              <w:t> </w:t>
            </w:r>
          </w:p>
        </w:tc>
      </w:tr>
      <w:tr>
        <w:trPr>
          <w:trHeight w:val="247"/>
        </w:trPr>
        <w:tc>
          <w:tcPr>
            <w:tcW w:w="993" w:type="dxa"/>
            <w:tcBorders>
              <w:top w:val="nil"/>
              <w:left w:val="nil"/>
              <w:bottom w:val="nil"/>
              <w:right w:val="nil"/>
            </w:tcBorders>
            <w:noWrap/>
            <w:vAlign w:val="center"/>
            <w:hideMark/>
          </w:tcPr>
          <w:p>
            <w:pPr>
              <w:jc w:val="center"/>
              <w:rPr>
                <w:rFonts w:ascii="Verdana" w:hAnsi="Verdana" w:cs="Calibri"/>
                <w:noProof/>
                <w:sz w:val="18"/>
                <w:szCs w:val="18"/>
              </w:rPr>
            </w:pPr>
            <w:r>
              <w:rPr>
                <w:rFonts w:ascii="Verdana" w:hAnsi="Verdana"/>
                <w:noProof/>
                <w:sz w:val="18"/>
              </w:rPr>
              <w:t>2026</w:t>
            </w:r>
          </w:p>
        </w:tc>
        <w:tc>
          <w:tcPr>
            <w:tcW w:w="184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69,9</w:t>
            </w:r>
          </w:p>
        </w:tc>
        <w:tc>
          <w:tcPr>
            <w:tcW w:w="140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8,0</w:t>
            </w:r>
          </w:p>
        </w:tc>
        <w:tc>
          <w:tcPr>
            <w:tcW w:w="1205"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6,2</w:t>
            </w:r>
          </w:p>
        </w:tc>
        <w:tc>
          <w:tcPr>
            <w:tcW w:w="1401"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0,1</w:t>
            </w:r>
          </w:p>
        </w:tc>
        <w:tc>
          <w:tcPr>
            <w:tcW w:w="1382"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520"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84,2</w:t>
            </w:r>
          </w:p>
        </w:tc>
      </w:tr>
      <w:tr>
        <w:trPr>
          <w:trHeight w:val="247"/>
        </w:trPr>
        <w:tc>
          <w:tcPr>
            <w:tcW w:w="993" w:type="dxa"/>
            <w:tcBorders>
              <w:top w:val="nil"/>
              <w:left w:val="nil"/>
              <w:bottom w:val="nil"/>
              <w:right w:val="nil"/>
            </w:tcBorders>
            <w:noWrap/>
            <w:vAlign w:val="center"/>
            <w:hideMark/>
          </w:tcPr>
          <w:p>
            <w:pPr>
              <w:jc w:val="center"/>
              <w:rPr>
                <w:rFonts w:ascii="Verdana" w:hAnsi="Verdana" w:cs="Calibri"/>
                <w:noProof/>
                <w:sz w:val="18"/>
                <w:szCs w:val="18"/>
              </w:rPr>
            </w:pPr>
            <w:r>
              <w:rPr>
                <w:rFonts w:ascii="Verdana" w:hAnsi="Verdana"/>
                <w:noProof/>
                <w:sz w:val="18"/>
              </w:rPr>
              <w:t>2027</w:t>
            </w:r>
          </w:p>
        </w:tc>
        <w:tc>
          <w:tcPr>
            <w:tcW w:w="184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37,2</w:t>
            </w:r>
          </w:p>
        </w:tc>
        <w:tc>
          <w:tcPr>
            <w:tcW w:w="140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205"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3,0</w:t>
            </w:r>
          </w:p>
        </w:tc>
        <w:tc>
          <w:tcPr>
            <w:tcW w:w="1401"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0,2</w:t>
            </w:r>
          </w:p>
        </w:tc>
        <w:tc>
          <w:tcPr>
            <w:tcW w:w="1382"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0,1</w:t>
            </w:r>
          </w:p>
        </w:tc>
        <w:tc>
          <w:tcPr>
            <w:tcW w:w="1520"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40,4</w:t>
            </w:r>
          </w:p>
        </w:tc>
      </w:tr>
      <w:tr>
        <w:trPr>
          <w:trHeight w:val="247"/>
        </w:trPr>
        <w:tc>
          <w:tcPr>
            <w:tcW w:w="993" w:type="dxa"/>
            <w:tcBorders>
              <w:top w:val="nil"/>
              <w:left w:val="nil"/>
              <w:bottom w:val="nil"/>
              <w:right w:val="nil"/>
            </w:tcBorders>
            <w:noWrap/>
            <w:vAlign w:val="center"/>
            <w:hideMark/>
          </w:tcPr>
          <w:p>
            <w:pPr>
              <w:jc w:val="center"/>
              <w:rPr>
                <w:rFonts w:ascii="Verdana" w:hAnsi="Verdana" w:cs="Calibri"/>
                <w:noProof/>
                <w:sz w:val="18"/>
                <w:szCs w:val="18"/>
              </w:rPr>
            </w:pPr>
            <w:r>
              <w:rPr>
                <w:rFonts w:ascii="Verdana" w:hAnsi="Verdana"/>
                <w:noProof/>
                <w:sz w:val="18"/>
              </w:rPr>
              <w:t>2028</w:t>
            </w:r>
          </w:p>
        </w:tc>
        <w:tc>
          <w:tcPr>
            <w:tcW w:w="184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55,6</w:t>
            </w:r>
          </w:p>
        </w:tc>
        <w:tc>
          <w:tcPr>
            <w:tcW w:w="140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10,0</w:t>
            </w:r>
          </w:p>
        </w:tc>
        <w:tc>
          <w:tcPr>
            <w:tcW w:w="1205"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2,3</w:t>
            </w:r>
          </w:p>
        </w:tc>
        <w:tc>
          <w:tcPr>
            <w:tcW w:w="1401"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0,2</w:t>
            </w:r>
          </w:p>
        </w:tc>
        <w:tc>
          <w:tcPr>
            <w:tcW w:w="1382"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0,1</w:t>
            </w:r>
          </w:p>
        </w:tc>
        <w:tc>
          <w:tcPr>
            <w:tcW w:w="1520"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68,2</w:t>
            </w:r>
          </w:p>
        </w:tc>
      </w:tr>
      <w:tr>
        <w:trPr>
          <w:trHeight w:val="247"/>
        </w:trPr>
        <w:tc>
          <w:tcPr>
            <w:tcW w:w="993" w:type="dxa"/>
            <w:tcBorders>
              <w:top w:val="nil"/>
              <w:left w:val="nil"/>
              <w:bottom w:val="nil"/>
              <w:right w:val="nil"/>
            </w:tcBorders>
            <w:noWrap/>
            <w:vAlign w:val="center"/>
            <w:hideMark/>
          </w:tcPr>
          <w:p>
            <w:pPr>
              <w:jc w:val="center"/>
              <w:rPr>
                <w:rFonts w:ascii="Verdana" w:hAnsi="Verdana" w:cs="Calibri"/>
                <w:noProof/>
                <w:sz w:val="18"/>
                <w:szCs w:val="18"/>
              </w:rPr>
            </w:pPr>
            <w:r>
              <w:rPr>
                <w:rFonts w:ascii="Verdana" w:hAnsi="Verdana"/>
                <w:noProof/>
                <w:sz w:val="18"/>
              </w:rPr>
              <w:t>2029</w:t>
            </w:r>
          </w:p>
        </w:tc>
        <w:tc>
          <w:tcPr>
            <w:tcW w:w="184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34,1</w:t>
            </w:r>
          </w:p>
        </w:tc>
        <w:tc>
          <w:tcPr>
            <w:tcW w:w="140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8,1</w:t>
            </w:r>
          </w:p>
        </w:tc>
        <w:tc>
          <w:tcPr>
            <w:tcW w:w="1205"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1,4</w:t>
            </w:r>
          </w:p>
        </w:tc>
        <w:tc>
          <w:tcPr>
            <w:tcW w:w="1401"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0,9</w:t>
            </w:r>
          </w:p>
        </w:tc>
        <w:tc>
          <w:tcPr>
            <w:tcW w:w="1382"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520"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44,5</w:t>
            </w:r>
          </w:p>
        </w:tc>
      </w:tr>
      <w:tr>
        <w:trPr>
          <w:trHeight w:val="247"/>
        </w:trPr>
        <w:tc>
          <w:tcPr>
            <w:tcW w:w="993" w:type="dxa"/>
            <w:tcBorders>
              <w:top w:val="nil"/>
              <w:left w:val="nil"/>
              <w:bottom w:val="nil"/>
              <w:right w:val="nil"/>
            </w:tcBorders>
            <w:noWrap/>
            <w:vAlign w:val="center"/>
            <w:hideMark/>
          </w:tcPr>
          <w:p>
            <w:pPr>
              <w:jc w:val="center"/>
              <w:rPr>
                <w:rFonts w:ascii="Verdana" w:hAnsi="Verdana" w:cs="Calibri"/>
                <w:noProof/>
                <w:sz w:val="18"/>
                <w:szCs w:val="18"/>
              </w:rPr>
            </w:pPr>
            <w:r>
              <w:rPr>
                <w:rFonts w:ascii="Verdana" w:hAnsi="Verdana"/>
                <w:noProof/>
                <w:sz w:val="18"/>
              </w:rPr>
              <w:t>2030</w:t>
            </w:r>
          </w:p>
        </w:tc>
        <w:tc>
          <w:tcPr>
            <w:tcW w:w="184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27,7</w:t>
            </w:r>
          </w:p>
        </w:tc>
        <w:tc>
          <w:tcPr>
            <w:tcW w:w="140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10,0</w:t>
            </w:r>
          </w:p>
        </w:tc>
        <w:tc>
          <w:tcPr>
            <w:tcW w:w="1205"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401"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0,1</w:t>
            </w:r>
          </w:p>
        </w:tc>
        <w:tc>
          <w:tcPr>
            <w:tcW w:w="1382"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0,1</w:t>
            </w:r>
          </w:p>
        </w:tc>
        <w:tc>
          <w:tcPr>
            <w:tcW w:w="1520"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37,9</w:t>
            </w:r>
          </w:p>
        </w:tc>
      </w:tr>
      <w:tr>
        <w:trPr>
          <w:trHeight w:val="247"/>
        </w:trPr>
        <w:tc>
          <w:tcPr>
            <w:tcW w:w="993" w:type="dxa"/>
            <w:tcBorders>
              <w:top w:val="nil"/>
              <w:left w:val="nil"/>
              <w:bottom w:val="nil"/>
              <w:right w:val="nil"/>
            </w:tcBorders>
            <w:noWrap/>
            <w:vAlign w:val="center"/>
            <w:hideMark/>
          </w:tcPr>
          <w:p>
            <w:pPr>
              <w:jc w:val="center"/>
              <w:rPr>
                <w:rFonts w:ascii="Verdana" w:hAnsi="Verdana" w:cs="Calibri"/>
                <w:noProof/>
                <w:sz w:val="18"/>
                <w:szCs w:val="18"/>
              </w:rPr>
            </w:pPr>
            <w:r>
              <w:rPr>
                <w:rFonts w:ascii="Verdana" w:hAnsi="Verdana"/>
                <w:noProof/>
                <w:sz w:val="18"/>
              </w:rPr>
              <w:t>2031</w:t>
            </w:r>
          </w:p>
        </w:tc>
        <w:tc>
          <w:tcPr>
            <w:tcW w:w="184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39,2</w:t>
            </w:r>
          </w:p>
        </w:tc>
        <w:tc>
          <w:tcPr>
            <w:tcW w:w="140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205"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6,6</w:t>
            </w:r>
          </w:p>
        </w:tc>
        <w:tc>
          <w:tcPr>
            <w:tcW w:w="1401"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1,2</w:t>
            </w:r>
          </w:p>
        </w:tc>
        <w:tc>
          <w:tcPr>
            <w:tcW w:w="1382"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0,1</w:t>
            </w:r>
          </w:p>
        </w:tc>
        <w:tc>
          <w:tcPr>
            <w:tcW w:w="1520"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47,0</w:t>
            </w:r>
          </w:p>
        </w:tc>
      </w:tr>
      <w:tr>
        <w:trPr>
          <w:trHeight w:val="247"/>
        </w:trPr>
        <w:tc>
          <w:tcPr>
            <w:tcW w:w="993" w:type="dxa"/>
            <w:tcBorders>
              <w:top w:val="nil"/>
              <w:left w:val="nil"/>
              <w:bottom w:val="nil"/>
              <w:right w:val="nil"/>
            </w:tcBorders>
            <w:noWrap/>
            <w:vAlign w:val="center"/>
            <w:hideMark/>
          </w:tcPr>
          <w:p>
            <w:pPr>
              <w:jc w:val="center"/>
              <w:rPr>
                <w:rFonts w:ascii="Verdana" w:hAnsi="Verdana" w:cs="Calibri"/>
                <w:noProof/>
                <w:sz w:val="18"/>
                <w:szCs w:val="18"/>
              </w:rPr>
            </w:pPr>
            <w:r>
              <w:rPr>
                <w:rFonts w:ascii="Verdana" w:hAnsi="Verdana"/>
                <w:noProof/>
                <w:sz w:val="18"/>
              </w:rPr>
              <w:t>2032</w:t>
            </w:r>
          </w:p>
        </w:tc>
        <w:tc>
          <w:tcPr>
            <w:tcW w:w="184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30,3</w:t>
            </w:r>
          </w:p>
        </w:tc>
        <w:tc>
          <w:tcPr>
            <w:tcW w:w="140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205"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3,0</w:t>
            </w:r>
          </w:p>
        </w:tc>
        <w:tc>
          <w:tcPr>
            <w:tcW w:w="1401"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0,7</w:t>
            </w:r>
          </w:p>
        </w:tc>
        <w:tc>
          <w:tcPr>
            <w:tcW w:w="1382"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520"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34,1</w:t>
            </w:r>
          </w:p>
        </w:tc>
      </w:tr>
      <w:tr>
        <w:trPr>
          <w:trHeight w:val="247"/>
        </w:trPr>
        <w:tc>
          <w:tcPr>
            <w:tcW w:w="993" w:type="dxa"/>
            <w:tcBorders>
              <w:top w:val="nil"/>
              <w:left w:val="nil"/>
              <w:bottom w:val="nil"/>
              <w:right w:val="nil"/>
            </w:tcBorders>
            <w:noWrap/>
            <w:vAlign w:val="center"/>
            <w:hideMark/>
          </w:tcPr>
          <w:p>
            <w:pPr>
              <w:jc w:val="center"/>
              <w:rPr>
                <w:rFonts w:ascii="Verdana" w:hAnsi="Verdana" w:cs="Calibri"/>
                <w:noProof/>
                <w:sz w:val="18"/>
                <w:szCs w:val="18"/>
              </w:rPr>
            </w:pPr>
            <w:r>
              <w:rPr>
                <w:rFonts w:ascii="Verdana" w:hAnsi="Verdana"/>
                <w:noProof/>
                <w:sz w:val="18"/>
              </w:rPr>
              <w:t>2033</w:t>
            </w:r>
          </w:p>
        </w:tc>
        <w:tc>
          <w:tcPr>
            <w:tcW w:w="184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15,7</w:t>
            </w:r>
          </w:p>
        </w:tc>
        <w:tc>
          <w:tcPr>
            <w:tcW w:w="140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205"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2,1</w:t>
            </w:r>
          </w:p>
        </w:tc>
        <w:tc>
          <w:tcPr>
            <w:tcW w:w="1401"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0,5</w:t>
            </w:r>
          </w:p>
        </w:tc>
        <w:tc>
          <w:tcPr>
            <w:tcW w:w="1382"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520"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18,3</w:t>
            </w:r>
          </w:p>
        </w:tc>
      </w:tr>
      <w:tr>
        <w:trPr>
          <w:trHeight w:val="247"/>
        </w:trPr>
        <w:tc>
          <w:tcPr>
            <w:tcW w:w="993" w:type="dxa"/>
            <w:tcBorders>
              <w:top w:val="nil"/>
              <w:left w:val="nil"/>
              <w:bottom w:val="nil"/>
              <w:right w:val="nil"/>
            </w:tcBorders>
            <w:noWrap/>
            <w:vAlign w:val="center"/>
            <w:hideMark/>
          </w:tcPr>
          <w:p>
            <w:pPr>
              <w:jc w:val="center"/>
              <w:rPr>
                <w:rFonts w:ascii="Verdana" w:hAnsi="Verdana" w:cs="Calibri"/>
                <w:noProof/>
                <w:sz w:val="18"/>
                <w:szCs w:val="18"/>
              </w:rPr>
            </w:pPr>
            <w:r>
              <w:rPr>
                <w:rFonts w:ascii="Verdana" w:hAnsi="Verdana"/>
                <w:noProof/>
                <w:sz w:val="18"/>
              </w:rPr>
              <w:t>2034</w:t>
            </w:r>
          </w:p>
        </w:tc>
        <w:tc>
          <w:tcPr>
            <w:tcW w:w="184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39,7</w:t>
            </w:r>
          </w:p>
        </w:tc>
        <w:tc>
          <w:tcPr>
            <w:tcW w:w="140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205"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401"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0,7</w:t>
            </w:r>
          </w:p>
        </w:tc>
        <w:tc>
          <w:tcPr>
            <w:tcW w:w="1382"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520"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40,5</w:t>
            </w:r>
          </w:p>
        </w:tc>
      </w:tr>
      <w:tr>
        <w:trPr>
          <w:trHeight w:val="247"/>
        </w:trPr>
        <w:tc>
          <w:tcPr>
            <w:tcW w:w="993" w:type="dxa"/>
            <w:tcBorders>
              <w:top w:val="nil"/>
              <w:left w:val="nil"/>
              <w:bottom w:val="nil"/>
              <w:right w:val="nil"/>
            </w:tcBorders>
            <w:noWrap/>
            <w:vAlign w:val="center"/>
            <w:hideMark/>
          </w:tcPr>
          <w:p>
            <w:pPr>
              <w:jc w:val="center"/>
              <w:rPr>
                <w:rFonts w:ascii="Verdana" w:hAnsi="Verdana" w:cs="Calibri"/>
                <w:noProof/>
                <w:sz w:val="18"/>
                <w:szCs w:val="18"/>
              </w:rPr>
            </w:pPr>
            <w:r>
              <w:rPr>
                <w:rFonts w:ascii="Verdana" w:hAnsi="Verdana"/>
                <w:noProof/>
                <w:sz w:val="18"/>
              </w:rPr>
              <w:t>2035</w:t>
            </w:r>
          </w:p>
        </w:tc>
        <w:tc>
          <w:tcPr>
            <w:tcW w:w="184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16,9</w:t>
            </w:r>
          </w:p>
        </w:tc>
        <w:tc>
          <w:tcPr>
            <w:tcW w:w="140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8,5</w:t>
            </w:r>
          </w:p>
        </w:tc>
        <w:tc>
          <w:tcPr>
            <w:tcW w:w="1205"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2,0</w:t>
            </w:r>
          </w:p>
        </w:tc>
        <w:tc>
          <w:tcPr>
            <w:tcW w:w="1401"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2,0</w:t>
            </w:r>
          </w:p>
        </w:tc>
        <w:tc>
          <w:tcPr>
            <w:tcW w:w="1382"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520"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29,4</w:t>
            </w:r>
          </w:p>
        </w:tc>
      </w:tr>
      <w:tr>
        <w:trPr>
          <w:trHeight w:val="247"/>
        </w:trPr>
        <w:tc>
          <w:tcPr>
            <w:tcW w:w="993" w:type="dxa"/>
            <w:tcBorders>
              <w:top w:val="nil"/>
              <w:left w:val="nil"/>
              <w:bottom w:val="nil"/>
              <w:right w:val="nil"/>
            </w:tcBorders>
            <w:noWrap/>
            <w:vAlign w:val="center"/>
            <w:hideMark/>
          </w:tcPr>
          <w:p>
            <w:pPr>
              <w:jc w:val="center"/>
              <w:rPr>
                <w:rFonts w:ascii="Verdana" w:hAnsi="Verdana" w:cs="Calibri"/>
                <w:noProof/>
                <w:sz w:val="18"/>
                <w:szCs w:val="18"/>
              </w:rPr>
            </w:pPr>
            <w:r>
              <w:rPr>
                <w:rFonts w:ascii="Verdana" w:hAnsi="Verdana"/>
                <w:noProof/>
                <w:sz w:val="18"/>
              </w:rPr>
              <w:t>2036</w:t>
            </w:r>
          </w:p>
        </w:tc>
        <w:tc>
          <w:tcPr>
            <w:tcW w:w="184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40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9,0</w:t>
            </w:r>
          </w:p>
        </w:tc>
        <w:tc>
          <w:tcPr>
            <w:tcW w:w="1205"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5,8</w:t>
            </w:r>
          </w:p>
        </w:tc>
        <w:tc>
          <w:tcPr>
            <w:tcW w:w="1401"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1,3</w:t>
            </w:r>
          </w:p>
        </w:tc>
        <w:tc>
          <w:tcPr>
            <w:tcW w:w="1382"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520"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16,1</w:t>
            </w:r>
          </w:p>
        </w:tc>
      </w:tr>
      <w:tr>
        <w:trPr>
          <w:trHeight w:val="247"/>
        </w:trPr>
        <w:tc>
          <w:tcPr>
            <w:tcW w:w="993" w:type="dxa"/>
            <w:tcBorders>
              <w:top w:val="nil"/>
              <w:left w:val="nil"/>
              <w:bottom w:val="nil"/>
              <w:right w:val="nil"/>
            </w:tcBorders>
            <w:noWrap/>
            <w:vAlign w:val="center"/>
            <w:hideMark/>
          </w:tcPr>
          <w:p>
            <w:pPr>
              <w:jc w:val="center"/>
              <w:rPr>
                <w:rFonts w:ascii="Verdana" w:hAnsi="Verdana" w:cs="Calibri"/>
                <w:noProof/>
                <w:sz w:val="18"/>
                <w:szCs w:val="18"/>
              </w:rPr>
            </w:pPr>
            <w:r>
              <w:rPr>
                <w:rFonts w:ascii="Verdana" w:hAnsi="Verdana"/>
                <w:noProof/>
                <w:sz w:val="18"/>
              </w:rPr>
              <w:t>2037</w:t>
            </w:r>
          </w:p>
        </w:tc>
        <w:tc>
          <w:tcPr>
            <w:tcW w:w="184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18,4</w:t>
            </w:r>
          </w:p>
        </w:tc>
        <w:tc>
          <w:tcPr>
            <w:tcW w:w="140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8,7</w:t>
            </w:r>
          </w:p>
        </w:tc>
        <w:tc>
          <w:tcPr>
            <w:tcW w:w="1205"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401"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0,9</w:t>
            </w:r>
          </w:p>
        </w:tc>
        <w:tc>
          <w:tcPr>
            <w:tcW w:w="1382"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520"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28,1</w:t>
            </w:r>
          </w:p>
        </w:tc>
      </w:tr>
      <w:tr>
        <w:trPr>
          <w:trHeight w:val="247"/>
        </w:trPr>
        <w:tc>
          <w:tcPr>
            <w:tcW w:w="993" w:type="dxa"/>
            <w:tcBorders>
              <w:top w:val="nil"/>
              <w:left w:val="nil"/>
              <w:bottom w:val="nil"/>
              <w:right w:val="nil"/>
            </w:tcBorders>
            <w:noWrap/>
            <w:vAlign w:val="center"/>
            <w:hideMark/>
          </w:tcPr>
          <w:p>
            <w:pPr>
              <w:jc w:val="center"/>
              <w:rPr>
                <w:rFonts w:ascii="Verdana" w:hAnsi="Verdana" w:cs="Calibri"/>
                <w:noProof/>
                <w:sz w:val="18"/>
                <w:szCs w:val="18"/>
              </w:rPr>
            </w:pPr>
            <w:r>
              <w:rPr>
                <w:rFonts w:ascii="Verdana" w:hAnsi="Verdana"/>
                <w:noProof/>
                <w:sz w:val="18"/>
              </w:rPr>
              <w:t>2038</w:t>
            </w:r>
          </w:p>
        </w:tc>
        <w:tc>
          <w:tcPr>
            <w:tcW w:w="184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17,0</w:t>
            </w:r>
          </w:p>
        </w:tc>
        <w:tc>
          <w:tcPr>
            <w:tcW w:w="140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205"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1,8</w:t>
            </w:r>
          </w:p>
        </w:tc>
        <w:tc>
          <w:tcPr>
            <w:tcW w:w="1401"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0,3</w:t>
            </w:r>
          </w:p>
        </w:tc>
        <w:tc>
          <w:tcPr>
            <w:tcW w:w="1382"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520"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19,1</w:t>
            </w:r>
          </w:p>
        </w:tc>
      </w:tr>
      <w:tr>
        <w:trPr>
          <w:trHeight w:val="247"/>
        </w:trPr>
        <w:tc>
          <w:tcPr>
            <w:tcW w:w="993" w:type="dxa"/>
            <w:tcBorders>
              <w:top w:val="nil"/>
              <w:left w:val="nil"/>
              <w:bottom w:val="nil"/>
              <w:right w:val="nil"/>
            </w:tcBorders>
            <w:noWrap/>
            <w:vAlign w:val="center"/>
            <w:hideMark/>
          </w:tcPr>
          <w:p>
            <w:pPr>
              <w:jc w:val="center"/>
              <w:rPr>
                <w:rFonts w:ascii="Verdana" w:hAnsi="Verdana" w:cs="Calibri"/>
                <w:noProof/>
                <w:sz w:val="18"/>
                <w:szCs w:val="18"/>
              </w:rPr>
            </w:pPr>
            <w:r>
              <w:rPr>
                <w:rFonts w:ascii="Verdana" w:hAnsi="Verdana"/>
                <w:noProof/>
                <w:sz w:val="18"/>
              </w:rPr>
              <w:t>2039</w:t>
            </w:r>
          </w:p>
        </w:tc>
        <w:tc>
          <w:tcPr>
            <w:tcW w:w="184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19,3</w:t>
            </w:r>
          </w:p>
        </w:tc>
        <w:tc>
          <w:tcPr>
            <w:tcW w:w="140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205"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401"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0,1</w:t>
            </w:r>
          </w:p>
        </w:tc>
        <w:tc>
          <w:tcPr>
            <w:tcW w:w="1382"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520"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19,4</w:t>
            </w:r>
          </w:p>
        </w:tc>
      </w:tr>
      <w:tr>
        <w:trPr>
          <w:trHeight w:val="247"/>
        </w:trPr>
        <w:tc>
          <w:tcPr>
            <w:tcW w:w="993" w:type="dxa"/>
            <w:tcBorders>
              <w:top w:val="nil"/>
              <w:left w:val="nil"/>
              <w:bottom w:val="nil"/>
              <w:right w:val="nil"/>
            </w:tcBorders>
            <w:noWrap/>
            <w:vAlign w:val="center"/>
            <w:hideMark/>
          </w:tcPr>
          <w:p>
            <w:pPr>
              <w:jc w:val="center"/>
              <w:rPr>
                <w:rFonts w:ascii="Verdana" w:hAnsi="Verdana" w:cs="Calibri"/>
                <w:noProof/>
                <w:sz w:val="18"/>
                <w:szCs w:val="18"/>
              </w:rPr>
            </w:pPr>
            <w:r>
              <w:rPr>
                <w:rFonts w:ascii="Verdana" w:hAnsi="Verdana"/>
                <w:noProof/>
                <w:sz w:val="18"/>
              </w:rPr>
              <w:t>2040</w:t>
            </w:r>
          </w:p>
        </w:tc>
        <w:tc>
          <w:tcPr>
            <w:tcW w:w="184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6,0</w:t>
            </w:r>
          </w:p>
        </w:tc>
        <w:tc>
          <w:tcPr>
            <w:tcW w:w="140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7,0</w:t>
            </w:r>
          </w:p>
        </w:tc>
        <w:tc>
          <w:tcPr>
            <w:tcW w:w="1205"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401"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0,5</w:t>
            </w:r>
          </w:p>
        </w:tc>
        <w:tc>
          <w:tcPr>
            <w:tcW w:w="1382"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520"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13,5</w:t>
            </w:r>
          </w:p>
        </w:tc>
      </w:tr>
      <w:tr>
        <w:trPr>
          <w:trHeight w:val="247"/>
        </w:trPr>
        <w:tc>
          <w:tcPr>
            <w:tcW w:w="993" w:type="dxa"/>
            <w:tcBorders>
              <w:top w:val="nil"/>
              <w:left w:val="nil"/>
              <w:bottom w:val="nil"/>
              <w:right w:val="nil"/>
            </w:tcBorders>
            <w:noWrap/>
            <w:vAlign w:val="center"/>
            <w:hideMark/>
          </w:tcPr>
          <w:p>
            <w:pPr>
              <w:jc w:val="center"/>
              <w:rPr>
                <w:rFonts w:ascii="Verdana" w:hAnsi="Verdana" w:cs="Calibri"/>
                <w:noProof/>
                <w:sz w:val="18"/>
                <w:szCs w:val="18"/>
              </w:rPr>
            </w:pPr>
            <w:r>
              <w:rPr>
                <w:rFonts w:ascii="Verdana" w:hAnsi="Verdana"/>
                <w:noProof/>
                <w:sz w:val="18"/>
              </w:rPr>
              <w:t>2041</w:t>
            </w:r>
          </w:p>
        </w:tc>
        <w:tc>
          <w:tcPr>
            <w:tcW w:w="184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16,9</w:t>
            </w:r>
          </w:p>
        </w:tc>
        <w:tc>
          <w:tcPr>
            <w:tcW w:w="140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205"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401"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382"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520"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16,9</w:t>
            </w:r>
          </w:p>
        </w:tc>
      </w:tr>
      <w:tr>
        <w:trPr>
          <w:trHeight w:val="247"/>
        </w:trPr>
        <w:tc>
          <w:tcPr>
            <w:tcW w:w="993" w:type="dxa"/>
            <w:tcBorders>
              <w:top w:val="nil"/>
              <w:left w:val="nil"/>
              <w:bottom w:val="nil"/>
              <w:right w:val="nil"/>
            </w:tcBorders>
            <w:noWrap/>
            <w:vAlign w:val="center"/>
            <w:hideMark/>
          </w:tcPr>
          <w:p>
            <w:pPr>
              <w:jc w:val="center"/>
              <w:rPr>
                <w:rFonts w:ascii="Verdana" w:hAnsi="Verdana" w:cs="Calibri"/>
                <w:noProof/>
                <w:sz w:val="18"/>
                <w:szCs w:val="18"/>
              </w:rPr>
            </w:pPr>
            <w:r>
              <w:rPr>
                <w:rFonts w:ascii="Verdana" w:hAnsi="Verdana"/>
                <w:noProof/>
                <w:sz w:val="18"/>
              </w:rPr>
              <w:t>2042</w:t>
            </w:r>
          </w:p>
        </w:tc>
        <w:tc>
          <w:tcPr>
            <w:tcW w:w="184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13,3</w:t>
            </w:r>
          </w:p>
        </w:tc>
        <w:tc>
          <w:tcPr>
            <w:tcW w:w="140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205"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3,0</w:t>
            </w:r>
          </w:p>
        </w:tc>
        <w:tc>
          <w:tcPr>
            <w:tcW w:w="1401"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2,0</w:t>
            </w:r>
          </w:p>
        </w:tc>
        <w:tc>
          <w:tcPr>
            <w:tcW w:w="1382"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520"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18,3</w:t>
            </w:r>
          </w:p>
        </w:tc>
      </w:tr>
      <w:tr>
        <w:trPr>
          <w:trHeight w:val="247"/>
        </w:trPr>
        <w:tc>
          <w:tcPr>
            <w:tcW w:w="993" w:type="dxa"/>
            <w:tcBorders>
              <w:top w:val="nil"/>
              <w:left w:val="nil"/>
              <w:bottom w:val="nil"/>
              <w:right w:val="nil"/>
            </w:tcBorders>
            <w:noWrap/>
            <w:vAlign w:val="center"/>
            <w:hideMark/>
          </w:tcPr>
          <w:p>
            <w:pPr>
              <w:jc w:val="center"/>
              <w:rPr>
                <w:rFonts w:ascii="Verdana" w:hAnsi="Verdana" w:cs="Calibri"/>
                <w:noProof/>
                <w:sz w:val="18"/>
                <w:szCs w:val="18"/>
              </w:rPr>
            </w:pPr>
            <w:r>
              <w:rPr>
                <w:rFonts w:ascii="Verdana" w:hAnsi="Verdana"/>
                <w:noProof/>
                <w:sz w:val="18"/>
              </w:rPr>
              <w:t>2043</w:t>
            </w:r>
          </w:p>
        </w:tc>
        <w:tc>
          <w:tcPr>
            <w:tcW w:w="184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12,0</w:t>
            </w:r>
          </w:p>
        </w:tc>
        <w:tc>
          <w:tcPr>
            <w:tcW w:w="140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205"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401"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382"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520"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12,0</w:t>
            </w:r>
          </w:p>
        </w:tc>
      </w:tr>
      <w:tr>
        <w:trPr>
          <w:trHeight w:val="247"/>
        </w:trPr>
        <w:tc>
          <w:tcPr>
            <w:tcW w:w="993" w:type="dxa"/>
            <w:tcBorders>
              <w:top w:val="nil"/>
              <w:left w:val="nil"/>
              <w:bottom w:val="nil"/>
              <w:right w:val="nil"/>
            </w:tcBorders>
            <w:noWrap/>
            <w:vAlign w:val="center"/>
            <w:hideMark/>
          </w:tcPr>
          <w:p>
            <w:pPr>
              <w:jc w:val="center"/>
              <w:rPr>
                <w:rFonts w:ascii="Verdana" w:hAnsi="Verdana" w:cs="Calibri"/>
                <w:noProof/>
                <w:sz w:val="18"/>
                <w:szCs w:val="18"/>
              </w:rPr>
            </w:pPr>
            <w:r>
              <w:rPr>
                <w:rFonts w:ascii="Verdana" w:hAnsi="Verdana"/>
                <w:noProof/>
                <w:sz w:val="18"/>
              </w:rPr>
              <w:t>2044</w:t>
            </w:r>
          </w:p>
        </w:tc>
        <w:tc>
          <w:tcPr>
            <w:tcW w:w="184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14,4</w:t>
            </w:r>
          </w:p>
        </w:tc>
        <w:tc>
          <w:tcPr>
            <w:tcW w:w="140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205"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401"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382"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520"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14,4</w:t>
            </w:r>
          </w:p>
        </w:tc>
      </w:tr>
      <w:tr>
        <w:trPr>
          <w:trHeight w:val="247"/>
        </w:trPr>
        <w:tc>
          <w:tcPr>
            <w:tcW w:w="993" w:type="dxa"/>
            <w:tcBorders>
              <w:top w:val="nil"/>
              <w:left w:val="nil"/>
              <w:bottom w:val="nil"/>
              <w:right w:val="nil"/>
            </w:tcBorders>
            <w:noWrap/>
            <w:vAlign w:val="center"/>
            <w:hideMark/>
          </w:tcPr>
          <w:p>
            <w:pPr>
              <w:jc w:val="center"/>
              <w:rPr>
                <w:rFonts w:ascii="Verdana" w:hAnsi="Verdana" w:cs="Calibri"/>
                <w:noProof/>
                <w:sz w:val="18"/>
                <w:szCs w:val="18"/>
              </w:rPr>
            </w:pPr>
            <w:r>
              <w:rPr>
                <w:rFonts w:ascii="Verdana" w:hAnsi="Verdana"/>
                <w:noProof/>
                <w:sz w:val="18"/>
              </w:rPr>
              <w:t>2045</w:t>
            </w:r>
          </w:p>
        </w:tc>
        <w:tc>
          <w:tcPr>
            <w:tcW w:w="184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12,6</w:t>
            </w:r>
          </w:p>
        </w:tc>
        <w:tc>
          <w:tcPr>
            <w:tcW w:w="140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205"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401"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382"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520"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12,6</w:t>
            </w:r>
          </w:p>
        </w:tc>
      </w:tr>
      <w:tr>
        <w:trPr>
          <w:trHeight w:val="247"/>
        </w:trPr>
        <w:tc>
          <w:tcPr>
            <w:tcW w:w="993" w:type="dxa"/>
            <w:tcBorders>
              <w:top w:val="nil"/>
              <w:left w:val="nil"/>
              <w:bottom w:val="nil"/>
              <w:right w:val="nil"/>
            </w:tcBorders>
            <w:noWrap/>
            <w:vAlign w:val="center"/>
            <w:hideMark/>
          </w:tcPr>
          <w:p>
            <w:pPr>
              <w:jc w:val="center"/>
              <w:rPr>
                <w:rFonts w:ascii="Verdana" w:hAnsi="Verdana" w:cs="Calibri"/>
                <w:noProof/>
                <w:sz w:val="18"/>
                <w:szCs w:val="18"/>
              </w:rPr>
            </w:pPr>
            <w:r>
              <w:rPr>
                <w:rFonts w:ascii="Verdana" w:hAnsi="Verdana"/>
                <w:noProof/>
                <w:sz w:val="18"/>
              </w:rPr>
              <w:t>2046</w:t>
            </w:r>
          </w:p>
        </w:tc>
        <w:tc>
          <w:tcPr>
            <w:tcW w:w="184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40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5,0</w:t>
            </w:r>
          </w:p>
        </w:tc>
        <w:tc>
          <w:tcPr>
            <w:tcW w:w="1205"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401"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382"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520"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5,0</w:t>
            </w:r>
          </w:p>
        </w:tc>
      </w:tr>
      <w:tr>
        <w:trPr>
          <w:trHeight w:val="247"/>
        </w:trPr>
        <w:tc>
          <w:tcPr>
            <w:tcW w:w="993" w:type="dxa"/>
            <w:tcBorders>
              <w:top w:val="nil"/>
              <w:left w:val="nil"/>
              <w:bottom w:val="nil"/>
              <w:right w:val="nil"/>
            </w:tcBorders>
            <w:noWrap/>
            <w:vAlign w:val="center"/>
            <w:hideMark/>
          </w:tcPr>
          <w:p>
            <w:pPr>
              <w:jc w:val="center"/>
              <w:rPr>
                <w:rFonts w:ascii="Verdana" w:hAnsi="Verdana" w:cs="Calibri"/>
                <w:noProof/>
                <w:sz w:val="18"/>
                <w:szCs w:val="18"/>
              </w:rPr>
            </w:pPr>
            <w:r>
              <w:rPr>
                <w:rFonts w:ascii="Verdana" w:hAnsi="Verdana"/>
                <w:noProof/>
                <w:sz w:val="18"/>
              </w:rPr>
              <w:t>2047</w:t>
            </w:r>
          </w:p>
        </w:tc>
        <w:tc>
          <w:tcPr>
            <w:tcW w:w="184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40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6,0</w:t>
            </w:r>
          </w:p>
        </w:tc>
        <w:tc>
          <w:tcPr>
            <w:tcW w:w="1205"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401"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382"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520"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6,0</w:t>
            </w:r>
          </w:p>
        </w:tc>
      </w:tr>
      <w:tr>
        <w:trPr>
          <w:trHeight w:val="247"/>
        </w:trPr>
        <w:tc>
          <w:tcPr>
            <w:tcW w:w="993" w:type="dxa"/>
            <w:tcBorders>
              <w:top w:val="nil"/>
              <w:left w:val="nil"/>
              <w:bottom w:val="nil"/>
              <w:right w:val="nil"/>
            </w:tcBorders>
            <w:noWrap/>
            <w:vAlign w:val="center"/>
            <w:hideMark/>
          </w:tcPr>
          <w:p>
            <w:pPr>
              <w:jc w:val="center"/>
              <w:rPr>
                <w:rFonts w:ascii="Verdana" w:hAnsi="Verdana" w:cs="Calibri"/>
                <w:noProof/>
                <w:sz w:val="18"/>
                <w:szCs w:val="18"/>
              </w:rPr>
            </w:pPr>
            <w:r>
              <w:rPr>
                <w:rFonts w:ascii="Verdana" w:hAnsi="Verdana"/>
                <w:noProof/>
                <w:sz w:val="18"/>
              </w:rPr>
              <w:t>2048</w:t>
            </w:r>
          </w:p>
        </w:tc>
        <w:tc>
          <w:tcPr>
            <w:tcW w:w="184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15,3</w:t>
            </w:r>
          </w:p>
        </w:tc>
        <w:tc>
          <w:tcPr>
            <w:tcW w:w="140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205"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401"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382"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520"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15,3</w:t>
            </w:r>
          </w:p>
        </w:tc>
      </w:tr>
      <w:tr>
        <w:trPr>
          <w:trHeight w:val="247"/>
        </w:trPr>
        <w:tc>
          <w:tcPr>
            <w:tcW w:w="993" w:type="dxa"/>
            <w:tcBorders>
              <w:top w:val="nil"/>
              <w:left w:val="nil"/>
              <w:bottom w:val="nil"/>
              <w:right w:val="nil"/>
            </w:tcBorders>
            <w:noWrap/>
            <w:vAlign w:val="center"/>
            <w:hideMark/>
          </w:tcPr>
          <w:p>
            <w:pPr>
              <w:jc w:val="center"/>
              <w:rPr>
                <w:rFonts w:ascii="Verdana" w:hAnsi="Verdana" w:cs="Calibri"/>
                <w:noProof/>
                <w:sz w:val="18"/>
                <w:szCs w:val="18"/>
              </w:rPr>
            </w:pPr>
            <w:r>
              <w:rPr>
                <w:rFonts w:ascii="Verdana" w:hAnsi="Verdana"/>
                <w:noProof/>
                <w:sz w:val="18"/>
              </w:rPr>
              <w:t>2049</w:t>
            </w:r>
          </w:p>
        </w:tc>
        <w:tc>
          <w:tcPr>
            <w:tcW w:w="184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40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205"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401"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382"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520"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r>
      <w:tr>
        <w:trPr>
          <w:trHeight w:val="247"/>
        </w:trPr>
        <w:tc>
          <w:tcPr>
            <w:tcW w:w="993" w:type="dxa"/>
            <w:tcBorders>
              <w:top w:val="nil"/>
              <w:left w:val="nil"/>
              <w:bottom w:val="nil"/>
              <w:right w:val="nil"/>
            </w:tcBorders>
            <w:noWrap/>
            <w:vAlign w:val="center"/>
            <w:hideMark/>
          </w:tcPr>
          <w:p>
            <w:pPr>
              <w:jc w:val="center"/>
              <w:rPr>
                <w:rFonts w:ascii="Verdana" w:hAnsi="Verdana" w:cs="Calibri"/>
                <w:noProof/>
                <w:sz w:val="18"/>
                <w:szCs w:val="18"/>
              </w:rPr>
            </w:pPr>
            <w:r>
              <w:rPr>
                <w:rFonts w:ascii="Verdana" w:hAnsi="Verdana"/>
                <w:noProof/>
                <w:sz w:val="18"/>
              </w:rPr>
              <w:t>2050</w:t>
            </w:r>
          </w:p>
        </w:tc>
        <w:tc>
          <w:tcPr>
            <w:tcW w:w="184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17,0</w:t>
            </w:r>
          </w:p>
        </w:tc>
        <w:tc>
          <w:tcPr>
            <w:tcW w:w="140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10,0</w:t>
            </w:r>
          </w:p>
        </w:tc>
        <w:tc>
          <w:tcPr>
            <w:tcW w:w="1205"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401"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382"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520"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27,0</w:t>
            </w:r>
          </w:p>
        </w:tc>
      </w:tr>
      <w:tr>
        <w:trPr>
          <w:trHeight w:val="247"/>
        </w:trPr>
        <w:tc>
          <w:tcPr>
            <w:tcW w:w="993" w:type="dxa"/>
            <w:tcBorders>
              <w:top w:val="nil"/>
              <w:left w:val="nil"/>
              <w:bottom w:val="nil"/>
              <w:right w:val="nil"/>
            </w:tcBorders>
            <w:noWrap/>
            <w:vAlign w:val="center"/>
            <w:hideMark/>
          </w:tcPr>
          <w:p>
            <w:pPr>
              <w:jc w:val="center"/>
              <w:rPr>
                <w:rFonts w:ascii="Verdana" w:hAnsi="Verdana" w:cs="Calibri"/>
                <w:noProof/>
                <w:sz w:val="18"/>
                <w:szCs w:val="18"/>
              </w:rPr>
            </w:pPr>
            <w:r>
              <w:rPr>
                <w:rFonts w:ascii="Verdana" w:hAnsi="Verdana"/>
                <w:noProof/>
                <w:sz w:val="18"/>
              </w:rPr>
              <w:t>2051</w:t>
            </w:r>
          </w:p>
        </w:tc>
        <w:tc>
          <w:tcPr>
            <w:tcW w:w="184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15,4</w:t>
            </w:r>
          </w:p>
        </w:tc>
        <w:tc>
          <w:tcPr>
            <w:tcW w:w="140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205"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401"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382"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520"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15,4</w:t>
            </w:r>
          </w:p>
        </w:tc>
      </w:tr>
      <w:tr>
        <w:trPr>
          <w:trHeight w:val="247"/>
        </w:trPr>
        <w:tc>
          <w:tcPr>
            <w:tcW w:w="993" w:type="dxa"/>
            <w:tcBorders>
              <w:top w:val="nil"/>
              <w:left w:val="nil"/>
              <w:bottom w:val="nil"/>
              <w:right w:val="nil"/>
            </w:tcBorders>
            <w:noWrap/>
            <w:vAlign w:val="center"/>
            <w:hideMark/>
          </w:tcPr>
          <w:p>
            <w:pPr>
              <w:jc w:val="center"/>
              <w:rPr>
                <w:rFonts w:ascii="Verdana" w:hAnsi="Verdana" w:cs="Calibri"/>
                <w:noProof/>
                <w:sz w:val="18"/>
                <w:szCs w:val="18"/>
              </w:rPr>
            </w:pPr>
            <w:r>
              <w:rPr>
                <w:rFonts w:ascii="Verdana" w:hAnsi="Verdana"/>
                <w:noProof/>
                <w:sz w:val="18"/>
              </w:rPr>
              <w:t>2052</w:t>
            </w:r>
          </w:p>
        </w:tc>
        <w:tc>
          <w:tcPr>
            <w:tcW w:w="184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13,9</w:t>
            </w:r>
          </w:p>
        </w:tc>
        <w:tc>
          <w:tcPr>
            <w:tcW w:w="140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205"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401"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0,5</w:t>
            </w:r>
          </w:p>
        </w:tc>
        <w:tc>
          <w:tcPr>
            <w:tcW w:w="1382"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520"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14,4</w:t>
            </w:r>
          </w:p>
        </w:tc>
      </w:tr>
      <w:tr>
        <w:trPr>
          <w:trHeight w:val="247"/>
        </w:trPr>
        <w:tc>
          <w:tcPr>
            <w:tcW w:w="993" w:type="dxa"/>
            <w:tcBorders>
              <w:top w:val="nil"/>
              <w:left w:val="nil"/>
              <w:bottom w:val="nil"/>
              <w:right w:val="nil"/>
            </w:tcBorders>
            <w:noWrap/>
            <w:vAlign w:val="center"/>
            <w:hideMark/>
          </w:tcPr>
          <w:p>
            <w:pPr>
              <w:jc w:val="center"/>
              <w:rPr>
                <w:rFonts w:ascii="Verdana" w:hAnsi="Verdana" w:cs="Calibri"/>
                <w:noProof/>
                <w:sz w:val="18"/>
                <w:szCs w:val="18"/>
              </w:rPr>
            </w:pPr>
            <w:r>
              <w:rPr>
                <w:rFonts w:ascii="Verdana" w:hAnsi="Verdana"/>
                <w:noProof/>
                <w:sz w:val="18"/>
              </w:rPr>
              <w:t>2053</w:t>
            </w:r>
          </w:p>
        </w:tc>
        <w:tc>
          <w:tcPr>
            <w:tcW w:w="184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15,3</w:t>
            </w:r>
          </w:p>
        </w:tc>
        <w:tc>
          <w:tcPr>
            <w:tcW w:w="140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205"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401"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2,5</w:t>
            </w:r>
          </w:p>
        </w:tc>
        <w:tc>
          <w:tcPr>
            <w:tcW w:w="1382"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520"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17,8</w:t>
            </w:r>
          </w:p>
        </w:tc>
      </w:tr>
      <w:tr>
        <w:trPr>
          <w:trHeight w:val="247"/>
        </w:trPr>
        <w:tc>
          <w:tcPr>
            <w:tcW w:w="993" w:type="dxa"/>
            <w:tcBorders>
              <w:top w:val="nil"/>
              <w:left w:val="nil"/>
              <w:bottom w:val="nil"/>
              <w:right w:val="nil"/>
            </w:tcBorders>
            <w:noWrap/>
            <w:vAlign w:val="center"/>
            <w:hideMark/>
          </w:tcPr>
          <w:p>
            <w:pPr>
              <w:jc w:val="center"/>
              <w:rPr>
                <w:rFonts w:ascii="Verdana" w:hAnsi="Verdana" w:cs="Calibri"/>
                <w:noProof/>
                <w:sz w:val="18"/>
                <w:szCs w:val="18"/>
              </w:rPr>
            </w:pPr>
            <w:r>
              <w:rPr>
                <w:rFonts w:ascii="Verdana" w:hAnsi="Verdana"/>
                <w:noProof/>
                <w:sz w:val="18"/>
              </w:rPr>
              <w:t>2054</w:t>
            </w:r>
          </w:p>
        </w:tc>
        <w:tc>
          <w:tcPr>
            <w:tcW w:w="184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17,3</w:t>
            </w:r>
          </w:p>
        </w:tc>
        <w:tc>
          <w:tcPr>
            <w:tcW w:w="140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205"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401"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382"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520"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17,3</w:t>
            </w:r>
          </w:p>
        </w:tc>
      </w:tr>
      <w:tr>
        <w:trPr>
          <w:trHeight w:val="247"/>
        </w:trPr>
        <w:tc>
          <w:tcPr>
            <w:tcW w:w="993" w:type="dxa"/>
            <w:tcBorders>
              <w:top w:val="nil"/>
              <w:left w:val="nil"/>
              <w:bottom w:val="nil"/>
              <w:right w:val="nil"/>
            </w:tcBorders>
            <w:noWrap/>
            <w:vAlign w:val="center"/>
            <w:hideMark/>
          </w:tcPr>
          <w:p>
            <w:pPr>
              <w:jc w:val="center"/>
              <w:rPr>
                <w:rFonts w:ascii="Verdana" w:hAnsi="Verdana" w:cs="Calibri"/>
                <w:noProof/>
                <w:sz w:val="18"/>
                <w:szCs w:val="18"/>
              </w:rPr>
            </w:pPr>
            <w:r>
              <w:rPr>
                <w:rFonts w:ascii="Verdana" w:hAnsi="Verdana"/>
                <w:noProof/>
                <w:sz w:val="18"/>
              </w:rPr>
              <w:t>2055</w:t>
            </w:r>
          </w:p>
        </w:tc>
        <w:tc>
          <w:tcPr>
            <w:tcW w:w="184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6,0</w:t>
            </w:r>
          </w:p>
        </w:tc>
        <w:tc>
          <w:tcPr>
            <w:tcW w:w="140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205"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401"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382"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520"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6,0</w:t>
            </w:r>
          </w:p>
        </w:tc>
      </w:tr>
      <w:tr>
        <w:trPr>
          <w:trHeight w:val="247"/>
        </w:trPr>
        <w:tc>
          <w:tcPr>
            <w:tcW w:w="993" w:type="dxa"/>
            <w:tcBorders>
              <w:top w:val="single" w:sz="4" w:space="0" w:color="auto"/>
              <w:left w:val="nil"/>
              <w:bottom w:val="single" w:sz="4" w:space="0" w:color="auto"/>
              <w:right w:val="nil"/>
            </w:tcBorders>
            <w:noWrap/>
            <w:vAlign w:val="center"/>
            <w:hideMark/>
          </w:tcPr>
          <w:p>
            <w:pPr>
              <w:jc w:val="center"/>
              <w:rPr>
                <w:rFonts w:ascii="Verdana" w:hAnsi="Verdana" w:cs="Calibri"/>
                <w:b/>
                <w:bCs/>
                <w:noProof/>
                <w:color w:val="000000"/>
                <w:sz w:val="18"/>
                <w:szCs w:val="18"/>
              </w:rPr>
            </w:pPr>
            <w:r>
              <w:rPr>
                <w:rFonts w:ascii="Verdana" w:hAnsi="Verdana"/>
                <w:b/>
                <w:noProof/>
                <w:color w:val="000000"/>
                <w:sz w:val="18"/>
              </w:rPr>
              <w:t>Total</w:t>
            </w:r>
          </w:p>
        </w:tc>
        <w:tc>
          <w:tcPr>
            <w:tcW w:w="1843" w:type="dxa"/>
            <w:tcBorders>
              <w:top w:val="single" w:sz="4" w:space="0" w:color="auto"/>
              <w:left w:val="nil"/>
              <w:bottom w:val="single" w:sz="4" w:space="0" w:color="auto"/>
              <w:right w:val="nil"/>
            </w:tcBorders>
            <w:noWrap/>
            <w:vAlign w:val="center"/>
            <w:hideMark/>
          </w:tcPr>
          <w:p>
            <w:pPr>
              <w:jc w:val="right"/>
              <w:rPr>
                <w:rFonts w:ascii="Verdana" w:hAnsi="Verdana" w:cs="Calibri"/>
                <w:b/>
                <w:bCs/>
                <w:noProof/>
                <w:color w:val="000000"/>
                <w:sz w:val="18"/>
                <w:szCs w:val="18"/>
              </w:rPr>
            </w:pPr>
            <w:r>
              <w:rPr>
                <w:rFonts w:ascii="Verdana" w:hAnsi="Verdana"/>
                <w:b/>
                <w:noProof/>
                <w:color w:val="000000"/>
                <w:sz w:val="18"/>
              </w:rPr>
              <w:t>596,5</w:t>
            </w:r>
          </w:p>
        </w:tc>
        <w:tc>
          <w:tcPr>
            <w:tcW w:w="1403" w:type="dxa"/>
            <w:tcBorders>
              <w:top w:val="single" w:sz="4" w:space="0" w:color="auto"/>
              <w:left w:val="nil"/>
              <w:bottom w:val="single" w:sz="4" w:space="0" w:color="auto"/>
              <w:right w:val="nil"/>
            </w:tcBorders>
            <w:noWrap/>
            <w:vAlign w:val="center"/>
            <w:hideMark/>
          </w:tcPr>
          <w:p>
            <w:pPr>
              <w:jc w:val="right"/>
              <w:rPr>
                <w:rFonts w:ascii="Verdana" w:hAnsi="Verdana" w:cs="Calibri"/>
                <w:b/>
                <w:bCs/>
                <w:noProof/>
                <w:color w:val="000000"/>
                <w:sz w:val="18"/>
                <w:szCs w:val="18"/>
              </w:rPr>
            </w:pPr>
            <w:r>
              <w:rPr>
                <w:rFonts w:ascii="Verdana" w:hAnsi="Verdana"/>
                <w:b/>
                <w:noProof/>
                <w:color w:val="000000"/>
                <w:sz w:val="18"/>
              </w:rPr>
              <w:t>90,4</w:t>
            </w:r>
          </w:p>
        </w:tc>
        <w:tc>
          <w:tcPr>
            <w:tcW w:w="1205" w:type="dxa"/>
            <w:tcBorders>
              <w:top w:val="single" w:sz="4" w:space="0" w:color="auto"/>
              <w:left w:val="nil"/>
              <w:bottom w:val="single" w:sz="4" w:space="0" w:color="auto"/>
              <w:right w:val="nil"/>
            </w:tcBorders>
            <w:noWrap/>
            <w:vAlign w:val="center"/>
            <w:hideMark/>
          </w:tcPr>
          <w:p>
            <w:pPr>
              <w:jc w:val="right"/>
              <w:rPr>
                <w:rFonts w:ascii="Verdana" w:hAnsi="Verdana" w:cs="Calibri"/>
                <w:b/>
                <w:bCs/>
                <w:noProof/>
                <w:color w:val="000000"/>
                <w:sz w:val="18"/>
                <w:szCs w:val="18"/>
              </w:rPr>
            </w:pPr>
            <w:r>
              <w:rPr>
                <w:rFonts w:ascii="Verdana" w:hAnsi="Verdana"/>
                <w:b/>
                <w:noProof/>
                <w:color w:val="000000"/>
                <w:sz w:val="18"/>
              </w:rPr>
              <w:t>37,1</w:t>
            </w:r>
          </w:p>
        </w:tc>
        <w:tc>
          <w:tcPr>
            <w:tcW w:w="1401" w:type="dxa"/>
            <w:tcBorders>
              <w:top w:val="single" w:sz="4" w:space="0" w:color="auto"/>
              <w:left w:val="nil"/>
              <w:bottom w:val="single" w:sz="4" w:space="0" w:color="auto"/>
              <w:right w:val="nil"/>
            </w:tcBorders>
            <w:noWrap/>
            <w:vAlign w:val="center"/>
            <w:hideMark/>
          </w:tcPr>
          <w:p>
            <w:pPr>
              <w:jc w:val="right"/>
              <w:rPr>
                <w:rFonts w:ascii="Verdana" w:hAnsi="Verdana" w:cs="Calibri"/>
                <w:b/>
                <w:bCs/>
                <w:noProof/>
                <w:color w:val="000000"/>
                <w:sz w:val="18"/>
                <w:szCs w:val="18"/>
              </w:rPr>
            </w:pPr>
            <w:r>
              <w:rPr>
                <w:rFonts w:ascii="Verdana" w:hAnsi="Verdana"/>
                <w:b/>
                <w:noProof/>
                <w:color w:val="000000"/>
                <w:sz w:val="18"/>
              </w:rPr>
              <w:t>14,7</w:t>
            </w:r>
          </w:p>
        </w:tc>
        <w:tc>
          <w:tcPr>
            <w:tcW w:w="1382" w:type="dxa"/>
            <w:tcBorders>
              <w:top w:val="single" w:sz="4" w:space="0" w:color="auto"/>
              <w:left w:val="nil"/>
              <w:bottom w:val="single" w:sz="4" w:space="0" w:color="auto"/>
              <w:right w:val="nil"/>
            </w:tcBorders>
            <w:noWrap/>
            <w:vAlign w:val="center"/>
            <w:hideMark/>
          </w:tcPr>
          <w:p>
            <w:pPr>
              <w:jc w:val="right"/>
              <w:rPr>
                <w:rFonts w:ascii="Verdana" w:hAnsi="Verdana" w:cs="Calibri"/>
                <w:b/>
                <w:bCs/>
                <w:noProof/>
                <w:color w:val="000000"/>
                <w:sz w:val="18"/>
                <w:szCs w:val="18"/>
              </w:rPr>
            </w:pPr>
            <w:r>
              <w:rPr>
                <w:rFonts w:ascii="Verdana" w:hAnsi="Verdana"/>
                <w:b/>
                <w:noProof/>
                <w:color w:val="000000"/>
                <w:sz w:val="18"/>
              </w:rPr>
              <w:t>0,3</w:t>
            </w:r>
          </w:p>
        </w:tc>
        <w:tc>
          <w:tcPr>
            <w:tcW w:w="1520" w:type="dxa"/>
            <w:tcBorders>
              <w:top w:val="single" w:sz="4" w:space="0" w:color="auto"/>
              <w:left w:val="nil"/>
              <w:bottom w:val="single" w:sz="4" w:space="0" w:color="auto"/>
              <w:right w:val="nil"/>
            </w:tcBorders>
            <w:noWrap/>
            <w:vAlign w:val="center"/>
            <w:hideMark/>
          </w:tcPr>
          <w:p>
            <w:pPr>
              <w:jc w:val="right"/>
              <w:rPr>
                <w:rFonts w:ascii="Verdana" w:hAnsi="Verdana" w:cs="Calibri"/>
                <w:b/>
                <w:bCs/>
                <w:noProof/>
                <w:color w:val="000000"/>
                <w:sz w:val="18"/>
                <w:szCs w:val="18"/>
              </w:rPr>
            </w:pPr>
            <w:r>
              <w:rPr>
                <w:rFonts w:ascii="Verdana" w:hAnsi="Verdana"/>
                <w:b/>
                <w:noProof/>
                <w:color w:val="000000"/>
                <w:sz w:val="18"/>
              </w:rPr>
              <w:t>738,9</w:t>
            </w:r>
          </w:p>
        </w:tc>
      </w:tr>
    </w:tbl>
    <w:p>
      <w:pPr>
        <w:pStyle w:val="DGTextstand-alone"/>
      </w:pPr>
      <w:r>
        <w:t>Le «financement unifié» finance les prêts FRR/REPowerEU et le soutien non remboursable ainsi que les prêts octroyés au titre de la facilité pour l’Ukraine, de la facilité pour les Balkans occidentaux, de la facilité pour la Moldavie et de l’AMF, signés depuis 2023.</w:t>
      </w:r>
    </w:p>
    <w:p>
      <w:pPr>
        <w:pStyle w:val="HEADER3Part4"/>
        <w:spacing w:after="240"/>
        <w:rPr>
          <w:noProof/>
        </w:rPr>
      </w:pPr>
      <w:r>
        <w:rPr>
          <w:noProof/>
        </w:rPr>
        <w:t>Prêts</w:t>
      </w:r>
    </w:p>
    <w:p>
      <w:pPr>
        <w:pStyle w:val="DGTextstand-alone"/>
      </w:pPr>
      <w:r>
        <w:t>La Commission accorde des prêts bilatéraux aux États membres et aux pays tiers conformément aux décisions du Parlement européen et du Conseil. En 2025, la Commission, agissant au nom de l’UE, a géré les programmes suivants dans le cadre desquels elle a accordé des prêts (outre les prêts FRR/REPowerEU mentionnés à la section </w:t>
      </w:r>
      <w:r>
        <w:rPr>
          <w:b/>
          <w:bCs/>
        </w:rPr>
        <w:t>3.3</w:t>
      </w:r>
      <w:r>
        <w:t>):</w:t>
      </w:r>
    </w:p>
    <w:p>
      <w:pPr>
        <w:pStyle w:val="DGTextstand-alonedashesjustified"/>
      </w:pPr>
      <w:r>
        <w:t>l’assistance SURE (soutien à l’atténuation des risques de chômage en situation d’urgence);</w:t>
      </w:r>
    </w:p>
    <w:p>
      <w:pPr>
        <w:pStyle w:val="DGTextstand-alonedashesjustified"/>
      </w:pPr>
      <w:r>
        <w:t>le soutien au mécanisme européen de stabilisation financière (MESF);</w:t>
      </w:r>
    </w:p>
    <w:p>
      <w:pPr>
        <w:pStyle w:val="DGTextstand-alonedashesjustified"/>
      </w:pPr>
      <w:r>
        <w:t>l'assistance macrofinancière (AMF);</w:t>
      </w:r>
    </w:p>
    <w:p>
      <w:pPr>
        <w:pStyle w:val="DGTextstand-alonedashesjustified"/>
      </w:pPr>
      <w:r>
        <w:t>la facilité pour l’Ukraine;</w:t>
      </w:r>
    </w:p>
    <w:p>
      <w:pPr>
        <w:pStyle w:val="DGTextstand-alonedashesjustified"/>
      </w:pPr>
      <w:r>
        <w:t>la facilité pour les Balkans occidentaux;</w:t>
      </w:r>
    </w:p>
    <w:p>
      <w:pPr>
        <w:pStyle w:val="DGTextstand-alonedashesjustified"/>
      </w:pPr>
      <w:r>
        <w:lastRenderedPageBreak/>
        <w:t>la facilité pour la Moldavie;</w:t>
      </w:r>
    </w:p>
    <w:p>
      <w:pPr>
        <w:pStyle w:val="DGTextstand-alonedashesjustified"/>
      </w:pPr>
      <w:r>
        <w:t>Euratom; et</w:t>
      </w:r>
    </w:p>
    <w:p>
      <w:pPr>
        <w:pStyle w:val="DGTextstand-alonedashesjustified"/>
      </w:pPr>
      <w:r>
        <w:t>la balance des paiements (BDP).</w:t>
      </w:r>
    </w:p>
    <w:p>
      <w:pPr>
        <w:rPr>
          <w:rFonts w:ascii="Verdana" w:hAnsi="Verdana"/>
          <w:noProof/>
          <w:sz w:val="18"/>
          <w:szCs w:val="18"/>
        </w:rPr>
      </w:pPr>
      <w:r>
        <w:rPr>
          <w:noProof/>
        </w:rPr>
        <w:br w:type="page"/>
      </w:r>
    </w:p>
    <w:p>
      <w:pPr>
        <w:pStyle w:val="DGTextstand-alone"/>
        <w:spacing w:after="120"/>
      </w:pPr>
      <w:r>
        <w:lastRenderedPageBreak/>
        <w:t>Au 31 décembre 2025, les montants nominaux des prêts en milliards d’EUR s’établissaient comme suit:</w:t>
      </w:r>
    </w:p>
    <w:tbl>
      <w:tblPr>
        <w:tblW w:w="9540" w:type="dxa"/>
        <w:tblInd w:w="108" w:type="dxa"/>
        <w:tblLook w:val="04A0" w:firstRow="1" w:lastRow="0" w:firstColumn="1" w:lastColumn="0" w:noHBand="0" w:noVBand="1"/>
      </w:tblPr>
      <w:tblGrid>
        <w:gridCol w:w="2700"/>
        <w:gridCol w:w="1360"/>
        <w:gridCol w:w="1880"/>
        <w:gridCol w:w="1960"/>
        <w:gridCol w:w="1640"/>
      </w:tblGrid>
      <w:tr>
        <w:trPr>
          <w:trHeight w:val="450"/>
        </w:trPr>
        <w:tc>
          <w:tcPr>
            <w:tcW w:w="2700" w:type="dxa"/>
            <w:tcBorders>
              <w:top w:val="nil"/>
              <w:left w:val="nil"/>
              <w:bottom w:val="nil"/>
              <w:right w:val="nil"/>
            </w:tcBorders>
            <w:shd w:val="clear" w:color="000000" w:fill="016794"/>
            <w:vAlign w:val="center"/>
            <w:hideMark/>
          </w:tcPr>
          <w:p>
            <w:pPr>
              <w:jc w:val="right"/>
              <w:rPr>
                <w:rFonts w:ascii="Verdana" w:hAnsi="Verdana" w:cs="Calibri"/>
                <w:noProof/>
                <w:color w:val="FFFFFF"/>
                <w:sz w:val="18"/>
                <w:szCs w:val="18"/>
              </w:rPr>
            </w:pPr>
            <w:r>
              <w:rPr>
                <w:rFonts w:ascii="Verdana" w:hAnsi="Verdana"/>
                <w:noProof/>
                <w:color w:val="FFFFFF"/>
                <w:sz w:val="18"/>
              </w:rPr>
              <w:t> </w:t>
            </w:r>
          </w:p>
        </w:tc>
        <w:tc>
          <w:tcPr>
            <w:tcW w:w="1360" w:type="dxa"/>
            <w:tcBorders>
              <w:top w:val="nil"/>
              <w:left w:val="nil"/>
              <w:bottom w:val="nil"/>
              <w:right w:val="nil"/>
            </w:tcBorders>
            <w:shd w:val="clear" w:color="000000" w:fill="016794"/>
            <w:vAlign w:val="center"/>
            <w:hideMark/>
          </w:tcPr>
          <w:p>
            <w:pPr>
              <w:jc w:val="right"/>
              <w:rPr>
                <w:rFonts w:ascii="Verdana" w:hAnsi="Verdana" w:cs="Calibri"/>
                <w:b/>
                <w:bCs/>
                <w:noProof/>
                <w:color w:val="FFFFFF"/>
                <w:sz w:val="18"/>
                <w:szCs w:val="18"/>
              </w:rPr>
            </w:pPr>
            <w:r>
              <w:rPr>
                <w:rFonts w:ascii="Verdana" w:hAnsi="Verdana"/>
                <w:b/>
                <w:noProof/>
                <w:color w:val="FFFFFF"/>
                <w:sz w:val="18"/>
              </w:rPr>
              <w:t>Total signés</w:t>
            </w:r>
          </w:p>
        </w:tc>
        <w:tc>
          <w:tcPr>
            <w:tcW w:w="1880" w:type="dxa"/>
            <w:tcBorders>
              <w:top w:val="nil"/>
              <w:left w:val="nil"/>
              <w:bottom w:val="nil"/>
              <w:right w:val="nil"/>
            </w:tcBorders>
            <w:shd w:val="clear" w:color="000000" w:fill="016794"/>
            <w:vAlign w:val="center"/>
            <w:hideMark/>
          </w:tcPr>
          <w:p>
            <w:pPr>
              <w:jc w:val="right"/>
              <w:rPr>
                <w:rFonts w:ascii="Verdana" w:hAnsi="Verdana" w:cs="Calibri"/>
                <w:b/>
                <w:bCs/>
                <w:noProof/>
                <w:color w:val="FFFFFF"/>
                <w:sz w:val="18"/>
                <w:szCs w:val="18"/>
              </w:rPr>
            </w:pPr>
            <w:r>
              <w:rPr>
                <w:rFonts w:ascii="Verdana" w:hAnsi="Verdana"/>
                <w:b/>
                <w:noProof/>
                <w:color w:val="FFFFFF"/>
                <w:sz w:val="18"/>
              </w:rPr>
              <w:t>Total non utilisé à la fin de l’exercice</w:t>
            </w:r>
          </w:p>
        </w:tc>
        <w:tc>
          <w:tcPr>
            <w:tcW w:w="1960" w:type="dxa"/>
            <w:tcBorders>
              <w:top w:val="nil"/>
              <w:left w:val="nil"/>
              <w:bottom w:val="nil"/>
              <w:right w:val="nil"/>
            </w:tcBorders>
            <w:shd w:val="clear" w:color="000000" w:fill="016794"/>
            <w:vAlign w:val="center"/>
            <w:hideMark/>
          </w:tcPr>
          <w:p>
            <w:pPr>
              <w:jc w:val="right"/>
              <w:rPr>
                <w:rFonts w:ascii="Verdana" w:hAnsi="Verdana" w:cs="Calibri"/>
                <w:b/>
                <w:bCs/>
                <w:noProof/>
                <w:color w:val="FFFFFF"/>
                <w:sz w:val="18"/>
                <w:szCs w:val="18"/>
              </w:rPr>
            </w:pPr>
            <w:r>
              <w:rPr>
                <w:rFonts w:ascii="Verdana" w:hAnsi="Verdana"/>
                <w:b/>
                <w:noProof/>
                <w:color w:val="FFFFFF"/>
                <w:sz w:val="18"/>
              </w:rPr>
              <w:t>Total décaissés à la fin de l’exercice</w:t>
            </w:r>
          </w:p>
        </w:tc>
        <w:tc>
          <w:tcPr>
            <w:tcW w:w="1640" w:type="dxa"/>
            <w:tcBorders>
              <w:top w:val="nil"/>
              <w:left w:val="nil"/>
              <w:bottom w:val="nil"/>
              <w:right w:val="nil"/>
            </w:tcBorders>
            <w:shd w:val="clear" w:color="000000" w:fill="016794"/>
            <w:vAlign w:val="center"/>
            <w:hideMark/>
          </w:tcPr>
          <w:p>
            <w:pPr>
              <w:jc w:val="right"/>
              <w:rPr>
                <w:rFonts w:ascii="Verdana" w:hAnsi="Verdana" w:cs="Calibri"/>
                <w:b/>
                <w:bCs/>
                <w:noProof/>
                <w:color w:val="FFFFFF"/>
                <w:sz w:val="18"/>
                <w:szCs w:val="18"/>
              </w:rPr>
            </w:pPr>
            <w:r>
              <w:rPr>
                <w:rFonts w:ascii="Verdana" w:hAnsi="Verdana"/>
                <w:b/>
                <w:noProof/>
                <w:color w:val="FFFFFF"/>
                <w:sz w:val="18"/>
              </w:rPr>
              <w:t>Encours à la fin de l’exercice</w:t>
            </w:r>
          </w:p>
        </w:tc>
      </w:tr>
      <w:tr>
        <w:trPr>
          <w:trHeight w:val="225"/>
        </w:trPr>
        <w:tc>
          <w:tcPr>
            <w:tcW w:w="2700" w:type="dxa"/>
            <w:tcBorders>
              <w:top w:val="nil"/>
              <w:left w:val="nil"/>
              <w:bottom w:val="nil"/>
              <w:right w:val="nil"/>
            </w:tcBorders>
            <w:shd w:val="clear" w:color="000000" w:fill="DBE5F1"/>
            <w:vAlign w:val="center"/>
            <w:hideMark/>
          </w:tcPr>
          <w:p>
            <w:pPr>
              <w:rPr>
                <w:rFonts w:ascii="Verdana" w:hAnsi="Verdana" w:cs="Calibri"/>
                <w:b/>
                <w:bCs/>
                <w:noProof/>
                <w:color w:val="000000"/>
                <w:sz w:val="18"/>
                <w:szCs w:val="18"/>
              </w:rPr>
            </w:pPr>
            <w:r>
              <w:rPr>
                <w:rFonts w:ascii="Verdana" w:hAnsi="Verdana"/>
                <w:b/>
                <w:noProof/>
                <w:color w:val="000000"/>
                <w:sz w:val="18"/>
              </w:rPr>
              <w:t>SURE</w:t>
            </w:r>
          </w:p>
        </w:tc>
        <w:tc>
          <w:tcPr>
            <w:tcW w:w="1360" w:type="dxa"/>
            <w:tcBorders>
              <w:top w:val="nil"/>
              <w:left w:val="nil"/>
              <w:bottom w:val="nil"/>
              <w:right w:val="nil"/>
            </w:tcBorders>
            <w:shd w:val="clear" w:color="000000" w:fill="DBE5F1"/>
            <w:vAlign w:val="center"/>
            <w:hideMark/>
          </w:tcPr>
          <w:p>
            <w:pPr>
              <w:jc w:val="right"/>
              <w:rPr>
                <w:rFonts w:ascii="Verdana" w:hAnsi="Verdana" w:cs="Calibri"/>
                <w:noProof/>
                <w:color w:val="000000"/>
                <w:sz w:val="18"/>
                <w:szCs w:val="18"/>
              </w:rPr>
            </w:pPr>
            <w:r>
              <w:rPr>
                <w:rFonts w:ascii="Verdana" w:hAnsi="Verdana"/>
                <w:noProof/>
                <w:color w:val="000000"/>
                <w:sz w:val="18"/>
              </w:rPr>
              <w:t> </w:t>
            </w:r>
          </w:p>
        </w:tc>
        <w:tc>
          <w:tcPr>
            <w:tcW w:w="1880" w:type="dxa"/>
            <w:tcBorders>
              <w:top w:val="nil"/>
              <w:left w:val="nil"/>
              <w:bottom w:val="nil"/>
              <w:right w:val="nil"/>
            </w:tcBorders>
            <w:shd w:val="clear" w:color="000000" w:fill="DBE5F1"/>
            <w:vAlign w:val="center"/>
            <w:hideMark/>
          </w:tcPr>
          <w:p>
            <w:pPr>
              <w:jc w:val="right"/>
              <w:rPr>
                <w:rFonts w:ascii="Verdana" w:hAnsi="Verdana" w:cs="Calibri"/>
                <w:noProof/>
                <w:color w:val="000000"/>
                <w:sz w:val="18"/>
                <w:szCs w:val="18"/>
              </w:rPr>
            </w:pPr>
            <w:r>
              <w:rPr>
                <w:rFonts w:ascii="Verdana" w:hAnsi="Verdana"/>
                <w:noProof/>
                <w:color w:val="000000"/>
                <w:sz w:val="18"/>
              </w:rPr>
              <w:t> </w:t>
            </w:r>
          </w:p>
        </w:tc>
        <w:tc>
          <w:tcPr>
            <w:tcW w:w="1960" w:type="dxa"/>
            <w:tcBorders>
              <w:top w:val="nil"/>
              <w:left w:val="nil"/>
              <w:bottom w:val="nil"/>
              <w:right w:val="nil"/>
            </w:tcBorders>
            <w:shd w:val="clear" w:color="000000" w:fill="DBE5F1"/>
            <w:vAlign w:val="center"/>
            <w:hideMark/>
          </w:tcPr>
          <w:p>
            <w:pPr>
              <w:jc w:val="right"/>
              <w:rPr>
                <w:rFonts w:ascii="Verdana" w:hAnsi="Verdana" w:cs="Calibri"/>
                <w:noProof/>
                <w:color w:val="000000"/>
                <w:sz w:val="18"/>
                <w:szCs w:val="18"/>
              </w:rPr>
            </w:pPr>
            <w:r>
              <w:rPr>
                <w:rFonts w:ascii="Verdana" w:hAnsi="Verdana"/>
                <w:noProof/>
                <w:color w:val="000000"/>
                <w:sz w:val="18"/>
              </w:rPr>
              <w:t> </w:t>
            </w:r>
          </w:p>
        </w:tc>
        <w:tc>
          <w:tcPr>
            <w:tcW w:w="1640" w:type="dxa"/>
            <w:tcBorders>
              <w:top w:val="nil"/>
              <w:left w:val="nil"/>
              <w:bottom w:val="nil"/>
              <w:right w:val="nil"/>
            </w:tcBorders>
            <w:shd w:val="clear" w:color="000000" w:fill="DBE5F1"/>
            <w:vAlign w:val="center"/>
            <w:hideMark/>
          </w:tcPr>
          <w:p>
            <w:pPr>
              <w:jc w:val="right"/>
              <w:rPr>
                <w:rFonts w:ascii="Verdana" w:hAnsi="Verdana" w:cs="Calibri"/>
                <w:noProof/>
                <w:color w:val="000000"/>
                <w:sz w:val="18"/>
                <w:szCs w:val="18"/>
              </w:rPr>
            </w:pPr>
            <w:r>
              <w:rPr>
                <w:rFonts w:ascii="Verdana" w:hAnsi="Verdana"/>
                <w:noProof/>
                <w:color w:val="000000"/>
                <w:sz w:val="18"/>
              </w:rPr>
              <w:t> </w:t>
            </w:r>
          </w:p>
        </w:tc>
      </w:tr>
      <w:tr>
        <w:trPr>
          <w:trHeight w:val="225"/>
        </w:trPr>
        <w:tc>
          <w:tcPr>
            <w:tcW w:w="2700"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 xml:space="preserve">Belgique </w:t>
            </w:r>
          </w:p>
        </w:tc>
        <w:tc>
          <w:tcPr>
            <w:tcW w:w="13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8,2</w:t>
            </w:r>
          </w:p>
        </w:tc>
        <w:tc>
          <w:tcPr>
            <w:tcW w:w="188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w:t>
            </w:r>
          </w:p>
        </w:tc>
        <w:tc>
          <w:tcPr>
            <w:tcW w:w="19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8,2</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8,2</w:t>
            </w:r>
          </w:p>
        </w:tc>
      </w:tr>
      <w:tr>
        <w:trPr>
          <w:trHeight w:val="225"/>
        </w:trPr>
        <w:tc>
          <w:tcPr>
            <w:tcW w:w="2700"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Bulgarie</w:t>
            </w:r>
          </w:p>
        </w:tc>
        <w:tc>
          <w:tcPr>
            <w:tcW w:w="13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1,0</w:t>
            </w:r>
          </w:p>
        </w:tc>
        <w:tc>
          <w:tcPr>
            <w:tcW w:w="188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w:t>
            </w:r>
          </w:p>
        </w:tc>
        <w:tc>
          <w:tcPr>
            <w:tcW w:w="19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1,0</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1,0</w:t>
            </w:r>
          </w:p>
        </w:tc>
      </w:tr>
      <w:tr>
        <w:trPr>
          <w:trHeight w:val="225"/>
        </w:trPr>
        <w:tc>
          <w:tcPr>
            <w:tcW w:w="2700"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Croatie</w:t>
            </w:r>
          </w:p>
        </w:tc>
        <w:tc>
          <w:tcPr>
            <w:tcW w:w="13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1,6</w:t>
            </w:r>
          </w:p>
        </w:tc>
        <w:tc>
          <w:tcPr>
            <w:tcW w:w="188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w:t>
            </w:r>
          </w:p>
        </w:tc>
        <w:tc>
          <w:tcPr>
            <w:tcW w:w="19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1,6</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1,2</w:t>
            </w:r>
          </w:p>
        </w:tc>
      </w:tr>
      <w:tr>
        <w:trPr>
          <w:trHeight w:val="225"/>
        </w:trPr>
        <w:tc>
          <w:tcPr>
            <w:tcW w:w="2700"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Chypre</w:t>
            </w:r>
          </w:p>
        </w:tc>
        <w:tc>
          <w:tcPr>
            <w:tcW w:w="13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0,6</w:t>
            </w:r>
          </w:p>
        </w:tc>
        <w:tc>
          <w:tcPr>
            <w:tcW w:w="188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w:t>
            </w:r>
          </w:p>
        </w:tc>
        <w:tc>
          <w:tcPr>
            <w:tcW w:w="19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0,6</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0,5</w:t>
            </w:r>
          </w:p>
        </w:tc>
      </w:tr>
      <w:tr>
        <w:trPr>
          <w:trHeight w:val="225"/>
        </w:trPr>
        <w:tc>
          <w:tcPr>
            <w:tcW w:w="2700"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Tchéquie</w:t>
            </w:r>
          </w:p>
        </w:tc>
        <w:tc>
          <w:tcPr>
            <w:tcW w:w="13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4,5</w:t>
            </w:r>
          </w:p>
        </w:tc>
        <w:tc>
          <w:tcPr>
            <w:tcW w:w="188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w:t>
            </w:r>
          </w:p>
        </w:tc>
        <w:tc>
          <w:tcPr>
            <w:tcW w:w="19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4,5</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4,5</w:t>
            </w:r>
          </w:p>
        </w:tc>
      </w:tr>
      <w:tr>
        <w:trPr>
          <w:trHeight w:val="225"/>
        </w:trPr>
        <w:tc>
          <w:tcPr>
            <w:tcW w:w="2700"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Estonie</w:t>
            </w:r>
          </w:p>
        </w:tc>
        <w:tc>
          <w:tcPr>
            <w:tcW w:w="13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0,2</w:t>
            </w:r>
          </w:p>
        </w:tc>
        <w:tc>
          <w:tcPr>
            <w:tcW w:w="188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w:t>
            </w:r>
          </w:p>
        </w:tc>
        <w:tc>
          <w:tcPr>
            <w:tcW w:w="19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0,2</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0,2</w:t>
            </w:r>
          </w:p>
        </w:tc>
      </w:tr>
      <w:tr>
        <w:trPr>
          <w:trHeight w:val="225"/>
        </w:trPr>
        <w:tc>
          <w:tcPr>
            <w:tcW w:w="2700"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Grèce</w:t>
            </w:r>
          </w:p>
        </w:tc>
        <w:tc>
          <w:tcPr>
            <w:tcW w:w="13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6,2</w:t>
            </w:r>
          </w:p>
        </w:tc>
        <w:tc>
          <w:tcPr>
            <w:tcW w:w="188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w:t>
            </w:r>
          </w:p>
        </w:tc>
        <w:tc>
          <w:tcPr>
            <w:tcW w:w="19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6,2</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5,2</w:t>
            </w:r>
          </w:p>
        </w:tc>
      </w:tr>
      <w:tr>
        <w:trPr>
          <w:trHeight w:val="225"/>
        </w:trPr>
        <w:tc>
          <w:tcPr>
            <w:tcW w:w="2700"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Hongrie</w:t>
            </w:r>
          </w:p>
        </w:tc>
        <w:tc>
          <w:tcPr>
            <w:tcW w:w="13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0,7</w:t>
            </w:r>
          </w:p>
        </w:tc>
        <w:tc>
          <w:tcPr>
            <w:tcW w:w="188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w:t>
            </w:r>
          </w:p>
        </w:tc>
        <w:tc>
          <w:tcPr>
            <w:tcW w:w="19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0,7</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0,7</w:t>
            </w:r>
          </w:p>
        </w:tc>
      </w:tr>
      <w:tr>
        <w:trPr>
          <w:trHeight w:val="225"/>
        </w:trPr>
        <w:tc>
          <w:tcPr>
            <w:tcW w:w="2700"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Irlande</w:t>
            </w:r>
          </w:p>
        </w:tc>
        <w:tc>
          <w:tcPr>
            <w:tcW w:w="13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2,5</w:t>
            </w:r>
          </w:p>
        </w:tc>
        <w:tc>
          <w:tcPr>
            <w:tcW w:w="188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w:t>
            </w:r>
          </w:p>
        </w:tc>
        <w:tc>
          <w:tcPr>
            <w:tcW w:w="19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2,5</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2,5</w:t>
            </w:r>
          </w:p>
        </w:tc>
      </w:tr>
      <w:tr>
        <w:trPr>
          <w:trHeight w:val="225"/>
        </w:trPr>
        <w:tc>
          <w:tcPr>
            <w:tcW w:w="2700"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Italie</w:t>
            </w:r>
          </w:p>
        </w:tc>
        <w:tc>
          <w:tcPr>
            <w:tcW w:w="13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27,4</w:t>
            </w:r>
          </w:p>
        </w:tc>
        <w:tc>
          <w:tcPr>
            <w:tcW w:w="188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w:t>
            </w:r>
          </w:p>
        </w:tc>
        <w:tc>
          <w:tcPr>
            <w:tcW w:w="19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27,4</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24,3</w:t>
            </w:r>
          </w:p>
        </w:tc>
      </w:tr>
      <w:tr>
        <w:trPr>
          <w:trHeight w:val="225"/>
        </w:trPr>
        <w:tc>
          <w:tcPr>
            <w:tcW w:w="2700"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Lettonie</w:t>
            </w:r>
          </w:p>
        </w:tc>
        <w:tc>
          <w:tcPr>
            <w:tcW w:w="13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0,5</w:t>
            </w:r>
          </w:p>
        </w:tc>
        <w:tc>
          <w:tcPr>
            <w:tcW w:w="188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w:t>
            </w:r>
          </w:p>
        </w:tc>
        <w:tc>
          <w:tcPr>
            <w:tcW w:w="19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0,5</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0,4</w:t>
            </w:r>
          </w:p>
        </w:tc>
      </w:tr>
      <w:tr>
        <w:trPr>
          <w:trHeight w:val="225"/>
        </w:trPr>
        <w:tc>
          <w:tcPr>
            <w:tcW w:w="2700"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Lituanie</w:t>
            </w:r>
          </w:p>
        </w:tc>
        <w:tc>
          <w:tcPr>
            <w:tcW w:w="13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1,1</w:t>
            </w:r>
          </w:p>
        </w:tc>
        <w:tc>
          <w:tcPr>
            <w:tcW w:w="188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w:t>
            </w:r>
          </w:p>
        </w:tc>
        <w:tc>
          <w:tcPr>
            <w:tcW w:w="19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1,1</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0,9</w:t>
            </w:r>
          </w:p>
        </w:tc>
      </w:tr>
      <w:tr>
        <w:trPr>
          <w:trHeight w:val="225"/>
        </w:trPr>
        <w:tc>
          <w:tcPr>
            <w:tcW w:w="2700"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Malte</w:t>
            </w:r>
          </w:p>
        </w:tc>
        <w:tc>
          <w:tcPr>
            <w:tcW w:w="13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0,4</w:t>
            </w:r>
          </w:p>
        </w:tc>
        <w:tc>
          <w:tcPr>
            <w:tcW w:w="188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w:t>
            </w:r>
          </w:p>
        </w:tc>
        <w:tc>
          <w:tcPr>
            <w:tcW w:w="19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0,4</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0,3</w:t>
            </w:r>
          </w:p>
        </w:tc>
      </w:tr>
      <w:tr>
        <w:trPr>
          <w:trHeight w:val="225"/>
        </w:trPr>
        <w:tc>
          <w:tcPr>
            <w:tcW w:w="2700"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Pologne</w:t>
            </w:r>
          </w:p>
        </w:tc>
        <w:tc>
          <w:tcPr>
            <w:tcW w:w="13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11,2</w:t>
            </w:r>
          </w:p>
        </w:tc>
        <w:tc>
          <w:tcPr>
            <w:tcW w:w="188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w:t>
            </w:r>
          </w:p>
        </w:tc>
        <w:tc>
          <w:tcPr>
            <w:tcW w:w="19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11,2</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11,2</w:t>
            </w:r>
          </w:p>
        </w:tc>
      </w:tr>
      <w:tr>
        <w:trPr>
          <w:trHeight w:val="225"/>
        </w:trPr>
        <w:tc>
          <w:tcPr>
            <w:tcW w:w="2700"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Portugal</w:t>
            </w:r>
          </w:p>
        </w:tc>
        <w:tc>
          <w:tcPr>
            <w:tcW w:w="13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6,2</w:t>
            </w:r>
          </w:p>
        </w:tc>
        <w:tc>
          <w:tcPr>
            <w:tcW w:w="188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w:t>
            </w:r>
          </w:p>
        </w:tc>
        <w:tc>
          <w:tcPr>
            <w:tcW w:w="19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6,2</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6,2</w:t>
            </w:r>
          </w:p>
        </w:tc>
      </w:tr>
      <w:tr>
        <w:trPr>
          <w:trHeight w:val="225"/>
        </w:trPr>
        <w:tc>
          <w:tcPr>
            <w:tcW w:w="2700"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Roumanie</w:t>
            </w:r>
          </w:p>
        </w:tc>
        <w:tc>
          <w:tcPr>
            <w:tcW w:w="13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3,0</w:t>
            </w:r>
          </w:p>
        </w:tc>
        <w:tc>
          <w:tcPr>
            <w:tcW w:w="188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w:t>
            </w:r>
          </w:p>
        </w:tc>
        <w:tc>
          <w:tcPr>
            <w:tcW w:w="19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3,0</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3,0</w:t>
            </w:r>
          </w:p>
        </w:tc>
      </w:tr>
      <w:tr>
        <w:trPr>
          <w:trHeight w:val="225"/>
        </w:trPr>
        <w:tc>
          <w:tcPr>
            <w:tcW w:w="2700"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Slovaquie</w:t>
            </w:r>
          </w:p>
        </w:tc>
        <w:tc>
          <w:tcPr>
            <w:tcW w:w="13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0,6</w:t>
            </w:r>
          </w:p>
        </w:tc>
        <w:tc>
          <w:tcPr>
            <w:tcW w:w="188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w:t>
            </w:r>
          </w:p>
        </w:tc>
        <w:tc>
          <w:tcPr>
            <w:tcW w:w="19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0,6</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0,6</w:t>
            </w:r>
          </w:p>
        </w:tc>
      </w:tr>
      <w:tr>
        <w:trPr>
          <w:trHeight w:val="225"/>
        </w:trPr>
        <w:tc>
          <w:tcPr>
            <w:tcW w:w="2700"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Slovénie</w:t>
            </w:r>
          </w:p>
        </w:tc>
        <w:tc>
          <w:tcPr>
            <w:tcW w:w="13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1,1</w:t>
            </w:r>
          </w:p>
        </w:tc>
        <w:tc>
          <w:tcPr>
            <w:tcW w:w="188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w:t>
            </w:r>
          </w:p>
        </w:tc>
        <w:tc>
          <w:tcPr>
            <w:tcW w:w="19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1,1</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0,9</w:t>
            </w:r>
          </w:p>
        </w:tc>
      </w:tr>
      <w:tr>
        <w:trPr>
          <w:trHeight w:val="240"/>
        </w:trPr>
        <w:tc>
          <w:tcPr>
            <w:tcW w:w="2700"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Espagne</w:t>
            </w:r>
          </w:p>
        </w:tc>
        <w:tc>
          <w:tcPr>
            <w:tcW w:w="13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21,3</w:t>
            </w:r>
          </w:p>
        </w:tc>
        <w:tc>
          <w:tcPr>
            <w:tcW w:w="188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w:t>
            </w:r>
          </w:p>
        </w:tc>
        <w:tc>
          <w:tcPr>
            <w:tcW w:w="19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21,3</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18,5</w:t>
            </w:r>
          </w:p>
        </w:tc>
      </w:tr>
      <w:tr>
        <w:trPr>
          <w:trHeight w:val="240"/>
        </w:trPr>
        <w:tc>
          <w:tcPr>
            <w:tcW w:w="2700" w:type="dxa"/>
            <w:tcBorders>
              <w:top w:val="single" w:sz="8" w:space="0" w:color="016794"/>
              <w:left w:val="nil"/>
              <w:bottom w:val="single" w:sz="8" w:space="0" w:color="016794"/>
              <w:right w:val="nil"/>
            </w:tcBorders>
            <w:vAlign w:val="center"/>
            <w:hideMark/>
          </w:tcPr>
          <w:p>
            <w:pPr>
              <w:rPr>
                <w:rFonts w:ascii="Verdana" w:hAnsi="Verdana" w:cs="Calibri"/>
                <w:b/>
                <w:bCs/>
                <w:noProof/>
                <w:color w:val="000000"/>
                <w:sz w:val="18"/>
                <w:szCs w:val="18"/>
              </w:rPr>
            </w:pPr>
            <w:r>
              <w:rPr>
                <w:rFonts w:ascii="Verdana" w:hAnsi="Verdana"/>
                <w:b/>
                <w:noProof/>
                <w:color w:val="000000"/>
                <w:sz w:val="18"/>
              </w:rPr>
              <w:t> </w:t>
            </w:r>
          </w:p>
        </w:tc>
        <w:tc>
          <w:tcPr>
            <w:tcW w:w="1360" w:type="dxa"/>
            <w:tcBorders>
              <w:top w:val="single" w:sz="8" w:space="0" w:color="016794"/>
              <w:left w:val="nil"/>
              <w:bottom w:val="single" w:sz="8" w:space="0" w:color="016794"/>
              <w:right w:val="nil"/>
            </w:tcBorders>
            <w:vAlign w:val="center"/>
            <w:hideMark/>
          </w:tcPr>
          <w:p>
            <w:pPr>
              <w:jc w:val="right"/>
              <w:rPr>
                <w:rFonts w:ascii="Verdana" w:hAnsi="Verdana" w:cs="Calibri"/>
                <w:b/>
                <w:bCs/>
                <w:noProof/>
                <w:color w:val="000000"/>
                <w:sz w:val="18"/>
                <w:szCs w:val="18"/>
              </w:rPr>
            </w:pPr>
            <w:r>
              <w:rPr>
                <w:rFonts w:ascii="Verdana" w:hAnsi="Verdana"/>
                <w:b/>
                <w:noProof/>
                <w:color w:val="000000"/>
                <w:sz w:val="18"/>
              </w:rPr>
              <w:t>98,4</w:t>
            </w:r>
          </w:p>
        </w:tc>
        <w:tc>
          <w:tcPr>
            <w:tcW w:w="1880" w:type="dxa"/>
            <w:tcBorders>
              <w:top w:val="single" w:sz="8" w:space="0" w:color="016794"/>
              <w:left w:val="nil"/>
              <w:bottom w:val="single" w:sz="8" w:space="0" w:color="016794"/>
              <w:right w:val="nil"/>
            </w:tcBorders>
            <w:vAlign w:val="center"/>
            <w:hideMark/>
          </w:tcPr>
          <w:p>
            <w:pPr>
              <w:jc w:val="right"/>
              <w:rPr>
                <w:rFonts w:ascii="Verdana" w:hAnsi="Verdana" w:cs="Calibri"/>
                <w:b/>
                <w:bCs/>
                <w:noProof/>
                <w:color w:val="000000"/>
                <w:sz w:val="18"/>
                <w:szCs w:val="18"/>
              </w:rPr>
            </w:pPr>
            <w:r>
              <w:rPr>
                <w:rFonts w:ascii="Verdana" w:hAnsi="Verdana"/>
                <w:b/>
                <w:noProof/>
                <w:color w:val="000000"/>
                <w:sz w:val="18"/>
              </w:rPr>
              <w:t>-</w:t>
            </w:r>
          </w:p>
        </w:tc>
        <w:tc>
          <w:tcPr>
            <w:tcW w:w="1960" w:type="dxa"/>
            <w:tcBorders>
              <w:top w:val="single" w:sz="8" w:space="0" w:color="016794"/>
              <w:left w:val="nil"/>
              <w:bottom w:val="single" w:sz="8" w:space="0" w:color="016794"/>
              <w:right w:val="nil"/>
            </w:tcBorders>
            <w:vAlign w:val="center"/>
            <w:hideMark/>
          </w:tcPr>
          <w:p>
            <w:pPr>
              <w:jc w:val="right"/>
              <w:rPr>
                <w:rFonts w:ascii="Verdana" w:hAnsi="Verdana" w:cs="Calibri"/>
                <w:b/>
                <w:bCs/>
                <w:noProof/>
                <w:color w:val="000000"/>
                <w:sz w:val="18"/>
                <w:szCs w:val="18"/>
              </w:rPr>
            </w:pPr>
            <w:r>
              <w:rPr>
                <w:rFonts w:ascii="Verdana" w:hAnsi="Verdana"/>
                <w:b/>
                <w:noProof/>
                <w:color w:val="000000"/>
                <w:sz w:val="18"/>
              </w:rPr>
              <w:t>98,4</w:t>
            </w:r>
          </w:p>
        </w:tc>
        <w:tc>
          <w:tcPr>
            <w:tcW w:w="1640" w:type="dxa"/>
            <w:tcBorders>
              <w:top w:val="single" w:sz="8" w:space="0" w:color="016794"/>
              <w:left w:val="nil"/>
              <w:bottom w:val="single" w:sz="8" w:space="0" w:color="016794"/>
              <w:right w:val="nil"/>
            </w:tcBorders>
            <w:vAlign w:val="center"/>
            <w:hideMark/>
          </w:tcPr>
          <w:p>
            <w:pPr>
              <w:jc w:val="right"/>
              <w:rPr>
                <w:rFonts w:ascii="Verdana" w:hAnsi="Verdana" w:cs="Calibri"/>
                <w:b/>
                <w:bCs/>
                <w:noProof/>
                <w:color w:val="000000"/>
                <w:sz w:val="18"/>
                <w:szCs w:val="18"/>
              </w:rPr>
            </w:pPr>
            <w:r>
              <w:rPr>
                <w:rFonts w:ascii="Verdana" w:hAnsi="Verdana"/>
                <w:b/>
                <w:noProof/>
                <w:color w:val="000000"/>
                <w:sz w:val="18"/>
              </w:rPr>
              <w:t>90,4</w:t>
            </w:r>
          </w:p>
        </w:tc>
      </w:tr>
      <w:tr>
        <w:trPr>
          <w:trHeight w:val="225"/>
        </w:trPr>
        <w:tc>
          <w:tcPr>
            <w:tcW w:w="2700" w:type="dxa"/>
            <w:tcBorders>
              <w:top w:val="nil"/>
              <w:left w:val="nil"/>
              <w:bottom w:val="nil"/>
              <w:right w:val="nil"/>
            </w:tcBorders>
            <w:shd w:val="clear" w:color="000000" w:fill="DBE5F1"/>
            <w:vAlign w:val="center"/>
            <w:hideMark/>
          </w:tcPr>
          <w:p>
            <w:pPr>
              <w:rPr>
                <w:rFonts w:ascii="Verdana" w:hAnsi="Verdana" w:cs="Calibri"/>
                <w:b/>
                <w:bCs/>
                <w:noProof/>
                <w:color w:val="000000"/>
                <w:sz w:val="18"/>
                <w:szCs w:val="18"/>
              </w:rPr>
            </w:pPr>
            <w:r>
              <w:rPr>
                <w:rFonts w:ascii="Verdana" w:hAnsi="Verdana"/>
                <w:b/>
                <w:noProof/>
                <w:color w:val="000000"/>
                <w:sz w:val="18"/>
              </w:rPr>
              <w:t>MESF</w:t>
            </w:r>
          </w:p>
        </w:tc>
        <w:tc>
          <w:tcPr>
            <w:tcW w:w="1360" w:type="dxa"/>
            <w:tcBorders>
              <w:top w:val="nil"/>
              <w:left w:val="nil"/>
              <w:bottom w:val="nil"/>
              <w:right w:val="nil"/>
            </w:tcBorders>
            <w:shd w:val="clear" w:color="000000" w:fill="DBE5F1"/>
            <w:vAlign w:val="center"/>
            <w:hideMark/>
          </w:tcPr>
          <w:p>
            <w:pPr>
              <w:jc w:val="right"/>
              <w:rPr>
                <w:rFonts w:ascii="Verdana" w:hAnsi="Verdana" w:cs="Calibri"/>
                <w:noProof/>
                <w:color w:val="000000"/>
                <w:sz w:val="18"/>
                <w:szCs w:val="18"/>
              </w:rPr>
            </w:pPr>
            <w:r>
              <w:rPr>
                <w:rFonts w:ascii="Verdana" w:hAnsi="Verdana"/>
                <w:noProof/>
                <w:color w:val="000000"/>
                <w:sz w:val="18"/>
              </w:rPr>
              <w:t> </w:t>
            </w:r>
          </w:p>
        </w:tc>
        <w:tc>
          <w:tcPr>
            <w:tcW w:w="1880" w:type="dxa"/>
            <w:tcBorders>
              <w:top w:val="nil"/>
              <w:left w:val="nil"/>
              <w:bottom w:val="nil"/>
              <w:right w:val="nil"/>
            </w:tcBorders>
            <w:shd w:val="clear" w:color="000000" w:fill="DBE5F1"/>
            <w:vAlign w:val="center"/>
            <w:hideMark/>
          </w:tcPr>
          <w:p>
            <w:pPr>
              <w:jc w:val="right"/>
              <w:rPr>
                <w:rFonts w:ascii="Verdana" w:hAnsi="Verdana" w:cs="Calibri"/>
                <w:b/>
                <w:bCs/>
                <w:noProof/>
                <w:color w:val="000000"/>
                <w:sz w:val="18"/>
                <w:szCs w:val="18"/>
              </w:rPr>
            </w:pPr>
            <w:r>
              <w:rPr>
                <w:rFonts w:ascii="Verdana" w:hAnsi="Verdana"/>
                <w:b/>
                <w:noProof/>
                <w:color w:val="000000"/>
                <w:sz w:val="18"/>
              </w:rPr>
              <w:t> </w:t>
            </w:r>
          </w:p>
        </w:tc>
        <w:tc>
          <w:tcPr>
            <w:tcW w:w="1960" w:type="dxa"/>
            <w:tcBorders>
              <w:top w:val="nil"/>
              <w:left w:val="nil"/>
              <w:bottom w:val="nil"/>
              <w:right w:val="nil"/>
            </w:tcBorders>
            <w:shd w:val="clear" w:color="000000" w:fill="DBE5F1"/>
            <w:vAlign w:val="center"/>
            <w:hideMark/>
          </w:tcPr>
          <w:p>
            <w:pPr>
              <w:jc w:val="right"/>
              <w:rPr>
                <w:rFonts w:ascii="Verdana" w:hAnsi="Verdana" w:cs="Calibri"/>
                <w:noProof/>
                <w:color w:val="000000"/>
                <w:sz w:val="18"/>
                <w:szCs w:val="18"/>
              </w:rPr>
            </w:pPr>
            <w:r>
              <w:rPr>
                <w:rFonts w:ascii="Verdana" w:hAnsi="Verdana"/>
                <w:noProof/>
                <w:color w:val="000000"/>
                <w:sz w:val="18"/>
              </w:rPr>
              <w:t> </w:t>
            </w:r>
          </w:p>
        </w:tc>
        <w:tc>
          <w:tcPr>
            <w:tcW w:w="1640" w:type="dxa"/>
            <w:tcBorders>
              <w:top w:val="nil"/>
              <w:left w:val="nil"/>
              <w:bottom w:val="nil"/>
              <w:right w:val="nil"/>
            </w:tcBorders>
            <w:shd w:val="clear" w:color="000000" w:fill="DBE5F1"/>
            <w:vAlign w:val="center"/>
            <w:hideMark/>
          </w:tcPr>
          <w:p>
            <w:pPr>
              <w:jc w:val="right"/>
              <w:rPr>
                <w:rFonts w:ascii="Verdana" w:hAnsi="Verdana" w:cs="Calibri"/>
                <w:noProof/>
                <w:color w:val="000000"/>
                <w:sz w:val="18"/>
                <w:szCs w:val="18"/>
              </w:rPr>
            </w:pPr>
            <w:r>
              <w:rPr>
                <w:rFonts w:ascii="Verdana" w:hAnsi="Verdana"/>
                <w:noProof/>
                <w:color w:val="000000"/>
                <w:sz w:val="18"/>
              </w:rPr>
              <w:t> </w:t>
            </w:r>
          </w:p>
        </w:tc>
      </w:tr>
      <w:tr>
        <w:trPr>
          <w:trHeight w:val="225"/>
        </w:trPr>
        <w:tc>
          <w:tcPr>
            <w:tcW w:w="2700"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Irlande</w:t>
            </w:r>
          </w:p>
        </w:tc>
        <w:tc>
          <w:tcPr>
            <w:tcW w:w="13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22,5</w:t>
            </w:r>
          </w:p>
        </w:tc>
        <w:tc>
          <w:tcPr>
            <w:tcW w:w="188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w:t>
            </w:r>
          </w:p>
        </w:tc>
        <w:tc>
          <w:tcPr>
            <w:tcW w:w="19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22,5</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17,3</w:t>
            </w:r>
          </w:p>
        </w:tc>
      </w:tr>
      <w:tr>
        <w:trPr>
          <w:trHeight w:val="240"/>
        </w:trPr>
        <w:tc>
          <w:tcPr>
            <w:tcW w:w="2700"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Portugal</w:t>
            </w:r>
          </w:p>
        </w:tc>
        <w:tc>
          <w:tcPr>
            <w:tcW w:w="13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24,3</w:t>
            </w:r>
          </w:p>
        </w:tc>
        <w:tc>
          <w:tcPr>
            <w:tcW w:w="188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w:t>
            </w:r>
          </w:p>
        </w:tc>
        <w:tc>
          <w:tcPr>
            <w:tcW w:w="19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24,3</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19,8</w:t>
            </w:r>
          </w:p>
        </w:tc>
      </w:tr>
      <w:tr>
        <w:trPr>
          <w:trHeight w:val="240"/>
        </w:trPr>
        <w:tc>
          <w:tcPr>
            <w:tcW w:w="2700" w:type="dxa"/>
            <w:tcBorders>
              <w:top w:val="single" w:sz="8" w:space="0" w:color="016794"/>
              <w:left w:val="nil"/>
              <w:bottom w:val="single" w:sz="8" w:space="0" w:color="016794"/>
              <w:right w:val="nil"/>
            </w:tcBorders>
            <w:vAlign w:val="center"/>
            <w:hideMark/>
          </w:tcPr>
          <w:p>
            <w:pPr>
              <w:rPr>
                <w:rFonts w:ascii="Verdana" w:hAnsi="Verdana" w:cs="Calibri"/>
                <w:b/>
                <w:bCs/>
                <w:noProof/>
                <w:color w:val="000000"/>
                <w:sz w:val="18"/>
                <w:szCs w:val="18"/>
              </w:rPr>
            </w:pPr>
            <w:r>
              <w:rPr>
                <w:rFonts w:ascii="Verdana" w:hAnsi="Verdana"/>
                <w:b/>
                <w:noProof/>
                <w:color w:val="000000"/>
                <w:sz w:val="18"/>
              </w:rPr>
              <w:t> </w:t>
            </w:r>
          </w:p>
        </w:tc>
        <w:tc>
          <w:tcPr>
            <w:tcW w:w="1360" w:type="dxa"/>
            <w:tcBorders>
              <w:top w:val="single" w:sz="8" w:space="0" w:color="016794"/>
              <w:left w:val="nil"/>
              <w:bottom w:val="single" w:sz="8" w:space="0" w:color="016794"/>
              <w:right w:val="nil"/>
            </w:tcBorders>
            <w:vAlign w:val="center"/>
            <w:hideMark/>
          </w:tcPr>
          <w:p>
            <w:pPr>
              <w:jc w:val="right"/>
              <w:rPr>
                <w:rFonts w:ascii="Verdana" w:hAnsi="Verdana" w:cs="Calibri"/>
                <w:b/>
                <w:bCs/>
                <w:noProof/>
                <w:color w:val="000000"/>
                <w:sz w:val="18"/>
                <w:szCs w:val="18"/>
              </w:rPr>
            </w:pPr>
            <w:r>
              <w:rPr>
                <w:rFonts w:ascii="Verdana" w:hAnsi="Verdana"/>
                <w:b/>
                <w:noProof/>
                <w:color w:val="000000"/>
                <w:sz w:val="18"/>
              </w:rPr>
              <w:t>46,8</w:t>
            </w:r>
          </w:p>
        </w:tc>
        <w:tc>
          <w:tcPr>
            <w:tcW w:w="1880" w:type="dxa"/>
            <w:tcBorders>
              <w:top w:val="single" w:sz="8" w:space="0" w:color="016794"/>
              <w:left w:val="nil"/>
              <w:bottom w:val="single" w:sz="8" w:space="0" w:color="016794"/>
              <w:right w:val="nil"/>
            </w:tcBorders>
            <w:vAlign w:val="center"/>
            <w:hideMark/>
          </w:tcPr>
          <w:p>
            <w:pPr>
              <w:jc w:val="right"/>
              <w:rPr>
                <w:rFonts w:ascii="Verdana" w:hAnsi="Verdana" w:cs="Calibri"/>
                <w:b/>
                <w:bCs/>
                <w:noProof/>
                <w:color w:val="000000"/>
                <w:sz w:val="18"/>
                <w:szCs w:val="18"/>
              </w:rPr>
            </w:pPr>
            <w:r>
              <w:rPr>
                <w:rFonts w:ascii="Verdana" w:hAnsi="Verdana"/>
                <w:b/>
                <w:noProof/>
                <w:color w:val="000000"/>
                <w:sz w:val="18"/>
              </w:rPr>
              <w:t>-</w:t>
            </w:r>
          </w:p>
        </w:tc>
        <w:tc>
          <w:tcPr>
            <w:tcW w:w="1960" w:type="dxa"/>
            <w:tcBorders>
              <w:top w:val="single" w:sz="8" w:space="0" w:color="016794"/>
              <w:left w:val="nil"/>
              <w:bottom w:val="single" w:sz="8" w:space="0" w:color="016794"/>
              <w:right w:val="nil"/>
            </w:tcBorders>
            <w:vAlign w:val="center"/>
            <w:hideMark/>
          </w:tcPr>
          <w:p>
            <w:pPr>
              <w:jc w:val="right"/>
              <w:rPr>
                <w:rFonts w:ascii="Verdana" w:hAnsi="Verdana" w:cs="Calibri"/>
                <w:b/>
                <w:bCs/>
                <w:noProof/>
                <w:color w:val="000000"/>
                <w:sz w:val="18"/>
                <w:szCs w:val="18"/>
              </w:rPr>
            </w:pPr>
            <w:r>
              <w:rPr>
                <w:rFonts w:ascii="Verdana" w:hAnsi="Verdana"/>
                <w:b/>
                <w:noProof/>
                <w:color w:val="000000"/>
                <w:sz w:val="18"/>
              </w:rPr>
              <w:t>46,8</w:t>
            </w:r>
          </w:p>
        </w:tc>
        <w:tc>
          <w:tcPr>
            <w:tcW w:w="1640" w:type="dxa"/>
            <w:tcBorders>
              <w:top w:val="single" w:sz="8" w:space="0" w:color="016794"/>
              <w:left w:val="nil"/>
              <w:bottom w:val="single" w:sz="8" w:space="0" w:color="016794"/>
              <w:right w:val="nil"/>
            </w:tcBorders>
            <w:vAlign w:val="center"/>
            <w:hideMark/>
          </w:tcPr>
          <w:p>
            <w:pPr>
              <w:jc w:val="right"/>
              <w:rPr>
                <w:rFonts w:ascii="Verdana" w:hAnsi="Verdana" w:cs="Calibri"/>
                <w:b/>
                <w:bCs/>
                <w:noProof/>
                <w:color w:val="000000"/>
                <w:sz w:val="18"/>
                <w:szCs w:val="18"/>
              </w:rPr>
            </w:pPr>
            <w:r>
              <w:rPr>
                <w:rFonts w:ascii="Verdana" w:hAnsi="Verdana"/>
                <w:b/>
                <w:noProof/>
                <w:color w:val="000000"/>
                <w:sz w:val="18"/>
              </w:rPr>
              <w:t>37,1</w:t>
            </w:r>
          </w:p>
        </w:tc>
      </w:tr>
      <w:tr>
        <w:trPr>
          <w:trHeight w:val="225"/>
        </w:trPr>
        <w:tc>
          <w:tcPr>
            <w:tcW w:w="2700" w:type="dxa"/>
            <w:tcBorders>
              <w:top w:val="nil"/>
              <w:left w:val="nil"/>
              <w:bottom w:val="nil"/>
              <w:right w:val="nil"/>
            </w:tcBorders>
            <w:shd w:val="clear" w:color="000000" w:fill="DBE5F1"/>
            <w:vAlign w:val="center"/>
            <w:hideMark/>
          </w:tcPr>
          <w:p>
            <w:pPr>
              <w:rPr>
                <w:rFonts w:ascii="Verdana" w:hAnsi="Verdana" w:cs="Calibri"/>
                <w:b/>
                <w:bCs/>
                <w:noProof/>
                <w:color w:val="000000"/>
                <w:sz w:val="18"/>
                <w:szCs w:val="18"/>
              </w:rPr>
            </w:pPr>
            <w:r>
              <w:rPr>
                <w:rFonts w:ascii="Verdana" w:hAnsi="Verdana"/>
                <w:b/>
                <w:noProof/>
                <w:color w:val="000000"/>
                <w:sz w:val="18"/>
              </w:rPr>
              <w:t>AMF</w:t>
            </w:r>
          </w:p>
        </w:tc>
        <w:tc>
          <w:tcPr>
            <w:tcW w:w="1360" w:type="dxa"/>
            <w:tcBorders>
              <w:top w:val="nil"/>
              <w:left w:val="nil"/>
              <w:bottom w:val="nil"/>
              <w:right w:val="nil"/>
            </w:tcBorders>
            <w:shd w:val="clear" w:color="000000" w:fill="DBE5F1"/>
            <w:vAlign w:val="center"/>
            <w:hideMark/>
          </w:tcPr>
          <w:p>
            <w:pPr>
              <w:jc w:val="right"/>
              <w:rPr>
                <w:rFonts w:ascii="Verdana" w:hAnsi="Verdana" w:cs="Calibri"/>
                <w:noProof/>
                <w:color w:val="000000"/>
                <w:sz w:val="18"/>
                <w:szCs w:val="18"/>
              </w:rPr>
            </w:pPr>
            <w:r>
              <w:rPr>
                <w:rFonts w:ascii="Verdana" w:hAnsi="Verdana"/>
                <w:noProof/>
                <w:color w:val="000000"/>
                <w:sz w:val="18"/>
              </w:rPr>
              <w:t> </w:t>
            </w:r>
          </w:p>
        </w:tc>
        <w:tc>
          <w:tcPr>
            <w:tcW w:w="1880" w:type="dxa"/>
            <w:tcBorders>
              <w:top w:val="nil"/>
              <w:left w:val="nil"/>
              <w:bottom w:val="nil"/>
              <w:right w:val="nil"/>
            </w:tcBorders>
            <w:shd w:val="clear" w:color="000000" w:fill="DBE5F1"/>
            <w:vAlign w:val="center"/>
            <w:hideMark/>
          </w:tcPr>
          <w:p>
            <w:pPr>
              <w:jc w:val="right"/>
              <w:rPr>
                <w:rFonts w:ascii="Verdana" w:hAnsi="Verdana" w:cs="Calibri"/>
                <w:noProof/>
                <w:color w:val="000000"/>
                <w:sz w:val="18"/>
                <w:szCs w:val="18"/>
              </w:rPr>
            </w:pPr>
            <w:r>
              <w:rPr>
                <w:rFonts w:ascii="Verdana" w:hAnsi="Verdana"/>
                <w:noProof/>
                <w:color w:val="000000"/>
                <w:sz w:val="18"/>
              </w:rPr>
              <w:t> </w:t>
            </w:r>
          </w:p>
        </w:tc>
        <w:tc>
          <w:tcPr>
            <w:tcW w:w="1960" w:type="dxa"/>
            <w:tcBorders>
              <w:top w:val="nil"/>
              <w:left w:val="nil"/>
              <w:bottom w:val="nil"/>
              <w:right w:val="nil"/>
            </w:tcBorders>
            <w:shd w:val="clear" w:color="000000" w:fill="DBE5F1"/>
            <w:vAlign w:val="center"/>
            <w:hideMark/>
          </w:tcPr>
          <w:p>
            <w:pPr>
              <w:jc w:val="right"/>
              <w:rPr>
                <w:rFonts w:ascii="Verdana" w:hAnsi="Verdana" w:cs="Calibri"/>
                <w:noProof/>
                <w:color w:val="000000"/>
                <w:sz w:val="18"/>
                <w:szCs w:val="18"/>
              </w:rPr>
            </w:pPr>
            <w:r>
              <w:rPr>
                <w:rFonts w:ascii="Verdana" w:hAnsi="Verdana"/>
                <w:noProof/>
                <w:color w:val="000000"/>
                <w:sz w:val="18"/>
              </w:rPr>
              <w:t> </w:t>
            </w:r>
          </w:p>
        </w:tc>
        <w:tc>
          <w:tcPr>
            <w:tcW w:w="1640" w:type="dxa"/>
            <w:tcBorders>
              <w:top w:val="nil"/>
              <w:left w:val="nil"/>
              <w:bottom w:val="nil"/>
              <w:right w:val="nil"/>
            </w:tcBorders>
            <w:shd w:val="clear" w:color="000000" w:fill="DBE5F1"/>
            <w:vAlign w:val="center"/>
            <w:hideMark/>
          </w:tcPr>
          <w:p>
            <w:pPr>
              <w:jc w:val="right"/>
              <w:rPr>
                <w:rFonts w:ascii="Verdana" w:hAnsi="Verdana" w:cs="Calibri"/>
                <w:noProof/>
                <w:color w:val="000000"/>
                <w:sz w:val="18"/>
                <w:szCs w:val="18"/>
              </w:rPr>
            </w:pPr>
            <w:r>
              <w:rPr>
                <w:rFonts w:ascii="Verdana" w:hAnsi="Verdana"/>
                <w:noProof/>
                <w:color w:val="000000"/>
                <w:sz w:val="18"/>
              </w:rPr>
              <w:t> </w:t>
            </w:r>
          </w:p>
        </w:tc>
      </w:tr>
      <w:tr>
        <w:trPr>
          <w:trHeight w:val="225"/>
        </w:trPr>
        <w:tc>
          <w:tcPr>
            <w:tcW w:w="2700"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Albanie</w:t>
            </w:r>
          </w:p>
        </w:tc>
        <w:tc>
          <w:tcPr>
            <w:tcW w:w="13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0,2</w:t>
            </w:r>
          </w:p>
        </w:tc>
        <w:tc>
          <w:tcPr>
            <w:tcW w:w="188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w:t>
            </w:r>
          </w:p>
        </w:tc>
        <w:tc>
          <w:tcPr>
            <w:tcW w:w="19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0,2</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0,2</w:t>
            </w:r>
          </w:p>
        </w:tc>
      </w:tr>
      <w:tr>
        <w:trPr>
          <w:trHeight w:val="225"/>
        </w:trPr>
        <w:tc>
          <w:tcPr>
            <w:tcW w:w="2700"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Arménie</w:t>
            </w:r>
          </w:p>
        </w:tc>
        <w:tc>
          <w:tcPr>
            <w:tcW w:w="13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0,1</w:t>
            </w:r>
          </w:p>
        </w:tc>
        <w:tc>
          <w:tcPr>
            <w:tcW w:w="188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w:t>
            </w:r>
          </w:p>
        </w:tc>
        <w:tc>
          <w:tcPr>
            <w:tcW w:w="19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0,1</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0,1</w:t>
            </w:r>
          </w:p>
        </w:tc>
      </w:tr>
      <w:tr>
        <w:trPr>
          <w:trHeight w:val="225"/>
        </w:trPr>
        <w:tc>
          <w:tcPr>
            <w:tcW w:w="2700"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Bosnie-Herzég.</w:t>
            </w:r>
          </w:p>
        </w:tc>
        <w:tc>
          <w:tcPr>
            <w:tcW w:w="13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0,1</w:t>
            </w:r>
          </w:p>
        </w:tc>
        <w:tc>
          <w:tcPr>
            <w:tcW w:w="188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w:t>
            </w:r>
          </w:p>
        </w:tc>
        <w:tc>
          <w:tcPr>
            <w:tcW w:w="19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0,1</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0,1</w:t>
            </w:r>
          </w:p>
        </w:tc>
      </w:tr>
      <w:tr>
        <w:trPr>
          <w:trHeight w:val="225"/>
        </w:trPr>
        <w:tc>
          <w:tcPr>
            <w:tcW w:w="2700"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Géorgie</w:t>
            </w:r>
          </w:p>
        </w:tc>
        <w:tc>
          <w:tcPr>
            <w:tcW w:w="13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0,1</w:t>
            </w:r>
          </w:p>
        </w:tc>
        <w:tc>
          <w:tcPr>
            <w:tcW w:w="188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w:t>
            </w:r>
          </w:p>
        </w:tc>
        <w:tc>
          <w:tcPr>
            <w:tcW w:w="19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0,1</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0,1</w:t>
            </w:r>
          </w:p>
        </w:tc>
      </w:tr>
      <w:tr>
        <w:trPr>
          <w:trHeight w:val="225"/>
        </w:trPr>
        <w:tc>
          <w:tcPr>
            <w:tcW w:w="2700"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Jordanie</w:t>
            </w:r>
          </w:p>
        </w:tc>
        <w:tc>
          <w:tcPr>
            <w:tcW w:w="13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1,6</w:t>
            </w:r>
          </w:p>
        </w:tc>
        <w:tc>
          <w:tcPr>
            <w:tcW w:w="188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0,3</w:t>
            </w:r>
          </w:p>
        </w:tc>
        <w:tc>
          <w:tcPr>
            <w:tcW w:w="19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1,3</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1,3</w:t>
            </w:r>
          </w:p>
        </w:tc>
      </w:tr>
      <w:tr>
        <w:trPr>
          <w:trHeight w:val="225"/>
        </w:trPr>
        <w:tc>
          <w:tcPr>
            <w:tcW w:w="2700"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Kosovo</w:t>
            </w:r>
          </w:p>
        </w:tc>
        <w:tc>
          <w:tcPr>
            <w:tcW w:w="13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0,1</w:t>
            </w:r>
          </w:p>
        </w:tc>
        <w:tc>
          <w:tcPr>
            <w:tcW w:w="188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w:t>
            </w:r>
          </w:p>
        </w:tc>
        <w:tc>
          <w:tcPr>
            <w:tcW w:w="19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0,1</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0,1</w:t>
            </w:r>
          </w:p>
        </w:tc>
      </w:tr>
      <w:tr>
        <w:trPr>
          <w:trHeight w:val="225"/>
        </w:trPr>
        <w:tc>
          <w:tcPr>
            <w:tcW w:w="2700"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Rép. kirghize</w:t>
            </w:r>
          </w:p>
        </w:tc>
        <w:tc>
          <w:tcPr>
            <w:tcW w:w="13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0,0</w:t>
            </w:r>
          </w:p>
        </w:tc>
        <w:tc>
          <w:tcPr>
            <w:tcW w:w="188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w:t>
            </w:r>
          </w:p>
        </w:tc>
        <w:tc>
          <w:tcPr>
            <w:tcW w:w="19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0,0</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0,0</w:t>
            </w:r>
          </w:p>
        </w:tc>
      </w:tr>
      <w:tr>
        <w:trPr>
          <w:trHeight w:val="225"/>
        </w:trPr>
        <w:tc>
          <w:tcPr>
            <w:tcW w:w="2700"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Moldavie</w:t>
            </w:r>
          </w:p>
        </w:tc>
        <w:tc>
          <w:tcPr>
            <w:tcW w:w="13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0,4</w:t>
            </w:r>
          </w:p>
        </w:tc>
        <w:tc>
          <w:tcPr>
            <w:tcW w:w="188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w:t>
            </w:r>
          </w:p>
        </w:tc>
        <w:tc>
          <w:tcPr>
            <w:tcW w:w="19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0,4</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0,4</w:t>
            </w:r>
          </w:p>
        </w:tc>
      </w:tr>
      <w:tr>
        <w:trPr>
          <w:trHeight w:val="225"/>
        </w:trPr>
        <w:tc>
          <w:tcPr>
            <w:tcW w:w="2700"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Monténégro</w:t>
            </w:r>
          </w:p>
        </w:tc>
        <w:tc>
          <w:tcPr>
            <w:tcW w:w="13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0,1</w:t>
            </w:r>
          </w:p>
        </w:tc>
        <w:tc>
          <w:tcPr>
            <w:tcW w:w="188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w:t>
            </w:r>
          </w:p>
        </w:tc>
        <w:tc>
          <w:tcPr>
            <w:tcW w:w="19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0,1</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0,1</w:t>
            </w:r>
          </w:p>
        </w:tc>
      </w:tr>
      <w:tr>
        <w:trPr>
          <w:trHeight w:val="225"/>
        </w:trPr>
        <w:tc>
          <w:tcPr>
            <w:tcW w:w="2700"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Macédoine du Nord</w:t>
            </w:r>
          </w:p>
        </w:tc>
        <w:tc>
          <w:tcPr>
            <w:tcW w:w="13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0,3</w:t>
            </w:r>
          </w:p>
        </w:tc>
        <w:tc>
          <w:tcPr>
            <w:tcW w:w="188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0,1</w:t>
            </w:r>
          </w:p>
        </w:tc>
        <w:tc>
          <w:tcPr>
            <w:tcW w:w="19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0,2</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0,2</w:t>
            </w:r>
          </w:p>
        </w:tc>
      </w:tr>
      <w:tr>
        <w:trPr>
          <w:trHeight w:val="225"/>
        </w:trPr>
        <w:tc>
          <w:tcPr>
            <w:tcW w:w="2700"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Tunisie</w:t>
            </w:r>
          </w:p>
        </w:tc>
        <w:tc>
          <w:tcPr>
            <w:tcW w:w="13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1,4</w:t>
            </w:r>
          </w:p>
        </w:tc>
        <w:tc>
          <w:tcPr>
            <w:tcW w:w="188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w:t>
            </w:r>
          </w:p>
        </w:tc>
        <w:tc>
          <w:tcPr>
            <w:tcW w:w="19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1,4</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1,4</w:t>
            </w:r>
          </w:p>
        </w:tc>
      </w:tr>
      <w:tr>
        <w:trPr>
          <w:trHeight w:val="225"/>
        </w:trPr>
        <w:tc>
          <w:tcPr>
            <w:tcW w:w="2700"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AMF Ukraine</w:t>
            </w:r>
          </w:p>
        </w:tc>
        <w:tc>
          <w:tcPr>
            <w:tcW w:w="13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12,2</w:t>
            </w:r>
          </w:p>
        </w:tc>
        <w:tc>
          <w:tcPr>
            <w:tcW w:w="188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w:t>
            </w:r>
          </w:p>
        </w:tc>
        <w:tc>
          <w:tcPr>
            <w:tcW w:w="19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12,2</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11,0</w:t>
            </w:r>
          </w:p>
        </w:tc>
      </w:tr>
      <w:tr>
        <w:trPr>
          <w:trHeight w:val="225"/>
        </w:trPr>
        <w:tc>
          <w:tcPr>
            <w:tcW w:w="2700"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AMF + Ukraine</w:t>
            </w:r>
          </w:p>
        </w:tc>
        <w:tc>
          <w:tcPr>
            <w:tcW w:w="13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18,0</w:t>
            </w:r>
          </w:p>
        </w:tc>
        <w:tc>
          <w:tcPr>
            <w:tcW w:w="188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w:t>
            </w:r>
          </w:p>
        </w:tc>
        <w:tc>
          <w:tcPr>
            <w:tcW w:w="19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18,0</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18,0</w:t>
            </w:r>
          </w:p>
        </w:tc>
      </w:tr>
      <w:tr>
        <w:trPr>
          <w:trHeight w:val="225"/>
        </w:trPr>
        <w:tc>
          <w:tcPr>
            <w:tcW w:w="2700"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Ukraine AMF MCPU</w:t>
            </w:r>
          </w:p>
        </w:tc>
        <w:tc>
          <w:tcPr>
            <w:tcW w:w="13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18,1</w:t>
            </w:r>
          </w:p>
        </w:tc>
        <w:tc>
          <w:tcPr>
            <w:tcW w:w="188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w:t>
            </w:r>
          </w:p>
        </w:tc>
        <w:tc>
          <w:tcPr>
            <w:tcW w:w="19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18,1</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18,1</w:t>
            </w:r>
          </w:p>
        </w:tc>
      </w:tr>
      <w:tr>
        <w:trPr>
          <w:trHeight w:val="240"/>
        </w:trPr>
        <w:tc>
          <w:tcPr>
            <w:tcW w:w="2700"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Égypte</w:t>
            </w:r>
          </w:p>
        </w:tc>
        <w:tc>
          <w:tcPr>
            <w:tcW w:w="13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5,0</w:t>
            </w:r>
          </w:p>
        </w:tc>
        <w:tc>
          <w:tcPr>
            <w:tcW w:w="188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4,0</w:t>
            </w:r>
          </w:p>
        </w:tc>
        <w:tc>
          <w:tcPr>
            <w:tcW w:w="19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1,0</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1,0</w:t>
            </w:r>
          </w:p>
        </w:tc>
      </w:tr>
      <w:tr>
        <w:trPr>
          <w:trHeight w:val="240"/>
        </w:trPr>
        <w:tc>
          <w:tcPr>
            <w:tcW w:w="2700" w:type="dxa"/>
            <w:tcBorders>
              <w:top w:val="single" w:sz="8" w:space="0" w:color="016794"/>
              <w:left w:val="nil"/>
              <w:bottom w:val="single" w:sz="8" w:space="0" w:color="016794"/>
              <w:right w:val="nil"/>
            </w:tcBorders>
            <w:vAlign w:val="center"/>
            <w:hideMark/>
          </w:tcPr>
          <w:p>
            <w:pPr>
              <w:rPr>
                <w:rFonts w:ascii="Verdana" w:hAnsi="Verdana" w:cs="Calibri"/>
                <w:b/>
                <w:bCs/>
                <w:noProof/>
                <w:color w:val="000000"/>
                <w:sz w:val="18"/>
                <w:szCs w:val="18"/>
              </w:rPr>
            </w:pPr>
            <w:r>
              <w:rPr>
                <w:rFonts w:ascii="Verdana" w:hAnsi="Verdana"/>
                <w:b/>
                <w:noProof/>
                <w:color w:val="000000"/>
                <w:sz w:val="18"/>
              </w:rPr>
              <w:t> </w:t>
            </w:r>
          </w:p>
        </w:tc>
        <w:tc>
          <w:tcPr>
            <w:tcW w:w="1360" w:type="dxa"/>
            <w:tcBorders>
              <w:top w:val="single" w:sz="8" w:space="0" w:color="016794"/>
              <w:left w:val="nil"/>
              <w:bottom w:val="single" w:sz="8" w:space="0" w:color="016794"/>
              <w:right w:val="nil"/>
            </w:tcBorders>
            <w:vAlign w:val="center"/>
            <w:hideMark/>
          </w:tcPr>
          <w:p>
            <w:pPr>
              <w:jc w:val="right"/>
              <w:rPr>
                <w:rFonts w:ascii="Verdana" w:hAnsi="Verdana" w:cs="Calibri"/>
                <w:b/>
                <w:bCs/>
                <w:noProof/>
                <w:color w:val="000000"/>
                <w:sz w:val="18"/>
                <w:szCs w:val="18"/>
              </w:rPr>
            </w:pPr>
            <w:r>
              <w:rPr>
                <w:rFonts w:ascii="Verdana" w:hAnsi="Verdana"/>
                <w:b/>
                <w:noProof/>
                <w:color w:val="000000"/>
                <w:sz w:val="18"/>
              </w:rPr>
              <w:t>57,6</w:t>
            </w:r>
          </w:p>
        </w:tc>
        <w:tc>
          <w:tcPr>
            <w:tcW w:w="1880" w:type="dxa"/>
            <w:tcBorders>
              <w:top w:val="single" w:sz="8" w:space="0" w:color="016794"/>
              <w:left w:val="nil"/>
              <w:bottom w:val="single" w:sz="8" w:space="0" w:color="016794"/>
              <w:right w:val="nil"/>
            </w:tcBorders>
            <w:vAlign w:val="center"/>
            <w:hideMark/>
          </w:tcPr>
          <w:p>
            <w:pPr>
              <w:jc w:val="right"/>
              <w:rPr>
                <w:rFonts w:ascii="Verdana" w:hAnsi="Verdana" w:cs="Calibri"/>
                <w:b/>
                <w:bCs/>
                <w:noProof/>
                <w:color w:val="000000"/>
                <w:sz w:val="18"/>
                <w:szCs w:val="18"/>
              </w:rPr>
            </w:pPr>
            <w:r>
              <w:rPr>
                <w:rFonts w:ascii="Verdana" w:hAnsi="Verdana"/>
                <w:b/>
                <w:noProof/>
                <w:color w:val="000000"/>
                <w:sz w:val="18"/>
              </w:rPr>
              <w:t>4,3</w:t>
            </w:r>
          </w:p>
        </w:tc>
        <w:tc>
          <w:tcPr>
            <w:tcW w:w="1960" w:type="dxa"/>
            <w:tcBorders>
              <w:top w:val="single" w:sz="8" w:space="0" w:color="016794"/>
              <w:left w:val="nil"/>
              <w:bottom w:val="single" w:sz="8" w:space="0" w:color="016794"/>
              <w:right w:val="nil"/>
            </w:tcBorders>
            <w:vAlign w:val="center"/>
            <w:hideMark/>
          </w:tcPr>
          <w:p>
            <w:pPr>
              <w:jc w:val="right"/>
              <w:rPr>
                <w:rFonts w:ascii="Verdana" w:hAnsi="Verdana" w:cs="Calibri"/>
                <w:b/>
                <w:bCs/>
                <w:noProof/>
                <w:color w:val="000000"/>
                <w:sz w:val="18"/>
                <w:szCs w:val="18"/>
              </w:rPr>
            </w:pPr>
            <w:r>
              <w:rPr>
                <w:rFonts w:ascii="Verdana" w:hAnsi="Verdana"/>
                <w:b/>
                <w:noProof/>
                <w:color w:val="000000"/>
                <w:sz w:val="18"/>
              </w:rPr>
              <w:t>53,3</w:t>
            </w:r>
          </w:p>
        </w:tc>
        <w:tc>
          <w:tcPr>
            <w:tcW w:w="1640" w:type="dxa"/>
            <w:tcBorders>
              <w:top w:val="single" w:sz="8" w:space="0" w:color="016794"/>
              <w:left w:val="nil"/>
              <w:bottom w:val="single" w:sz="8" w:space="0" w:color="016794"/>
              <w:right w:val="nil"/>
            </w:tcBorders>
            <w:vAlign w:val="center"/>
            <w:hideMark/>
          </w:tcPr>
          <w:p>
            <w:pPr>
              <w:jc w:val="right"/>
              <w:rPr>
                <w:rFonts w:ascii="Verdana" w:hAnsi="Verdana" w:cs="Calibri"/>
                <w:b/>
                <w:bCs/>
                <w:noProof/>
                <w:color w:val="000000"/>
                <w:sz w:val="18"/>
                <w:szCs w:val="18"/>
              </w:rPr>
            </w:pPr>
            <w:r>
              <w:rPr>
                <w:rFonts w:ascii="Verdana" w:hAnsi="Verdana"/>
                <w:b/>
                <w:noProof/>
                <w:color w:val="000000"/>
                <w:sz w:val="18"/>
              </w:rPr>
              <w:t>52,1</w:t>
            </w:r>
          </w:p>
        </w:tc>
      </w:tr>
      <w:tr>
        <w:trPr>
          <w:trHeight w:val="225"/>
        </w:trPr>
        <w:tc>
          <w:tcPr>
            <w:tcW w:w="2700" w:type="dxa"/>
            <w:tcBorders>
              <w:top w:val="nil"/>
              <w:left w:val="nil"/>
              <w:bottom w:val="nil"/>
              <w:right w:val="nil"/>
            </w:tcBorders>
            <w:shd w:val="clear" w:color="000000" w:fill="DBE5F1"/>
            <w:vAlign w:val="center"/>
            <w:hideMark/>
          </w:tcPr>
          <w:p>
            <w:pPr>
              <w:rPr>
                <w:rFonts w:ascii="Verdana" w:hAnsi="Verdana" w:cs="Calibri"/>
                <w:b/>
                <w:bCs/>
                <w:noProof/>
                <w:color w:val="000000"/>
                <w:sz w:val="18"/>
                <w:szCs w:val="18"/>
              </w:rPr>
            </w:pPr>
            <w:r>
              <w:rPr>
                <w:rFonts w:ascii="Verdana" w:hAnsi="Verdana"/>
                <w:b/>
                <w:noProof/>
                <w:color w:val="000000"/>
                <w:sz w:val="18"/>
              </w:rPr>
              <w:t>Facilité pour les Balkans occidentaux</w:t>
            </w:r>
          </w:p>
        </w:tc>
        <w:tc>
          <w:tcPr>
            <w:tcW w:w="1360" w:type="dxa"/>
            <w:tcBorders>
              <w:top w:val="nil"/>
              <w:left w:val="nil"/>
              <w:bottom w:val="nil"/>
              <w:right w:val="nil"/>
            </w:tcBorders>
            <w:shd w:val="clear" w:color="000000" w:fill="DBE5F1"/>
            <w:vAlign w:val="center"/>
            <w:hideMark/>
          </w:tcPr>
          <w:p>
            <w:pPr>
              <w:jc w:val="right"/>
              <w:rPr>
                <w:rFonts w:ascii="Verdana" w:hAnsi="Verdana" w:cs="Calibri"/>
                <w:noProof/>
                <w:color w:val="000000"/>
                <w:sz w:val="18"/>
                <w:szCs w:val="18"/>
              </w:rPr>
            </w:pPr>
            <w:r>
              <w:rPr>
                <w:rFonts w:ascii="Verdana" w:hAnsi="Verdana"/>
                <w:noProof/>
                <w:color w:val="000000"/>
                <w:sz w:val="18"/>
              </w:rPr>
              <w:t> </w:t>
            </w:r>
          </w:p>
        </w:tc>
        <w:tc>
          <w:tcPr>
            <w:tcW w:w="1880" w:type="dxa"/>
            <w:tcBorders>
              <w:top w:val="nil"/>
              <w:left w:val="nil"/>
              <w:bottom w:val="nil"/>
              <w:right w:val="nil"/>
            </w:tcBorders>
            <w:shd w:val="clear" w:color="000000" w:fill="DBE5F1"/>
            <w:vAlign w:val="center"/>
            <w:hideMark/>
          </w:tcPr>
          <w:p>
            <w:pPr>
              <w:jc w:val="right"/>
              <w:rPr>
                <w:rFonts w:ascii="Verdana" w:hAnsi="Verdana" w:cs="Calibri"/>
                <w:noProof/>
                <w:color w:val="000000"/>
                <w:sz w:val="18"/>
                <w:szCs w:val="18"/>
              </w:rPr>
            </w:pPr>
            <w:r>
              <w:rPr>
                <w:rFonts w:ascii="Verdana" w:hAnsi="Verdana"/>
                <w:noProof/>
                <w:color w:val="000000"/>
                <w:sz w:val="18"/>
              </w:rPr>
              <w:t> </w:t>
            </w:r>
          </w:p>
        </w:tc>
        <w:tc>
          <w:tcPr>
            <w:tcW w:w="1960" w:type="dxa"/>
            <w:tcBorders>
              <w:top w:val="nil"/>
              <w:left w:val="nil"/>
              <w:bottom w:val="nil"/>
              <w:right w:val="nil"/>
            </w:tcBorders>
            <w:shd w:val="clear" w:color="000000" w:fill="DBE5F1"/>
            <w:vAlign w:val="center"/>
            <w:hideMark/>
          </w:tcPr>
          <w:p>
            <w:pPr>
              <w:jc w:val="right"/>
              <w:rPr>
                <w:rFonts w:ascii="Verdana" w:hAnsi="Verdana" w:cs="Calibri"/>
                <w:noProof/>
                <w:color w:val="000000"/>
                <w:sz w:val="18"/>
                <w:szCs w:val="18"/>
              </w:rPr>
            </w:pPr>
            <w:r>
              <w:rPr>
                <w:rFonts w:ascii="Verdana" w:hAnsi="Verdana"/>
                <w:noProof/>
                <w:color w:val="000000"/>
                <w:sz w:val="18"/>
              </w:rPr>
              <w:t> </w:t>
            </w:r>
          </w:p>
        </w:tc>
        <w:tc>
          <w:tcPr>
            <w:tcW w:w="1640" w:type="dxa"/>
            <w:tcBorders>
              <w:top w:val="nil"/>
              <w:left w:val="nil"/>
              <w:bottom w:val="nil"/>
              <w:right w:val="nil"/>
            </w:tcBorders>
            <w:shd w:val="clear" w:color="000000" w:fill="DBE5F1"/>
            <w:vAlign w:val="center"/>
            <w:hideMark/>
          </w:tcPr>
          <w:p>
            <w:pPr>
              <w:jc w:val="right"/>
              <w:rPr>
                <w:rFonts w:ascii="Verdana" w:hAnsi="Verdana" w:cs="Calibri"/>
                <w:noProof/>
                <w:color w:val="000000"/>
                <w:sz w:val="18"/>
                <w:szCs w:val="18"/>
              </w:rPr>
            </w:pPr>
            <w:r>
              <w:rPr>
                <w:rFonts w:ascii="Verdana" w:hAnsi="Verdana"/>
                <w:noProof/>
                <w:color w:val="000000"/>
                <w:sz w:val="18"/>
              </w:rPr>
              <w:t> </w:t>
            </w:r>
          </w:p>
        </w:tc>
      </w:tr>
      <w:tr>
        <w:trPr>
          <w:trHeight w:val="225"/>
        </w:trPr>
        <w:tc>
          <w:tcPr>
            <w:tcW w:w="2700"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Macédoine du Nord</w:t>
            </w:r>
          </w:p>
        </w:tc>
        <w:tc>
          <w:tcPr>
            <w:tcW w:w="13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0,5</w:t>
            </w:r>
          </w:p>
        </w:tc>
        <w:tc>
          <w:tcPr>
            <w:tcW w:w="188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0,5</w:t>
            </w:r>
          </w:p>
        </w:tc>
        <w:tc>
          <w:tcPr>
            <w:tcW w:w="19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0,0</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0,0</w:t>
            </w:r>
          </w:p>
        </w:tc>
      </w:tr>
      <w:tr>
        <w:trPr>
          <w:trHeight w:val="225"/>
        </w:trPr>
        <w:tc>
          <w:tcPr>
            <w:tcW w:w="2700"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Albanie</w:t>
            </w:r>
          </w:p>
        </w:tc>
        <w:tc>
          <w:tcPr>
            <w:tcW w:w="13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0,7</w:t>
            </w:r>
          </w:p>
        </w:tc>
        <w:tc>
          <w:tcPr>
            <w:tcW w:w="188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0,6</w:t>
            </w:r>
          </w:p>
        </w:tc>
        <w:tc>
          <w:tcPr>
            <w:tcW w:w="19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0,1</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0,1</w:t>
            </w:r>
          </w:p>
        </w:tc>
      </w:tr>
      <w:tr>
        <w:trPr>
          <w:trHeight w:val="225"/>
        </w:trPr>
        <w:tc>
          <w:tcPr>
            <w:tcW w:w="2700"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Serbie</w:t>
            </w:r>
          </w:p>
        </w:tc>
        <w:tc>
          <w:tcPr>
            <w:tcW w:w="13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1,1</w:t>
            </w:r>
          </w:p>
        </w:tc>
        <w:tc>
          <w:tcPr>
            <w:tcW w:w="188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1,1</w:t>
            </w:r>
          </w:p>
        </w:tc>
        <w:tc>
          <w:tcPr>
            <w:tcW w:w="19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0,1</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0,1</w:t>
            </w:r>
          </w:p>
        </w:tc>
      </w:tr>
      <w:tr>
        <w:trPr>
          <w:trHeight w:val="240"/>
        </w:trPr>
        <w:tc>
          <w:tcPr>
            <w:tcW w:w="2700"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Monténégro</w:t>
            </w:r>
          </w:p>
        </w:tc>
        <w:tc>
          <w:tcPr>
            <w:tcW w:w="13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0,3</w:t>
            </w:r>
          </w:p>
        </w:tc>
        <w:tc>
          <w:tcPr>
            <w:tcW w:w="188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0,3</w:t>
            </w:r>
          </w:p>
        </w:tc>
        <w:tc>
          <w:tcPr>
            <w:tcW w:w="196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0,0</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0,0</w:t>
            </w:r>
          </w:p>
        </w:tc>
      </w:tr>
      <w:tr>
        <w:trPr>
          <w:trHeight w:val="240"/>
        </w:trPr>
        <w:tc>
          <w:tcPr>
            <w:tcW w:w="2700" w:type="dxa"/>
            <w:tcBorders>
              <w:top w:val="single" w:sz="8" w:space="0" w:color="016794"/>
              <w:left w:val="nil"/>
              <w:bottom w:val="single" w:sz="8" w:space="0" w:color="016794"/>
              <w:right w:val="nil"/>
            </w:tcBorders>
            <w:vAlign w:val="center"/>
            <w:hideMark/>
          </w:tcPr>
          <w:p>
            <w:pPr>
              <w:rPr>
                <w:rFonts w:ascii="Verdana" w:hAnsi="Verdana" w:cs="Calibri"/>
                <w:b/>
                <w:bCs/>
                <w:noProof/>
                <w:color w:val="000000"/>
                <w:sz w:val="18"/>
                <w:szCs w:val="18"/>
              </w:rPr>
            </w:pPr>
            <w:r>
              <w:rPr>
                <w:rFonts w:ascii="Verdana" w:hAnsi="Verdana"/>
                <w:b/>
                <w:noProof/>
                <w:color w:val="000000"/>
                <w:sz w:val="18"/>
              </w:rPr>
              <w:t> </w:t>
            </w:r>
          </w:p>
        </w:tc>
        <w:tc>
          <w:tcPr>
            <w:tcW w:w="1360" w:type="dxa"/>
            <w:tcBorders>
              <w:top w:val="single" w:sz="8" w:space="0" w:color="016794"/>
              <w:left w:val="nil"/>
              <w:bottom w:val="single" w:sz="8" w:space="0" w:color="016794"/>
              <w:right w:val="nil"/>
            </w:tcBorders>
            <w:vAlign w:val="center"/>
            <w:hideMark/>
          </w:tcPr>
          <w:p>
            <w:pPr>
              <w:jc w:val="right"/>
              <w:rPr>
                <w:rFonts w:ascii="Verdana" w:hAnsi="Verdana" w:cs="Calibri"/>
                <w:b/>
                <w:bCs/>
                <w:noProof/>
                <w:color w:val="000000"/>
                <w:sz w:val="18"/>
                <w:szCs w:val="18"/>
              </w:rPr>
            </w:pPr>
            <w:r>
              <w:rPr>
                <w:rFonts w:ascii="Verdana" w:hAnsi="Verdana"/>
                <w:b/>
                <w:noProof/>
                <w:color w:val="000000"/>
                <w:sz w:val="18"/>
              </w:rPr>
              <w:t>2,6</w:t>
            </w:r>
          </w:p>
        </w:tc>
        <w:tc>
          <w:tcPr>
            <w:tcW w:w="1880" w:type="dxa"/>
            <w:tcBorders>
              <w:top w:val="single" w:sz="8" w:space="0" w:color="016794"/>
              <w:left w:val="nil"/>
              <w:bottom w:val="single" w:sz="8" w:space="0" w:color="016794"/>
              <w:right w:val="nil"/>
            </w:tcBorders>
            <w:vAlign w:val="center"/>
            <w:hideMark/>
          </w:tcPr>
          <w:p>
            <w:pPr>
              <w:jc w:val="right"/>
              <w:rPr>
                <w:rFonts w:ascii="Verdana" w:hAnsi="Verdana" w:cs="Calibri"/>
                <w:b/>
                <w:bCs/>
                <w:noProof/>
                <w:color w:val="000000"/>
                <w:sz w:val="18"/>
                <w:szCs w:val="18"/>
              </w:rPr>
            </w:pPr>
            <w:r>
              <w:rPr>
                <w:rFonts w:ascii="Verdana" w:hAnsi="Verdana"/>
                <w:b/>
                <w:noProof/>
                <w:color w:val="000000"/>
                <w:sz w:val="18"/>
              </w:rPr>
              <w:t>2,4</w:t>
            </w:r>
          </w:p>
        </w:tc>
        <w:tc>
          <w:tcPr>
            <w:tcW w:w="1960" w:type="dxa"/>
            <w:tcBorders>
              <w:top w:val="single" w:sz="8" w:space="0" w:color="016794"/>
              <w:left w:val="nil"/>
              <w:bottom w:val="single" w:sz="8" w:space="0" w:color="016794"/>
              <w:right w:val="nil"/>
            </w:tcBorders>
            <w:vAlign w:val="center"/>
            <w:hideMark/>
          </w:tcPr>
          <w:p>
            <w:pPr>
              <w:jc w:val="right"/>
              <w:rPr>
                <w:rFonts w:ascii="Verdana" w:hAnsi="Verdana" w:cs="Calibri"/>
                <w:b/>
                <w:bCs/>
                <w:noProof/>
                <w:color w:val="000000"/>
                <w:sz w:val="18"/>
                <w:szCs w:val="18"/>
              </w:rPr>
            </w:pPr>
            <w:r>
              <w:rPr>
                <w:rFonts w:ascii="Verdana" w:hAnsi="Verdana"/>
                <w:b/>
                <w:noProof/>
                <w:color w:val="000000"/>
                <w:sz w:val="18"/>
              </w:rPr>
              <w:t>0,2</w:t>
            </w:r>
          </w:p>
        </w:tc>
        <w:tc>
          <w:tcPr>
            <w:tcW w:w="1640" w:type="dxa"/>
            <w:tcBorders>
              <w:top w:val="single" w:sz="8" w:space="0" w:color="016794"/>
              <w:left w:val="nil"/>
              <w:bottom w:val="single" w:sz="8" w:space="0" w:color="016794"/>
              <w:right w:val="nil"/>
            </w:tcBorders>
            <w:vAlign w:val="center"/>
            <w:hideMark/>
          </w:tcPr>
          <w:p>
            <w:pPr>
              <w:jc w:val="right"/>
              <w:rPr>
                <w:rFonts w:ascii="Verdana" w:hAnsi="Verdana" w:cs="Calibri"/>
                <w:b/>
                <w:bCs/>
                <w:noProof/>
                <w:color w:val="000000"/>
                <w:sz w:val="18"/>
                <w:szCs w:val="18"/>
              </w:rPr>
            </w:pPr>
            <w:r>
              <w:rPr>
                <w:rFonts w:ascii="Verdana" w:hAnsi="Verdana"/>
                <w:b/>
                <w:noProof/>
                <w:color w:val="000000"/>
                <w:sz w:val="18"/>
              </w:rPr>
              <w:t>0,2</w:t>
            </w:r>
          </w:p>
        </w:tc>
      </w:tr>
      <w:tr>
        <w:trPr>
          <w:trHeight w:val="225"/>
        </w:trPr>
        <w:tc>
          <w:tcPr>
            <w:tcW w:w="2700" w:type="dxa"/>
            <w:tcBorders>
              <w:top w:val="nil"/>
              <w:left w:val="nil"/>
              <w:bottom w:val="nil"/>
              <w:right w:val="nil"/>
            </w:tcBorders>
            <w:shd w:val="clear" w:color="000000" w:fill="DBE5F1"/>
            <w:vAlign w:val="center"/>
            <w:hideMark/>
          </w:tcPr>
          <w:p>
            <w:pPr>
              <w:rPr>
                <w:rFonts w:ascii="Verdana" w:hAnsi="Verdana" w:cs="Calibri"/>
                <w:b/>
                <w:bCs/>
                <w:noProof/>
                <w:color w:val="000000"/>
                <w:sz w:val="18"/>
                <w:szCs w:val="18"/>
              </w:rPr>
            </w:pPr>
            <w:r>
              <w:rPr>
                <w:rFonts w:ascii="Verdana" w:hAnsi="Verdana"/>
                <w:b/>
                <w:noProof/>
                <w:color w:val="000000"/>
                <w:sz w:val="18"/>
              </w:rPr>
              <w:t>Facilité pour la Moldavie</w:t>
            </w:r>
          </w:p>
        </w:tc>
        <w:tc>
          <w:tcPr>
            <w:tcW w:w="1360" w:type="dxa"/>
            <w:tcBorders>
              <w:top w:val="nil"/>
              <w:left w:val="nil"/>
              <w:bottom w:val="nil"/>
              <w:right w:val="nil"/>
            </w:tcBorders>
            <w:shd w:val="clear" w:color="000000" w:fill="DBE5F1"/>
            <w:vAlign w:val="center"/>
            <w:hideMark/>
          </w:tcPr>
          <w:p>
            <w:pPr>
              <w:rPr>
                <w:rFonts w:ascii="Verdana" w:hAnsi="Verdana" w:cs="Calibri"/>
                <w:b/>
                <w:bCs/>
                <w:noProof/>
                <w:color w:val="000000"/>
                <w:sz w:val="18"/>
                <w:szCs w:val="18"/>
              </w:rPr>
            </w:pPr>
            <w:r>
              <w:rPr>
                <w:rFonts w:ascii="Verdana" w:hAnsi="Verdana"/>
                <w:b/>
                <w:noProof/>
                <w:color w:val="000000"/>
                <w:sz w:val="18"/>
              </w:rPr>
              <w:t> </w:t>
            </w:r>
          </w:p>
        </w:tc>
        <w:tc>
          <w:tcPr>
            <w:tcW w:w="1880" w:type="dxa"/>
            <w:tcBorders>
              <w:top w:val="nil"/>
              <w:left w:val="nil"/>
              <w:bottom w:val="nil"/>
              <w:right w:val="nil"/>
            </w:tcBorders>
            <w:shd w:val="clear" w:color="000000" w:fill="DBE5F1"/>
            <w:vAlign w:val="center"/>
            <w:hideMark/>
          </w:tcPr>
          <w:p>
            <w:pPr>
              <w:rPr>
                <w:rFonts w:ascii="Verdana" w:hAnsi="Verdana" w:cs="Calibri"/>
                <w:b/>
                <w:bCs/>
                <w:noProof/>
                <w:color w:val="000000"/>
                <w:sz w:val="18"/>
                <w:szCs w:val="18"/>
              </w:rPr>
            </w:pPr>
            <w:r>
              <w:rPr>
                <w:rFonts w:ascii="Verdana" w:hAnsi="Verdana"/>
                <w:b/>
                <w:noProof/>
                <w:color w:val="000000"/>
                <w:sz w:val="18"/>
              </w:rPr>
              <w:t> </w:t>
            </w:r>
          </w:p>
        </w:tc>
        <w:tc>
          <w:tcPr>
            <w:tcW w:w="1960" w:type="dxa"/>
            <w:tcBorders>
              <w:top w:val="nil"/>
              <w:left w:val="nil"/>
              <w:bottom w:val="nil"/>
              <w:right w:val="nil"/>
            </w:tcBorders>
            <w:shd w:val="clear" w:color="000000" w:fill="DBE5F1"/>
            <w:vAlign w:val="center"/>
            <w:hideMark/>
          </w:tcPr>
          <w:p>
            <w:pPr>
              <w:rPr>
                <w:rFonts w:ascii="Verdana" w:hAnsi="Verdana" w:cs="Calibri"/>
                <w:b/>
                <w:bCs/>
                <w:noProof/>
                <w:color w:val="000000"/>
                <w:sz w:val="18"/>
                <w:szCs w:val="18"/>
              </w:rPr>
            </w:pPr>
            <w:r>
              <w:rPr>
                <w:rFonts w:ascii="Verdana" w:hAnsi="Verdana"/>
                <w:b/>
                <w:noProof/>
                <w:color w:val="000000"/>
                <w:sz w:val="18"/>
              </w:rPr>
              <w:t> </w:t>
            </w:r>
          </w:p>
        </w:tc>
        <w:tc>
          <w:tcPr>
            <w:tcW w:w="1640" w:type="dxa"/>
            <w:tcBorders>
              <w:top w:val="nil"/>
              <w:left w:val="nil"/>
              <w:bottom w:val="nil"/>
              <w:right w:val="nil"/>
            </w:tcBorders>
            <w:shd w:val="clear" w:color="000000" w:fill="DBE5F1"/>
            <w:vAlign w:val="center"/>
            <w:hideMark/>
          </w:tcPr>
          <w:p>
            <w:pPr>
              <w:rPr>
                <w:rFonts w:ascii="Verdana" w:hAnsi="Verdana" w:cs="Calibri"/>
                <w:b/>
                <w:bCs/>
                <w:noProof/>
                <w:color w:val="000000"/>
                <w:sz w:val="18"/>
                <w:szCs w:val="18"/>
              </w:rPr>
            </w:pPr>
            <w:r>
              <w:rPr>
                <w:rFonts w:ascii="Verdana" w:hAnsi="Verdana"/>
                <w:b/>
                <w:noProof/>
                <w:color w:val="000000"/>
                <w:sz w:val="18"/>
              </w:rPr>
              <w:t> </w:t>
            </w:r>
          </w:p>
        </w:tc>
      </w:tr>
      <w:tr>
        <w:trPr>
          <w:trHeight w:val="225"/>
        </w:trPr>
        <w:tc>
          <w:tcPr>
            <w:tcW w:w="2700"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 xml:space="preserve">Moldavie  </w:t>
            </w:r>
          </w:p>
        </w:tc>
        <w:tc>
          <w:tcPr>
            <w:tcW w:w="1360" w:type="dxa"/>
            <w:tcBorders>
              <w:top w:val="nil"/>
              <w:left w:val="nil"/>
              <w:bottom w:val="nil"/>
              <w:right w:val="nil"/>
            </w:tcBorders>
            <w:noWrap/>
            <w:hideMark/>
          </w:tcPr>
          <w:p>
            <w:pPr>
              <w:jc w:val="right"/>
              <w:rPr>
                <w:rFonts w:ascii="Verdana" w:hAnsi="Verdana" w:cs="Calibri"/>
                <w:b/>
                <w:bCs/>
                <w:noProof/>
                <w:color w:val="000000"/>
                <w:sz w:val="18"/>
                <w:szCs w:val="18"/>
              </w:rPr>
            </w:pPr>
            <w:r>
              <w:rPr>
                <w:rFonts w:ascii="Verdana" w:hAnsi="Verdana"/>
                <w:b/>
                <w:noProof/>
                <w:color w:val="000000"/>
                <w:sz w:val="18"/>
              </w:rPr>
              <w:t>1,5</w:t>
            </w:r>
          </w:p>
        </w:tc>
        <w:tc>
          <w:tcPr>
            <w:tcW w:w="1880" w:type="dxa"/>
            <w:tcBorders>
              <w:top w:val="nil"/>
              <w:left w:val="nil"/>
              <w:bottom w:val="nil"/>
              <w:right w:val="nil"/>
            </w:tcBorders>
            <w:noWrap/>
            <w:hideMark/>
          </w:tcPr>
          <w:p>
            <w:pPr>
              <w:jc w:val="right"/>
              <w:rPr>
                <w:rFonts w:ascii="Verdana" w:hAnsi="Verdana" w:cs="Calibri"/>
                <w:b/>
                <w:bCs/>
                <w:noProof/>
                <w:color w:val="000000"/>
                <w:sz w:val="18"/>
                <w:szCs w:val="18"/>
              </w:rPr>
            </w:pPr>
            <w:r>
              <w:rPr>
                <w:rFonts w:ascii="Verdana" w:hAnsi="Verdana"/>
                <w:b/>
                <w:noProof/>
                <w:color w:val="000000"/>
                <w:sz w:val="18"/>
              </w:rPr>
              <w:t>1,2</w:t>
            </w:r>
          </w:p>
        </w:tc>
        <w:tc>
          <w:tcPr>
            <w:tcW w:w="1960" w:type="dxa"/>
            <w:tcBorders>
              <w:top w:val="nil"/>
              <w:left w:val="nil"/>
              <w:bottom w:val="nil"/>
              <w:right w:val="nil"/>
            </w:tcBorders>
            <w:noWrap/>
            <w:hideMark/>
          </w:tcPr>
          <w:p>
            <w:pPr>
              <w:jc w:val="right"/>
              <w:rPr>
                <w:rFonts w:ascii="Verdana" w:hAnsi="Verdana" w:cs="Calibri"/>
                <w:b/>
                <w:bCs/>
                <w:noProof/>
                <w:color w:val="000000"/>
                <w:sz w:val="18"/>
                <w:szCs w:val="18"/>
              </w:rPr>
            </w:pPr>
            <w:r>
              <w:rPr>
                <w:rFonts w:ascii="Verdana" w:hAnsi="Verdana"/>
                <w:b/>
                <w:noProof/>
                <w:color w:val="000000"/>
                <w:sz w:val="18"/>
              </w:rPr>
              <w:t>0,3</w:t>
            </w:r>
          </w:p>
        </w:tc>
        <w:tc>
          <w:tcPr>
            <w:tcW w:w="1640" w:type="dxa"/>
            <w:tcBorders>
              <w:top w:val="nil"/>
              <w:left w:val="nil"/>
              <w:bottom w:val="nil"/>
              <w:right w:val="nil"/>
            </w:tcBorders>
            <w:noWrap/>
            <w:hideMark/>
          </w:tcPr>
          <w:p>
            <w:pPr>
              <w:jc w:val="right"/>
              <w:rPr>
                <w:rFonts w:ascii="Verdana" w:hAnsi="Verdana" w:cs="Calibri"/>
                <w:b/>
                <w:bCs/>
                <w:noProof/>
                <w:color w:val="000000"/>
                <w:sz w:val="18"/>
                <w:szCs w:val="18"/>
              </w:rPr>
            </w:pPr>
            <w:r>
              <w:rPr>
                <w:rFonts w:ascii="Verdana" w:hAnsi="Verdana"/>
                <w:b/>
                <w:noProof/>
                <w:color w:val="000000"/>
                <w:sz w:val="18"/>
              </w:rPr>
              <w:t>0,3</w:t>
            </w:r>
          </w:p>
        </w:tc>
      </w:tr>
      <w:tr>
        <w:trPr>
          <w:trHeight w:val="225"/>
        </w:trPr>
        <w:tc>
          <w:tcPr>
            <w:tcW w:w="2700" w:type="dxa"/>
            <w:tcBorders>
              <w:top w:val="nil"/>
              <w:left w:val="nil"/>
              <w:bottom w:val="nil"/>
              <w:right w:val="nil"/>
            </w:tcBorders>
            <w:shd w:val="clear" w:color="000000" w:fill="DBE5F1"/>
            <w:vAlign w:val="center"/>
            <w:hideMark/>
          </w:tcPr>
          <w:p>
            <w:pPr>
              <w:rPr>
                <w:rFonts w:ascii="Verdana" w:hAnsi="Verdana" w:cs="Calibri"/>
                <w:b/>
                <w:bCs/>
                <w:noProof/>
                <w:color w:val="000000"/>
                <w:sz w:val="18"/>
                <w:szCs w:val="18"/>
              </w:rPr>
            </w:pPr>
            <w:r>
              <w:rPr>
                <w:rFonts w:ascii="Verdana" w:hAnsi="Verdana"/>
                <w:b/>
                <w:noProof/>
                <w:color w:val="000000"/>
                <w:sz w:val="18"/>
              </w:rPr>
              <w:t>Facilité pour l’Ukraine</w:t>
            </w:r>
          </w:p>
        </w:tc>
        <w:tc>
          <w:tcPr>
            <w:tcW w:w="1360" w:type="dxa"/>
            <w:tcBorders>
              <w:top w:val="nil"/>
              <w:left w:val="nil"/>
              <w:bottom w:val="nil"/>
              <w:right w:val="nil"/>
            </w:tcBorders>
            <w:shd w:val="clear" w:color="000000" w:fill="DBE5F1"/>
            <w:vAlign w:val="center"/>
            <w:hideMark/>
          </w:tcPr>
          <w:p>
            <w:pPr>
              <w:jc w:val="right"/>
              <w:rPr>
                <w:rFonts w:ascii="Verdana" w:hAnsi="Verdana" w:cs="Calibri"/>
                <w:noProof/>
                <w:color w:val="000000"/>
                <w:sz w:val="18"/>
                <w:szCs w:val="18"/>
              </w:rPr>
            </w:pPr>
            <w:r>
              <w:rPr>
                <w:rFonts w:ascii="Verdana" w:hAnsi="Verdana"/>
                <w:noProof/>
                <w:color w:val="000000"/>
                <w:sz w:val="18"/>
              </w:rPr>
              <w:t> </w:t>
            </w:r>
          </w:p>
        </w:tc>
        <w:tc>
          <w:tcPr>
            <w:tcW w:w="1880" w:type="dxa"/>
            <w:tcBorders>
              <w:top w:val="nil"/>
              <w:left w:val="nil"/>
              <w:bottom w:val="nil"/>
              <w:right w:val="nil"/>
            </w:tcBorders>
            <w:shd w:val="clear" w:color="000000" w:fill="DBE5F1"/>
            <w:vAlign w:val="center"/>
            <w:hideMark/>
          </w:tcPr>
          <w:p>
            <w:pPr>
              <w:jc w:val="right"/>
              <w:rPr>
                <w:rFonts w:ascii="Verdana" w:hAnsi="Verdana" w:cs="Calibri"/>
                <w:noProof/>
                <w:color w:val="000000"/>
                <w:sz w:val="18"/>
                <w:szCs w:val="18"/>
              </w:rPr>
            </w:pPr>
            <w:r>
              <w:rPr>
                <w:rFonts w:ascii="Verdana" w:hAnsi="Verdana"/>
                <w:noProof/>
                <w:color w:val="000000"/>
                <w:sz w:val="18"/>
              </w:rPr>
              <w:t> </w:t>
            </w:r>
          </w:p>
        </w:tc>
        <w:tc>
          <w:tcPr>
            <w:tcW w:w="1960" w:type="dxa"/>
            <w:tcBorders>
              <w:top w:val="nil"/>
              <w:left w:val="nil"/>
              <w:bottom w:val="nil"/>
              <w:right w:val="nil"/>
            </w:tcBorders>
            <w:shd w:val="clear" w:color="000000" w:fill="DBE5F1"/>
            <w:vAlign w:val="center"/>
            <w:hideMark/>
          </w:tcPr>
          <w:p>
            <w:pPr>
              <w:jc w:val="right"/>
              <w:rPr>
                <w:rFonts w:ascii="Verdana" w:hAnsi="Verdana" w:cs="Calibri"/>
                <w:noProof/>
                <w:color w:val="000000"/>
                <w:sz w:val="18"/>
                <w:szCs w:val="18"/>
              </w:rPr>
            </w:pPr>
            <w:r>
              <w:rPr>
                <w:rFonts w:ascii="Verdana" w:hAnsi="Verdana"/>
                <w:noProof/>
                <w:color w:val="000000"/>
                <w:sz w:val="18"/>
              </w:rPr>
              <w:t> </w:t>
            </w:r>
          </w:p>
        </w:tc>
        <w:tc>
          <w:tcPr>
            <w:tcW w:w="1640" w:type="dxa"/>
            <w:tcBorders>
              <w:top w:val="nil"/>
              <w:left w:val="nil"/>
              <w:bottom w:val="nil"/>
              <w:right w:val="nil"/>
            </w:tcBorders>
            <w:shd w:val="clear" w:color="000000" w:fill="DBE5F1"/>
            <w:vAlign w:val="center"/>
            <w:hideMark/>
          </w:tcPr>
          <w:p>
            <w:pPr>
              <w:jc w:val="right"/>
              <w:rPr>
                <w:rFonts w:ascii="Verdana" w:hAnsi="Verdana" w:cs="Calibri"/>
                <w:noProof/>
                <w:color w:val="000000"/>
                <w:sz w:val="18"/>
                <w:szCs w:val="18"/>
              </w:rPr>
            </w:pPr>
            <w:r>
              <w:rPr>
                <w:rFonts w:ascii="Verdana" w:hAnsi="Verdana"/>
                <w:noProof/>
                <w:color w:val="000000"/>
                <w:sz w:val="18"/>
              </w:rPr>
              <w:t> </w:t>
            </w:r>
          </w:p>
        </w:tc>
      </w:tr>
      <w:tr>
        <w:trPr>
          <w:trHeight w:val="225"/>
        </w:trPr>
        <w:tc>
          <w:tcPr>
            <w:tcW w:w="2700"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Ukraine</w:t>
            </w:r>
          </w:p>
        </w:tc>
        <w:tc>
          <w:tcPr>
            <w:tcW w:w="1360" w:type="dxa"/>
            <w:tcBorders>
              <w:top w:val="nil"/>
              <w:left w:val="nil"/>
              <w:bottom w:val="nil"/>
              <w:right w:val="nil"/>
            </w:tcBorders>
            <w:noWrap/>
            <w:hideMark/>
          </w:tcPr>
          <w:p>
            <w:pPr>
              <w:jc w:val="right"/>
              <w:rPr>
                <w:rFonts w:ascii="Verdana" w:hAnsi="Verdana" w:cs="Calibri"/>
                <w:b/>
                <w:bCs/>
                <w:noProof/>
                <w:color w:val="000000"/>
                <w:sz w:val="18"/>
                <w:szCs w:val="18"/>
              </w:rPr>
            </w:pPr>
            <w:r>
              <w:rPr>
                <w:rFonts w:ascii="Verdana" w:hAnsi="Verdana"/>
                <w:b/>
                <w:noProof/>
                <w:color w:val="000000"/>
                <w:sz w:val="18"/>
              </w:rPr>
              <w:t>33,0</w:t>
            </w:r>
          </w:p>
        </w:tc>
        <w:tc>
          <w:tcPr>
            <w:tcW w:w="1880" w:type="dxa"/>
            <w:tcBorders>
              <w:top w:val="nil"/>
              <w:left w:val="nil"/>
              <w:bottom w:val="nil"/>
              <w:right w:val="nil"/>
            </w:tcBorders>
            <w:noWrap/>
            <w:hideMark/>
          </w:tcPr>
          <w:p>
            <w:pPr>
              <w:jc w:val="right"/>
              <w:rPr>
                <w:rFonts w:ascii="Verdana" w:hAnsi="Verdana" w:cs="Calibri"/>
                <w:b/>
                <w:bCs/>
                <w:noProof/>
                <w:color w:val="000000"/>
                <w:sz w:val="18"/>
                <w:szCs w:val="18"/>
              </w:rPr>
            </w:pPr>
            <w:r>
              <w:rPr>
                <w:rFonts w:ascii="Verdana" w:hAnsi="Verdana"/>
                <w:b/>
                <w:noProof/>
                <w:color w:val="000000"/>
                <w:sz w:val="18"/>
              </w:rPr>
              <w:t>9,8</w:t>
            </w:r>
          </w:p>
        </w:tc>
        <w:tc>
          <w:tcPr>
            <w:tcW w:w="1960" w:type="dxa"/>
            <w:tcBorders>
              <w:top w:val="nil"/>
              <w:left w:val="nil"/>
              <w:bottom w:val="nil"/>
              <w:right w:val="nil"/>
            </w:tcBorders>
            <w:noWrap/>
            <w:hideMark/>
          </w:tcPr>
          <w:p>
            <w:pPr>
              <w:jc w:val="right"/>
              <w:rPr>
                <w:rFonts w:ascii="Verdana" w:hAnsi="Verdana" w:cs="Calibri"/>
                <w:b/>
                <w:bCs/>
                <w:noProof/>
                <w:color w:val="000000"/>
                <w:sz w:val="18"/>
                <w:szCs w:val="18"/>
              </w:rPr>
            </w:pPr>
            <w:r>
              <w:rPr>
                <w:rFonts w:ascii="Verdana" w:hAnsi="Verdana"/>
                <w:b/>
                <w:noProof/>
                <w:color w:val="000000"/>
                <w:sz w:val="18"/>
              </w:rPr>
              <w:t>23,2</w:t>
            </w:r>
          </w:p>
        </w:tc>
        <w:tc>
          <w:tcPr>
            <w:tcW w:w="1640" w:type="dxa"/>
            <w:tcBorders>
              <w:top w:val="nil"/>
              <w:left w:val="nil"/>
              <w:bottom w:val="nil"/>
              <w:right w:val="nil"/>
            </w:tcBorders>
            <w:noWrap/>
            <w:hideMark/>
          </w:tcPr>
          <w:p>
            <w:pPr>
              <w:jc w:val="right"/>
              <w:rPr>
                <w:rFonts w:ascii="Verdana" w:hAnsi="Verdana" w:cs="Calibri"/>
                <w:b/>
                <w:bCs/>
                <w:noProof/>
                <w:color w:val="000000"/>
                <w:sz w:val="18"/>
                <w:szCs w:val="18"/>
              </w:rPr>
            </w:pPr>
            <w:r>
              <w:rPr>
                <w:rFonts w:ascii="Verdana" w:hAnsi="Verdana"/>
                <w:b/>
                <w:noProof/>
                <w:color w:val="000000"/>
                <w:sz w:val="18"/>
              </w:rPr>
              <w:t>23,2</w:t>
            </w:r>
          </w:p>
        </w:tc>
      </w:tr>
      <w:tr>
        <w:trPr>
          <w:trHeight w:val="225"/>
        </w:trPr>
        <w:tc>
          <w:tcPr>
            <w:tcW w:w="2700" w:type="dxa"/>
            <w:tcBorders>
              <w:top w:val="nil"/>
              <w:left w:val="nil"/>
              <w:bottom w:val="nil"/>
              <w:right w:val="nil"/>
            </w:tcBorders>
            <w:shd w:val="clear" w:color="000000" w:fill="DBE5F1"/>
            <w:vAlign w:val="center"/>
            <w:hideMark/>
          </w:tcPr>
          <w:p>
            <w:pPr>
              <w:rPr>
                <w:rFonts w:ascii="Verdana" w:hAnsi="Verdana" w:cs="Calibri"/>
                <w:b/>
                <w:bCs/>
                <w:noProof/>
                <w:color w:val="000000"/>
                <w:sz w:val="18"/>
                <w:szCs w:val="18"/>
              </w:rPr>
            </w:pPr>
            <w:r>
              <w:rPr>
                <w:rFonts w:ascii="Verdana" w:hAnsi="Verdana"/>
                <w:b/>
                <w:noProof/>
                <w:color w:val="000000"/>
                <w:sz w:val="18"/>
              </w:rPr>
              <w:t>EURATOM</w:t>
            </w:r>
          </w:p>
        </w:tc>
        <w:tc>
          <w:tcPr>
            <w:tcW w:w="1360" w:type="dxa"/>
            <w:tcBorders>
              <w:top w:val="nil"/>
              <w:left w:val="nil"/>
              <w:bottom w:val="nil"/>
              <w:right w:val="nil"/>
            </w:tcBorders>
            <w:shd w:val="clear" w:color="000000" w:fill="DBE5F1"/>
            <w:vAlign w:val="center"/>
            <w:hideMark/>
          </w:tcPr>
          <w:p>
            <w:pPr>
              <w:jc w:val="right"/>
              <w:rPr>
                <w:rFonts w:ascii="Verdana" w:hAnsi="Verdana" w:cs="Calibri"/>
                <w:noProof/>
                <w:color w:val="000000"/>
                <w:sz w:val="18"/>
                <w:szCs w:val="18"/>
              </w:rPr>
            </w:pPr>
            <w:r>
              <w:rPr>
                <w:rFonts w:ascii="Verdana" w:hAnsi="Verdana"/>
                <w:noProof/>
                <w:color w:val="000000"/>
                <w:sz w:val="18"/>
              </w:rPr>
              <w:t> </w:t>
            </w:r>
          </w:p>
        </w:tc>
        <w:tc>
          <w:tcPr>
            <w:tcW w:w="1880" w:type="dxa"/>
            <w:tcBorders>
              <w:top w:val="nil"/>
              <w:left w:val="nil"/>
              <w:bottom w:val="nil"/>
              <w:right w:val="nil"/>
            </w:tcBorders>
            <w:shd w:val="clear" w:color="000000" w:fill="DBE5F1"/>
            <w:vAlign w:val="center"/>
            <w:hideMark/>
          </w:tcPr>
          <w:p>
            <w:pPr>
              <w:jc w:val="right"/>
              <w:rPr>
                <w:rFonts w:ascii="Verdana" w:hAnsi="Verdana" w:cs="Calibri"/>
                <w:noProof/>
                <w:color w:val="000000"/>
                <w:sz w:val="18"/>
                <w:szCs w:val="18"/>
              </w:rPr>
            </w:pPr>
            <w:r>
              <w:rPr>
                <w:rFonts w:ascii="Verdana" w:hAnsi="Verdana"/>
                <w:noProof/>
                <w:color w:val="000000"/>
                <w:sz w:val="18"/>
              </w:rPr>
              <w:t> </w:t>
            </w:r>
          </w:p>
        </w:tc>
        <w:tc>
          <w:tcPr>
            <w:tcW w:w="1960" w:type="dxa"/>
            <w:tcBorders>
              <w:top w:val="nil"/>
              <w:left w:val="nil"/>
              <w:bottom w:val="nil"/>
              <w:right w:val="nil"/>
            </w:tcBorders>
            <w:shd w:val="clear" w:color="000000" w:fill="DBE5F1"/>
            <w:vAlign w:val="center"/>
            <w:hideMark/>
          </w:tcPr>
          <w:p>
            <w:pPr>
              <w:jc w:val="right"/>
              <w:rPr>
                <w:rFonts w:ascii="Verdana" w:hAnsi="Verdana" w:cs="Calibri"/>
                <w:noProof/>
                <w:color w:val="000000"/>
                <w:sz w:val="18"/>
                <w:szCs w:val="18"/>
              </w:rPr>
            </w:pPr>
            <w:r>
              <w:rPr>
                <w:rFonts w:ascii="Verdana" w:hAnsi="Verdana"/>
                <w:noProof/>
                <w:color w:val="000000"/>
                <w:sz w:val="18"/>
              </w:rPr>
              <w:t> </w:t>
            </w:r>
          </w:p>
        </w:tc>
        <w:tc>
          <w:tcPr>
            <w:tcW w:w="1640" w:type="dxa"/>
            <w:tcBorders>
              <w:top w:val="nil"/>
              <w:left w:val="nil"/>
              <w:bottom w:val="nil"/>
              <w:right w:val="nil"/>
            </w:tcBorders>
            <w:shd w:val="clear" w:color="000000" w:fill="DBE5F1"/>
            <w:vAlign w:val="center"/>
            <w:hideMark/>
          </w:tcPr>
          <w:p>
            <w:pPr>
              <w:jc w:val="right"/>
              <w:rPr>
                <w:rFonts w:ascii="Verdana" w:hAnsi="Verdana" w:cs="Calibri"/>
                <w:noProof/>
                <w:color w:val="000000"/>
                <w:sz w:val="18"/>
                <w:szCs w:val="18"/>
              </w:rPr>
            </w:pPr>
            <w:r>
              <w:rPr>
                <w:rFonts w:ascii="Verdana" w:hAnsi="Verdana"/>
                <w:noProof/>
                <w:color w:val="000000"/>
                <w:sz w:val="18"/>
              </w:rPr>
              <w:t> </w:t>
            </w:r>
          </w:p>
        </w:tc>
      </w:tr>
      <w:tr>
        <w:trPr>
          <w:trHeight w:val="225"/>
        </w:trPr>
        <w:tc>
          <w:tcPr>
            <w:tcW w:w="2700"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Energoatom, K2R4 Ukraine</w:t>
            </w:r>
          </w:p>
        </w:tc>
        <w:tc>
          <w:tcPr>
            <w:tcW w:w="1360" w:type="dxa"/>
            <w:tcBorders>
              <w:top w:val="nil"/>
              <w:left w:val="nil"/>
              <w:bottom w:val="nil"/>
              <w:right w:val="nil"/>
            </w:tcBorders>
            <w:noWrap/>
            <w:hideMark/>
          </w:tcPr>
          <w:p>
            <w:pPr>
              <w:jc w:val="right"/>
              <w:rPr>
                <w:rFonts w:ascii="Verdana" w:hAnsi="Verdana" w:cs="Calibri"/>
                <w:b/>
                <w:bCs/>
                <w:noProof/>
                <w:color w:val="000000"/>
                <w:sz w:val="18"/>
                <w:szCs w:val="18"/>
              </w:rPr>
            </w:pPr>
            <w:r>
              <w:rPr>
                <w:rFonts w:ascii="Verdana" w:hAnsi="Verdana"/>
                <w:b/>
                <w:noProof/>
                <w:color w:val="000000"/>
                <w:sz w:val="18"/>
              </w:rPr>
              <w:t>0,4</w:t>
            </w:r>
          </w:p>
        </w:tc>
        <w:tc>
          <w:tcPr>
            <w:tcW w:w="1880" w:type="dxa"/>
            <w:tcBorders>
              <w:top w:val="nil"/>
              <w:left w:val="nil"/>
              <w:bottom w:val="nil"/>
              <w:right w:val="nil"/>
            </w:tcBorders>
            <w:noWrap/>
            <w:hideMark/>
          </w:tcPr>
          <w:p>
            <w:pPr>
              <w:jc w:val="right"/>
              <w:rPr>
                <w:rFonts w:ascii="Verdana" w:hAnsi="Verdana" w:cs="Calibri"/>
                <w:b/>
                <w:bCs/>
                <w:noProof/>
                <w:color w:val="000000"/>
                <w:sz w:val="18"/>
                <w:szCs w:val="18"/>
              </w:rPr>
            </w:pPr>
            <w:r>
              <w:rPr>
                <w:rFonts w:ascii="Verdana" w:hAnsi="Verdana"/>
                <w:b/>
                <w:noProof/>
                <w:color w:val="000000"/>
                <w:sz w:val="18"/>
              </w:rPr>
              <w:t>-</w:t>
            </w:r>
          </w:p>
        </w:tc>
        <w:tc>
          <w:tcPr>
            <w:tcW w:w="1960" w:type="dxa"/>
            <w:tcBorders>
              <w:top w:val="nil"/>
              <w:left w:val="nil"/>
              <w:bottom w:val="nil"/>
              <w:right w:val="nil"/>
            </w:tcBorders>
            <w:noWrap/>
            <w:hideMark/>
          </w:tcPr>
          <w:p>
            <w:pPr>
              <w:jc w:val="right"/>
              <w:rPr>
                <w:rFonts w:ascii="Verdana" w:hAnsi="Verdana" w:cs="Calibri"/>
                <w:b/>
                <w:bCs/>
                <w:noProof/>
                <w:color w:val="000000"/>
                <w:sz w:val="18"/>
                <w:szCs w:val="18"/>
              </w:rPr>
            </w:pPr>
            <w:r>
              <w:rPr>
                <w:rFonts w:ascii="Verdana" w:hAnsi="Verdana"/>
                <w:b/>
                <w:noProof/>
                <w:color w:val="000000"/>
                <w:sz w:val="18"/>
              </w:rPr>
              <w:t>0,4</w:t>
            </w:r>
          </w:p>
        </w:tc>
        <w:tc>
          <w:tcPr>
            <w:tcW w:w="1640" w:type="dxa"/>
            <w:tcBorders>
              <w:top w:val="nil"/>
              <w:left w:val="nil"/>
              <w:bottom w:val="nil"/>
              <w:right w:val="nil"/>
            </w:tcBorders>
            <w:noWrap/>
            <w:hideMark/>
          </w:tcPr>
          <w:p>
            <w:pPr>
              <w:jc w:val="right"/>
              <w:rPr>
                <w:rFonts w:ascii="Verdana" w:hAnsi="Verdana" w:cs="Calibri"/>
                <w:b/>
                <w:bCs/>
                <w:noProof/>
                <w:color w:val="000000"/>
                <w:sz w:val="18"/>
                <w:szCs w:val="18"/>
              </w:rPr>
            </w:pPr>
            <w:r>
              <w:rPr>
                <w:rFonts w:ascii="Verdana" w:hAnsi="Verdana"/>
                <w:b/>
                <w:noProof/>
                <w:color w:val="000000"/>
                <w:sz w:val="18"/>
              </w:rPr>
              <w:t>0,3</w:t>
            </w:r>
          </w:p>
        </w:tc>
      </w:tr>
      <w:tr>
        <w:trPr>
          <w:trHeight w:val="240"/>
        </w:trPr>
        <w:tc>
          <w:tcPr>
            <w:tcW w:w="2700" w:type="dxa"/>
            <w:tcBorders>
              <w:top w:val="nil"/>
              <w:left w:val="nil"/>
              <w:bottom w:val="nil"/>
              <w:right w:val="nil"/>
            </w:tcBorders>
            <w:shd w:val="clear" w:color="000000" w:fill="DBE5F1"/>
            <w:vAlign w:val="center"/>
            <w:hideMark/>
          </w:tcPr>
          <w:p>
            <w:pPr>
              <w:rPr>
                <w:rFonts w:ascii="Verdana" w:hAnsi="Verdana" w:cs="Calibri"/>
                <w:b/>
                <w:bCs/>
                <w:noProof/>
                <w:color w:val="000000"/>
                <w:sz w:val="18"/>
                <w:szCs w:val="18"/>
              </w:rPr>
            </w:pPr>
            <w:r>
              <w:rPr>
                <w:rFonts w:ascii="Verdana" w:hAnsi="Verdana"/>
                <w:b/>
                <w:noProof/>
                <w:color w:val="000000"/>
                <w:sz w:val="18"/>
              </w:rPr>
              <w:t>FRR/REPowerEU</w:t>
            </w:r>
          </w:p>
        </w:tc>
        <w:tc>
          <w:tcPr>
            <w:tcW w:w="1360" w:type="dxa"/>
            <w:tcBorders>
              <w:top w:val="nil"/>
              <w:left w:val="nil"/>
              <w:bottom w:val="nil"/>
              <w:right w:val="nil"/>
            </w:tcBorders>
            <w:shd w:val="clear" w:color="000000" w:fill="DBE5F1"/>
            <w:vAlign w:val="center"/>
            <w:hideMark/>
          </w:tcPr>
          <w:p>
            <w:pPr>
              <w:jc w:val="right"/>
              <w:rPr>
                <w:rFonts w:ascii="Verdana" w:hAnsi="Verdana" w:cs="Calibri"/>
                <w:b/>
                <w:bCs/>
                <w:noProof/>
                <w:color w:val="000000"/>
                <w:sz w:val="18"/>
                <w:szCs w:val="18"/>
              </w:rPr>
            </w:pPr>
            <w:r>
              <w:rPr>
                <w:rFonts w:ascii="Verdana" w:hAnsi="Verdana"/>
                <w:b/>
                <w:noProof/>
                <w:color w:val="000000"/>
                <w:sz w:val="18"/>
              </w:rPr>
              <w:t>277,2</w:t>
            </w:r>
          </w:p>
        </w:tc>
        <w:tc>
          <w:tcPr>
            <w:tcW w:w="1880" w:type="dxa"/>
            <w:tcBorders>
              <w:top w:val="nil"/>
              <w:left w:val="nil"/>
              <w:bottom w:val="nil"/>
              <w:right w:val="nil"/>
            </w:tcBorders>
            <w:shd w:val="clear" w:color="000000" w:fill="DBE5F1"/>
            <w:vAlign w:val="center"/>
            <w:hideMark/>
          </w:tcPr>
          <w:p>
            <w:pPr>
              <w:jc w:val="right"/>
              <w:rPr>
                <w:rFonts w:ascii="Verdana" w:hAnsi="Verdana" w:cs="Calibri"/>
                <w:b/>
                <w:bCs/>
                <w:noProof/>
                <w:color w:val="000000"/>
                <w:sz w:val="18"/>
                <w:szCs w:val="18"/>
              </w:rPr>
            </w:pPr>
            <w:r>
              <w:rPr>
                <w:rFonts w:ascii="Verdana" w:hAnsi="Verdana"/>
                <w:b/>
                <w:noProof/>
                <w:color w:val="000000"/>
                <w:sz w:val="18"/>
              </w:rPr>
              <w:t>121,3</w:t>
            </w:r>
          </w:p>
        </w:tc>
        <w:tc>
          <w:tcPr>
            <w:tcW w:w="1960" w:type="dxa"/>
            <w:tcBorders>
              <w:top w:val="nil"/>
              <w:left w:val="nil"/>
              <w:bottom w:val="nil"/>
              <w:right w:val="nil"/>
            </w:tcBorders>
            <w:shd w:val="clear" w:color="000000" w:fill="DBE5F1"/>
            <w:vAlign w:val="center"/>
            <w:hideMark/>
          </w:tcPr>
          <w:p>
            <w:pPr>
              <w:jc w:val="right"/>
              <w:rPr>
                <w:rFonts w:ascii="Verdana" w:hAnsi="Verdana" w:cs="Calibri"/>
                <w:b/>
                <w:bCs/>
                <w:noProof/>
                <w:color w:val="000000"/>
                <w:sz w:val="18"/>
                <w:szCs w:val="18"/>
              </w:rPr>
            </w:pPr>
            <w:r>
              <w:rPr>
                <w:rFonts w:ascii="Verdana" w:hAnsi="Verdana"/>
                <w:b/>
                <w:noProof/>
                <w:color w:val="000000"/>
                <w:sz w:val="18"/>
              </w:rPr>
              <w:t>155,9</w:t>
            </w:r>
          </w:p>
        </w:tc>
        <w:tc>
          <w:tcPr>
            <w:tcW w:w="1640" w:type="dxa"/>
            <w:tcBorders>
              <w:top w:val="nil"/>
              <w:left w:val="nil"/>
              <w:bottom w:val="nil"/>
              <w:right w:val="nil"/>
            </w:tcBorders>
            <w:shd w:val="clear" w:color="000000" w:fill="DBE5F1"/>
            <w:vAlign w:val="center"/>
            <w:hideMark/>
          </w:tcPr>
          <w:p>
            <w:pPr>
              <w:jc w:val="right"/>
              <w:rPr>
                <w:rFonts w:ascii="Verdana" w:hAnsi="Verdana" w:cs="Calibri"/>
                <w:b/>
                <w:bCs/>
                <w:noProof/>
                <w:color w:val="000000"/>
                <w:sz w:val="18"/>
                <w:szCs w:val="18"/>
              </w:rPr>
            </w:pPr>
            <w:r>
              <w:rPr>
                <w:rFonts w:ascii="Verdana" w:hAnsi="Verdana"/>
                <w:b/>
                <w:noProof/>
                <w:color w:val="000000"/>
                <w:sz w:val="18"/>
              </w:rPr>
              <w:t>155,9</w:t>
            </w:r>
          </w:p>
        </w:tc>
      </w:tr>
      <w:tr>
        <w:trPr>
          <w:trHeight w:val="240"/>
        </w:trPr>
        <w:tc>
          <w:tcPr>
            <w:tcW w:w="2700" w:type="dxa"/>
            <w:tcBorders>
              <w:top w:val="single" w:sz="8" w:space="0" w:color="016794"/>
              <w:left w:val="nil"/>
              <w:bottom w:val="single" w:sz="8" w:space="0" w:color="016794"/>
              <w:right w:val="nil"/>
            </w:tcBorders>
            <w:vAlign w:val="center"/>
            <w:hideMark/>
          </w:tcPr>
          <w:p>
            <w:pPr>
              <w:rPr>
                <w:rFonts w:ascii="Verdana" w:hAnsi="Verdana" w:cs="Calibri"/>
                <w:b/>
                <w:bCs/>
                <w:noProof/>
                <w:color w:val="000000"/>
                <w:sz w:val="18"/>
                <w:szCs w:val="18"/>
              </w:rPr>
            </w:pPr>
            <w:r>
              <w:rPr>
                <w:rFonts w:ascii="Verdana" w:hAnsi="Verdana"/>
                <w:b/>
                <w:noProof/>
                <w:color w:val="000000"/>
                <w:sz w:val="18"/>
              </w:rPr>
              <w:t>Total</w:t>
            </w:r>
          </w:p>
        </w:tc>
        <w:tc>
          <w:tcPr>
            <w:tcW w:w="1360" w:type="dxa"/>
            <w:tcBorders>
              <w:top w:val="single" w:sz="8" w:space="0" w:color="016794"/>
              <w:left w:val="nil"/>
              <w:bottom w:val="single" w:sz="8" w:space="0" w:color="016794"/>
              <w:right w:val="nil"/>
            </w:tcBorders>
            <w:vAlign w:val="center"/>
            <w:hideMark/>
          </w:tcPr>
          <w:p>
            <w:pPr>
              <w:jc w:val="right"/>
              <w:rPr>
                <w:rFonts w:ascii="Verdana" w:hAnsi="Verdana" w:cs="Calibri"/>
                <w:b/>
                <w:bCs/>
                <w:noProof/>
                <w:color w:val="000000"/>
                <w:sz w:val="18"/>
                <w:szCs w:val="18"/>
              </w:rPr>
            </w:pPr>
            <w:r>
              <w:rPr>
                <w:rFonts w:ascii="Verdana" w:hAnsi="Verdana"/>
                <w:b/>
                <w:noProof/>
                <w:color w:val="000000"/>
                <w:sz w:val="18"/>
              </w:rPr>
              <w:t>517,4</w:t>
            </w:r>
          </w:p>
        </w:tc>
        <w:tc>
          <w:tcPr>
            <w:tcW w:w="1880" w:type="dxa"/>
            <w:tcBorders>
              <w:top w:val="single" w:sz="8" w:space="0" w:color="016794"/>
              <w:left w:val="nil"/>
              <w:bottom w:val="single" w:sz="8" w:space="0" w:color="016794"/>
              <w:right w:val="nil"/>
            </w:tcBorders>
            <w:vAlign w:val="center"/>
            <w:hideMark/>
          </w:tcPr>
          <w:p>
            <w:pPr>
              <w:jc w:val="right"/>
              <w:rPr>
                <w:rFonts w:ascii="Verdana" w:hAnsi="Verdana" w:cs="Calibri"/>
                <w:b/>
                <w:bCs/>
                <w:noProof/>
                <w:color w:val="000000"/>
                <w:sz w:val="18"/>
                <w:szCs w:val="18"/>
              </w:rPr>
            </w:pPr>
            <w:r>
              <w:rPr>
                <w:rFonts w:ascii="Verdana" w:hAnsi="Verdana"/>
                <w:b/>
                <w:noProof/>
                <w:color w:val="000000"/>
                <w:sz w:val="18"/>
              </w:rPr>
              <w:t>139,0</w:t>
            </w:r>
          </w:p>
        </w:tc>
        <w:tc>
          <w:tcPr>
            <w:tcW w:w="1960" w:type="dxa"/>
            <w:tcBorders>
              <w:top w:val="single" w:sz="8" w:space="0" w:color="016794"/>
              <w:left w:val="nil"/>
              <w:bottom w:val="single" w:sz="8" w:space="0" w:color="016794"/>
              <w:right w:val="nil"/>
            </w:tcBorders>
            <w:vAlign w:val="center"/>
            <w:hideMark/>
          </w:tcPr>
          <w:p>
            <w:pPr>
              <w:jc w:val="right"/>
              <w:rPr>
                <w:rFonts w:ascii="Verdana" w:hAnsi="Verdana" w:cs="Calibri"/>
                <w:b/>
                <w:bCs/>
                <w:noProof/>
                <w:color w:val="000000"/>
                <w:sz w:val="18"/>
                <w:szCs w:val="18"/>
              </w:rPr>
            </w:pPr>
            <w:r>
              <w:rPr>
                <w:rFonts w:ascii="Verdana" w:hAnsi="Verdana"/>
                <w:b/>
                <w:noProof/>
                <w:color w:val="000000"/>
                <w:sz w:val="18"/>
              </w:rPr>
              <w:t>378,5</w:t>
            </w:r>
          </w:p>
        </w:tc>
        <w:tc>
          <w:tcPr>
            <w:tcW w:w="1640" w:type="dxa"/>
            <w:tcBorders>
              <w:top w:val="single" w:sz="8" w:space="0" w:color="016794"/>
              <w:left w:val="nil"/>
              <w:bottom w:val="single" w:sz="8" w:space="0" w:color="016794"/>
              <w:right w:val="nil"/>
            </w:tcBorders>
            <w:vAlign w:val="center"/>
            <w:hideMark/>
          </w:tcPr>
          <w:p>
            <w:pPr>
              <w:jc w:val="right"/>
              <w:rPr>
                <w:rFonts w:ascii="Verdana" w:hAnsi="Verdana" w:cs="Calibri"/>
                <w:b/>
                <w:bCs/>
                <w:noProof/>
                <w:color w:val="000000"/>
                <w:sz w:val="18"/>
                <w:szCs w:val="18"/>
              </w:rPr>
            </w:pPr>
            <w:r>
              <w:rPr>
                <w:rFonts w:ascii="Verdana" w:hAnsi="Verdana"/>
                <w:b/>
                <w:noProof/>
                <w:color w:val="000000"/>
                <w:sz w:val="18"/>
              </w:rPr>
              <w:t>359,4</w:t>
            </w:r>
          </w:p>
        </w:tc>
      </w:tr>
    </w:tbl>
    <w:p>
      <w:pPr>
        <w:pStyle w:val="DGTextstand-alone"/>
        <w:rPr>
          <w:color w:val="016794"/>
        </w:rPr>
      </w:pPr>
    </w:p>
    <w:p>
      <w:pPr>
        <w:pStyle w:val="DGTextstand-alone"/>
        <w:rPr>
          <w:color w:val="016794"/>
        </w:rPr>
      </w:pPr>
      <w:r>
        <w:rPr>
          <w:color w:val="016794"/>
        </w:rPr>
        <w:t>SURE</w:t>
      </w:r>
    </w:p>
    <w:p>
      <w:pPr>
        <w:pStyle w:val="DGTextstand-alone"/>
      </w:pPr>
      <w:r>
        <w:t xml:space="preserve">L’instrument SURE a été créé en 2020 pour fournir une assistance financière aux États membres qui étaient confrontés à une grave perturbation économique engendrée par la pandémie de COVID-19, ou qui étaient gravement menacés de l’être. Cet instrument complète les mesures nationales prises par les États membres concernés. </w:t>
      </w:r>
    </w:p>
    <w:p>
      <w:pPr>
        <w:pStyle w:val="DGTextstand-alone"/>
        <w:keepNext/>
      </w:pPr>
      <w:r>
        <w:t>La disponibilité de l’instrument a pris fin le 31 décembre 2022 et il n’y a pas de décaissements en attente. La durée des prêts varie entre 5 et 30 ans.</w:t>
      </w:r>
    </w:p>
    <w:p>
      <w:pPr>
        <w:pStyle w:val="DGTextstand-alone"/>
        <w:rPr>
          <w:color w:val="016794"/>
        </w:rPr>
      </w:pPr>
      <w:r>
        <w:rPr>
          <w:color w:val="016794"/>
        </w:rPr>
        <w:t>MESF</w:t>
      </w:r>
    </w:p>
    <w:p>
      <w:pPr>
        <w:pStyle w:val="DGTextstand-alone"/>
      </w:pPr>
      <w:r>
        <w:t xml:space="preserve">Le MESF a été créé pour octroyer une assistance financière à tous les États membres qui connaissent ou risquent de connaître de graves perturbations économiques ou financières, du fait d’événements exceptionnels échappant à leur contrôle. Ce programme a pris fin et aucun prêt supplémentaire ne peut être demandé, sauf pour des tâches spécifiques comme la prolongation de la durée des prêts existants. </w:t>
      </w:r>
    </w:p>
    <w:p>
      <w:pPr>
        <w:pStyle w:val="DGTextstand-alone"/>
      </w:pPr>
      <w:r>
        <w:t>En 2025, l’Irlande a remboursé 2,4 milliards d’EUR du prêt MESF dû, tandis que le Portugal a rapidement remboursé deux prêts pour un montant total de 2,5 milliards d’EUR. Les obligations de l’UE sous-jacentes ont été transférées dans la réserve de financement unifié.</w:t>
      </w:r>
    </w:p>
    <w:p>
      <w:pPr>
        <w:pStyle w:val="DGTextstand-alone"/>
        <w:rPr>
          <w:color w:val="016794"/>
        </w:rPr>
      </w:pPr>
      <w:r>
        <w:rPr>
          <w:color w:val="016794"/>
        </w:rPr>
        <w:t>AMF</w:t>
      </w:r>
    </w:p>
    <w:p>
      <w:pPr>
        <w:pStyle w:val="DGTextstand-alone"/>
      </w:pPr>
      <w:r>
        <w:t>Le programme d’assistance macrofinancière (AMF) est une forme de concours financier consenti par l’Union aux pays tiers partenaires qui connaissent une crise de leur balance des paiements. Il consiste en des subventions ou des prêts à moyen/long terme, voire en une combinaison des deux, et est uniquement destiné aux pays bénéficiant d’un programme du Fonds monétaire international (FMI).</w:t>
      </w:r>
    </w:p>
    <w:p>
      <w:pPr>
        <w:pStyle w:val="DGTextstand-alone"/>
        <w:rPr>
          <w:i/>
        </w:rPr>
      </w:pPr>
      <w:r>
        <w:rPr>
          <w:i/>
        </w:rPr>
        <w:t>Ukraine</w:t>
      </w:r>
    </w:p>
    <w:p>
      <w:pPr>
        <w:pStyle w:val="DGTextstand-alone"/>
      </w:pPr>
      <w:r>
        <w:t>En 2022, le Parlement européen et le Conseil ont approuvé trois trains de mesures d’assistance financière en faveur de l’Ukraine</w:t>
      </w:r>
      <w:r>
        <w:rPr>
          <w:vertAlign w:val="superscript"/>
        </w:rPr>
        <w:footnoteReference w:id="9"/>
      </w:r>
      <w:r>
        <w:t xml:space="preserve">, d’un montant total de 7,2 milliards d’EUR, afin de renforcer la résilience immédiate du pays à la suite de la guerre d’agression non provoquée et injustifiée menée par la Russie. À la fin de 2022, l’intégralité des prêts avait été versée à l’Ukraine. La durée de ces prêts à l’Ukraine varie de 10 à 30 ans. </w:t>
      </w:r>
    </w:p>
    <w:p>
      <w:pPr>
        <w:pStyle w:val="DGTextstand-alone"/>
      </w:pPr>
      <w:r>
        <w:t>Afin de poursuivre le soutien de l’UE à l’Ukraine, un prêt au titre de l’AMF+ de 18 milliards d’EUR a été décaissé en 2023 en vertu du règlement (UE) 2022/2463 du Parlement européen et du Conseil</w:t>
      </w:r>
      <w:r>
        <w:rPr>
          <w:rStyle w:val="FootnoteReference"/>
        </w:rPr>
        <w:footnoteReference w:id="10"/>
      </w:r>
      <w:r>
        <w:t xml:space="preserve">. Ce prêt a été financé selon l’approche unifiée en matière de financement, tandis que tous les précédents prêts AMF l’avaient été sur une base réciproque (approche «back-to-back»). </w:t>
      </w:r>
    </w:p>
    <w:p>
      <w:pPr>
        <w:pStyle w:val="DGTextstand-alone"/>
      </w:pPr>
      <w:r>
        <w:t>En octobre 2024, l’UE a adopté une nouvelle AMF en faveur de l’Ukraine ainsi que le mécanisme de coopération pour les prêts à l’Ukraine (MCPU)</w:t>
      </w:r>
      <w:r>
        <w:rPr>
          <w:rStyle w:val="FootnoteReference"/>
        </w:rPr>
        <w:footnoteReference w:id="11"/>
      </w:r>
      <w:r>
        <w:t>. Dans le cadre du MCPU, les recettes exceptionnelles provenant des actifs souverains russes immobilisés sont utilisées pour octroyer un soutien non remboursable à l’Ukraine afin d’aider le pays à rembourser les nouveaux prêts bilatéraux accordés par les partenaires du G7 et l’UE dans le cadre de cette initiative. Par conséquent, l’UE a signé un nouvel accord de prêt AMF avec l’Ukraine en décembre 2024 pour un montant de 18,1 milliards d’EUR, qui a été intégralement décaissé à la fin 2025.</w:t>
      </w:r>
    </w:p>
    <w:p>
      <w:pPr>
        <w:pStyle w:val="DGTextstand-alone"/>
      </w:pPr>
      <w:r>
        <w:t>Fin 2025, l’encours total des prêts AMF en faveur de l’Ukraine s’élevait à 47,1 milliards d’EUR (montant nominal).</w:t>
      </w:r>
    </w:p>
    <w:p>
      <w:pPr>
        <w:pStyle w:val="DGTextstand-alone"/>
        <w:keepNext/>
        <w:rPr>
          <w:color w:val="016794"/>
        </w:rPr>
      </w:pPr>
      <w:r>
        <w:rPr>
          <w:color w:val="016794"/>
        </w:rPr>
        <w:lastRenderedPageBreak/>
        <w:t>Facilité pour l’Ukraine</w:t>
      </w:r>
    </w:p>
    <w:p>
      <w:pPr>
        <w:pStyle w:val="DGTextstand-alone"/>
      </w:pPr>
      <w:bookmarkStart w:id="39" w:name="_Hlk168387408"/>
      <w:r>
        <w:t>Le 29 février 2024, le Parlement européen et le Conseil ont adopté le règlement (UE) 2024/792 établissant la facilité pour l’Ukraine</w:t>
      </w:r>
      <w:r>
        <w:rPr>
          <w:rStyle w:val="FootnoteReference"/>
        </w:rPr>
        <w:footnoteReference w:id="12"/>
      </w:r>
      <w:r>
        <w:t>. Cet instrument couvre les années 2024 à 2027 et permet l’octroi d’un soutien financier à l’Ukraine à hauteur d’un montant pouvant aller jusqu’à 50 milliards d’EUR, dont un montant pouvant aller jusqu’à 33 milliards d’EUR en prêts souverains. Au 31 décembre 2025, 23,2 milliards d’EUR de prêts avaient été décaissés en faveur de l’Ukraine. Les prêts souverains de la facilité pour l’Ukraine sont financés par des emprunts suivant l’approche unifiée en matière de financement.</w:t>
      </w:r>
    </w:p>
    <w:bookmarkEnd w:id="39"/>
    <w:p>
      <w:pPr>
        <w:pStyle w:val="DGTextstand-alone"/>
        <w:rPr>
          <w:color w:val="016794"/>
        </w:rPr>
      </w:pPr>
      <w:r>
        <w:rPr>
          <w:color w:val="016794"/>
        </w:rPr>
        <w:t>Facilité pour les réformes et la croissance en faveur des Balkans occidentaux</w:t>
      </w:r>
    </w:p>
    <w:p>
      <w:pPr>
        <w:pStyle w:val="DGTextstand-alone"/>
      </w:pPr>
      <w:r>
        <w:t>Le règlement (UE) 2024/1449 établissant une facilité pour les réformes et la croissance en faveur des Balkans occidentaux</w:t>
      </w:r>
      <w:r>
        <w:rPr>
          <w:rStyle w:val="FootnoteReference"/>
        </w:rPr>
        <w:footnoteReference w:id="13"/>
      </w:r>
      <w:r>
        <w:t xml:space="preserve"> a été adopté en mai 2024, tandis que les premiers prêts ont été décaissés en 2025. La facilité devrait fournir jusqu’à 4 milliards d’EUR de prêts pour la période 2025-2027, les paiements étant subordonnés à la mise en œuvre, par les pays partenaires de l’UE dans les Balkans occidentaux, de réformes socio-économiques et fondamentales spécifiques. </w:t>
      </w:r>
    </w:p>
    <w:p>
      <w:pPr>
        <w:pStyle w:val="DGTextstand-alone"/>
        <w:rPr>
          <w:color w:val="016794"/>
        </w:rPr>
      </w:pPr>
      <w:r>
        <w:rPr>
          <w:color w:val="016794"/>
        </w:rPr>
        <w:t>Facilité pour les réformes et la croissance en République de Moldavie</w:t>
      </w:r>
    </w:p>
    <w:p>
      <w:pPr>
        <w:pStyle w:val="DGTextstand-alone"/>
      </w:pPr>
      <w:r>
        <w:t>Le règlement (UE) 2025/535 établissant une facilité pour les réformes et la croissance en faveur de la République de Moldavie</w:t>
      </w:r>
      <w:r>
        <w:rPr>
          <w:rStyle w:val="FootnoteReference"/>
        </w:rPr>
        <w:footnoteReference w:id="14"/>
      </w:r>
      <w:r>
        <w:t xml:space="preserve"> a été adopté en mars 2025. La facilité soutiendra la Moldavie au cours de la période 2025-2027. Elle devrait fournir jusqu’à 1,5 milliard d’EUR sous la forme de prêts, les premiers décaissements ayant eu lieu en 2025.</w:t>
      </w:r>
    </w:p>
    <w:p>
      <w:pPr>
        <w:pStyle w:val="DGTextstand-alone"/>
        <w:rPr>
          <w:color w:val="016794"/>
        </w:rPr>
      </w:pPr>
      <w:r>
        <w:rPr>
          <w:color w:val="016794"/>
        </w:rPr>
        <w:t>Euratom</w:t>
      </w:r>
    </w:p>
    <w:p>
      <w:pPr>
        <w:pStyle w:val="DGTextstand-alone"/>
      </w:pPr>
      <w:r>
        <w:t>La Communauté européenne de l’énergie atomique prête de l’argent à la fois aux États membres et aux pays tiers, ainsi qu’à leurs entités respectives, afin de financer des projets relatifs à des installations énergétiques.</w:t>
      </w:r>
    </w:p>
    <w:p>
      <w:pPr>
        <w:pStyle w:val="DGTextstand-alone"/>
        <w:rPr>
          <w:color w:val="016794"/>
        </w:rPr>
      </w:pPr>
      <w:r>
        <w:rPr>
          <w:color w:val="016794"/>
        </w:rPr>
        <w:t>BDP</w:t>
      </w:r>
    </w:p>
    <w:p>
      <w:pPr>
        <w:pStyle w:val="DGTextstand-alone"/>
        <w:spacing w:before="120" w:after="120"/>
      </w:pPr>
      <w:bookmarkStart w:id="40" w:name="_Hlk225455171"/>
      <w:r>
        <w:t>Ce programme de soutien s’adresse aux États membres n’appartenant pas à la zone euro qui connaissent des difficultés concernant leur balance des paiements. En 2025, le dernier encours du prêt de soutien à la balance des paiements a été intégralement remboursé par la Lettonie.</w:t>
      </w:r>
    </w:p>
    <w:p>
      <w:pPr>
        <w:pStyle w:val="DGTextstand-alone"/>
        <w:rPr>
          <w:color w:val="016794"/>
        </w:rPr>
      </w:pPr>
      <w:bookmarkStart w:id="41" w:name="_Hlk231474300"/>
      <w:r>
        <w:rPr>
          <w:color w:val="016794"/>
        </w:rPr>
        <w:t>SAFE</w:t>
      </w:r>
    </w:p>
    <w:p>
      <w:pPr>
        <w:pStyle w:val="DGTextstand-alone"/>
        <w:spacing w:before="120" w:after="120"/>
      </w:pPr>
      <w:r>
        <w:t>Le 27 mai 2025, le Conseil de l’Union européenne a adopté l’instrument «Agir pour la sécurité de l’Europe» (SAFE)</w:t>
      </w:r>
      <w:r>
        <w:rPr>
          <w:rStyle w:val="FootnoteReference"/>
        </w:rPr>
        <w:footnoteReference w:id="15"/>
      </w:r>
      <w:r>
        <w:t>, un instrument conçu pour apporter un soutien financier aux États membres afin d’accélérer la préparation en matière de défense au moyen d’acquisitions conjointes. SAFE fournira jusqu’à 150 milliards d’EUR de prêts à long terme aux États membres, lesquels devraient être décaissés en 2026-2030 et financés par les emprunts. Des prêts SAFE ont été signés et sont entrés en vigueur le 31 mai 2026 pour un montant de 43,7 milliards d’EUR, dont 6,6 milliards d’EUR décaissés.</w:t>
      </w:r>
    </w:p>
    <w:p>
      <w:pPr>
        <w:pStyle w:val="DGTextstand-alone"/>
        <w:rPr>
          <w:color w:val="016794"/>
        </w:rPr>
      </w:pPr>
      <w:r>
        <w:rPr>
          <w:color w:val="016794"/>
        </w:rPr>
        <w:t>Prêt de soutien à l’Ukraine</w:t>
      </w:r>
    </w:p>
    <w:p>
      <w:pPr>
        <w:pStyle w:val="DGTextstand-alone"/>
        <w:spacing w:before="120" w:after="120"/>
      </w:pPr>
      <w:r>
        <w:t xml:space="preserve">En février 2026, le Parlement européen et le Conseil ont adopté le </w:t>
      </w:r>
      <w:bookmarkStart w:id="42" w:name="_Hlk231937338"/>
      <w:r>
        <w:t>règlement (UE) 2026/467</w:t>
      </w:r>
      <w:r>
        <w:rPr>
          <w:rStyle w:val="FootnoteReference"/>
        </w:rPr>
        <w:footnoteReference w:id="16"/>
      </w:r>
      <w:bookmarkEnd w:id="42"/>
      <w:r>
        <w:t xml:space="preserve"> établissant le prêt de soutien à l’Ukraine, pour un montant maximum de 90 milliards d’EUR La mise en œuvre du programme a ensuite été rendue possible par la modification du règlement (UE, Euratom) 2020/2093 — qui fixe le cadre financier pluriannuel (CFP) pour les années 2021 à 2027 — à la suite de son adoption en </w:t>
      </w:r>
      <w:r>
        <w:lastRenderedPageBreak/>
        <w:t xml:space="preserve">avril 2026. L’accord de prêt correspondant a été signé en mai 2026 et la Commission européenne prévoit de commencer les décaissements en juin 2026. </w:t>
      </w:r>
    </w:p>
    <w:bookmarkEnd w:id="40"/>
    <w:bookmarkEnd w:id="41"/>
    <w:p>
      <w:pPr>
        <w:pStyle w:val="DGTextstand-alone"/>
        <w:rPr>
          <w:color w:val="016794"/>
        </w:rPr>
      </w:pPr>
      <w:r>
        <w:rPr>
          <w:color w:val="016794"/>
        </w:rPr>
        <w:t>Liquidité pour un financement unifié</w:t>
      </w:r>
    </w:p>
    <w:p>
      <w:pPr>
        <w:pStyle w:val="DGTextstand-alone"/>
        <w:spacing w:after="120"/>
      </w:pPr>
      <w:r>
        <w:t>Dans le cadre de la stratégie unifiée en matière de financement, un certain montant du produit des emprunts est conservé sur un compte bancaire auprès de la Banque centrale européenne ou placé dans des investissements à court terme. Ce coussin de liquidité garantit la disponibilité de fonds suffisants pour satisfaire à toutes les obligations à venir en matière de décaissement. Pour gérer la liquidité, la Commission tient compte des besoins de décaissement prévus et des coûts d’opportunité des soldes de trésorerie. À la fin de l’exercice 2025, les fonds détenus dans le coussin de liquidité s’élevaient à 65,2 milliards d’EUR.</w:t>
      </w:r>
    </w:p>
    <w:p>
      <w:pPr>
        <w:pStyle w:val="HEADER3Part4"/>
        <w:keepNext/>
        <w:rPr>
          <w:noProof/>
        </w:rPr>
      </w:pPr>
      <w:r>
        <w:rPr>
          <w:noProof/>
        </w:rPr>
        <w:t>Garanties budgétaires pour assurer le remboursement des emprunts</w:t>
      </w:r>
    </w:p>
    <w:p>
      <w:pPr>
        <w:pStyle w:val="DGTextstand-alone"/>
      </w:pPr>
      <w:r>
        <w:t xml:space="preserve">Les emprunts de l’UE sont des obligations directes et inconditionnelles de l’Union et sont garantis par les États membres. Les emprunts contractés pour financer des prêts sont censés être remboursés par le recouvrement en temps voulu du principal et des intérêts dus sur ces prêts. </w:t>
      </w:r>
    </w:p>
    <w:p>
      <w:pPr>
        <w:pStyle w:val="DGTextstand-alone"/>
      </w:pPr>
      <w:r>
        <w:t>Néanmoins, en cas de défaillance ou de retard de remboursement d’un pays bénéficiaire, il existe un certain nombre de garanties visant à assurer le service de la dette de l’UE, qui sont résumées dans le tableau figurant ci-dessous. À court terme, les emprunts seront remboursés à partir du solde de trésorerie disponible de la Commission. Ensuite, les emprunts liés aux prêts aux pays tiers (à l’exception des prêts au titre de l’AMF + et de la facilité pour l’Ukraine) seront remboursés à partir des actifs détenus dans le FCP, tandis que, dans le cas des prêts au titre de l’AMF +, de la facilité pour l’Ukraine et des prêts aux États membres, la Commission peut faire appel à des ressources supplémentaires des États membres à concurrence de la marge de ressources propres disponible («marge de manœuvre budgétaire»). Pour certains programmes, des garanties sont également fournies par les États membres. En conséquence, les investisseurs sont uniquement exposés au risque de crédit de l’UE et non à celui du bénéficiaire des prêts.</w:t>
      </w:r>
    </w:p>
    <w:tbl>
      <w:tblPr>
        <w:tblStyle w:val="TableGrid"/>
        <w:tblW w:w="9638" w:type="dxa"/>
        <w:jc w:val="center"/>
        <w:tblBorders>
          <w:top w:val="none" w:sz="0" w:space="0" w:color="auto"/>
          <w:left w:val="none" w:sz="0" w:space="0" w:color="auto"/>
          <w:bottom w:val="none" w:sz="0" w:space="0" w:color="auto"/>
          <w:right w:val="none" w:sz="0" w:space="0" w:color="auto"/>
          <w:insideH w:val="single" w:sz="12" w:space="0" w:color="B2A1C7" w:themeColor="accent4" w:themeTint="99"/>
          <w:insideV w:val="single" w:sz="12" w:space="0" w:color="B2A1C7" w:themeColor="accent4" w:themeTint="99"/>
        </w:tblBorders>
        <w:tblLook w:val="04A0" w:firstRow="1" w:lastRow="0" w:firstColumn="1" w:lastColumn="0" w:noHBand="0" w:noVBand="1"/>
      </w:tblPr>
      <w:tblGrid>
        <w:gridCol w:w="3685"/>
        <w:gridCol w:w="5953"/>
      </w:tblGrid>
      <w:tr>
        <w:trPr>
          <w:trHeight w:val="510"/>
          <w:jc w:val="center"/>
        </w:trPr>
        <w:tc>
          <w:tcPr>
            <w:tcW w:w="3685" w:type="dxa"/>
            <w:shd w:val="clear" w:color="auto" w:fill="016794"/>
            <w:vAlign w:val="center"/>
          </w:tcPr>
          <w:p>
            <w:pPr>
              <w:jc w:val="center"/>
              <w:rPr>
                <w:rFonts w:ascii="Verdana" w:hAnsi="Verdana"/>
                <w:noProof/>
                <w:color w:val="FFFFFF" w:themeColor="background1"/>
                <w:sz w:val="18"/>
                <w:szCs w:val="18"/>
              </w:rPr>
            </w:pPr>
            <w:r>
              <w:rPr>
                <w:rFonts w:ascii="Verdana" w:hAnsi="Verdana"/>
                <w:noProof/>
                <w:color w:val="FFFFFF" w:themeColor="background1"/>
                <w:sz w:val="18"/>
              </w:rPr>
              <w:t>Programme de l’UE financé par l’emprunt</w:t>
            </w:r>
          </w:p>
        </w:tc>
        <w:tc>
          <w:tcPr>
            <w:tcW w:w="5953" w:type="dxa"/>
            <w:shd w:val="clear" w:color="auto" w:fill="016794"/>
            <w:vAlign w:val="center"/>
          </w:tcPr>
          <w:p>
            <w:pPr>
              <w:jc w:val="center"/>
              <w:rPr>
                <w:rFonts w:ascii="Verdana" w:hAnsi="Verdana"/>
                <w:noProof/>
                <w:color w:val="FFFFFF" w:themeColor="background1"/>
                <w:sz w:val="18"/>
                <w:szCs w:val="18"/>
              </w:rPr>
            </w:pPr>
            <w:r>
              <w:rPr>
                <w:rFonts w:ascii="Verdana" w:hAnsi="Verdana"/>
                <w:noProof/>
                <w:color w:val="FFFFFF" w:themeColor="background1"/>
                <w:sz w:val="18"/>
              </w:rPr>
              <w:t>Système de protection</w:t>
            </w:r>
          </w:p>
        </w:tc>
      </w:tr>
      <w:tr>
        <w:trPr>
          <w:jc w:val="center"/>
        </w:trPr>
        <w:tc>
          <w:tcPr>
            <w:tcW w:w="3685" w:type="dxa"/>
          </w:tcPr>
          <w:p>
            <w:pPr>
              <w:rPr>
                <w:rFonts w:ascii="Verdana" w:hAnsi="Verdana"/>
                <w:noProof/>
                <w:color w:val="016794"/>
                <w:sz w:val="18"/>
                <w:szCs w:val="18"/>
              </w:rPr>
            </w:pPr>
            <w:r>
              <w:rPr>
                <w:rFonts w:ascii="Verdana" w:hAnsi="Verdana"/>
                <w:noProof/>
                <w:color w:val="016794"/>
                <w:sz w:val="18"/>
              </w:rPr>
              <w:t>NextGenerationEU (FRR et REPowerEU)</w:t>
            </w:r>
          </w:p>
        </w:tc>
        <w:tc>
          <w:tcPr>
            <w:tcW w:w="5953" w:type="dxa"/>
          </w:tcPr>
          <w:p>
            <w:pPr>
              <w:rPr>
                <w:rFonts w:ascii="Verdana" w:hAnsi="Verdana"/>
                <w:noProof/>
                <w:color w:val="016794"/>
                <w:sz w:val="18"/>
                <w:szCs w:val="18"/>
              </w:rPr>
            </w:pPr>
            <w:r>
              <w:rPr>
                <w:rFonts w:ascii="Verdana" w:hAnsi="Verdana"/>
                <w:noProof/>
                <w:color w:val="016794"/>
                <w:sz w:val="18"/>
              </w:rPr>
              <w:t>Marge de manœuvre budgétaire sous le plafond temporaire des ressources propres du budget de l’UE — 0,6 % supplémentaire du RNB de l’UE au-dessus du plafond des ressources propres du budget de l’UE, qui s’élève à 1,4 % du RNB de l’UE</w:t>
            </w:r>
          </w:p>
        </w:tc>
      </w:tr>
      <w:tr>
        <w:trPr>
          <w:jc w:val="center"/>
        </w:trPr>
        <w:tc>
          <w:tcPr>
            <w:tcW w:w="3685" w:type="dxa"/>
          </w:tcPr>
          <w:p>
            <w:pPr>
              <w:rPr>
                <w:rFonts w:ascii="Verdana" w:hAnsi="Verdana"/>
                <w:noProof/>
                <w:color w:val="016794"/>
                <w:sz w:val="18"/>
                <w:szCs w:val="18"/>
              </w:rPr>
            </w:pPr>
            <w:r>
              <w:rPr>
                <w:rFonts w:ascii="Verdana" w:hAnsi="Verdana"/>
                <w:noProof/>
                <w:color w:val="016794"/>
                <w:sz w:val="18"/>
              </w:rPr>
              <w:t>SURE</w:t>
            </w:r>
          </w:p>
        </w:tc>
        <w:tc>
          <w:tcPr>
            <w:tcW w:w="5953" w:type="dxa"/>
          </w:tcPr>
          <w:p>
            <w:pPr>
              <w:rPr>
                <w:rFonts w:ascii="Verdana" w:hAnsi="Verdana"/>
                <w:noProof/>
                <w:color w:val="016794"/>
                <w:sz w:val="18"/>
                <w:szCs w:val="18"/>
              </w:rPr>
            </w:pPr>
            <w:r>
              <w:rPr>
                <w:rFonts w:ascii="Verdana" w:hAnsi="Verdana"/>
                <w:noProof/>
                <w:color w:val="016794"/>
                <w:sz w:val="18"/>
              </w:rPr>
              <w:t>Garantie fournie par tous les États membres de l’UE (25 %) + marge de manœuvre budgétaire sous le plafond des ressources propres du budget de l’UE (1,4 % du RNB de l’UE)</w:t>
            </w:r>
          </w:p>
        </w:tc>
      </w:tr>
      <w:tr>
        <w:trPr>
          <w:jc w:val="center"/>
        </w:trPr>
        <w:tc>
          <w:tcPr>
            <w:tcW w:w="3685" w:type="dxa"/>
          </w:tcPr>
          <w:p>
            <w:pPr>
              <w:rPr>
                <w:rFonts w:ascii="Verdana" w:hAnsi="Verdana"/>
                <w:noProof/>
                <w:color w:val="016794"/>
                <w:sz w:val="18"/>
                <w:szCs w:val="18"/>
              </w:rPr>
            </w:pPr>
            <w:r>
              <w:rPr>
                <w:rFonts w:ascii="Verdana" w:hAnsi="Verdana"/>
                <w:noProof/>
                <w:color w:val="016794"/>
                <w:sz w:val="18"/>
              </w:rPr>
              <w:t>MESF</w:t>
            </w:r>
          </w:p>
        </w:tc>
        <w:tc>
          <w:tcPr>
            <w:tcW w:w="5953" w:type="dxa"/>
          </w:tcPr>
          <w:p>
            <w:pPr>
              <w:rPr>
                <w:rFonts w:ascii="Verdana" w:hAnsi="Verdana"/>
                <w:noProof/>
                <w:color w:val="016794"/>
                <w:sz w:val="18"/>
                <w:szCs w:val="18"/>
              </w:rPr>
            </w:pPr>
            <w:r>
              <w:rPr>
                <w:rFonts w:ascii="Verdana" w:hAnsi="Verdana"/>
                <w:noProof/>
                <w:color w:val="016794"/>
                <w:sz w:val="18"/>
              </w:rPr>
              <w:t>Marge de manœuvre budgétaire sous le plafond des ressources propres du budget de l’UE (1,4 % du RNB de l’UE)</w:t>
            </w:r>
          </w:p>
        </w:tc>
      </w:tr>
      <w:tr>
        <w:trPr>
          <w:jc w:val="center"/>
        </w:trPr>
        <w:tc>
          <w:tcPr>
            <w:tcW w:w="3685" w:type="dxa"/>
          </w:tcPr>
          <w:p>
            <w:pPr>
              <w:rPr>
                <w:rFonts w:ascii="Verdana" w:hAnsi="Verdana"/>
                <w:noProof/>
                <w:color w:val="016794"/>
                <w:sz w:val="18"/>
                <w:szCs w:val="18"/>
              </w:rPr>
            </w:pPr>
            <w:r>
              <w:rPr>
                <w:rFonts w:ascii="Verdana" w:hAnsi="Verdana"/>
                <w:noProof/>
                <w:color w:val="016794"/>
                <w:sz w:val="18"/>
              </w:rPr>
              <w:t>AMF (standard)</w:t>
            </w:r>
          </w:p>
        </w:tc>
        <w:tc>
          <w:tcPr>
            <w:tcW w:w="5953" w:type="dxa"/>
          </w:tcPr>
          <w:p>
            <w:pPr>
              <w:rPr>
                <w:rFonts w:ascii="Verdana" w:hAnsi="Verdana"/>
                <w:noProof/>
                <w:color w:val="016794"/>
                <w:sz w:val="18"/>
                <w:szCs w:val="18"/>
              </w:rPr>
            </w:pPr>
            <w:r>
              <w:rPr>
                <w:rFonts w:ascii="Verdana" w:hAnsi="Verdana"/>
                <w:noProof/>
                <w:color w:val="016794"/>
                <w:sz w:val="18"/>
              </w:rPr>
              <w:t>FCP (9 % du prêt au pays tiers)</w:t>
            </w:r>
          </w:p>
        </w:tc>
      </w:tr>
      <w:tr>
        <w:trPr>
          <w:jc w:val="center"/>
        </w:trPr>
        <w:tc>
          <w:tcPr>
            <w:tcW w:w="3685" w:type="dxa"/>
          </w:tcPr>
          <w:p>
            <w:pPr>
              <w:rPr>
                <w:rFonts w:ascii="Verdana" w:hAnsi="Verdana"/>
                <w:noProof/>
                <w:color w:val="016794"/>
                <w:sz w:val="18"/>
                <w:szCs w:val="18"/>
              </w:rPr>
            </w:pPr>
            <w:r>
              <w:rPr>
                <w:rFonts w:ascii="Verdana" w:hAnsi="Verdana"/>
                <w:noProof/>
                <w:color w:val="016794"/>
                <w:sz w:val="18"/>
              </w:rPr>
              <w:t>AMF exceptionnelle à l’Ukraine</w:t>
            </w:r>
          </w:p>
        </w:tc>
        <w:tc>
          <w:tcPr>
            <w:tcW w:w="5953" w:type="dxa"/>
          </w:tcPr>
          <w:p>
            <w:pPr>
              <w:rPr>
                <w:rFonts w:ascii="Verdana" w:hAnsi="Verdana"/>
                <w:noProof/>
                <w:color w:val="016794"/>
                <w:sz w:val="18"/>
                <w:szCs w:val="18"/>
              </w:rPr>
            </w:pPr>
            <w:r>
              <w:rPr>
                <w:rFonts w:ascii="Verdana" w:hAnsi="Verdana"/>
                <w:noProof/>
                <w:color w:val="016794"/>
                <w:sz w:val="18"/>
              </w:rPr>
              <w:t>FCP (9 % du prêt) + garanties de tous les États membres de l’UE (61 %)</w:t>
            </w:r>
          </w:p>
        </w:tc>
      </w:tr>
      <w:tr>
        <w:trPr>
          <w:trHeight w:val="423"/>
          <w:jc w:val="center"/>
        </w:trPr>
        <w:tc>
          <w:tcPr>
            <w:tcW w:w="3685" w:type="dxa"/>
          </w:tcPr>
          <w:p>
            <w:pPr>
              <w:rPr>
                <w:rFonts w:ascii="Verdana" w:hAnsi="Verdana"/>
                <w:noProof/>
                <w:color w:val="016794"/>
                <w:sz w:val="18"/>
                <w:szCs w:val="18"/>
              </w:rPr>
            </w:pPr>
            <w:r>
              <w:rPr>
                <w:rFonts w:ascii="Verdana" w:hAnsi="Verdana"/>
                <w:noProof/>
                <w:color w:val="016794"/>
                <w:sz w:val="18"/>
              </w:rPr>
              <w:t>AMF+ à l’Ukraine</w:t>
            </w:r>
          </w:p>
        </w:tc>
        <w:tc>
          <w:tcPr>
            <w:tcW w:w="5953" w:type="dxa"/>
          </w:tcPr>
          <w:p>
            <w:pPr>
              <w:rPr>
                <w:rFonts w:ascii="Verdana" w:hAnsi="Verdana"/>
                <w:noProof/>
                <w:color w:val="016794"/>
                <w:sz w:val="18"/>
                <w:szCs w:val="18"/>
              </w:rPr>
            </w:pPr>
            <w:r>
              <w:rPr>
                <w:rFonts w:ascii="Verdana" w:hAnsi="Verdana"/>
                <w:noProof/>
                <w:color w:val="016794"/>
                <w:sz w:val="18"/>
              </w:rPr>
              <w:t>Marge de manœuvre budgétaire sous le plafond des ressources propres du budget de l’UE (1,4 % du RNB de l’UE)</w:t>
            </w:r>
          </w:p>
        </w:tc>
      </w:tr>
      <w:tr>
        <w:trPr>
          <w:jc w:val="center"/>
        </w:trPr>
        <w:tc>
          <w:tcPr>
            <w:tcW w:w="3685" w:type="dxa"/>
          </w:tcPr>
          <w:p>
            <w:pPr>
              <w:rPr>
                <w:rFonts w:ascii="Verdana" w:hAnsi="Verdana"/>
                <w:noProof/>
                <w:color w:val="016794"/>
                <w:sz w:val="18"/>
                <w:szCs w:val="18"/>
              </w:rPr>
            </w:pPr>
            <w:r>
              <w:rPr>
                <w:rFonts w:ascii="Verdana" w:hAnsi="Verdana"/>
                <w:noProof/>
                <w:color w:val="016794"/>
                <w:sz w:val="18"/>
              </w:rPr>
              <w:t>AMF MCPU</w:t>
            </w:r>
          </w:p>
        </w:tc>
        <w:tc>
          <w:tcPr>
            <w:tcW w:w="5953" w:type="dxa"/>
          </w:tcPr>
          <w:p>
            <w:pPr>
              <w:rPr>
                <w:rFonts w:ascii="Verdana" w:hAnsi="Verdana"/>
                <w:noProof/>
                <w:color w:val="016794"/>
                <w:sz w:val="18"/>
                <w:szCs w:val="18"/>
              </w:rPr>
            </w:pPr>
            <w:r>
              <w:rPr>
                <w:rFonts w:ascii="Verdana" w:hAnsi="Verdana"/>
                <w:noProof/>
                <w:color w:val="016794"/>
                <w:sz w:val="18"/>
              </w:rPr>
              <w:t>Marge de manœuvre budgétaire sous le plafond des ressources propres du budget de l’UE (1,4 % du RNB de l’UE)</w:t>
            </w:r>
          </w:p>
        </w:tc>
      </w:tr>
      <w:tr>
        <w:trPr>
          <w:jc w:val="center"/>
        </w:trPr>
        <w:tc>
          <w:tcPr>
            <w:tcW w:w="3685" w:type="dxa"/>
          </w:tcPr>
          <w:p>
            <w:pPr>
              <w:rPr>
                <w:rFonts w:ascii="Verdana" w:hAnsi="Verdana"/>
                <w:noProof/>
                <w:color w:val="016794"/>
                <w:sz w:val="18"/>
                <w:szCs w:val="18"/>
              </w:rPr>
            </w:pPr>
            <w:r>
              <w:rPr>
                <w:rFonts w:ascii="Verdana" w:hAnsi="Verdana"/>
                <w:noProof/>
                <w:color w:val="016794"/>
                <w:sz w:val="18"/>
              </w:rPr>
              <w:t>Facilité pour l’Ukraine</w:t>
            </w:r>
          </w:p>
        </w:tc>
        <w:tc>
          <w:tcPr>
            <w:tcW w:w="5953" w:type="dxa"/>
          </w:tcPr>
          <w:p>
            <w:pPr>
              <w:rPr>
                <w:rFonts w:ascii="Verdana" w:hAnsi="Verdana"/>
                <w:noProof/>
                <w:color w:val="016794"/>
                <w:sz w:val="18"/>
                <w:szCs w:val="18"/>
              </w:rPr>
            </w:pPr>
            <w:r>
              <w:rPr>
                <w:rFonts w:ascii="Verdana" w:hAnsi="Verdana"/>
                <w:noProof/>
                <w:color w:val="016794"/>
                <w:sz w:val="18"/>
              </w:rPr>
              <w:t>Marge de manœuvre budgétaire sous le plafond des ressources propres du budget de l’UE (1,4 % du RNB de l’UE)</w:t>
            </w:r>
          </w:p>
        </w:tc>
      </w:tr>
      <w:tr>
        <w:trPr>
          <w:jc w:val="center"/>
        </w:trPr>
        <w:tc>
          <w:tcPr>
            <w:tcW w:w="3685" w:type="dxa"/>
          </w:tcPr>
          <w:p>
            <w:pPr>
              <w:rPr>
                <w:rFonts w:ascii="Verdana" w:hAnsi="Verdana"/>
                <w:noProof/>
                <w:color w:val="016794"/>
                <w:sz w:val="18"/>
                <w:szCs w:val="18"/>
              </w:rPr>
            </w:pPr>
            <w:r>
              <w:rPr>
                <w:rFonts w:ascii="Verdana" w:hAnsi="Verdana"/>
                <w:noProof/>
                <w:color w:val="016794"/>
                <w:sz w:val="18"/>
              </w:rPr>
              <w:t>Facilité pour les Balkans occidentaux</w:t>
            </w:r>
          </w:p>
        </w:tc>
        <w:tc>
          <w:tcPr>
            <w:tcW w:w="5953" w:type="dxa"/>
          </w:tcPr>
          <w:p>
            <w:pPr>
              <w:rPr>
                <w:rFonts w:ascii="Verdana" w:hAnsi="Verdana"/>
                <w:noProof/>
                <w:color w:val="016794"/>
                <w:sz w:val="18"/>
                <w:szCs w:val="18"/>
              </w:rPr>
            </w:pPr>
            <w:r>
              <w:rPr>
                <w:rFonts w:ascii="Verdana" w:hAnsi="Verdana"/>
                <w:noProof/>
                <w:color w:val="016794"/>
                <w:sz w:val="18"/>
              </w:rPr>
              <w:t>FCP (9 % du prêt au pays tiers)</w:t>
            </w:r>
          </w:p>
        </w:tc>
      </w:tr>
      <w:tr>
        <w:trPr>
          <w:jc w:val="center"/>
        </w:trPr>
        <w:tc>
          <w:tcPr>
            <w:tcW w:w="3685" w:type="dxa"/>
          </w:tcPr>
          <w:p>
            <w:pPr>
              <w:rPr>
                <w:rFonts w:ascii="Verdana" w:hAnsi="Verdana"/>
                <w:noProof/>
                <w:color w:val="016794"/>
                <w:sz w:val="18"/>
                <w:szCs w:val="18"/>
              </w:rPr>
            </w:pPr>
            <w:r>
              <w:rPr>
                <w:rFonts w:ascii="Verdana" w:hAnsi="Verdana"/>
                <w:noProof/>
                <w:color w:val="016794"/>
                <w:sz w:val="18"/>
              </w:rPr>
              <w:t>Facilité pour la Moldavie</w:t>
            </w:r>
          </w:p>
        </w:tc>
        <w:tc>
          <w:tcPr>
            <w:tcW w:w="5953" w:type="dxa"/>
          </w:tcPr>
          <w:p>
            <w:pPr>
              <w:rPr>
                <w:rFonts w:ascii="Verdana" w:hAnsi="Verdana"/>
                <w:noProof/>
                <w:color w:val="016794"/>
                <w:sz w:val="18"/>
                <w:szCs w:val="18"/>
              </w:rPr>
            </w:pPr>
            <w:r>
              <w:rPr>
                <w:rFonts w:ascii="Verdana" w:hAnsi="Verdana"/>
                <w:noProof/>
                <w:color w:val="016794"/>
                <w:sz w:val="18"/>
              </w:rPr>
              <w:t>FCP (9 % du prêt au pays tiers)</w:t>
            </w:r>
          </w:p>
        </w:tc>
      </w:tr>
      <w:tr>
        <w:trPr>
          <w:trHeight w:val="275"/>
          <w:jc w:val="center"/>
        </w:trPr>
        <w:tc>
          <w:tcPr>
            <w:tcW w:w="3685" w:type="dxa"/>
          </w:tcPr>
          <w:p>
            <w:pPr>
              <w:rPr>
                <w:rFonts w:ascii="Verdana" w:hAnsi="Verdana"/>
                <w:noProof/>
                <w:color w:val="016794"/>
                <w:sz w:val="18"/>
                <w:szCs w:val="18"/>
              </w:rPr>
            </w:pPr>
            <w:r>
              <w:rPr>
                <w:rFonts w:ascii="Verdana" w:hAnsi="Verdana"/>
                <w:noProof/>
                <w:color w:val="016794"/>
                <w:sz w:val="18"/>
              </w:rPr>
              <w:t>Prêts Euratom à des pays tiers (entités publiques)</w:t>
            </w:r>
          </w:p>
        </w:tc>
        <w:tc>
          <w:tcPr>
            <w:tcW w:w="5953" w:type="dxa"/>
          </w:tcPr>
          <w:p>
            <w:pPr>
              <w:rPr>
                <w:rFonts w:ascii="Verdana" w:hAnsi="Verdana"/>
                <w:noProof/>
                <w:color w:val="016794"/>
                <w:sz w:val="18"/>
                <w:szCs w:val="18"/>
              </w:rPr>
            </w:pPr>
            <w:r>
              <w:rPr>
                <w:rFonts w:ascii="Verdana" w:hAnsi="Verdana"/>
                <w:noProof/>
                <w:color w:val="016794"/>
                <w:sz w:val="18"/>
              </w:rPr>
              <w:t>FCP (9 % du prêt) et contre-garanties fournies par des pays tiers</w:t>
            </w:r>
          </w:p>
        </w:tc>
      </w:tr>
    </w:tbl>
    <w:p>
      <w:pPr>
        <w:pStyle w:val="HEADER2Part4"/>
        <w:keepNext/>
      </w:pPr>
      <w:bookmarkStart w:id="43" w:name="_Toc237348541"/>
      <w:r>
        <w:lastRenderedPageBreak/>
        <w:t>Garanties budgétaires</w:t>
      </w:r>
      <w:bookmarkEnd w:id="43"/>
    </w:p>
    <w:p>
      <w:pPr>
        <w:spacing w:after="240"/>
        <w:jc w:val="both"/>
        <w:rPr>
          <w:rFonts w:ascii="Verdana" w:hAnsi="Verdana"/>
          <w:noProof/>
          <w:sz w:val="18"/>
          <w:szCs w:val="18"/>
        </w:rPr>
      </w:pPr>
      <w:r>
        <w:rPr>
          <w:rFonts w:ascii="Verdana" w:hAnsi="Verdana"/>
          <w:noProof/>
          <w:sz w:val="18"/>
        </w:rPr>
        <w:t>Selon ce mode d’exécution budgétaire, l’UE fournit des garanties aux institutions financières (partenaires chargés de la mise en œuvre) pour leurs opérations de financement (prêts) et d’investissement (fonds propres) afin de poursuivre ses objectifs stratégiques.</w:t>
      </w:r>
    </w:p>
    <w:p>
      <w:pPr>
        <w:spacing w:after="240"/>
        <w:jc w:val="both"/>
        <w:rPr>
          <w:rFonts w:ascii="Verdana" w:hAnsi="Verdana"/>
          <w:noProof/>
          <w:sz w:val="18"/>
          <w:szCs w:val="18"/>
        </w:rPr>
      </w:pPr>
      <w:r>
        <w:rPr>
          <w:rFonts w:ascii="Verdana" w:hAnsi="Verdana"/>
          <w:noProof/>
          <w:sz w:val="18"/>
        </w:rPr>
        <w:t>L’UE a émis des garanties dans le cadre des programmes suivants:</w:t>
      </w:r>
    </w:p>
    <w:p>
      <w:pPr>
        <w:pStyle w:val="DGTextstand-alonedashesjustified"/>
      </w:pPr>
      <w:r>
        <w:t>garanties du mandat de prêt extérieur (MPE) accordées à la Banque européenne d’investissement (BEI) pour ses opérations de prêt hors de l’UE, principalement à des bénéficiaires souverains et sous-souverains;</w:t>
      </w:r>
    </w:p>
    <w:p>
      <w:pPr>
        <w:pStyle w:val="DGTextstand-alonedashesjustified"/>
      </w:pPr>
      <w:r>
        <w:t>garantie du Fonds européen pour les investissements stratégiques (EFSI) accordée au groupe BEI pour ses opérations visant à soutenir des investissements supplémentaires dans l’UE et l’accès des PME au financement;</w:t>
      </w:r>
    </w:p>
    <w:p>
      <w:pPr>
        <w:pStyle w:val="DGTextstand-alonedashesjustified"/>
      </w:pPr>
      <w:r>
        <w:t xml:space="preserve">garantie InvestEU accordée au groupe BEI, à la Banque européenne pour la reconstruction et le développement et à plusieurs partenaires financiers dans les États membres de l’UE, afin de mobiliser des investissements privés en faveur de la transition écologique et numérique, de l’innovation et des investissements sociaux et des compétences. La garantie InvestEU peut être augmentée par des contributions et contre-garanties de l’AELE et des États membres; </w:t>
      </w:r>
    </w:p>
    <w:p>
      <w:pPr>
        <w:pStyle w:val="DGTextstand-alonedashesjustified"/>
      </w:pPr>
      <w:r>
        <w:t>garantie pour l’action extérieure au titre du règlement IVCDCI fournissant des garanties non seulement à la BEI et à plusieurs autres contreparties, pour leurs financements et leurs investissements hors de l’Europe, mais aussi à des bénéficiaires tant du secteur public que du secteur privé, dans le but de promouvoir des investissements durables dans les pays partenaires de l’UE;</w:t>
      </w:r>
    </w:p>
    <w:p>
      <w:pPr>
        <w:pStyle w:val="DGTextstand-alonedashesjustified"/>
      </w:pPr>
      <w:r>
        <w:t>garantie du Fonds européen pour le développement durable (FEDD) accordée à plusieurs contreparties dans le but de soutenir les investissements en Afrique et dans les pays du voisinage européen;</w:t>
      </w:r>
    </w:p>
    <w:p>
      <w:pPr>
        <w:pStyle w:val="DGTextstand-alonedashesjustified"/>
      </w:pPr>
      <w:r>
        <w:t>Garantie pour l’Ukraine émise au titre du règlement relatif à la facilité pour l’Ukraine en faveur de plusieurs contreparties afin de stimuler les investissements en faveur du redressement et de la reconstruction de l’Ukraine.</w:t>
      </w:r>
    </w:p>
    <w:p>
      <w:pPr>
        <w:spacing w:before="240" w:after="240"/>
        <w:jc w:val="both"/>
        <w:rPr>
          <w:rFonts w:ascii="Verdana" w:hAnsi="Verdana"/>
          <w:noProof/>
          <w:sz w:val="18"/>
          <w:szCs w:val="18"/>
        </w:rPr>
      </w:pPr>
      <w:r>
        <w:rPr>
          <w:rFonts w:ascii="Verdana" w:hAnsi="Verdana"/>
          <w:noProof/>
          <w:sz w:val="18"/>
        </w:rPr>
        <w:t>Au 31 décembre 2025, l’encours nominal de ces garanties au niveau maximal accordé à ces partenaires chargés de la mise en œuvre s’élevait à 112,6 milliards d’EUR, dont 77,6 milliards d’EUR se rapportent à des opérations de financement ou d’investissement signées par les partenaires chargés de la mise en œuvre (les garanties InvestEU, IVCDCI et pour l’Ukraine sont encore en période d’investissement, au cours de laquelle les partenaires peuvent inclure de nouvelles opérations dans la garantie).</w:t>
      </w:r>
    </w:p>
    <w:p>
      <w:pPr>
        <w:jc w:val="center"/>
        <w:rPr>
          <w:rFonts w:ascii="Verdana" w:hAnsi="Verdana"/>
          <w:noProof/>
          <w:sz w:val="18"/>
          <w:szCs w:val="18"/>
        </w:rPr>
      </w:pPr>
      <w:r>
        <w:rPr>
          <w:rFonts w:ascii="Verdana" w:hAnsi="Verdana"/>
          <w:noProof/>
          <w:sz w:val="18"/>
          <w:szCs w:val="18"/>
        </w:rPr>
        <w:lastRenderedPageBreak/>
        <w:drawing>
          <wp:inline distT="0" distB="0" distL="0" distR="0">
            <wp:extent cx="4809066" cy="4627592"/>
            <wp:effectExtent l="0" t="0" r="0" b="1905"/>
            <wp:docPr id="5412560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256048" name=""/>
                    <pic:cNvPicPr/>
                  </pic:nvPicPr>
                  <pic:blipFill>
                    <a:blip r:embed="rId38"/>
                    <a:stretch>
                      <a:fillRect/>
                    </a:stretch>
                  </pic:blipFill>
                  <pic:spPr>
                    <a:xfrm>
                      <a:off x="0" y="0"/>
                      <a:ext cx="4824456" cy="4642401"/>
                    </a:xfrm>
                    <a:prstGeom prst="rect">
                      <a:avLst/>
                    </a:prstGeom>
                  </pic:spPr>
                </pic:pic>
              </a:graphicData>
            </a:graphic>
          </wp:inline>
        </w:drawing>
      </w:r>
    </w:p>
    <w:p>
      <w:pPr>
        <w:jc w:val="both"/>
        <w:rPr>
          <w:rFonts w:ascii="Verdana" w:hAnsi="Verdana"/>
          <w:noProof/>
          <w:sz w:val="18"/>
          <w:szCs w:val="18"/>
          <w:lang w:eastAsia="en-US"/>
        </w:rPr>
      </w:pPr>
    </w:p>
    <w:p>
      <w:pPr>
        <w:jc w:val="both"/>
        <w:rPr>
          <w:rFonts w:ascii="Verdana" w:hAnsi="Verdana"/>
          <w:noProof/>
          <w:sz w:val="18"/>
          <w:szCs w:val="18"/>
        </w:rPr>
      </w:pPr>
      <w:bookmarkStart w:id="44" w:name="_Hlk162357499"/>
      <w:r>
        <w:rPr>
          <w:rFonts w:ascii="Verdana" w:hAnsi="Verdana"/>
          <w:noProof/>
          <w:sz w:val="18"/>
        </w:rPr>
        <w:t>Les États membres et les pays de l’EEE peuvent également contribuer au programme InvestEU. Jusqu’au 31 décembre 2025, l’UE a signé des accords de contribution avec ces pays pour un montant de 3,3 milliards d’EUR, dont 2,6 milliards d’EUR de contributions en espèces et 0,6 milliard d’EUR de contre-garanties.</w:t>
      </w:r>
    </w:p>
    <w:p>
      <w:pPr>
        <w:pStyle w:val="HEADER2Part4"/>
      </w:pPr>
      <w:bookmarkStart w:id="45" w:name="_Toc237348542"/>
      <w:bookmarkEnd w:id="44"/>
      <w:r>
        <w:t>Fonds commun de provisionnement</w:t>
      </w:r>
      <w:bookmarkEnd w:id="45"/>
    </w:p>
    <w:p>
      <w:pPr>
        <w:spacing w:before="240" w:after="240"/>
        <w:jc w:val="both"/>
        <w:rPr>
          <w:rFonts w:ascii="Verdana" w:hAnsi="Verdana"/>
          <w:noProof/>
          <w:sz w:val="18"/>
          <w:szCs w:val="18"/>
        </w:rPr>
      </w:pPr>
      <w:r>
        <w:rPr>
          <w:rFonts w:ascii="Verdana" w:hAnsi="Verdana"/>
          <w:noProof/>
          <w:sz w:val="18"/>
        </w:rPr>
        <w:t>Afin de répondre à tout appel de garantie visant à couvrir les pertes subies par les partenaires chargés de la mise en œuvre en temps voulu, l’UE provisionne des montants sur le budget. Depuis 2021, tous les actifs provisionnés sont détenus dans le FCP, qui fonctionne comme un portefeuille unique, les actifs étant principalement investis dans les titres de créance. À l’heure actuelle, le FCP combine le provisionnement pour toutes les garanties budgétaires et certains programmes d’assistance financière de l’UE. Les ressources du FCP sont allouées dans des compartiments afin de retracer les montants relatifs aux garanties budgétaires et aux programmes d’assistance financière contributeurs.</w:t>
      </w:r>
    </w:p>
    <w:p>
      <w:pPr>
        <w:jc w:val="both"/>
        <w:rPr>
          <w:rFonts w:ascii="Verdana" w:hAnsi="Verdana"/>
          <w:noProof/>
          <w:sz w:val="18"/>
          <w:szCs w:val="18"/>
        </w:rPr>
      </w:pPr>
      <w:r>
        <w:rPr>
          <w:rFonts w:ascii="Verdana" w:hAnsi="Verdana"/>
          <w:noProof/>
          <w:sz w:val="18"/>
        </w:rPr>
        <w:t>Au 31 décembre 2025, la Commission détenait 27,2 milliards d’EUR d’actifs nets dans le FCP pour les compartiments suivants:</w:t>
      </w:r>
    </w:p>
    <w:p>
      <w:pPr>
        <w:rPr>
          <w:rFonts w:ascii="Verdana" w:hAnsi="Verdana"/>
          <w:noProof/>
          <w:sz w:val="18"/>
          <w:szCs w:val="18"/>
        </w:rPr>
      </w:pPr>
      <w:r>
        <w:rPr>
          <w:noProof/>
        </w:rPr>
        <w:br w:type="page"/>
      </w:r>
    </w:p>
    <w:p>
      <w:pPr>
        <w:pStyle w:val="DGTextstand-alonedashesjustified"/>
      </w:pPr>
      <w:r>
        <w:lastRenderedPageBreak/>
        <w:t>Fonds de garantie relatif aux actions extérieures: 3,4 milliards d’EUR (couvrant les garanties du mandat de prêt extérieur ainsi que les prêts AMF et Euratom accordés aux pays tiers avant 2021)</w:t>
      </w:r>
    </w:p>
    <w:p>
      <w:pPr>
        <w:pStyle w:val="DGTextstand-alonedashesjustified"/>
      </w:pPr>
      <w:r>
        <w:t>EFSI - 9,2 milliards d’EUR</w:t>
      </w:r>
    </w:p>
    <w:p>
      <w:pPr>
        <w:pStyle w:val="DGTextstand-alonedashesjustified"/>
      </w:pPr>
      <w:r>
        <w:t>FEDD - 0,8 milliard d’EUR</w:t>
      </w:r>
    </w:p>
    <w:p>
      <w:pPr>
        <w:pStyle w:val="DGTextstand-alonedashesjustified"/>
      </w:pPr>
      <w:r>
        <w:t>compartiments d’InvestEU: 8,9 milliards d’EUR (y compris les contributions en espèces des États membres et des pays de l’EEE)</w:t>
      </w:r>
    </w:p>
    <w:p>
      <w:pPr>
        <w:pStyle w:val="DGTextstand-alonedashesjustified"/>
      </w:pPr>
      <w:r>
        <w:t>IVCDCI FEDD+ - 3,6 milliards d’EUR</w:t>
      </w:r>
    </w:p>
    <w:p>
      <w:pPr>
        <w:pStyle w:val="DGTextstand-alonedashesjustified"/>
      </w:pPr>
      <w:r>
        <w:t>garantie pour l’Ukraine - 0,6 milliard d’EUR</w:t>
      </w:r>
    </w:p>
    <w:p>
      <w:pPr>
        <w:pStyle w:val="DGTextstand-alonedashesjustified"/>
      </w:pPr>
      <w:r>
        <w:t>prêts AMF post-2020 et facilité pour les Balkans occidentaux — 0,2 milliard d’EUR</w:t>
      </w:r>
    </w:p>
    <w:p>
      <w:pPr>
        <w:pStyle w:val="DGTextstand-alonedashesjustified"/>
        <w:spacing w:after="240"/>
      </w:pPr>
      <w:r>
        <w:t>prêts AMF en faveur de l’Ukraine - 0,5 milliard d’EUR</w:t>
      </w:r>
    </w:p>
    <w:p>
      <w:pPr>
        <w:rPr>
          <w:rFonts w:ascii="Verdana" w:hAnsi="Verdana"/>
          <w:noProof/>
          <w:sz w:val="18"/>
          <w:szCs w:val="18"/>
        </w:rPr>
      </w:pPr>
      <w:r>
        <w:rPr>
          <w:rFonts w:ascii="Verdana" w:hAnsi="Verdana"/>
          <w:noProof/>
          <w:sz w:val="18"/>
        </w:rPr>
        <w:t>En outre, un montant de 0,2 milliard d’EUR est détenu auprès de la trésorerie centrale de la Commission en tant que coussin de liquidité afin de couvrir les appels de garantie immédiats.</w:t>
      </w:r>
    </w:p>
    <w:p>
      <w:pPr>
        <w:rPr>
          <w:rFonts w:ascii="Verdana" w:hAnsi="Verdana"/>
          <w:noProof/>
          <w:sz w:val="18"/>
          <w:szCs w:val="18"/>
        </w:rPr>
      </w:pPr>
      <w:r>
        <w:rPr>
          <w:noProof/>
        </w:rPr>
        <w:br w:type="page"/>
      </w:r>
    </w:p>
    <w:p>
      <w:pPr>
        <w:pStyle w:val="HEADER1Part4"/>
        <w:rPr>
          <w:noProof/>
        </w:rPr>
      </w:pPr>
      <w:bookmarkStart w:id="46" w:name="_Toc237348543"/>
      <w:r>
        <w:rPr>
          <w:noProof/>
        </w:rPr>
        <w:lastRenderedPageBreak/>
        <w:t>L’UE: CADRE POLITIQUE ET FINANCIER, GOUVERNANCE ET OBLIGATION DE RENDRE COMPTE</w:t>
      </w:r>
      <w:bookmarkEnd w:id="46"/>
    </w:p>
    <w:p>
      <w:pPr>
        <w:pStyle w:val="DGTextstand-alone"/>
      </w:pPr>
      <w:r>
        <w:t>L’Union européenne (UE) est une union à laquelle les États membres ont attribué des compétences afin d’atteindre des objectifs communs. L’Union est fondée sur les valeurs de respect de la dignité humaine, de liberté, de démocratie, d'égalité, de l'état de droit, ainsi que de respect des droits de l'homme, y compris des droits des personnes appartenant à des minorités. Ces valeurs sont communes aux États membres dans une société caractérisée par le pluralisme, la non-discrimination, la tolérance, la justice, la solidarité et l'égalité entre les femmes et les hommes.</w:t>
      </w:r>
    </w:p>
    <w:p>
      <w:pPr>
        <w:pStyle w:val="HEADER2Part4"/>
      </w:pPr>
      <w:bookmarkStart w:id="47" w:name="_Toc237348544"/>
      <w:r>
        <w:t>Cadre politique et financier</w:t>
      </w:r>
      <w:bookmarkEnd w:id="47"/>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7260"/>
      </w:tblGrid>
      <w:tr>
        <w:trPr>
          <w:trHeight w:val="907"/>
        </w:trPr>
        <w:tc>
          <w:tcPr>
            <w:tcW w:w="2518" w:type="dxa"/>
            <w:shd w:val="clear" w:color="auto" w:fill="92CDDC"/>
            <w:vAlign w:val="center"/>
          </w:tcPr>
          <w:p>
            <w:pPr>
              <w:pStyle w:val="DGTextstand-alone"/>
              <w:spacing w:before="0" w:after="0"/>
              <w:jc w:val="center"/>
              <w:rPr>
                <w:b/>
                <w:color w:val="FFFFFF" w:themeColor="background1"/>
              </w:rPr>
            </w:pPr>
            <w:r>
              <w:rPr>
                <w:b/>
                <w:color w:val="FFFFFF" w:themeColor="background1"/>
              </w:rPr>
              <w:t>Traités de l’UE</w:t>
            </w:r>
          </w:p>
        </w:tc>
        <w:tc>
          <w:tcPr>
            <w:tcW w:w="7260" w:type="dxa"/>
          </w:tcPr>
          <w:p>
            <w:pPr>
              <w:pStyle w:val="DGTextstand-alone"/>
              <w:spacing w:before="0" w:after="0"/>
            </w:pPr>
            <w:r>
              <w:t xml:space="preserve">Les objectifs et principes généraux qui guident l’Union et les institutions européennes sont définis dans les </w:t>
            </w:r>
            <w:r>
              <w:rPr>
                <w:color w:val="016794"/>
              </w:rPr>
              <w:t>traités</w:t>
            </w:r>
            <w:r>
              <w:t>. L’Union européenne et ses institutions n’agissent que dans les limites des compétences qui leur sont attribuées par les traités pour atteindre les objectifs qui y sont établis et doivent, lors de l’exercice de leurs compétences, respecter les principes de subsidiarité et de proportionnalité</w:t>
            </w:r>
            <w:r>
              <w:rPr>
                <w:rStyle w:val="FootnoteReference"/>
                <w:szCs w:val="16"/>
              </w:rPr>
              <w:footnoteReference w:id="17"/>
            </w:r>
            <w:r>
              <w:t xml:space="preserve">. Pour </w:t>
            </w:r>
          </w:p>
        </w:tc>
      </w:tr>
      <w:tr>
        <w:trPr>
          <w:trHeight w:val="519"/>
        </w:trPr>
        <w:tc>
          <w:tcPr>
            <w:tcW w:w="9778" w:type="dxa"/>
            <w:gridSpan w:val="2"/>
          </w:tcPr>
          <w:p>
            <w:pPr>
              <w:pStyle w:val="DGTextstand-alone"/>
              <w:spacing w:before="0" w:after="0"/>
            </w:pPr>
            <w:r>
              <w:t>atteindre ses objectifs et mener à bien ses politiques, l’Union se dote des moyens financiers nécessaires. La Commission est chargée de promouvoir l’intérêt général de l’Union, ce qui inclut l’exécution du budget et la gestion des programmes, en coopération avec les États membres et conformément au principe de bonne gestion financière.</w:t>
            </w:r>
          </w:p>
        </w:tc>
      </w:tr>
    </w:tbl>
    <w:p>
      <w:pPr>
        <w:pStyle w:val="DGTextstand-alone"/>
      </w:pPr>
      <w:r>
        <w:t>L’Union poursuit les objectifs établis dans les traités à l’aide de divers outils, parmi lesquels le budget de l’UE. Elle peut également, par exemple, proposer un cadre législatif commun et des stratégies d’action conjointes.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7260"/>
      </w:tblGrid>
      <w:tr>
        <w:tc>
          <w:tcPr>
            <w:tcW w:w="2518" w:type="dxa"/>
            <w:shd w:val="clear" w:color="auto" w:fill="1F497D"/>
            <w:vAlign w:val="center"/>
          </w:tcPr>
          <w:p>
            <w:pPr>
              <w:pStyle w:val="DGTextstand-alone"/>
              <w:spacing w:before="0" w:after="0"/>
              <w:jc w:val="center"/>
              <w:rPr>
                <w:b/>
                <w:color w:val="FFFFFF" w:themeColor="background1"/>
              </w:rPr>
            </w:pPr>
            <w:r>
              <w:rPr>
                <w:b/>
                <w:color w:val="FFFFFF" w:themeColor="background1"/>
              </w:rPr>
              <w:t>Cadre financier pluriannuel et programmes de dépenses</w:t>
            </w:r>
          </w:p>
        </w:tc>
        <w:tc>
          <w:tcPr>
            <w:tcW w:w="7260" w:type="dxa"/>
          </w:tcPr>
          <w:p>
            <w:pPr>
              <w:pStyle w:val="DGTextstand-alone"/>
              <w:spacing w:before="0" w:after="0"/>
            </w:pPr>
            <w:r>
              <w:t xml:space="preserve">Les politiques soutenues par le budget de l’Union sont mises en œuvre conformément au </w:t>
            </w:r>
            <w:r>
              <w:rPr>
                <w:color w:val="016794"/>
              </w:rPr>
              <w:t>cadre financier pluriannuel (CFP)</w:t>
            </w:r>
            <w:r>
              <w:t xml:space="preserve"> et à la législation sectorielle connexe qui définit les instruments et programmes de dépenses. Ceux-ci traduisent les priorités politiques de l’Union en termes financiers sur une période assez longue pour être efficace et fournir une perspective à long terme cohérente aux bénéficiaires</w:t>
            </w:r>
          </w:p>
        </w:tc>
      </w:tr>
      <w:tr>
        <w:trPr>
          <w:trHeight w:val="1140"/>
        </w:trPr>
        <w:tc>
          <w:tcPr>
            <w:tcW w:w="9778" w:type="dxa"/>
            <w:gridSpan w:val="2"/>
          </w:tcPr>
          <w:p>
            <w:pPr>
              <w:pStyle w:val="DGTextstand-alone"/>
              <w:spacing w:before="0" w:after="0"/>
            </w:pPr>
            <w:r>
              <w:t>des fonds de l’UE et aux autorités nationales assurant le cofinancement. Des montants annuels maximaux (plafonds) sont fixés pour l’ensemble des dépenses de l’UE et pour les grandes catégories de dépenses (rubriques). La somme des plafonds de toutes ces rubriques correspond au plafond total des crédits d’engagement. Le cadre financier pluriannuel est adopté par le Conseil à l’unanimité de tous les États membres, avec l’approbation du Parlement européen. L’actuel cadre financier pluriannuel 2021-2027 a été adopté le 17 décembre 2020</w:t>
            </w:r>
            <w:r>
              <w:rPr>
                <w:rStyle w:val="FootnoteReference"/>
              </w:rPr>
              <w:footnoteReference w:id="18"/>
            </w:r>
            <w:r>
              <w:t>. Il est complété par l’instrument temporaire de relance NextGenerationEU.</w:t>
            </w:r>
          </w:p>
        </w:tc>
      </w:tr>
      <w:tr>
        <w:trPr>
          <w:trHeight w:val="1215"/>
        </w:trPr>
        <w:tc>
          <w:tcPr>
            <w:tcW w:w="2518" w:type="dxa"/>
            <w:shd w:val="clear" w:color="auto" w:fill="92CDDC"/>
            <w:vAlign w:val="center"/>
          </w:tcPr>
          <w:p>
            <w:pPr>
              <w:pStyle w:val="DGTextstand-alone"/>
              <w:spacing w:before="0" w:after="0"/>
              <w:jc w:val="center"/>
              <w:rPr>
                <w:b/>
                <w:color w:val="FFFFFF" w:themeColor="background1"/>
              </w:rPr>
            </w:pPr>
            <w:r>
              <w:rPr>
                <w:b/>
                <w:color w:val="FFFFFF" w:themeColor="background1"/>
              </w:rPr>
              <w:t>Budget annuel</w:t>
            </w:r>
          </w:p>
        </w:tc>
        <w:tc>
          <w:tcPr>
            <w:tcW w:w="7260" w:type="dxa"/>
          </w:tcPr>
          <w:p>
            <w:pPr>
              <w:pStyle w:val="DGTextstand-alone"/>
              <w:spacing w:before="0" w:after="0"/>
            </w:pPr>
            <w:r>
              <w:t xml:space="preserve">La Commission élabore le </w:t>
            </w:r>
            <w:r>
              <w:rPr>
                <w:color w:val="016794"/>
              </w:rPr>
              <w:t>budget annuel</w:t>
            </w:r>
            <w:r>
              <w:t>. Le Parlement européen et le Conseil l’approuvent (normalement à la mi-décembre) pour l’année suivante, sur la base de la procédure prévue à l’article 314 TFUE. Selon le principe d’équilibre budgétaire, le total des recettes doit, pour un exercice financier donné, être égal au total des dépenses (crédits de paiement).</w:t>
            </w:r>
          </w:p>
        </w:tc>
      </w:tr>
    </w:tbl>
    <w:p>
      <w:pPr>
        <w:pStyle w:val="DGTextstand-alone"/>
      </w:pPr>
      <w:r>
        <w:t xml:space="preserve">Les ressources propres, complétées par d’autres recettes, constituent les principales </w:t>
      </w:r>
      <w:r>
        <w:rPr>
          <w:color w:val="016794"/>
        </w:rPr>
        <w:t>sources de financement</w:t>
      </w:r>
      <w:r>
        <w:t xml:space="preserve"> du budget de l’UE. Il existe quatre types de ressources propres: les ressources propres traditionnelles (principalement les droits de douane), la ressource propre fondée sur la taxe sur la valeur ajoutée (TVA), la ressource propre fondée sur les déchets d’emballages en plastique non recyclés (introduite en 2021), et la ressource propre fondée sur le revenu national brut (RNB). Les autres recettes </w:t>
      </w:r>
      <w:r>
        <w:lastRenderedPageBreak/>
        <w:t>découlant des activités de l’UE (par exemple, les amendes pour infractions aux règles de la concurrence) représentent normalement moins de 10 % des recettes totales.</w:t>
      </w:r>
    </w:p>
    <w:p>
      <w:pPr>
        <w:rPr>
          <w:rFonts w:ascii="Verdana" w:hAnsi="Verdana"/>
          <w:noProof/>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7260"/>
      </w:tblGrid>
      <w:tr>
        <w:trPr>
          <w:trHeight w:val="624"/>
        </w:trPr>
        <w:tc>
          <w:tcPr>
            <w:tcW w:w="2518" w:type="dxa"/>
            <w:shd w:val="clear" w:color="auto" w:fill="1F497D"/>
            <w:vAlign w:val="center"/>
          </w:tcPr>
          <w:p>
            <w:pPr>
              <w:pStyle w:val="DGTextstand-alone"/>
              <w:spacing w:before="0" w:after="0"/>
              <w:jc w:val="center"/>
              <w:rPr>
                <w:b/>
                <w:color w:val="FFFFFF" w:themeColor="background1"/>
              </w:rPr>
            </w:pPr>
            <w:r>
              <w:rPr>
                <w:b/>
                <w:color w:val="FFFFFF" w:themeColor="background1"/>
              </w:rPr>
              <w:br/>
            </w:r>
            <w:r>
              <w:rPr>
                <w:b/>
                <w:color w:val="FFFFFF" w:themeColor="background1"/>
              </w:rPr>
              <w:br/>
              <w:t>Modes de gestion</w:t>
            </w:r>
            <w:r>
              <w:rPr>
                <w:b/>
                <w:color w:val="FFFFFF" w:themeColor="background1"/>
              </w:rPr>
              <w:br/>
            </w:r>
            <w:r>
              <w:rPr>
                <w:b/>
                <w:color w:val="FFFFFF" w:themeColor="background1"/>
              </w:rPr>
              <w:br/>
            </w:r>
          </w:p>
        </w:tc>
        <w:tc>
          <w:tcPr>
            <w:tcW w:w="7260" w:type="dxa"/>
          </w:tcPr>
          <w:p>
            <w:pPr>
              <w:pStyle w:val="DGTextstand-alone"/>
              <w:spacing w:before="0" w:after="0"/>
            </w:pPr>
            <w:r>
              <w:t>Le budget de l’Union est exécuté selon trois modes de gestion qui déterminent la manière dont l’argent est versé et géré:</w:t>
            </w:r>
          </w:p>
          <w:p>
            <w:pPr>
              <w:pStyle w:val="DGTextstand-alone"/>
              <w:spacing w:before="0" w:after="0"/>
            </w:pPr>
            <w:r>
              <w:br/>
            </w:r>
          </w:p>
        </w:tc>
      </w:tr>
    </w:tbl>
    <w:p>
      <w:pPr>
        <w:pStyle w:val="DGTextstand-alonedashesjustified"/>
      </w:pPr>
      <w:r>
        <w:rPr>
          <w:color w:val="016794"/>
        </w:rPr>
        <w:t>Gestion partagée:</w:t>
      </w:r>
      <w:r>
        <w:t xml:space="preserve"> une grande partie du budget (environ les trois quarts) est gérée, dans le cadre d’un système de gestion partagée, par la Commission en coopération avec les États membres, notamment dans les domaines des fonds structurels et de l’agriculture.</w:t>
      </w:r>
    </w:p>
    <w:p>
      <w:pPr>
        <w:pStyle w:val="DGTextstand-alonedashesjustified"/>
      </w:pPr>
      <w:r>
        <w:rPr>
          <w:color w:val="016794"/>
        </w:rPr>
        <w:t>Gestion directe:</w:t>
      </w:r>
      <w:r>
        <w:t xml:space="preserve"> la Commission gère également les programmes elle-même et peut déléguer la mise en œuvre de certains programmes à des agences exécutives.</w:t>
      </w:r>
    </w:p>
    <w:p>
      <w:pPr>
        <w:pStyle w:val="DGTextstand-alonedashesjustified"/>
      </w:pPr>
      <w:r>
        <w:rPr>
          <w:color w:val="016794"/>
        </w:rPr>
        <w:t>Gestion indirecte:</w:t>
      </w:r>
      <w:r>
        <w:t xml:space="preserve"> les décisions en matière de dépenses peuvent également être gérées indirectement par l’intermédiaire d’autres organismes à l’intérieur ou à l’extérieur de l’Union européenne. Le règlement financier et/ou les conventions de contribution définissent les mécanismes de contrôle et de compte rendu que ces entités doivent mettre en place et les mesures de surveillance que la Commission doit prendre lorsque des tâches d’exécution budgétaire sont confiées à des agences nationales, au groupe Banque européenne d’investissement, à des pays tiers, à des organisations internationales (comme la Banque mondiale ou les Nations unies) et à d’autres entités (par exemple des agences décentralisées de l’UE ou des entreprises communes).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7260"/>
      </w:tblGrid>
      <w:tr>
        <w:trPr>
          <w:trHeight w:val="624"/>
        </w:trPr>
        <w:tc>
          <w:tcPr>
            <w:tcW w:w="2518" w:type="dxa"/>
            <w:shd w:val="clear" w:color="auto" w:fill="1F497D"/>
            <w:vAlign w:val="center"/>
          </w:tcPr>
          <w:p>
            <w:pPr>
              <w:pStyle w:val="DGTextstand-alone"/>
              <w:spacing w:before="0" w:after="0"/>
              <w:jc w:val="center"/>
              <w:rPr>
                <w:b/>
                <w:color w:val="FFFFFF" w:themeColor="background1"/>
              </w:rPr>
            </w:pPr>
            <w:r>
              <w:rPr>
                <w:b/>
                <w:color w:val="FFFFFF" w:themeColor="background1"/>
              </w:rPr>
              <w:t>Instruments financiers et garanties budgétaires</w:t>
            </w:r>
          </w:p>
        </w:tc>
        <w:tc>
          <w:tcPr>
            <w:tcW w:w="7260" w:type="dxa"/>
          </w:tcPr>
          <w:p>
            <w:pPr>
              <w:pStyle w:val="DGTextstand-alone"/>
              <w:spacing w:before="0" w:after="0"/>
            </w:pPr>
            <w:r>
              <w:t>La méthode traditionnelle d’exécution budgétaire consistant à accorder des aides et des subventions est complétée par l’émission d’</w:t>
            </w:r>
            <w:r>
              <w:rPr>
                <w:color w:val="016794"/>
              </w:rPr>
              <w:t>instruments financiers</w:t>
            </w:r>
            <w:r>
              <w:t xml:space="preserve"> sous la forme de garanties ainsi que de fonds propres et de prêts. L’UE procède en outre à des activités d’emprunt et de prêt pour des programmes d’assistance financière spécifiques afin de soutenir les États membres et les pays tiers au moyen de prêts bilatéraux</w:t>
            </w:r>
          </w:p>
        </w:tc>
      </w:tr>
      <w:tr>
        <w:trPr>
          <w:trHeight w:val="624"/>
        </w:trPr>
        <w:tc>
          <w:tcPr>
            <w:tcW w:w="9778" w:type="dxa"/>
            <w:gridSpan w:val="2"/>
          </w:tcPr>
          <w:p>
            <w:pPr>
              <w:pStyle w:val="DGTextstand-alone"/>
              <w:spacing w:before="0" w:after="0"/>
            </w:pPr>
            <w:r>
              <w:t>financés par la dette émise sur les marchés des capitaux avec la garantie du budget de l’UE. En décembre 2022, le Parlement et le Conseil ont mis en place une approche unifiée du financement des emprunts de l’Union, sur la base de laquelle l’Union émettra des obligations sous l’appellation unique «obligations de l’UE», plutôt que sous des dénominations différentes en fonction des programmes.</w:t>
            </w:r>
          </w:p>
        </w:tc>
      </w:tr>
    </w:tbl>
    <w:p>
      <w:pPr>
        <w:rPr>
          <w:noProo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7260"/>
      </w:tblGrid>
      <w:tr>
        <w:trPr>
          <w:trHeight w:val="624"/>
        </w:trPr>
        <w:tc>
          <w:tcPr>
            <w:tcW w:w="2518" w:type="dxa"/>
            <w:shd w:val="clear" w:color="auto" w:fill="92CDDC"/>
            <w:vAlign w:val="center"/>
          </w:tcPr>
          <w:p>
            <w:pPr>
              <w:pStyle w:val="DGTextstand-alone"/>
              <w:spacing w:before="0" w:after="0"/>
              <w:jc w:val="center"/>
              <w:rPr>
                <w:b/>
                <w:color w:val="FFFFFF" w:themeColor="background1"/>
              </w:rPr>
            </w:pPr>
            <w:r>
              <w:rPr>
                <w:b/>
                <w:color w:val="FFFFFF" w:themeColor="background1"/>
              </w:rPr>
              <w:t>Règlement financier</w:t>
            </w:r>
          </w:p>
        </w:tc>
        <w:tc>
          <w:tcPr>
            <w:tcW w:w="7260" w:type="dxa"/>
          </w:tcPr>
          <w:p>
            <w:pPr>
              <w:pStyle w:val="DGTextstand-alone"/>
              <w:spacing w:before="0" w:after="0"/>
            </w:pPr>
            <w:r>
              <w:t xml:space="preserve">Le </w:t>
            </w:r>
            <w:r>
              <w:rPr>
                <w:color w:val="016794"/>
              </w:rPr>
              <w:t>règlement financier</w:t>
            </w:r>
            <w:r>
              <w:t xml:space="preserve"> (RF)</w:t>
            </w:r>
            <w:r>
              <w:rPr>
                <w:rStyle w:val="FootnoteReference"/>
              </w:rPr>
              <w:footnoteReference w:id="19"/>
            </w:r>
            <w:r>
              <w:t xml:space="preserve"> applicable au budget général est un acte fondamental dans l’architecture réglementaire des finances de l’UE. Il définit en détail les règles financières applicables à l’exécution du budget de l’Union et les rôles des différents acteurs qui contribuent à faire en sorte que les fonds soient bien utilisés et permettent d’atteindre les objectifs fixés. Il comprend également les dispositions spécifiques applicables</w:t>
            </w:r>
          </w:p>
        </w:tc>
      </w:tr>
      <w:tr>
        <w:trPr>
          <w:trHeight w:val="70"/>
        </w:trPr>
        <w:tc>
          <w:tcPr>
            <w:tcW w:w="9778" w:type="dxa"/>
            <w:gridSpan w:val="2"/>
            <w:vAlign w:val="center"/>
          </w:tcPr>
          <w:p>
            <w:pPr>
              <w:pStyle w:val="DGTextstand-alone"/>
              <w:spacing w:before="0" w:after="0"/>
            </w:pPr>
            <w:r>
              <w:t>aux instruments financiers, aux garanties budgétaires et à l’assistance financière.</w:t>
            </w:r>
          </w:p>
        </w:tc>
      </w:tr>
    </w:tbl>
    <w:p>
      <w:pPr>
        <w:pStyle w:val="HEADER2Part4"/>
      </w:pPr>
      <w:bookmarkStart w:id="48" w:name="_Toc237348545"/>
      <w:r>
        <w:t>Gouvernance et responsabilité</w:t>
      </w:r>
      <w:bookmarkEnd w:id="48"/>
    </w:p>
    <w:p>
      <w:pPr>
        <w:pStyle w:val="HEADER3Part4"/>
        <w:rPr>
          <w:noProof/>
        </w:rPr>
      </w:pPr>
      <w:r>
        <w:rPr>
          <w:noProof/>
        </w:rPr>
        <w:t>Structure institutionnelle</w:t>
      </w:r>
    </w:p>
    <w:p>
      <w:pPr>
        <w:pStyle w:val="DGTextstand-alone"/>
      </w:pPr>
      <w:r>
        <w:t>L’Union dispose d’un cadre institutionnel au moyen duquel elle vise à promouvoir ses valeurs, poursuivre ses objectifs, servir ses intérêts, ceux de ses citoyens et ceux des États membres, ainsi qu’à veiller à la cohérence, à l’efficacité et à la continuité de ses politiques et de ses actions. La structure organisationnelle est constituée d’institutions, d'agences et d'autres organes autonomes de l’UE. Le règlement financier ainsi que les règles comptables applicables définissent, parmi ces entités, celles qui doivent figurer dans les comptes consolidés de l’UE (voir, dans la note </w:t>
      </w:r>
      <w:r>
        <w:rPr>
          <w:b/>
        </w:rPr>
        <w:t>9</w:t>
      </w:r>
      <w:r>
        <w:t xml:space="preserve"> des comptes annuels consolidés de l’UE, la liste des entités figurant dans le périmètre de consolidation).</w:t>
      </w:r>
    </w:p>
    <w:p>
      <w:pPr>
        <w:pStyle w:val="DGTextstand-alone"/>
      </w:pPr>
      <w:r>
        <w:t xml:space="preserve">Le Parlement européen exerce, conjointement avec le Conseil, les fonctions législative et budgétaire. La Commission est responsable, sur le plan politique, devant le Parlement européen. Le Conseil exerce </w:t>
      </w:r>
      <w:r>
        <w:lastRenderedPageBreak/>
        <w:t>également des fonctions d’élaboration et de coordination des politiques dans le cadre des orientations et priorités politiques générales de l’Union fixées par le Conseil européen.</w:t>
      </w:r>
    </w:p>
    <w:p>
      <w:pPr>
        <w:pStyle w:val="DGTextstand-alone"/>
      </w:pPr>
      <w:r>
        <w:t>La Commission européenne est le bras exécutif de l’Union européenne. Elle promeut l’intérêt général de l’Union et prend les initiatives appropriées à cette fin. Elle veille à l’application des traités et surveille l’application du droit de l’Union par les États membres, sous le contrôle de la Cour de justice de l’Union européenne. Elle exerce des fonctions de coordination, d’exécution et de gestion, exécute le budget et gère les programmes.</w:t>
      </w:r>
    </w:p>
    <w:p>
      <w:pPr>
        <w:pStyle w:val="DGTextstand-alone"/>
      </w:pPr>
      <w:r>
        <w:t>La Commission exécute le budget, dans une large mesure en coopération avec les États membres</w:t>
      </w:r>
      <w:r>
        <w:rPr>
          <w:rStyle w:val="FootnoteReference"/>
        </w:rPr>
        <w:footnoteReference w:id="20"/>
      </w:r>
      <w:r>
        <w:t>. Conjointement, ils font en sorte que les crédits soient utilisés conformément aux principes de la bonne gestion financière. La réglementation détermine les obligations de contrôle et d’audit des États membres lorsqu’ils se partagent l’exécution du budget et les responsabilités qui en découlent. Elle définit aussi les responsabilités et les modalités particulières de chacune des institutions de l’UE en ce qui concerne leurs propres dépenses.</w:t>
      </w:r>
    </w:p>
    <w:p>
      <w:pPr>
        <w:pStyle w:val="HEADER3Part4"/>
        <w:rPr>
          <w:noProof/>
        </w:rPr>
      </w:pPr>
      <w:r>
        <w:rPr>
          <w:noProof/>
        </w:rPr>
        <w:t>La structure de gouvernance de la Commission</w:t>
      </w:r>
    </w:p>
    <w:p>
      <w:pPr>
        <w:pStyle w:val="DGTextstand-alone"/>
      </w:pPr>
      <w:r>
        <w:t>Les dispositifs de gouvernance en place au sein de la Commission et la manière dont ceux-ci permettent à cette dernière de fonctionner en tant qu’institution moderne, tenue de rendre des comptes et privilégiant l’obtention de résultats sont décrits dans la communication sur la gouvernance au sein de la Commission européenne</w:t>
      </w:r>
      <w:r>
        <w:rPr>
          <w:vertAlign w:val="superscript"/>
        </w:rPr>
        <w:footnoteReference w:id="21"/>
      </w:r>
      <w:r>
        <w:t>.</w:t>
      </w:r>
    </w:p>
    <w:p>
      <w:pPr>
        <w:pStyle w:val="DGTextstand-alone"/>
      </w:pPr>
      <w:r>
        <w:t>La Commission exerce ses fonctions sous la direction du collège des commissaires, qui établit les priorités et assume la responsabilité politique générale des travaux de la Commission. En tant que collège, la Commission remplit sa mission sous la conduite politique de son président ou sa présidente, qui présente, dans le cadre de sa nomination devant le Parlement européen, les objectifs qu’il/elle entend poursuivre, sous la forme d’orientations politiques. Le président décide de l’organisation interne de la Commission afin d’assurer la cohérence, l’efficacité et la collégialité de son action.</w:t>
      </w:r>
    </w:p>
    <w:p>
      <w:pPr>
        <w:pStyle w:val="DGTextstand-alone"/>
      </w:pPr>
      <w:r>
        <w:t xml:space="preserve">Le collège délègue l’exécution opérationnelle du budget et la gestion financière </w:t>
      </w:r>
      <w:r>
        <w:rPr>
          <w:color w:val="016794"/>
        </w:rPr>
        <w:t>aux directeurs généraux et aux chefs de service</w:t>
      </w:r>
      <w:r>
        <w:t xml:space="preserve">, qui sont à la tête de la structure administrative de la Commission. Cette approche décentralisée crée une culture administrative qui incite les fonctionnaires à assumer la responsabilité des activités qu’ils exercent et leur impose de fournir des assurances concernant les activités dont ils sont responsables. </w:t>
      </w:r>
    </w:p>
    <w:p>
      <w:pPr>
        <w:pStyle w:val="DGTextstand-alone"/>
      </w:pPr>
      <w:r>
        <w:t>Sous l’autorité du président ou de la présidente, et en étroite coopération avec le membre de la Commission chargé du budget, des ressources humaines et de l’administration, et avec la participation des services présidentiels et centraux, le conseil d’administration assure la coordination et le contrôle et fournit des orientations stratégiques et des conseils.</w:t>
      </w:r>
    </w:p>
    <w:p>
      <w:pPr>
        <w:pStyle w:val="DGTextstand-alone"/>
        <w:rPr>
          <w:b/>
          <w:color w:val="016794"/>
          <w:sz w:val="28"/>
        </w:rPr>
      </w:pPr>
      <w:r>
        <w:t xml:space="preserve">Le dispositif interne définit un ensemble cohérent de contrôles rigoureux et d’outils de gestion solides qui permettent au </w:t>
      </w:r>
      <w:r>
        <w:rPr>
          <w:color w:val="016794"/>
        </w:rPr>
        <w:t>collège des commissaires</w:t>
      </w:r>
      <w:r>
        <w:t xml:space="preserve"> d’assumer la responsabilité politique des travaux de la Commission</w:t>
      </w:r>
      <w:r>
        <w:rPr>
          <w:rStyle w:val="FootnoteReference"/>
        </w:rPr>
        <w:footnoteReference w:id="22"/>
      </w:r>
      <w:r>
        <w:t>.</w:t>
      </w:r>
    </w:p>
    <w:p>
      <w:pPr>
        <w:pStyle w:val="HEADER3Part4"/>
        <w:rPr>
          <w:noProof/>
        </w:rPr>
      </w:pPr>
      <w:r>
        <w:rPr>
          <w:noProof/>
        </w:rPr>
        <w:t>La gestion financière de la Commission</w:t>
      </w:r>
    </w:p>
    <w:p>
      <w:pPr>
        <w:pStyle w:val="DGTextstand-alone"/>
      </w:pPr>
      <w:r>
        <w:t>Au sein de la Commission, les fonctions et responsabilités en matière de gestion financière sont définies de manière précise (par exemple, dans le règlement financier et les règles internes</w:t>
      </w:r>
      <w:r>
        <w:rPr>
          <w:rStyle w:val="FootnoteReference"/>
        </w:rPr>
        <w:footnoteReference w:id="23"/>
      </w:r>
      <w:r>
        <w:t>) et exercées en conséquence. En tant qu’</w:t>
      </w:r>
      <w:r>
        <w:rPr>
          <w:color w:val="016794"/>
        </w:rPr>
        <w:t>ordonnateurs délégués</w:t>
      </w:r>
      <w:r>
        <w:t xml:space="preserve">, les directeurs généraux et les chefs de service de la Commission sont responsables de la bonne gestion financière des ressources de l’Union, du respect des dispositions du règlement financier, de la gestion des risques et de la mise en place d’un cadre de contrôle interne adéquat. </w:t>
      </w:r>
    </w:p>
    <w:p>
      <w:pPr>
        <w:pStyle w:val="DGTextstand-alone"/>
      </w:pPr>
      <w:r>
        <w:lastRenderedPageBreak/>
        <w:t xml:space="preserve">La responsabilité des ordonnateurs s’étend à l’ensemble du processus de gestion, de la détermination des actions à mener pour réaliser les objectifs des politiques fixés par l’institution à la gestion des activités, tant du point de vue opérationnel que sous l’angle de la bonne gestion financière. Des tâches peuvent ensuite être subdéléguées aux directeurs, chefs d’unité ou autres, qui deviennent ainsi ordonnateurs subdélégués. Chaque ordonnateur délégué peut s’appuyer sur un ou deux directeurs chargés de la gestion des risques et du contrôle interne afin de superviser et de suivre la mise en œuvre des systèmes de contrôle interne. </w:t>
      </w:r>
    </w:p>
    <w:p>
      <w:pPr>
        <w:pStyle w:val="DGTextstand-alone"/>
      </w:pPr>
      <w:r>
        <w:t xml:space="preserve">Les services centraux de la Commission fournissent des orientations et des conseils et encouragent les bonnes pratiques, notamment dans le cadre des travaux du conseil d’administration. </w:t>
      </w:r>
    </w:p>
    <w:p>
      <w:pPr>
        <w:pStyle w:val="DGTextstand-alone"/>
      </w:pPr>
      <w:r>
        <w:t>Le règlement financier impose à chaque ordonnateur d’établir un rapport annuel d’activités («RAA») détaillant les réalisations, le contrôle interne et les activités de gestion financière au cours de l’année. Ce rapport contient une déclaration aux termes de laquelle les ressources ont été utilisées conformément au principe de bonne gestion financière et des procédures de contrôle sont en place qui offrent les garanties nécessaires quant à la légalité et la régularité des opérations sous-jacentes. Le rapport annuel sur la gestion et la performance du budget de l’Union</w:t>
      </w:r>
      <w:r>
        <w:rPr>
          <w:rStyle w:val="FootnoteReference"/>
        </w:rPr>
        <w:footnoteReference w:id="24"/>
      </w:r>
      <w:r>
        <w:t xml:space="preserve"> constitue le principal instrument </w:t>
      </w:r>
      <w:r>
        <w:rPr>
          <w:b/>
        </w:rPr>
        <w:t>au moyen duquel le collège des commissaires assume la responsabilité politique de la gestion financière du budget de l’UE</w:t>
      </w:r>
      <w:r>
        <w:t>.</w:t>
      </w:r>
    </w:p>
    <w:p>
      <w:pPr>
        <w:pStyle w:val="DGTextstand-alone"/>
      </w:pPr>
      <w:r>
        <w:t xml:space="preserve">Le </w:t>
      </w:r>
      <w:r>
        <w:rPr>
          <w:color w:val="016794"/>
        </w:rPr>
        <w:t>comptable</w:t>
      </w:r>
      <w:r>
        <w:t xml:space="preserve"> de la Commission est responsable, au niveau central, de la gestion de la trésorerie, des procédures de recouvrement, de la définition de règles comptables sur la base des normes comptables internationales du secteur public (IPSAS), de la validation des systèmes comptables ainsi que de la préparation des comptes annuels de la Commission et des comptes annuels consolidés de l’Union. En outre, le comptable est tenu de signer les comptes annuels et de déclarer qu’ils présentent une image fidèle, dans tous les aspects significatifs, de la situation financière, des résultats des opérations et des flux de trésorerie de l’Union. Les comptes annuels sont adoptés par le collège des commissaires. Le comptable exerce une fonction indépendante et assume une responsabilité essentielle dans l'information financière au sein de la Commission. </w:t>
      </w:r>
    </w:p>
    <w:p>
      <w:pPr>
        <w:pStyle w:val="DGTextstand-alone"/>
      </w:pPr>
      <w:r>
        <w:t>L’</w:t>
      </w:r>
      <w:r>
        <w:rPr>
          <w:color w:val="016794"/>
        </w:rPr>
        <w:t>auditeur interne</w:t>
      </w:r>
      <w:r>
        <w:t xml:space="preserve"> de la Commission exerce lui aussi une fonction centralisée et indépendante. Il émet en toute indépendance des conseils, des avis et des recommandations sur la qualité et le fonctionnement des systèmes de contrôle interne mis en place au sein de la Commission ainsi que des agences et autres organes autonomes de l’UE. </w:t>
      </w:r>
    </w:p>
    <w:p>
      <w:pPr>
        <w:pStyle w:val="DGTextstand-alone"/>
      </w:pPr>
      <w:r>
        <w:t xml:space="preserve">Le </w:t>
      </w:r>
      <w:r>
        <w:rPr>
          <w:color w:val="016794"/>
        </w:rPr>
        <w:t>comité de suivi des audits</w:t>
      </w:r>
      <w:r>
        <w:t xml:space="preserve"> garantit l’indépendance de l’auditeur interne et contrôle la qualité des travaux d’audit interne. Il surveille également le suivi donné par les services de la Commission aux recommandations d’audit interne et externe, ainsi qu’aux constatations et recommandations de la Cour des comptes européenne relatives à la décharge concernant la fiabilité des comptes annuels consolidés de l’UE. Le rôle consultatif du comité contribue à améliorer globalement l’efficacité et l’efficience de la Commission dans la réalisation de ses objectifs et facilite la supervision, par le collège, des pratiques de la Commission en matière de gouvernance, de gestion des risques et de contrôle interne.</w:t>
      </w:r>
    </w:p>
    <w:p>
      <w:pPr>
        <w:pStyle w:val="HEADER3Part4"/>
        <w:rPr>
          <w:noProof/>
        </w:rPr>
      </w:pPr>
      <w:r>
        <w:rPr>
          <w:noProof/>
        </w:rPr>
        <w:t>Audit externe et procédure de décharge</w:t>
      </w:r>
    </w:p>
    <w:p>
      <w:pPr>
        <w:pStyle w:val="DGTextstand-alone"/>
        <w:spacing w:before="120"/>
      </w:pPr>
      <w:r>
        <w:t>Conformément aux principes de bonne gestion financière, les fonds doivent être gérés de manière efficace, efficiente et économique. Il existe un cadre de responsabilité fondé sur des rapports exhaustifs, des audits externes et un contrôle politique, permettant de fournir une assurance raisonnable que les fonds de l’UE sont utilisés de façon appropriée.</w:t>
      </w:r>
    </w:p>
    <w:p>
      <w:pPr>
        <w:pStyle w:val="DGTextstand-alone"/>
        <w:spacing w:before="120"/>
      </w:pPr>
      <w:r>
        <w:t xml:space="preserve">Le </w:t>
      </w:r>
      <w:r>
        <w:rPr>
          <w:b/>
        </w:rPr>
        <w:t>Parlement européen</w:t>
      </w:r>
      <w:r>
        <w:t xml:space="preserve"> décide, après une recommandation du </w:t>
      </w:r>
      <w:r>
        <w:rPr>
          <w:b/>
        </w:rPr>
        <w:t>Conseil</w:t>
      </w:r>
      <w:r>
        <w:t>, de donner ou non son approbation définitive, appelée «octroi de décharge», sur la manière dont la Commission a exécuté le budget de l’UE lors d’une année donnée. La procédure de décharge annuelle garantit que la Commission est tenue politiquement responsable de l’exécution du budget de l’Union.</w:t>
      </w:r>
    </w:p>
    <w:p>
      <w:pPr>
        <w:pStyle w:val="DGTextstand-alone"/>
        <w:spacing w:before="120"/>
      </w:pPr>
      <w:r>
        <w:t xml:space="preserve">Chaque année, la </w:t>
      </w:r>
      <w:r>
        <w:rPr>
          <w:b/>
        </w:rPr>
        <w:t>Cour des comptes européenne</w:t>
      </w:r>
      <w:r>
        <w:t xml:space="preserve"> examine la fiabilité des comptes, la légalité et la régularité des recettes et des dépenses, et s’assure de la bonne gestion financière et des aspects qualitatifs de l’établissement du budget, y compris sous l’angle de la performance. Depuis 2021, compte tenu de l’importance considérable de NextGenerationEU, l’opinion de la Cour des comptes européenne sur la légalité et la régularité des dépenses au titre du budget traditionnel de l’UE est complétée par une opinion distincte sur la légalité et la régularité des dépenses effectuées au titre de la facilité pour la </w:t>
      </w:r>
      <w:r>
        <w:lastRenderedPageBreak/>
        <w:t xml:space="preserve">reprise et la résilience. La publication du rapport annuel de la Cour des comptes européenne est le point de départ de la procédure de décharge. Les auditeurs élaborent également des rapports spéciaux sur des dépenses ou des domaines d'action particuliers, ou sur des questions liées au budget ou à la gestion. </w:t>
      </w:r>
    </w:p>
    <w:p>
      <w:pPr>
        <w:pStyle w:val="DGTextstand-alone"/>
        <w:spacing w:before="120"/>
      </w:pPr>
      <w:r>
        <w:t>La décision concernant la décharge est en outre fondée sur les rapports financiers et sur la responsabilité intégrés de la Commission</w:t>
      </w:r>
      <w:r>
        <w:rPr>
          <w:rStyle w:val="FootnoteReference"/>
        </w:rPr>
        <w:footnoteReference w:id="25"/>
      </w:r>
      <w:r>
        <w:t>, les auditions des commissaires devant le Parlement européen et les réponses aux questions écrites adressées à la Commission.</w:t>
      </w:r>
    </w:p>
    <w:bookmarkEnd w:id="4"/>
    <w:p>
      <w:pPr>
        <w:pStyle w:val="DGTextstand-alone"/>
        <w:spacing w:before="120"/>
        <w:sectPr>
          <w:headerReference w:type="even" r:id="rId39"/>
          <w:headerReference w:type="default" r:id="rId40"/>
          <w:footerReference w:type="even" r:id="rId41"/>
          <w:footerReference w:type="default" r:id="rId42"/>
          <w:headerReference w:type="first" r:id="rId43"/>
          <w:footerReference w:type="first" r:id="rId44"/>
          <w:pgSz w:w="11907" w:h="16840"/>
          <w:pgMar w:top="1134" w:right="1134" w:bottom="1134" w:left="1134" w:header="709" w:footer="709" w:gutter="0"/>
          <w:cols w:space="708"/>
          <w:docGrid w:linePitch="360"/>
        </w:sectPr>
      </w:pPr>
    </w:p>
    <w:p>
      <w:pPr>
        <w:pStyle w:val="FIRSTCHAPTERPAGE"/>
        <w:rPr>
          <w:noProof/>
        </w:rPr>
      </w:pPr>
      <w:bookmarkStart w:id="49" w:name="_Toc237348405"/>
      <w:bookmarkStart w:id="50" w:name="_DMBM_36687"/>
      <w:r>
        <w:rPr>
          <w:noProof/>
        </w:rPr>
        <w:lastRenderedPageBreak/>
        <w:t>NOTE ACCOMPAGNANT LES COMPTES CONSOLIDÉS</w:t>
      </w:r>
      <w:bookmarkEnd w:id="49"/>
    </w:p>
    <w:p>
      <w:pPr>
        <w:pStyle w:val="DGTextstand-alone"/>
      </w:pPr>
      <w:r>
        <w:t>Les comptes annuels consolidés de l’Union européenne relatifs à l’exercice 2025 ont été élaborés sur la base des informations fournies par les institutions et organismes conformément à l’article 252, paragraphe 2, du règlement financier applicable au budget général de l’Union européenne. Je déclare par la présente que lesdits comptes ont été établis conformément au titre XIII dudit règlement financier ainsi qu’aux principes, règles et méthodes comptables exposés dans les notes annexes aux états financiers.</w:t>
      </w:r>
    </w:p>
    <w:p>
      <w:pPr>
        <w:pStyle w:val="DGTextstand-alone"/>
      </w:pPr>
      <w:r>
        <w:t>J’ai obtenu des comptables de ces institutions et organes, qui en certifient la fiabilité, toutes les informations nécessaires à la production des comptes décrivant l’actif et le passif de l’Union européenne, ainsi que l’exécution du budget.</w:t>
      </w:r>
    </w:p>
    <w:p>
      <w:pPr>
        <w:pStyle w:val="DGTextstand-alone"/>
      </w:pPr>
      <w:r>
        <w:t>Je certifie par la présente que, sur la base de ces informations et des vérifications que j’ai jugées nécessaires pour être en mesure de signer les comptes de la Commission européenne, j’ai obtenu l’assurance raisonnable que les comptes présentent une image fidèle, dans tous les aspects significatifs, de la situation financière, des résultats des opérations et des flux de trésorerie de l’Union européenne.</w:t>
      </w:r>
    </w:p>
    <w:p>
      <w:pPr>
        <w:pStyle w:val="DGTextstand-alone"/>
      </w:pPr>
    </w:p>
    <w:p>
      <w:pPr>
        <w:pStyle w:val="Textstand-alone"/>
      </w:pPr>
    </w:p>
    <w:p>
      <w:pPr>
        <w:pStyle w:val="SignatureRightItalic"/>
        <w:rPr>
          <w:noProof/>
        </w:rPr>
      </w:pPr>
    </w:p>
    <w:p>
      <w:pPr>
        <w:pStyle w:val="SignatureRight"/>
        <w:rPr>
          <w:noProof/>
        </w:rPr>
      </w:pPr>
      <w:r>
        <w:rPr>
          <w:noProof/>
        </w:rPr>
        <w:t>Niall BOHAN</w:t>
      </w:r>
    </w:p>
    <w:p>
      <w:pPr>
        <w:pStyle w:val="SignatureRightBold"/>
        <w:rPr>
          <w:noProof/>
        </w:rPr>
      </w:pPr>
      <w:r>
        <w:rPr>
          <w:noProof/>
        </w:rPr>
        <w:t>Comptable de la Commission</w:t>
      </w:r>
    </w:p>
    <w:p>
      <w:pPr>
        <w:pStyle w:val="SignatureRightBold"/>
        <w:rPr>
          <w:noProof/>
        </w:rPr>
      </w:pPr>
    </w:p>
    <w:p>
      <w:pPr>
        <w:pStyle w:val="SignatureRightBold"/>
        <w:rPr>
          <w:noProof/>
        </w:rPr>
        <w:sectPr>
          <w:headerReference w:type="default" r:id="rId45"/>
          <w:footerReference w:type="default" r:id="rId46"/>
          <w:pgSz w:w="11906" w:h="16838"/>
          <w:pgMar w:top="1134" w:right="1134" w:bottom="1134" w:left="1134" w:header="709" w:footer="709" w:gutter="0"/>
          <w:cols w:space="708"/>
          <w:docGrid w:linePitch="360"/>
        </w:sectPr>
      </w:pPr>
      <w:r>
        <w:rPr>
          <w:b w:val="0"/>
          <w:i/>
          <w:noProof/>
        </w:rPr>
        <w:t>Le 18 juin 2026</w:t>
      </w:r>
      <w:bookmarkEnd w:id="50"/>
    </w:p>
    <w:p>
      <w:pPr>
        <w:pStyle w:val="FinancialYear"/>
        <w:rPr>
          <w:noProof/>
        </w:rPr>
      </w:pPr>
      <w:bookmarkStart w:id="51" w:name="_DMBM_36675"/>
      <w:r>
        <w:rPr>
          <w:noProof/>
        </w:rPr>
        <w:lastRenderedPageBreak/>
        <w:t>UNION EUROPÉENNE</w:t>
      </w:r>
    </w:p>
    <w:p>
      <w:pPr>
        <w:pStyle w:val="FinancialYear"/>
        <w:rPr>
          <w:noProof/>
        </w:rPr>
      </w:pPr>
      <w:r>
        <w:rPr>
          <w:noProof/>
        </w:rPr>
        <w:t>EXERCICE 2025</w:t>
      </w:r>
    </w:p>
    <w:p>
      <w:pPr>
        <w:pStyle w:val="FIRSTCHAPTERPAGE"/>
        <w:rPr>
          <w:noProof/>
        </w:rPr>
      </w:pPr>
    </w:p>
    <w:p>
      <w:pPr>
        <w:pStyle w:val="FIRSTCHAPTERPAGE"/>
        <w:rPr>
          <w:noProof/>
        </w:rPr>
      </w:pPr>
    </w:p>
    <w:p>
      <w:pPr>
        <w:pStyle w:val="FIRSTCHAPTERPAGE"/>
        <w:rPr>
          <w:noProof/>
        </w:rPr>
      </w:pPr>
    </w:p>
    <w:p>
      <w:pPr>
        <w:pStyle w:val="FIRSTCHAPTERPAGE"/>
        <w:rPr>
          <w:noProof/>
        </w:rPr>
      </w:pPr>
    </w:p>
    <w:p>
      <w:pPr>
        <w:pStyle w:val="FIRSTCHAPTERPAGE"/>
        <w:rPr>
          <w:noProof/>
        </w:rPr>
      </w:pPr>
      <w:bookmarkStart w:id="52" w:name="_Toc237348406"/>
      <w:r>
        <w:rPr>
          <w:noProof/>
        </w:rPr>
        <w:t>ÉTATS FINANCIERS CONSOLIDÉS ET NOTES ANNEXES</w:t>
      </w:r>
      <w:r>
        <w:rPr>
          <w:rStyle w:val="FootnoteReference"/>
          <w:noProof/>
        </w:rPr>
        <w:footnoteReference w:id="26"/>
      </w:r>
      <w:bookmarkEnd w:id="52"/>
    </w:p>
    <w:p>
      <w:pPr>
        <w:pStyle w:val="FIRSTCHAPTERPAGE"/>
        <w:rPr>
          <w:noProof/>
        </w:rPr>
      </w:pPr>
    </w:p>
    <w:p>
      <w:pPr>
        <w:pStyle w:val="FIRSTCHAPTERPAGE"/>
        <w:rPr>
          <w:noProof/>
        </w:rPr>
      </w:pPr>
    </w:p>
    <w:p>
      <w:pPr>
        <w:pStyle w:val="FIRSTCHAPTERPAGE"/>
        <w:rPr>
          <w:noProof/>
        </w:rPr>
      </w:pPr>
    </w:p>
    <w:p>
      <w:pPr>
        <w:pStyle w:val="FIRSTCHAPTERPAGE"/>
        <w:rPr>
          <w:noProof/>
        </w:rPr>
      </w:pPr>
    </w:p>
    <w:bookmarkEnd w:id="51"/>
    <w:p>
      <w:pPr>
        <w:pStyle w:val="FIRSTCHAPTERPAGE"/>
        <w:rPr>
          <w:noProof/>
        </w:rPr>
        <w:sectPr>
          <w:headerReference w:type="default" r:id="rId47"/>
          <w:footerReference w:type="default" r:id="rId48"/>
          <w:pgSz w:w="11906" w:h="16838"/>
          <w:pgMar w:top="1134" w:right="1134" w:bottom="1134" w:left="1134" w:header="709" w:footer="709" w:gutter="0"/>
          <w:cols w:space="708"/>
          <w:docGrid w:linePitch="360"/>
        </w:sectPr>
      </w:pPr>
    </w:p>
    <w:p>
      <w:pPr>
        <w:pStyle w:val="HEADERTABLE"/>
        <w:rPr>
          <w:noProof/>
        </w:rPr>
      </w:pPr>
      <w:bookmarkStart w:id="53" w:name="_DMBM_36700"/>
      <w:r>
        <w:rPr>
          <w:noProof/>
        </w:rPr>
        <w:lastRenderedPageBreak/>
        <w:t>TABLE DES MATIÈRES</w:t>
      </w:r>
    </w:p>
    <w:p>
      <w:pPr>
        <w:pStyle w:val="Textstand-alone"/>
      </w:pPr>
    </w:p>
    <w:p>
      <w:pPr>
        <w:pStyle w:val="TOC1"/>
        <w:tabs>
          <w:tab w:val="right" w:leader="dot" w:pos="9628"/>
        </w:tabs>
        <w:rPr>
          <w:rFonts w:asciiTheme="minorHAnsi" w:eastAsiaTheme="minorEastAsia" w:hAnsiTheme="minorHAnsi" w:cstheme="minorBidi"/>
          <w:noProof/>
          <w:color w:val="auto"/>
          <w:kern w:val="2"/>
          <w:sz w:val="24"/>
          <w:lang w:val="en-IE" w:eastAsia="en-IE"/>
          <w14:ligatures w14:val="standardContextual"/>
        </w:rPr>
      </w:pPr>
      <w:r>
        <w:rPr>
          <w:noProof/>
          <w:color w:val="016894"/>
          <w:sz w:val="20"/>
        </w:rPr>
        <w:fldChar w:fldCharType="begin"/>
      </w:r>
      <w:r>
        <w:rPr>
          <w:noProof/>
          <w:color w:val="016894"/>
          <w:sz w:val="20"/>
        </w:rPr>
        <w:instrText xml:space="preserve"> TOC \o "1-3" \h \z \t "HEADER 1_NOTES;2;HEADER_TITLE_1;1" </w:instrText>
      </w:r>
      <w:r>
        <w:rPr>
          <w:noProof/>
          <w:color w:val="016894"/>
          <w:sz w:val="20"/>
        </w:rPr>
        <w:fldChar w:fldCharType="separate"/>
      </w:r>
      <w:hyperlink w:anchor="_Toc237350928" w:history="1">
        <w:r>
          <w:rPr>
            <w:rStyle w:val="Hyperlink"/>
            <w:noProof/>
          </w:rPr>
          <w:t>BILAN</w:t>
        </w:r>
        <w:r>
          <w:rPr>
            <w:noProof/>
            <w:webHidden/>
          </w:rPr>
          <w:tab/>
        </w:r>
        <w:r>
          <w:rPr>
            <w:noProof/>
            <w:webHidden/>
          </w:rPr>
          <w:fldChar w:fldCharType="begin"/>
        </w:r>
        <w:r>
          <w:rPr>
            <w:noProof/>
            <w:webHidden/>
          </w:rPr>
          <w:instrText xml:space="preserve"> PAGEREF _Toc237350928 \h </w:instrText>
        </w:r>
        <w:r>
          <w:rPr>
            <w:noProof/>
            <w:webHidden/>
          </w:rPr>
        </w:r>
        <w:r>
          <w:rPr>
            <w:noProof/>
            <w:webHidden/>
          </w:rPr>
          <w:fldChar w:fldCharType="separate"/>
        </w:r>
        <w:r>
          <w:rPr>
            <w:noProof/>
            <w:webHidden/>
          </w:rPr>
          <w:t>42</w:t>
        </w:r>
        <w:r>
          <w:rPr>
            <w:noProof/>
            <w:webHidden/>
          </w:rPr>
          <w:fldChar w:fldCharType="end"/>
        </w:r>
      </w:hyperlink>
    </w:p>
    <w:p>
      <w:pPr>
        <w:pStyle w:val="TOC1"/>
        <w:tabs>
          <w:tab w:val="right" w:leader="dot" w:pos="9628"/>
        </w:tabs>
        <w:rPr>
          <w:rFonts w:asciiTheme="minorHAnsi" w:eastAsiaTheme="minorEastAsia" w:hAnsiTheme="minorHAnsi" w:cstheme="minorBidi"/>
          <w:noProof/>
          <w:color w:val="auto"/>
          <w:kern w:val="2"/>
          <w:sz w:val="24"/>
          <w:lang w:val="en-IE" w:eastAsia="en-IE"/>
          <w14:ligatures w14:val="standardContextual"/>
        </w:rPr>
      </w:pPr>
      <w:hyperlink w:anchor="_Toc237350929" w:history="1">
        <w:r>
          <w:rPr>
            <w:rStyle w:val="Hyperlink"/>
            <w:noProof/>
          </w:rPr>
          <w:t>COMPTE DE RÉSULTAT ÉCONOMIQUE</w:t>
        </w:r>
        <w:r>
          <w:rPr>
            <w:noProof/>
            <w:webHidden/>
          </w:rPr>
          <w:tab/>
        </w:r>
        <w:r>
          <w:rPr>
            <w:noProof/>
            <w:webHidden/>
          </w:rPr>
          <w:fldChar w:fldCharType="begin"/>
        </w:r>
        <w:r>
          <w:rPr>
            <w:noProof/>
            <w:webHidden/>
          </w:rPr>
          <w:instrText xml:space="preserve"> PAGEREF _Toc237350929 \h </w:instrText>
        </w:r>
        <w:r>
          <w:rPr>
            <w:noProof/>
            <w:webHidden/>
          </w:rPr>
        </w:r>
        <w:r>
          <w:rPr>
            <w:noProof/>
            <w:webHidden/>
          </w:rPr>
          <w:fldChar w:fldCharType="separate"/>
        </w:r>
        <w:r>
          <w:rPr>
            <w:noProof/>
            <w:webHidden/>
          </w:rPr>
          <w:t>43</w:t>
        </w:r>
        <w:r>
          <w:rPr>
            <w:noProof/>
            <w:webHidden/>
          </w:rPr>
          <w:fldChar w:fldCharType="end"/>
        </w:r>
      </w:hyperlink>
    </w:p>
    <w:p>
      <w:pPr>
        <w:pStyle w:val="TOC1"/>
        <w:tabs>
          <w:tab w:val="right" w:leader="dot" w:pos="9628"/>
        </w:tabs>
        <w:rPr>
          <w:rFonts w:asciiTheme="minorHAnsi" w:eastAsiaTheme="minorEastAsia" w:hAnsiTheme="minorHAnsi" w:cstheme="minorBidi"/>
          <w:noProof/>
          <w:color w:val="auto"/>
          <w:kern w:val="2"/>
          <w:sz w:val="24"/>
          <w:lang w:val="en-IE" w:eastAsia="en-IE"/>
          <w14:ligatures w14:val="standardContextual"/>
        </w:rPr>
      </w:pPr>
      <w:hyperlink w:anchor="_Toc237350930" w:history="1">
        <w:r>
          <w:rPr>
            <w:rStyle w:val="Hyperlink"/>
            <w:noProof/>
          </w:rPr>
          <w:t>TABLEAU DES FLUX DE TRÉSORERIE</w:t>
        </w:r>
        <w:r>
          <w:rPr>
            <w:noProof/>
            <w:webHidden/>
          </w:rPr>
          <w:tab/>
        </w:r>
        <w:r>
          <w:rPr>
            <w:noProof/>
            <w:webHidden/>
          </w:rPr>
          <w:fldChar w:fldCharType="begin"/>
        </w:r>
        <w:r>
          <w:rPr>
            <w:noProof/>
            <w:webHidden/>
          </w:rPr>
          <w:instrText xml:space="preserve"> PAGEREF _Toc237350930 \h </w:instrText>
        </w:r>
        <w:r>
          <w:rPr>
            <w:noProof/>
            <w:webHidden/>
          </w:rPr>
        </w:r>
        <w:r>
          <w:rPr>
            <w:noProof/>
            <w:webHidden/>
          </w:rPr>
          <w:fldChar w:fldCharType="separate"/>
        </w:r>
        <w:r>
          <w:rPr>
            <w:noProof/>
            <w:webHidden/>
          </w:rPr>
          <w:t>44</w:t>
        </w:r>
        <w:r>
          <w:rPr>
            <w:noProof/>
            <w:webHidden/>
          </w:rPr>
          <w:fldChar w:fldCharType="end"/>
        </w:r>
      </w:hyperlink>
    </w:p>
    <w:p>
      <w:pPr>
        <w:pStyle w:val="TOC1"/>
        <w:tabs>
          <w:tab w:val="right" w:leader="dot" w:pos="9628"/>
        </w:tabs>
        <w:rPr>
          <w:rFonts w:asciiTheme="minorHAnsi" w:eastAsiaTheme="minorEastAsia" w:hAnsiTheme="minorHAnsi" w:cstheme="minorBidi"/>
          <w:noProof/>
          <w:color w:val="auto"/>
          <w:kern w:val="2"/>
          <w:sz w:val="24"/>
          <w:lang w:val="en-IE" w:eastAsia="en-IE"/>
          <w14:ligatures w14:val="standardContextual"/>
        </w:rPr>
      </w:pPr>
      <w:hyperlink w:anchor="_Toc237350931" w:history="1">
        <w:r>
          <w:rPr>
            <w:rStyle w:val="Hyperlink"/>
            <w:noProof/>
          </w:rPr>
          <w:t>ÉTAT DES VARIATIONS DE L’ACTIF NET</w:t>
        </w:r>
        <w:r>
          <w:rPr>
            <w:noProof/>
            <w:webHidden/>
          </w:rPr>
          <w:tab/>
        </w:r>
        <w:r>
          <w:rPr>
            <w:noProof/>
            <w:webHidden/>
          </w:rPr>
          <w:fldChar w:fldCharType="begin"/>
        </w:r>
        <w:r>
          <w:rPr>
            <w:noProof/>
            <w:webHidden/>
          </w:rPr>
          <w:instrText xml:space="preserve"> PAGEREF _Toc237350931 \h </w:instrText>
        </w:r>
        <w:r>
          <w:rPr>
            <w:noProof/>
            <w:webHidden/>
          </w:rPr>
        </w:r>
        <w:r>
          <w:rPr>
            <w:noProof/>
            <w:webHidden/>
          </w:rPr>
          <w:fldChar w:fldCharType="separate"/>
        </w:r>
        <w:r>
          <w:rPr>
            <w:noProof/>
            <w:webHidden/>
          </w:rPr>
          <w:t>45</w:t>
        </w:r>
        <w:r>
          <w:rPr>
            <w:noProof/>
            <w:webHidden/>
          </w:rPr>
          <w:fldChar w:fldCharType="end"/>
        </w:r>
      </w:hyperlink>
    </w:p>
    <w:p>
      <w:pPr>
        <w:pStyle w:val="TOC1"/>
        <w:tabs>
          <w:tab w:val="right" w:leader="dot" w:pos="9628"/>
        </w:tabs>
        <w:rPr>
          <w:rFonts w:asciiTheme="minorHAnsi" w:eastAsiaTheme="minorEastAsia" w:hAnsiTheme="minorHAnsi" w:cstheme="minorBidi"/>
          <w:noProof/>
          <w:color w:val="auto"/>
          <w:kern w:val="2"/>
          <w:sz w:val="24"/>
          <w:lang w:val="en-IE" w:eastAsia="en-IE"/>
          <w14:ligatures w14:val="standardContextual"/>
        </w:rPr>
      </w:pPr>
      <w:hyperlink w:anchor="_Toc237350932" w:history="1">
        <w:r>
          <w:rPr>
            <w:rStyle w:val="Hyperlink"/>
            <w:noProof/>
          </w:rPr>
          <w:t>ANNEXES AUX ÉTATS FINANCIERS</w:t>
        </w:r>
        <w:r>
          <w:rPr>
            <w:noProof/>
            <w:webHidden/>
          </w:rPr>
          <w:tab/>
        </w:r>
        <w:r>
          <w:rPr>
            <w:noProof/>
            <w:webHidden/>
          </w:rPr>
          <w:fldChar w:fldCharType="begin"/>
        </w:r>
        <w:r>
          <w:rPr>
            <w:noProof/>
            <w:webHidden/>
          </w:rPr>
          <w:instrText xml:space="preserve"> PAGEREF _Toc237350932 \h </w:instrText>
        </w:r>
        <w:r>
          <w:rPr>
            <w:noProof/>
            <w:webHidden/>
          </w:rPr>
        </w:r>
        <w:r>
          <w:rPr>
            <w:noProof/>
            <w:webHidden/>
          </w:rPr>
          <w:fldChar w:fldCharType="separate"/>
        </w:r>
        <w:r>
          <w:rPr>
            <w:noProof/>
            <w:webHidden/>
          </w:rPr>
          <w:t>46</w:t>
        </w:r>
        <w:r>
          <w:rPr>
            <w:noProof/>
            <w:webHidden/>
          </w:rPr>
          <w:fldChar w:fldCharType="end"/>
        </w:r>
      </w:hyperlink>
    </w:p>
    <w:p>
      <w:pPr>
        <w:pStyle w:val="TOC2"/>
        <w:tabs>
          <w:tab w:val="left" w:pos="720"/>
          <w:tab w:val="right" w:leader="dot" w:pos="9628"/>
        </w:tabs>
        <w:rPr>
          <w:rFonts w:asciiTheme="minorHAnsi" w:eastAsiaTheme="minorEastAsia" w:hAnsiTheme="minorHAnsi" w:cstheme="minorBidi"/>
          <w:noProof/>
          <w:color w:val="auto"/>
          <w:kern w:val="2"/>
          <w:sz w:val="24"/>
          <w:lang w:val="en-IE" w:eastAsia="en-IE"/>
          <w14:ligatures w14:val="standardContextual"/>
        </w:rPr>
      </w:pPr>
      <w:hyperlink w:anchor="_Toc237350933" w:history="1">
        <w:r>
          <w:rPr>
            <w:rStyle w:val="Hyperlink"/>
            <w:noProof/>
          </w:rPr>
          <w:t>1.</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PRINCIPES COMPTABLES ESSENTIELS</w:t>
        </w:r>
        <w:r>
          <w:rPr>
            <w:noProof/>
            <w:webHidden/>
          </w:rPr>
          <w:tab/>
        </w:r>
        <w:r>
          <w:rPr>
            <w:noProof/>
            <w:webHidden/>
          </w:rPr>
          <w:fldChar w:fldCharType="begin"/>
        </w:r>
        <w:r>
          <w:rPr>
            <w:noProof/>
            <w:webHidden/>
          </w:rPr>
          <w:instrText xml:space="preserve"> PAGEREF _Toc237350933 \h </w:instrText>
        </w:r>
        <w:r>
          <w:rPr>
            <w:noProof/>
            <w:webHidden/>
          </w:rPr>
        </w:r>
        <w:r>
          <w:rPr>
            <w:noProof/>
            <w:webHidden/>
          </w:rPr>
          <w:fldChar w:fldCharType="separate"/>
        </w:r>
        <w:r>
          <w:rPr>
            <w:noProof/>
            <w:webHidden/>
          </w:rPr>
          <w:t>47</w:t>
        </w:r>
        <w:r>
          <w:rPr>
            <w:noProof/>
            <w:webHidden/>
          </w:rPr>
          <w:fldChar w:fldCharType="end"/>
        </w:r>
      </w:hyperlink>
    </w:p>
    <w:p>
      <w:pPr>
        <w:pStyle w:val="TOC2"/>
        <w:tabs>
          <w:tab w:val="left" w:pos="720"/>
          <w:tab w:val="right" w:leader="dot" w:pos="9628"/>
        </w:tabs>
        <w:rPr>
          <w:rFonts w:asciiTheme="minorHAnsi" w:eastAsiaTheme="minorEastAsia" w:hAnsiTheme="minorHAnsi" w:cstheme="minorBidi"/>
          <w:noProof/>
          <w:color w:val="auto"/>
          <w:kern w:val="2"/>
          <w:sz w:val="24"/>
          <w:lang w:val="en-IE" w:eastAsia="en-IE"/>
          <w14:ligatures w14:val="standardContextual"/>
        </w:rPr>
      </w:pPr>
      <w:hyperlink w:anchor="_Toc237350934" w:history="1">
        <w:r>
          <w:rPr>
            <w:rStyle w:val="Hyperlink"/>
            <w:noProof/>
          </w:rPr>
          <w:t>2.</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NOTES ANNEXES AU BILAN</w:t>
        </w:r>
        <w:r>
          <w:rPr>
            <w:noProof/>
            <w:webHidden/>
          </w:rPr>
          <w:tab/>
        </w:r>
        <w:r>
          <w:rPr>
            <w:noProof/>
            <w:webHidden/>
          </w:rPr>
          <w:fldChar w:fldCharType="begin"/>
        </w:r>
        <w:r>
          <w:rPr>
            <w:noProof/>
            <w:webHidden/>
          </w:rPr>
          <w:instrText xml:space="preserve"> PAGEREF _Toc237350934 \h </w:instrText>
        </w:r>
        <w:r>
          <w:rPr>
            <w:noProof/>
            <w:webHidden/>
          </w:rPr>
        </w:r>
        <w:r>
          <w:rPr>
            <w:noProof/>
            <w:webHidden/>
          </w:rPr>
          <w:fldChar w:fldCharType="separate"/>
        </w:r>
        <w:r>
          <w:rPr>
            <w:noProof/>
            <w:webHidden/>
          </w:rPr>
          <w:t>70</w:t>
        </w:r>
        <w:r>
          <w:rPr>
            <w:noProof/>
            <w:webHidden/>
          </w:rPr>
          <w:fldChar w:fldCharType="end"/>
        </w:r>
      </w:hyperlink>
    </w:p>
    <w:p>
      <w:pPr>
        <w:pStyle w:val="TOC2"/>
        <w:tabs>
          <w:tab w:val="left" w:pos="720"/>
          <w:tab w:val="right" w:leader="dot" w:pos="9628"/>
        </w:tabs>
        <w:rPr>
          <w:rFonts w:asciiTheme="minorHAnsi" w:eastAsiaTheme="minorEastAsia" w:hAnsiTheme="minorHAnsi" w:cstheme="minorBidi"/>
          <w:noProof/>
          <w:color w:val="auto"/>
          <w:kern w:val="2"/>
          <w:sz w:val="24"/>
          <w:lang w:val="en-IE" w:eastAsia="en-IE"/>
          <w14:ligatures w14:val="standardContextual"/>
        </w:rPr>
      </w:pPr>
      <w:hyperlink w:anchor="_Toc237350935" w:history="1">
        <w:r>
          <w:rPr>
            <w:rStyle w:val="Hyperlink"/>
            <w:noProof/>
          </w:rPr>
          <w:t>3.</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NOTES ANNEXES AU COMPTE DE RÉSULTAT ÉCONOMIQUE</w:t>
        </w:r>
        <w:r>
          <w:rPr>
            <w:noProof/>
            <w:webHidden/>
          </w:rPr>
          <w:tab/>
        </w:r>
        <w:r>
          <w:rPr>
            <w:noProof/>
            <w:webHidden/>
          </w:rPr>
          <w:fldChar w:fldCharType="begin"/>
        </w:r>
        <w:r>
          <w:rPr>
            <w:noProof/>
            <w:webHidden/>
          </w:rPr>
          <w:instrText xml:space="preserve"> PAGEREF _Toc237350935 \h </w:instrText>
        </w:r>
        <w:r>
          <w:rPr>
            <w:noProof/>
            <w:webHidden/>
          </w:rPr>
        </w:r>
        <w:r>
          <w:rPr>
            <w:noProof/>
            <w:webHidden/>
          </w:rPr>
          <w:fldChar w:fldCharType="separate"/>
        </w:r>
        <w:r>
          <w:rPr>
            <w:noProof/>
            <w:webHidden/>
          </w:rPr>
          <w:t>114</w:t>
        </w:r>
        <w:r>
          <w:rPr>
            <w:noProof/>
            <w:webHidden/>
          </w:rPr>
          <w:fldChar w:fldCharType="end"/>
        </w:r>
      </w:hyperlink>
    </w:p>
    <w:p>
      <w:pPr>
        <w:pStyle w:val="TOC2"/>
        <w:tabs>
          <w:tab w:val="left" w:pos="720"/>
          <w:tab w:val="right" w:leader="dot" w:pos="9628"/>
        </w:tabs>
        <w:rPr>
          <w:rFonts w:asciiTheme="minorHAnsi" w:eastAsiaTheme="minorEastAsia" w:hAnsiTheme="minorHAnsi" w:cstheme="minorBidi"/>
          <w:noProof/>
          <w:color w:val="auto"/>
          <w:kern w:val="2"/>
          <w:sz w:val="24"/>
          <w:lang w:val="en-IE" w:eastAsia="en-IE"/>
          <w14:ligatures w14:val="standardContextual"/>
        </w:rPr>
      </w:pPr>
      <w:hyperlink w:anchor="_Toc237350936" w:history="1">
        <w:r>
          <w:rPr>
            <w:rStyle w:val="Hyperlink"/>
            <w:noProof/>
          </w:rPr>
          <w:t>4.</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ACTIF ET PASSIF ÉVENTUELS</w:t>
        </w:r>
        <w:r>
          <w:rPr>
            <w:noProof/>
            <w:webHidden/>
          </w:rPr>
          <w:tab/>
        </w:r>
        <w:r>
          <w:rPr>
            <w:noProof/>
            <w:webHidden/>
          </w:rPr>
          <w:fldChar w:fldCharType="begin"/>
        </w:r>
        <w:r>
          <w:rPr>
            <w:noProof/>
            <w:webHidden/>
          </w:rPr>
          <w:instrText xml:space="preserve"> PAGEREF _Toc237350936 \h </w:instrText>
        </w:r>
        <w:r>
          <w:rPr>
            <w:noProof/>
            <w:webHidden/>
          </w:rPr>
        </w:r>
        <w:r>
          <w:rPr>
            <w:noProof/>
            <w:webHidden/>
          </w:rPr>
          <w:fldChar w:fldCharType="separate"/>
        </w:r>
        <w:r>
          <w:rPr>
            <w:noProof/>
            <w:webHidden/>
          </w:rPr>
          <w:t>125</w:t>
        </w:r>
        <w:r>
          <w:rPr>
            <w:noProof/>
            <w:webHidden/>
          </w:rPr>
          <w:fldChar w:fldCharType="end"/>
        </w:r>
      </w:hyperlink>
    </w:p>
    <w:p>
      <w:pPr>
        <w:pStyle w:val="TOC2"/>
        <w:tabs>
          <w:tab w:val="left" w:pos="720"/>
          <w:tab w:val="right" w:leader="dot" w:pos="9628"/>
        </w:tabs>
        <w:rPr>
          <w:rFonts w:asciiTheme="minorHAnsi" w:eastAsiaTheme="minorEastAsia" w:hAnsiTheme="minorHAnsi" w:cstheme="minorBidi"/>
          <w:noProof/>
          <w:color w:val="auto"/>
          <w:kern w:val="2"/>
          <w:sz w:val="24"/>
          <w:lang w:val="en-IE" w:eastAsia="en-IE"/>
          <w14:ligatures w14:val="standardContextual"/>
        </w:rPr>
      </w:pPr>
      <w:hyperlink w:anchor="_Toc237350937" w:history="1">
        <w:r>
          <w:rPr>
            <w:rStyle w:val="Hyperlink"/>
            <w:noProof/>
          </w:rPr>
          <w:t>5.</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ENGAGEMENTS BUDGÉTAIRES ET JURIDIQUES</w:t>
        </w:r>
        <w:r>
          <w:rPr>
            <w:noProof/>
            <w:webHidden/>
          </w:rPr>
          <w:tab/>
        </w:r>
        <w:r>
          <w:rPr>
            <w:noProof/>
            <w:webHidden/>
          </w:rPr>
          <w:fldChar w:fldCharType="begin"/>
        </w:r>
        <w:r>
          <w:rPr>
            <w:noProof/>
            <w:webHidden/>
          </w:rPr>
          <w:instrText xml:space="preserve"> PAGEREF _Toc237350937 \h </w:instrText>
        </w:r>
        <w:r>
          <w:rPr>
            <w:noProof/>
            <w:webHidden/>
          </w:rPr>
        </w:r>
        <w:r>
          <w:rPr>
            <w:noProof/>
            <w:webHidden/>
          </w:rPr>
          <w:fldChar w:fldCharType="separate"/>
        </w:r>
        <w:r>
          <w:rPr>
            <w:noProof/>
            <w:webHidden/>
          </w:rPr>
          <w:t>132</w:t>
        </w:r>
        <w:r>
          <w:rPr>
            <w:noProof/>
            <w:webHidden/>
          </w:rPr>
          <w:fldChar w:fldCharType="end"/>
        </w:r>
      </w:hyperlink>
    </w:p>
    <w:p>
      <w:pPr>
        <w:pStyle w:val="TOC2"/>
        <w:tabs>
          <w:tab w:val="left" w:pos="720"/>
          <w:tab w:val="right" w:leader="dot" w:pos="9628"/>
        </w:tabs>
        <w:rPr>
          <w:rFonts w:asciiTheme="minorHAnsi" w:eastAsiaTheme="minorEastAsia" w:hAnsiTheme="minorHAnsi" w:cstheme="minorBidi"/>
          <w:noProof/>
          <w:color w:val="auto"/>
          <w:kern w:val="2"/>
          <w:sz w:val="24"/>
          <w:lang w:val="en-IE" w:eastAsia="en-IE"/>
          <w14:ligatures w14:val="standardContextual"/>
        </w:rPr>
      </w:pPr>
      <w:hyperlink w:anchor="_Toc237350938" w:history="1">
        <w:r>
          <w:rPr>
            <w:rStyle w:val="Hyperlink"/>
            <w:noProof/>
          </w:rPr>
          <w:t>6.</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GESTION DES RISQUES FINANCIERS</w:t>
        </w:r>
        <w:r>
          <w:rPr>
            <w:noProof/>
            <w:webHidden/>
          </w:rPr>
          <w:tab/>
        </w:r>
        <w:r>
          <w:rPr>
            <w:noProof/>
            <w:webHidden/>
          </w:rPr>
          <w:fldChar w:fldCharType="begin"/>
        </w:r>
        <w:r>
          <w:rPr>
            <w:noProof/>
            <w:webHidden/>
          </w:rPr>
          <w:instrText xml:space="preserve"> PAGEREF _Toc237350938 \h </w:instrText>
        </w:r>
        <w:r>
          <w:rPr>
            <w:noProof/>
            <w:webHidden/>
          </w:rPr>
        </w:r>
        <w:r>
          <w:rPr>
            <w:noProof/>
            <w:webHidden/>
          </w:rPr>
          <w:fldChar w:fldCharType="separate"/>
        </w:r>
        <w:r>
          <w:rPr>
            <w:noProof/>
            <w:webHidden/>
          </w:rPr>
          <w:t>138</w:t>
        </w:r>
        <w:r>
          <w:rPr>
            <w:noProof/>
            <w:webHidden/>
          </w:rPr>
          <w:fldChar w:fldCharType="end"/>
        </w:r>
      </w:hyperlink>
    </w:p>
    <w:p>
      <w:pPr>
        <w:pStyle w:val="TOC2"/>
        <w:tabs>
          <w:tab w:val="left" w:pos="720"/>
          <w:tab w:val="right" w:leader="dot" w:pos="9628"/>
        </w:tabs>
        <w:rPr>
          <w:rFonts w:asciiTheme="minorHAnsi" w:eastAsiaTheme="minorEastAsia" w:hAnsiTheme="minorHAnsi" w:cstheme="minorBidi"/>
          <w:noProof/>
          <w:color w:val="auto"/>
          <w:kern w:val="2"/>
          <w:sz w:val="24"/>
          <w:lang w:val="en-IE" w:eastAsia="en-IE"/>
          <w14:ligatures w14:val="standardContextual"/>
        </w:rPr>
      </w:pPr>
      <w:hyperlink w:anchor="_Toc237350939" w:history="1">
        <w:r>
          <w:rPr>
            <w:rStyle w:val="Hyperlink"/>
            <w:noProof/>
          </w:rPr>
          <w:t>7.</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INFORMATIONS RELATIVES AUX PARTIES LIÉES</w:t>
        </w:r>
        <w:r>
          <w:rPr>
            <w:noProof/>
            <w:webHidden/>
          </w:rPr>
          <w:tab/>
        </w:r>
        <w:r>
          <w:rPr>
            <w:noProof/>
            <w:webHidden/>
          </w:rPr>
          <w:fldChar w:fldCharType="begin"/>
        </w:r>
        <w:r>
          <w:rPr>
            <w:noProof/>
            <w:webHidden/>
          </w:rPr>
          <w:instrText xml:space="preserve"> PAGEREF _Toc237350939 \h </w:instrText>
        </w:r>
        <w:r>
          <w:rPr>
            <w:noProof/>
            <w:webHidden/>
          </w:rPr>
        </w:r>
        <w:r>
          <w:rPr>
            <w:noProof/>
            <w:webHidden/>
          </w:rPr>
          <w:fldChar w:fldCharType="separate"/>
        </w:r>
        <w:r>
          <w:rPr>
            <w:noProof/>
            <w:webHidden/>
          </w:rPr>
          <w:t>160</w:t>
        </w:r>
        <w:r>
          <w:rPr>
            <w:noProof/>
            <w:webHidden/>
          </w:rPr>
          <w:fldChar w:fldCharType="end"/>
        </w:r>
      </w:hyperlink>
    </w:p>
    <w:p>
      <w:pPr>
        <w:pStyle w:val="TOC2"/>
        <w:tabs>
          <w:tab w:val="left" w:pos="720"/>
          <w:tab w:val="right" w:leader="dot" w:pos="9628"/>
        </w:tabs>
        <w:rPr>
          <w:rFonts w:asciiTheme="minorHAnsi" w:eastAsiaTheme="minorEastAsia" w:hAnsiTheme="minorHAnsi" w:cstheme="minorBidi"/>
          <w:noProof/>
          <w:color w:val="auto"/>
          <w:kern w:val="2"/>
          <w:sz w:val="24"/>
          <w:lang w:val="en-IE" w:eastAsia="en-IE"/>
          <w14:ligatures w14:val="standardContextual"/>
        </w:rPr>
      </w:pPr>
      <w:hyperlink w:anchor="_Toc237350940" w:history="1">
        <w:r>
          <w:rPr>
            <w:rStyle w:val="Hyperlink"/>
            <w:rFonts w:eastAsia="Calibri"/>
            <w:noProof/>
          </w:rPr>
          <w:t>8.</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ÉVÉNEMENTS POSTÉRIEURS À LA DATE DE CLÔTURE</w:t>
        </w:r>
        <w:r>
          <w:rPr>
            <w:noProof/>
            <w:webHidden/>
          </w:rPr>
          <w:tab/>
        </w:r>
        <w:r>
          <w:rPr>
            <w:noProof/>
            <w:webHidden/>
          </w:rPr>
          <w:fldChar w:fldCharType="begin"/>
        </w:r>
        <w:r>
          <w:rPr>
            <w:noProof/>
            <w:webHidden/>
          </w:rPr>
          <w:instrText xml:space="preserve"> PAGEREF _Toc237350940 \h </w:instrText>
        </w:r>
        <w:r>
          <w:rPr>
            <w:noProof/>
            <w:webHidden/>
          </w:rPr>
        </w:r>
        <w:r>
          <w:rPr>
            <w:noProof/>
            <w:webHidden/>
          </w:rPr>
          <w:fldChar w:fldCharType="separate"/>
        </w:r>
        <w:r>
          <w:rPr>
            <w:noProof/>
            <w:webHidden/>
          </w:rPr>
          <w:t>162</w:t>
        </w:r>
        <w:r>
          <w:rPr>
            <w:noProof/>
            <w:webHidden/>
          </w:rPr>
          <w:fldChar w:fldCharType="end"/>
        </w:r>
      </w:hyperlink>
    </w:p>
    <w:p>
      <w:pPr>
        <w:pStyle w:val="TOC2"/>
        <w:tabs>
          <w:tab w:val="left" w:pos="720"/>
          <w:tab w:val="right" w:leader="dot" w:pos="9628"/>
        </w:tabs>
        <w:rPr>
          <w:rFonts w:asciiTheme="minorHAnsi" w:eastAsiaTheme="minorEastAsia" w:hAnsiTheme="minorHAnsi" w:cstheme="minorBidi"/>
          <w:noProof/>
          <w:color w:val="auto"/>
          <w:kern w:val="2"/>
          <w:sz w:val="24"/>
          <w:lang w:val="en-IE" w:eastAsia="en-IE"/>
          <w14:ligatures w14:val="standardContextual"/>
        </w:rPr>
      </w:pPr>
      <w:hyperlink w:anchor="_Toc237350941" w:history="1">
        <w:r>
          <w:rPr>
            <w:rStyle w:val="Hyperlink"/>
            <w:noProof/>
          </w:rPr>
          <w:t>9.</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PÉRIMÈTRE DE CONSOLIDATION</w:t>
        </w:r>
        <w:r>
          <w:rPr>
            <w:noProof/>
            <w:webHidden/>
          </w:rPr>
          <w:tab/>
        </w:r>
        <w:r>
          <w:rPr>
            <w:noProof/>
            <w:webHidden/>
          </w:rPr>
          <w:fldChar w:fldCharType="begin"/>
        </w:r>
        <w:r>
          <w:rPr>
            <w:noProof/>
            <w:webHidden/>
          </w:rPr>
          <w:instrText xml:space="preserve"> PAGEREF _Toc237350941 \h </w:instrText>
        </w:r>
        <w:r>
          <w:rPr>
            <w:noProof/>
            <w:webHidden/>
          </w:rPr>
        </w:r>
        <w:r>
          <w:rPr>
            <w:noProof/>
            <w:webHidden/>
          </w:rPr>
          <w:fldChar w:fldCharType="separate"/>
        </w:r>
        <w:r>
          <w:rPr>
            <w:noProof/>
            <w:webHidden/>
          </w:rPr>
          <w:t>163</w:t>
        </w:r>
        <w:r>
          <w:rPr>
            <w:noProof/>
            <w:webHidden/>
          </w:rPr>
          <w:fldChar w:fldCharType="end"/>
        </w:r>
      </w:hyperlink>
    </w:p>
    <w:p>
      <w:pPr>
        <w:pStyle w:val="Textstand-alone"/>
        <w:sectPr>
          <w:headerReference w:type="default" r:id="rId49"/>
          <w:footerReference w:type="default" r:id="rId50"/>
          <w:pgSz w:w="11906" w:h="16838"/>
          <w:pgMar w:top="1134" w:right="1134" w:bottom="1134" w:left="1134" w:header="709" w:footer="709" w:gutter="0"/>
          <w:cols w:space="708"/>
          <w:docGrid w:linePitch="360"/>
        </w:sectPr>
      </w:pPr>
      <w:r>
        <w:rPr>
          <w:color w:val="016894"/>
          <w:sz w:val="20"/>
        </w:rPr>
        <w:fldChar w:fldCharType="end"/>
      </w:r>
      <w:r>
        <w:rPr>
          <w:caps/>
          <w:color w:val="016894"/>
          <w:sz w:val="20"/>
        </w:rPr>
        <w:t xml:space="preserve"> </w:t>
      </w:r>
      <w:bookmarkEnd w:id="53"/>
    </w:p>
    <w:p>
      <w:pPr>
        <w:pStyle w:val="HEADERTITLE1"/>
        <w:spacing w:after="0"/>
      </w:pPr>
      <w:bookmarkStart w:id="54" w:name="_Toc237348407"/>
      <w:bookmarkStart w:id="55" w:name="_Toc237350928"/>
      <w:bookmarkStart w:id="56" w:name="_DMBM_36702"/>
      <w:r>
        <w:lastRenderedPageBreak/>
        <w:t>BILAN</w:t>
      </w:r>
      <w:bookmarkEnd w:id="54"/>
      <w:bookmarkEnd w:id="55"/>
    </w:p>
    <w:p>
      <w:pPr>
        <w:pStyle w:val="HEADERTITLE1"/>
        <w:spacing w:after="0"/>
        <w:rPr>
          <w:lang w:val="fr-B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9"/>
        <w:gridCol w:w="1363"/>
        <w:gridCol w:w="1363"/>
        <w:gridCol w:w="1363"/>
      </w:tblGrid>
      <w:tr>
        <w:trPr>
          <w:trHeight w:hRule="exact" w:val="255"/>
        </w:trPr>
        <w:tc>
          <w:tcPr>
            <w:tcW w:w="5669" w:type="dxa"/>
            <w:tcBorders>
              <w:top w:val="nil"/>
              <w:left w:val="nil"/>
              <w:bottom w:val="nil"/>
              <w:right w:val="nil"/>
              <w:tl2br w:val="nil"/>
              <w:tr2bl w:val="nil"/>
            </w:tcBorders>
            <w:tcMar>
              <w:left w:w="60" w:type="dxa"/>
              <w:right w:w="60" w:type="dxa"/>
            </w:tcMar>
            <w:vAlign w:val="center"/>
          </w:tcPr>
          <w:p>
            <w:pPr>
              <w:pStyle w:val="DMETW36743BIPBS"/>
              <w:rPr>
                <w:rFonts w:ascii="Verdana" w:eastAsia="Verdana" w:hAnsi="Verdana" w:cs="Verdana"/>
                <w:i/>
                <w:noProof/>
                <w:color w:val="FFFFFF"/>
                <w:sz w:val="16"/>
              </w:rPr>
            </w:pPr>
            <w:bookmarkStart w:id="57" w:name="DOC_TBL00001_1_1"/>
            <w:bookmarkEnd w:id="57"/>
          </w:p>
        </w:tc>
        <w:tc>
          <w:tcPr>
            <w:tcW w:w="1363" w:type="dxa"/>
            <w:tcBorders>
              <w:top w:val="nil"/>
              <w:left w:val="nil"/>
              <w:bottom w:val="nil"/>
              <w:right w:val="nil"/>
              <w:tl2br w:val="nil"/>
              <w:tr2bl w:val="nil"/>
            </w:tcBorders>
            <w:tcMar>
              <w:left w:w="60" w:type="dxa"/>
              <w:right w:w="60" w:type="dxa"/>
            </w:tcMar>
            <w:vAlign w:val="bottom"/>
          </w:tcPr>
          <w:p>
            <w:pPr>
              <w:pStyle w:val="DMETW36743BIPBS"/>
              <w:rPr>
                <w:rFonts w:ascii="Arial" w:eastAsia="Arial" w:hAnsi="Arial" w:cs="Arial"/>
                <w:noProof/>
                <w:color w:val="000000"/>
              </w:rPr>
            </w:pPr>
          </w:p>
        </w:tc>
        <w:tc>
          <w:tcPr>
            <w:tcW w:w="1363" w:type="dxa"/>
            <w:tcBorders>
              <w:top w:val="nil"/>
              <w:left w:val="nil"/>
              <w:bottom w:val="nil"/>
              <w:right w:val="nil"/>
              <w:tl2br w:val="nil"/>
              <w:tr2bl w:val="nil"/>
            </w:tcBorders>
            <w:tcMar>
              <w:left w:w="60" w:type="dxa"/>
              <w:right w:w="60" w:type="dxa"/>
            </w:tcMar>
            <w:vAlign w:val="bottom"/>
          </w:tcPr>
          <w:p>
            <w:pPr>
              <w:pStyle w:val="DMETW36743BIPBS"/>
              <w:rPr>
                <w:rFonts w:ascii="Arial" w:eastAsia="Arial" w:hAnsi="Arial" w:cs="Arial"/>
                <w:noProof/>
                <w:color w:val="000000"/>
              </w:rPr>
            </w:pPr>
          </w:p>
        </w:tc>
        <w:tc>
          <w:tcPr>
            <w:tcW w:w="1363" w:type="dxa"/>
            <w:tcBorders>
              <w:top w:val="nil"/>
              <w:left w:val="nil"/>
              <w:bottom w:val="nil"/>
              <w:right w:val="nil"/>
              <w:tl2br w:val="nil"/>
              <w:tr2bl w:val="nil"/>
            </w:tcBorders>
            <w:tcMar>
              <w:left w:w="60" w:type="dxa"/>
              <w:right w:w="60" w:type="dxa"/>
            </w:tcMar>
            <w:vAlign w:val="bottom"/>
          </w:tcPr>
          <w:p>
            <w:pPr>
              <w:pStyle w:val="DMETW36743BIPBS"/>
              <w:jc w:val="right"/>
              <w:rPr>
                <w:rFonts w:ascii="Verdana" w:eastAsia="Verdana" w:hAnsi="Verdana" w:cs="Verdana"/>
                <w:i/>
                <w:noProof/>
                <w:color w:val="000000"/>
                <w:sz w:val="16"/>
              </w:rPr>
            </w:pPr>
            <w:r>
              <w:rPr>
                <w:rFonts w:ascii="Verdana" w:hAnsi="Verdana"/>
                <w:i/>
                <w:noProof/>
                <w:color w:val="000000"/>
                <w:sz w:val="16"/>
              </w:rPr>
              <w:t xml:space="preserve"> en Mio EUR</w:t>
            </w:r>
          </w:p>
        </w:tc>
      </w:tr>
      <w:tr>
        <w:trPr>
          <w:trHeight w:hRule="exact" w:val="255"/>
        </w:trPr>
        <w:tc>
          <w:tcPr>
            <w:tcW w:w="5669" w:type="dxa"/>
            <w:tcBorders>
              <w:top w:val="nil"/>
              <w:left w:val="nil"/>
              <w:bottom w:val="nil"/>
              <w:right w:val="nil"/>
              <w:tl2br w:val="nil"/>
              <w:tr2bl w:val="nil"/>
            </w:tcBorders>
            <w:shd w:val="solid" w:color="016794" w:fill="FFFFFF"/>
            <w:tcMar>
              <w:left w:w="60" w:type="dxa"/>
              <w:right w:w="60" w:type="dxa"/>
            </w:tcMar>
            <w:vAlign w:val="center"/>
          </w:tcPr>
          <w:p>
            <w:pPr>
              <w:pStyle w:val="DMETW36743BIPBS"/>
              <w:rPr>
                <w:rFonts w:ascii="Verdana" w:eastAsia="Verdana" w:hAnsi="Verdana" w:cs="Verdana"/>
                <w:noProof/>
                <w:color w:val="FFFFFF"/>
              </w:rPr>
            </w:pPr>
          </w:p>
        </w:tc>
        <w:tc>
          <w:tcPr>
            <w:tcW w:w="1363" w:type="dxa"/>
            <w:tcBorders>
              <w:top w:val="nil"/>
              <w:left w:val="nil"/>
              <w:bottom w:val="nil"/>
              <w:right w:val="nil"/>
              <w:tl2br w:val="nil"/>
              <w:tr2bl w:val="nil"/>
            </w:tcBorders>
            <w:shd w:val="solid" w:color="016794" w:fill="FFFFFF"/>
            <w:tcMar>
              <w:left w:w="60" w:type="dxa"/>
              <w:right w:w="60" w:type="dxa"/>
            </w:tcMar>
            <w:vAlign w:val="center"/>
          </w:tcPr>
          <w:p>
            <w:pPr>
              <w:pStyle w:val="DMETW36743BIPBS"/>
              <w:jc w:val="center"/>
              <w:rPr>
                <w:rFonts w:ascii="Verdana" w:eastAsia="Verdana" w:hAnsi="Verdana" w:cs="Verdana"/>
                <w:noProof/>
                <w:color w:val="FFFFFF"/>
              </w:rPr>
            </w:pPr>
            <w:r>
              <w:rPr>
                <w:rFonts w:ascii="Verdana" w:hAnsi="Verdana"/>
                <w:noProof/>
                <w:color w:val="FFFFFF"/>
              </w:rPr>
              <w:t>Note</w:t>
            </w:r>
          </w:p>
        </w:tc>
        <w:tc>
          <w:tcPr>
            <w:tcW w:w="1363" w:type="dxa"/>
            <w:tcBorders>
              <w:top w:val="nil"/>
              <w:left w:val="nil"/>
              <w:bottom w:val="nil"/>
              <w:right w:val="nil"/>
              <w:tl2br w:val="nil"/>
              <w:tr2bl w:val="nil"/>
            </w:tcBorders>
            <w:shd w:val="solid" w:color="016794" w:fill="FFFFFF"/>
            <w:tcMar>
              <w:left w:w="60" w:type="dxa"/>
              <w:right w:w="60" w:type="dxa"/>
            </w:tcMar>
            <w:vAlign w:val="center"/>
          </w:tcPr>
          <w:p>
            <w:pPr>
              <w:pStyle w:val="DMETW36743BIPBS"/>
              <w:jc w:val="right"/>
              <w:rPr>
                <w:rFonts w:ascii="Verdana" w:eastAsia="Verdana" w:hAnsi="Verdana" w:cs="Verdana"/>
                <w:noProof/>
                <w:color w:val="FFFFFF"/>
              </w:rPr>
            </w:pPr>
            <w:r>
              <w:rPr>
                <w:rFonts w:ascii="Verdana" w:hAnsi="Verdana"/>
                <w:noProof/>
                <w:color w:val="FFFFFF"/>
              </w:rPr>
              <w:t>31.12.2025</w:t>
            </w:r>
          </w:p>
        </w:tc>
        <w:tc>
          <w:tcPr>
            <w:tcW w:w="1363" w:type="dxa"/>
            <w:tcBorders>
              <w:top w:val="nil"/>
              <w:left w:val="nil"/>
              <w:bottom w:val="nil"/>
              <w:right w:val="nil"/>
              <w:tl2br w:val="nil"/>
              <w:tr2bl w:val="nil"/>
            </w:tcBorders>
            <w:shd w:val="solid" w:color="016794" w:fill="FFFFFF"/>
            <w:tcMar>
              <w:left w:w="60" w:type="dxa"/>
              <w:right w:w="60" w:type="dxa"/>
            </w:tcMar>
            <w:vAlign w:val="center"/>
          </w:tcPr>
          <w:p>
            <w:pPr>
              <w:pStyle w:val="DMETW36743BIPBS"/>
              <w:jc w:val="right"/>
              <w:rPr>
                <w:rFonts w:ascii="Verdana" w:eastAsia="Verdana" w:hAnsi="Verdana" w:cs="Verdana"/>
                <w:noProof/>
                <w:color w:val="FFFFFF"/>
              </w:rPr>
            </w:pPr>
            <w:r>
              <w:rPr>
                <w:rFonts w:ascii="Verdana" w:hAnsi="Verdana"/>
                <w:noProof/>
                <w:color w:val="FFFFFF"/>
              </w:rPr>
              <w:t>31.12.2024</w:t>
            </w:r>
          </w:p>
        </w:tc>
      </w:tr>
      <w:tr>
        <w:trPr>
          <w:trHeight w:hRule="exact" w:val="255"/>
        </w:trPr>
        <w:tc>
          <w:tcPr>
            <w:tcW w:w="5669" w:type="dxa"/>
            <w:tcBorders>
              <w:top w:val="nil"/>
              <w:left w:val="nil"/>
              <w:bottom w:val="nil"/>
              <w:right w:val="nil"/>
              <w:tl2br w:val="nil"/>
              <w:tr2bl w:val="nil"/>
            </w:tcBorders>
            <w:tcMar>
              <w:left w:w="60" w:type="dxa"/>
              <w:right w:w="60" w:type="dxa"/>
            </w:tcMar>
            <w:vAlign w:val="center"/>
          </w:tcPr>
          <w:p>
            <w:pPr>
              <w:pStyle w:val="DMETW36743BIPBS"/>
              <w:rPr>
                <w:rFonts w:ascii="Verdana" w:eastAsia="Verdana" w:hAnsi="Verdana" w:cs="Verdana"/>
                <w:b/>
                <w:noProof/>
                <w:color w:val="000000"/>
                <w:sz w:val="18"/>
              </w:rPr>
            </w:pPr>
            <w:r>
              <w:rPr>
                <w:rFonts w:ascii="Verdana" w:hAnsi="Verdana"/>
                <w:b/>
                <w:noProof/>
                <w:color w:val="000000"/>
                <w:sz w:val="18"/>
              </w:rPr>
              <w:t>ACTIFS NON COURANTS</w:t>
            </w: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b/>
                <w:noProof/>
                <w:color w:val="000000"/>
                <w:sz w:val="18"/>
              </w:rPr>
            </w:pPr>
          </w:p>
        </w:tc>
        <w:tc>
          <w:tcPr>
            <w:tcW w:w="1363" w:type="dxa"/>
            <w:tcBorders>
              <w:top w:val="nil"/>
              <w:left w:val="nil"/>
              <w:bottom w:val="nil"/>
              <w:right w:val="nil"/>
              <w:tl2br w:val="nil"/>
              <w:tr2bl w:val="nil"/>
            </w:tcBorders>
            <w:tcMar>
              <w:left w:w="60" w:type="dxa"/>
              <w:right w:w="60" w:type="dxa"/>
            </w:tcMar>
            <w:vAlign w:val="center"/>
          </w:tcPr>
          <w:p>
            <w:pPr>
              <w:pStyle w:val="DMETW36743BIPBS"/>
              <w:rPr>
                <w:rFonts w:ascii="Arial" w:eastAsia="Arial" w:hAnsi="Arial" w:cs="Arial"/>
                <w:noProof/>
                <w:color w:val="000000"/>
              </w:rPr>
            </w:pPr>
          </w:p>
        </w:tc>
        <w:tc>
          <w:tcPr>
            <w:tcW w:w="1363" w:type="dxa"/>
            <w:tcBorders>
              <w:top w:val="nil"/>
              <w:left w:val="nil"/>
              <w:bottom w:val="nil"/>
              <w:right w:val="nil"/>
              <w:tl2br w:val="nil"/>
              <w:tr2bl w:val="nil"/>
            </w:tcBorders>
            <w:tcMar>
              <w:left w:w="60" w:type="dxa"/>
              <w:right w:w="60" w:type="dxa"/>
            </w:tcMar>
            <w:vAlign w:val="center"/>
          </w:tcPr>
          <w:p>
            <w:pPr>
              <w:pStyle w:val="DMETW36743BIPBS"/>
              <w:rPr>
                <w:rFonts w:ascii="Arial" w:eastAsia="Arial" w:hAnsi="Arial" w:cs="Arial"/>
                <w:noProof/>
                <w:color w:val="000000"/>
                <w:lang w:bidi="en-GB"/>
              </w:rPr>
            </w:pPr>
          </w:p>
        </w:tc>
      </w:tr>
      <w:tr>
        <w:trPr>
          <w:trHeight w:hRule="exact" w:val="255"/>
        </w:trPr>
        <w:tc>
          <w:tcPr>
            <w:tcW w:w="5669" w:type="dxa"/>
            <w:tcBorders>
              <w:top w:val="nil"/>
              <w:left w:val="nil"/>
              <w:bottom w:val="nil"/>
              <w:right w:val="nil"/>
              <w:tl2br w:val="nil"/>
              <w:tr2bl w:val="nil"/>
            </w:tcBorders>
            <w:tcMar>
              <w:left w:w="60" w:type="dxa"/>
              <w:right w:w="60" w:type="dxa"/>
            </w:tcMar>
            <w:vAlign w:val="center"/>
          </w:tcPr>
          <w:p>
            <w:pPr>
              <w:pStyle w:val="DMETW36743BIPBS"/>
              <w:rPr>
                <w:rFonts w:ascii="Verdana" w:eastAsia="Verdana" w:hAnsi="Verdana" w:cs="Verdana"/>
                <w:i/>
                <w:noProof/>
                <w:color w:val="000000"/>
                <w:sz w:val="18"/>
              </w:rPr>
            </w:pPr>
            <w:r>
              <w:rPr>
                <w:rFonts w:ascii="Verdana" w:hAnsi="Verdana"/>
                <w:i/>
                <w:noProof/>
                <w:color w:val="000000"/>
                <w:sz w:val="18"/>
              </w:rPr>
              <w:t>Immobilisations incorporelles</w:t>
            </w:r>
          </w:p>
        </w:tc>
        <w:tc>
          <w:tcPr>
            <w:tcW w:w="1363" w:type="dxa"/>
            <w:tcBorders>
              <w:top w:val="nil"/>
              <w:left w:val="nil"/>
              <w:bottom w:val="nil"/>
              <w:right w:val="nil"/>
              <w:tl2br w:val="nil"/>
              <w:tr2bl w:val="nil"/>
            </w:tcBorders>
            <w:tcMar>
              <w:left w:w="60" w:type="dxa"/>
              <w:right w:w="60" w:type="dxa"/>
            </w:tcMar>
            <w:vAlign w:val="center"/>
          </w:tcPr>
          <w:p>
            <w:pPr>
              <w:pStyle w:val="DMETW36743BIPBS"/>
              <w:jc w:val="center"/>
              <w:rPr>
                <w:rFonts w:ascii="Verdana" w:eastAsia="Verdana" w:hAnsi="Verdana" w:cs="Verdana"/>
                <w:i/>
                <w:noProof/>
                <w:color w:val="000000"/>
                <w:sz w:val="18"/>
              </w:rPr>
            </w:pPr>
            <w:r>
              <w:rPr>
                <w:rFonts w:ascii="Verdana" w:hAnsi="Verdana"/>
                <w:i/>
                <w:noProof/>
                <w:color w:val="000000"/>
                <w:sz w:val="18"/>
              </w:rPr>
              <w:t>2.1</w:t>
            </w: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1 135</w:t>
            </w: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1 095</w:t>
            </w:r>
          </w:p>
        </w:tc>
      </w:tr>
      <w:tr>
        <w:trPr>
          <w:trHeight w:hRule="exact" w:val="255"/>
        </w:trPr>
        <w:tc>
          <w:tcPr>
            <w:tcW w:w="5669" w:type="dxa"/>
            <w:tcBorders>
              <w:top w:val="nil"/>
              <w:left w:val="nil"/>
              <w:bottom w:val="nil"/>
              <w:right w:val="nil"/>
              <w:tl2br w:val="nil"/>
              <w:tr2bl w:val="nil"/>
            </w:tcBorders>
            <w:tcMar>
              <w:left w:w="60" w:type="dxa"/>
              <w:right w:w="60" w:type="dxa"/>
            </w:tcMar>
            <w:vAlign w:val="center"/>
          </w:tcPr>
          <w:p>
            <w:pPr>
              <w:pStyle w:val="DMETW36743BIPBS"/>
              <w:rPr>
                <w:rFonts w:ascii="Verdana" w:eastAsia="Verdana" w:hAnsi="Verdana" w:cs="Verdana"/>
                <w:i/>
                <w:noProof/>
                <w:color w:val="000000"/>
                <w:sz w:val="18"/>
              </w:rPr>
            </w:pPr>
            <w:r>
              <w:rPr>
                <w:rFonts w:ascii="Verdana" w:hAnsi="Verdana"/>
                <w:i/>
                <w:noProof/>
                <w:color w:val="000000"/>
                <w:sz w:val="18"/>
              </w:rPr>
              <w:t>Immobilisations corporelles</w:t>
            </w:r>
          </w:p>
        </w:tc>
        <w:tc>
          <w:tcPr>
            <w:tcW w:w="1363" w:type="dxa"/>
            <w:tcBorders>
              <w:top w:val="nil"/>
              <w:left w:val="nil"/>
              <w:bottom w:val="nil"/>
              <w:right w:val="nil"/>
              <w:tl2br w:val="nil"/>
              <w:tr2bl w:val="nil"/>
            </w:tcBorders>
            <w:tcMar>
              <w:left w:w="60" w:type="dxa"/>
              <w:right w:w="60" w:type="dxa"/>
            </w:tcMar>
            <w:vAlign w:val="center"/>
          </w:tcPr>
          <w:p>
            <w:pPr>
              <w:pStyle w:val="DMETW36743BIPBS"/>
              <w:jc w:val="center"/>
              <w:rPr>
                <w:rFonts w:ascii="Verdana" w:eastAsia="Verdana" w:hAnsi="Verdana" w:cs="Verdana"/>
                <w:i/>
                <w:noProof/>
                <w:color w:val="000000"/>
                <w:sz w:val="18"/>
              </w:rPr>
            </w:pPr>
            <w:r>
              <w:rPr>
                <w:rFonts w:ascii="Verdana" w:hAnsi="Verdana"/>
                <w:i/>
                <w:noProof/>
                <w:color w:val="000000"/>
                <w:sz w:val="18"/>
              </w:rPr>
              <w:t>2.2</w:t>
            </w: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14 756</w:t>
            </w: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13 713</w:t>
            </w:r>
          </w:p>
        </w:tc>
      </w:tr>
      <w:tr>
        <w:trPr>
          <w:trHeight w:hRule="exact" w:val="255"/>
        </w:trPr>
        <w:tc>
          <w:tcPr>
            <w:tcW w:w="5669" w:type="dxa"/>
            <w:tcBorders>
              <w:top w:val="nil"/>
              <w:left w:val="nil"/>
              <w:bottom w:val="nil"/>
              <w:right w:val="nil"/>
              <w:tl2br w:val="nil"/>
              <w:tr2bl w:val="nil"/>
            </w:tcBorders>
            <w:tcMar>
              <w:left w:w="60" w:type="dxa"/>
              <w:right w:w="60" w:type="dxa"/>
            </w:tcMar>
            <w:vAlign w:val="center"/>
          </w:tcPr>
          <w:p>
            <w:pPr>
              <w:pStyle w:val="DMETW36743BIPBS"/>
              <w:rPr>
                <w:rFonts w:ascii="Verdana" w:eastAsia="Verdana" w:hAnsi="Verdana" w:cs="Verdana"/>
                <w:i/>
                <w:noProof/>
                <w:color w:val="000000"/>
                <w:sz w:val="18"/>
              </w:rPr>
            </w:pPr>
            <w:r>
              <w:rPr>
                <w:rFonts w:ascii="Verdana" w:hAnsi="Verdana"/>
                <w:i/>
                <w:noProof/>
                <w:color w:val="000000"/>
                <w:sz w:val="18"/>
              </w:rPr>
              <w:t>Investissements comptabilisés selon la méthode de la mise en équivalence</w:t>
            </w:r>
          </w:p>
        </w:tc>
        <w:tc>
          <w:tcPr>
            <w:tcW w:w="1363" w:type="dxa"/>
            <w:tcBorders>
              <w:top w:val="nil"/>
              <w:left w:val="nil"/>
              <w:bottom w:val="nil"/>
              <w:right w:val="nil"/>
              <w:tl2br w:val="nil"/>
              <w:tr2bl w:val="nil"/>
            </w:tcBorders>
            <w:tcMar>
              <w:left w:w="60" w:type="dxa"/>
              <w:right w:w="60" w:type="dxa"/>
            </w:tcMar>
            <w:vAlign w:val="center"/>
          </w:tcPr>
          <w:p>
            <w:pPr>
              <w:pStyle w:val="DMETW36743BIPBS"/>
              <w:jc w:val="center"/>
              <w:rPr>
                <w:rFonts w:ascii="Verdana" w:eastAsia="Verdana" w:hAnsi="Verdana" w:cs="Verdana"/>
                <w:i/>
                <w:noProof/>
                <w:color w:val="000000"/>
                <w:sz w:val="18"/>
              </w:rPr>
            </w:pPr>
            <w:r>
              <w:rPr>
                <w:rFonts w:ascii="Verdana" w:hAnsi="Verdana"/>
                <w:i/>
                <w:noProof/>
                <w:color w:val="000000"/>
                <w:sz w:val="18"/>
              </w:rPr>
              <w:t>2.3</w:t>
            </w: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1 524</w:t>
            </w: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1 446</w:t>
            </w:r>
          </w:p>
        </w:tc>
      </w:tr>
      <w:tr>
        <w:trPr>
          <w:trHeight w:hRule="exact" w:val="255"/>
        </w:trPr>
        <w:tc>
          <w:tcPr>
            <w:tcW w:w="5669" w:type="dxa"/>
            <w:tcBorders>
              <w:top w:val="nil"/>
              <w:left w:val="nil"/>
              <w:bottom w:val="nil"/>
              <w:right w:val="nil"/>
              <w:tl2br w:val="nil"/>
              <w:tr2bl w:val="nil"/>
            </w:tcBorders>
            <w:tcMar>
              <w:left w:w="60" w:type="dxa"/>
              <w:right w:w="60" w:type="dxa"/>
            </w:tcMar>
            <w:vAlign w:val="center"/>
          </w:tcPr>
          <w:p>
            <w:pPr>
              <w:pStyle w:val="DMETW36743BIPBS"/>
              <w:rPr>
                <w:rFonts w:ascii="Verdana" w:eastAsia="Verdana" w:hAnsi="Verdana" w:cs="Verdana"/>
                <w:i/>
                <w:noProof/>
                <w:color w:val="000000"/>
                <w:sz w:val="18"/>
              </w:rPr>
            </w:pPr>
            <w:r>
              <w:rPr>
                <w:rFonts w:ascii="Verdana" w:hAnsi="Verdana"/>
                <w:i/>
                <w:noProof/>
                <w:color w:val="000000"/>
                <w:sz w:val="18"/>
              </w:rPr>
              <w:t>Actifs financiers</w:t>
            </w:r>
          </w:p>
        </w:tc>
        <w:tc>
          <w:tcPr>
            <w:tcW w:w="1363" w:type="dxa"/>
            <w:tcBorders>
              <w:top w:val="nil"/>
              <w:left w:val="nil"/>
              <w:bottom w:val="nil"/>
              <w:right w:val="nil"/>
              <w:tl2br w:val="nil"/>
              <w:tr2bl w:val="nil"/>
            </w:tcBorders>
            <w:tcMar>
              <w:left w:w="60" w:type="dxa"/>
              <w:right w:w="60" w:type="dxa"/>
            </w:tcMar>
            <w:vAlign w:val="center"/>
          </w:tcPr>
          <w:p>
            <w:pPr>
              <w:pStyle w:val="DMETW36743BIPBS"/>
              <w:jc w:val="center"/>
              <w:rPr>
                <w:rFonts w:ascii="Verdana" w:eastAsia="Verdana" w:hAnsi="Verdana" w:cs="Verdana"/>
                <w:i/>
                <w:noProof/>
                <w:color w:val="000000"/>
                <w:sz w:val="18"/>
              </w:rPr>
            </w:pPr>
            <w:r>
              <w:rPr>
                <w:rFonts w:ascii="Verdana" w:hAnsi="Verdana"/>
                <w:i/>
                <w:noProof/>
                <w:color w:val="000000"/>
                <w:sz w:val="18"/>
              </w:rPr>
              <w:t>2.4</w:t>
            </w: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362 806</w:t>
            </w: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308 961</w:t>
            </w:r>
          </w:p>
        </w:tc>
      </w:tr>
      <w:tr>
        <w:trPr>
          <w:trHeight w:hRule="exact" w:val="255"/>
        </w:trPr>
        <w:tc>
          <w:tcPr>
            <w:tcW w:w="5669" w:type="dxa"/>
            <w:tcBorders>
              <w:top w:val="nil"/>
              <w:left w:val="nil"/>
              <w:bottom w:val="nil"/>
              <w:right w:val="nil"/>
              <w:tl2br w:val="nil"/>
              <w:tr2bl w:val="nil"/>
            </w:tcBorders>
            <w:tcMar>
              <w:left w:w="60" w:type="dxa"/>
              <w:right w:w="60" w:type="dxa"/>
            </w:tcMar>
            <w:vAlign w:val="center"/>
          </w:tcPr>
          <w:p>
            <w:pPr>
              <w:pStyle w:val="DMETW36743BIPBS"/>
              <w:rPr>
                <w:rFonts w:ascii="Verdana" w:eastAsia="Verdana" w:hAnsi="Verdana" w:cs="Verdana"/>
                <w:i/>
                <w:noProof/>
                <w:color w:val="000000"/>
                <w:sz w:val="18"/>
              </w:rPr>
            </w:pPr>
            <w:r>
              <w:rPr>
                <w:rFonts w:ascii="Verdana" w:hAnsi="Verdana"/>
                <w:i/>
                <w:noProof/>
                <w:color w:val="000000"/>
                <w:sz w:val="18"/>
              </w:rPr>
              <w:t>Préfinancements</w:t>
            </w:r>
          </w:p>
        </w:tc>
        <w:tc>
          <w:tcPr>
            <w:tcW w:w="1363" w:type="dxa"/>
            <w:tcBorders>
              <w:top w:val="nil"/>
              <w:left w:val="nil"/>
              <w:bottom w:val="nil"/>
              <w:right w:val="nil"/>
              <w:tl2br w:val="nil"/>
              <w:tr2bl w:val="nil"/>
            </w:tcBorders>
            <w:tcMar>
              <w:left w:w="60" w:type="dxa"/>
              <w:right w:w="60" w:type="dxa"/>
            </w:tcMar>
            <w:vAlign w:val="center"/>
          </w:tcPr>
          <w:p>
            <w:pPr>
              <w:pStyle w:val="DMETW36743BIPBS"/>
              <w:jc w:val="center"/>
              <w:rPr>
                <w:rFonts w:ascii="Verdana" w:eastAsia="Verdana" w:hAnsi="Verdana" w:cs="Verdana"/>
                <w:i/>
                <w:noProof/>
                <w:color w:val="000000"/>
                <w:sz w:val="18"/>
              </w:rPr>
            </w:pPr>
            <w:r>
              <w:rPr>
                <w:rFonts w:ascii="Verdana" w:hAnsi="Verdana"/>
                <w:i/>
                <w:noProof/>
                <w:color w:val="000000"/>
                <w:sz w:val="18"/>
              </w:rPr>
              <w:t>2.5</w:t>
            </w: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38 971</w:t>
            </w: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40 861</w:t>
            </w:r>
          </w:p>
        </w:tc>
      </w:tr>
      <w:tr>
        <w:trPr>
          <w:trHeight w:hRule="exact" w:val="255"/>
        </w:trPr>
        <w:tc>
          <w:tcPr>
            <w:tcW w:w="5669" w:type="dxa"/>
            <w:tcBorders>
              <w:top w:val="nil"/>
              <w:left w:val="nil"/>
              <w:bottom w:val="single" w:sz="4" w:space="0" w:color="016794"/>
              <w:right w:val="nil"/>
              <w:tl2br w:val="nil"/>
              <w:tr2bl w:val="nil"/>
            </w:tcBorders>
            <w:tcMar>
              <w:left w:w="60" w:type="dxa"/>
              <w:right w:w="60" w:type="dxa"/>
            </w:tcMar>
            <w:vAlign w:val="center"/>
          </w:tcPr>
          <w:p>
            <w:pPr>
              <w:pStyle w:val="DMETW36743BIPBS"/>
              <w:rPr>
                <w:rFonts w:ascii="Verdana" w:eastAsia="Verdana" w:hAnsi="Verdana" w:cs="Verdana"/>
                <w:i/>
                <w:noProof/>
                <w:color w:val="000000"/>
                <w:sz w:val="18"/>
              </w:rPr>
            </w:pPr>
            <w:r>
              <w:rPr>
                <w:rFonts w:ascii="Verdana" w:hAnsi="Verdana"/>
                <w:i/>
                <w:noProof/>
                <w:color w:val="000000"/>
                <w:sz w:val="18"/>
              </w:rPr>
              <w:t>Créances à recevoir avec contrepartie directe et créances à recouvrer sans contrepartie directe</w:t>
            </w:r>
          </w:p>
        </w:tc>
        <w:tc>
          <w:tcPr>
            <w:tcW w:w="1363" w:type="dxa"/>
            <w:tcBorders>
              <w:top w:val="nil"/>
              <w:left w:val="nil"/>
              <w:bottom w:val="single" w:sz="4" w:space="0" w:color="016794"/>
              <w:right w:val="nil"/>
              <w:tl2br w:val="nil"/>
              <w:tr2bl w:val="nil"/>
            </w:tcBorders>
            <w:tcMar>
              <w:left w:w="60" w:type="dxa"/>
              <w:right w:w="60" w:type="dxa"/>
            </w:tcMar>
            <w:vAlign w:val="center"/>
          </w:tcPr>
          <w:p>
            <w:pPr>
              <w:pStyle w:val="DMETW36743BIPBS"/>
              <w:jc w:val="center"/>
              <w:rPr>
                <w:rFonts w:ascii="Verdana" w:eastAsia="Verdana" w:hAnsi="Verdana" w:cs="Verdana"/>
                <w:i/>
                <w:noProof/>
                <w:color w:val="000000"/>
                <w:sz w:val="18"/>
              </w:rPr>
            </w:pPr>
            <w:r>
              <w:rPr>
                <w:rFonts w:ascii="Verdana" w:hAnsi="Verdana"/>
                <w:i/>
                <w:noProof/>
                <w:color w:val="000000"/>
                <w:sz w:val="18"/>
              </w:rPr>
              <w:t>2.6</w:t>
            </w:r>
          </w:p>
        </w:tc>
        <w:tc>
          <w:tcPr>
            <w:tcW w:w="1363" w:type="dxa"/>
            <w:tcBorders>
              <w:top w:val="nil"/>
              <w:left w:val="nil"/>
              <w:bottom w:val="single" w:sz="4" w:space="0" w:color="016794"/>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12 663</w:t>
            </w:r>
          </w:p>
        </w:tc>
        <w:tc>
          <w:tcPr>
            <w:tcW w:w="1363" w:type="dxa"/>
            <w:tcBorders>
              <w:top w:val="nil"/>
              <w:left w:val="nil"/>
              <w:bottom w:val="single" w:sz="4" w:space="0" w:color="016794"/>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13 272</w:t>
            </w:r>
          </w:p>
        </w:tc>
      </w:tr>
      <w:tr>
        <w:trPr>
          <w:trHeight w:hRule="exact" w:val="255"/>
        </w:trPr>
        <w:tc>
          <w:tcPr>
            <w:tcW w:w="566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3BIPBS"/>
              <w:rPr>
                <w:rFonts w:ascii="Verdana" w:eastAsia="Verdana" w:hAnsi="Verdana" w:cs="Verdana"/>
                <w:i/>
                <w:noProof/>
                <w:color w:val="000000"/>
                <w:sz w:val="18"/>
              </w:rPr>
            </w:pPr>
          </w:p>
        </w:tc>
        <w:tc>
          <w:tcPr>
            <w:tcW w:w="136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3BIPBS"/>
              <w:jc w:val="center"/>
              <w:rPr>
                <w:rFonts w:ascii="Verdana" w:eastAsia="Verdana" w:hAnsi="Verdana" w:cs="Verdana"/>
                <w:noProof/>
                <w:color w:val="000000"/>
                <w:sz w:val="18"/>
              </w:rPr>
            </w:pPr>
          </w:p>
        </w:tc>
        <w:tc>
          <w:tcPr>
            <w:tcW w:w="136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3BIPBS"/>
              <w:jc w:val="right"/>
              <w:rPr>
                <w:rFonts w:ascii="Verdana" w:eastAsia="Verdana" w:hAnsi="Verdana" w:cs="Verdana"/>
                <w:b/>
                <w:noProof/>
                <w:color w:val="000000"/>
                <w:sz w:val="18"/>
              </w:rPr>
            </w:pPr>
            <w:r>
              <w:rPr>
                <w:rFonts w:ascii="Verdana" w:hAnsi="Verdana"/>
                <w:b/>
                <w:noProof/>
                <w:color w:val="000000"/>
                <w:sz w:val="18"/>
              </w:rPr>
              <w:t>431 856</w:t>
            </w:r>
          </w:p>
        </w:tc>
        <w:tc>
          <w:tcPr>
            <w:tcW w:w="136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3BIPBS"/>
              <w:jc w:val="right"/>
              <w:rPr>
                <w:rFonts w:ascii="Verdana" w:eastAsia="Verdana" w:hAnsi="Verdana" w:cs="Verdana"/>
                <w:b/>
                <w:noProof/>
                <w:color w:val="000000"/>
                <w:sz w:val="18"/>
              </w:rPr>
            </w:pPr>
            <w:r>
              <w:rPr>
                <w:rFonts w:ascii="Verdana" w:hAnsi="Verdana"/>
                <w:b/>
                <w:noProof/>
                <w:color w:val="000000"/>
                <w:sz w:val="18"/>
              </w:rPr>
              <w:t>379 347</w:t>
            </w:r>
          </w:p>
        </w:tc>
      </w:tr>
      <w:tr>
        <w:trPr>
          <w:trHeight w:hRule="exact" w:val="255"/>
        </w:trPr>
        <w:tc>
          <w:tcPr>
            <w:tcW w:w="5669" w:type="dxa"/>
            <w:tcBorders>
              <w:top w:val="single" w:sz="4" w:space="0" w:color="016794"/>
              <w:left w:val="nil"/>
              <w:bottom w:val="nil"/>
              <w:right w:val="nil"/>
              <w:tl2br w:val="nil"/>
              <w:tr2bl w:val="nil"/>
            </w:tcBorders>
            <w:tcMar>
              <w:left w:w="60" w:type="dxa"/>
              <w:right w:w="60" w:type="dxa"/>
            </w:tcMar>
            <w:vAlign w:val="center"/>
          </w:tcPr>
          <w:p>
            <w:pPr>
              <w:pStyle w:val="DMETW36743BIPBS"/>
              <w:rPr>
                <w:rFonts w:ascii="Verdana" w:eastAsia="Verdana" w:hAnsi="Verdana" w:cs="Verdana"/>
                <w:b/>
                <w:noProof/>
                <w:color w:val="000000"/>
                <w:sz w:val="18"/>
              </w:rPr>
            </w:pPr>
            <w:r>
              <w:rPr>
                <w:rFonts w:ascii="Verdana" w:hAnsi="Verdana"/>
                <w:b/>
                <w:noProof/>
                <w:color w:val="000000"/>
                <w:sz w:val="18"/>
              </w:rPr>
              <w:t>ACTIFS COURANTS</w:t>
            </w:r>
          </w:p>
        </w:tc>
        <w:tc>
          <w:tcPr>
            <w:tcW w:w="1363" w:type="dxa"/>
            <w:tcBorders>
              <w:top w:val="single" w:sz="4" w:space="0" w:color="016794"/>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b/>
                <w:noProof/>
                <w:color w:val="000000"/>
                <w:sz w:val="18"/>
              </w:rPr>
            </w:pPr>
          </w:p>
        </w:tc>
        <w:tc>
          <w:tcPr>
            <w:tcW w:w="1363" w:type="dxa"/>
            <w:tcBorders>
              <w:top w:val="single" w:sz="4" w:space="0" w:color="016794"/>
              <w:left w:val="nil"/>
              <w:bottom w:val="nil"/>
              <w:right w:val="nil"/>
              <w:tl2br w:val="nil"/>
              <w:tr2bl w:val="nil"/>
            </w:tcBorders>
            <w:tcMar>
              <w:left w:w="60" w:type="dxa"/>
              <w:right w:w="60" w:type="dxa"/>
            </w:tcMar>
            <w:vAlign w:val="center"/>
          </w:tcPr>
          <w:p>
            <w:pPr>
              <w:pStyle w:val="DMETW36743BIPBS"/>
              <w:rPr>
                <w:rFonts w:ascii="Verdana" w:eastAsia="Verdana" w:hAnsi="Verdana" w:cs="Verdana"/>
                <w:noProof/>
                <w:color w:val="000000"/>
                <w:sz w:val="18"/>
              </w:rPr>
            </w:pPr>
          </w:p>
        </w:tc>
        <w:tc>
          <w:tcPr>
            <w:tcW w:w="1363" w:type="dxa"/>
            <w:tcBorders>
              <w:top w:val="single" w:sz="4" w:space="0" w:color="016794"/>
              <w:left w:val="nil"/>
              <w:bottom w:val="nil"/>
              <w:right w:val="nil"/>
              <w:tl2br w:val="nil"/>
              <w:tr2bl w:val="nil"/>
            </w:tcBorders>
            <w:tcMar>
              <w:left w:w="60" w:type="dxa"/>
              <w:right w:w="60" w:type="dxa"/>
            </w:tcMar>
            <w:vAlign w:val="center"/>
          </w:tcPr>
          <w:p>
            <w:pPr>
              <w:pStyle w:val="DMETW36743BIPBS"/>
              <w:rPr>
                <w:rFonts w:ascii="Verdana" w:eastAsia="Verdana" w:hAnsi="Verdana" w:cs="Verdana"/>
                <w:noProof/>
                <w:color w:val="000000"/>
                <w:sz w:val="18"/>
                <w:lang w:bidi="en-GB"/>
              </w:rPr>
            </w:pPr>
          </w:p>
        </w:tc>
      </w:tr>
      <w:tr>
        <w:trPr>
          <w:trHeight w:hRule="exact" w:val="255"/>
        </w:trPr>
        <w:tc>
          <w:tcPr>
            <w:tcW w:w="5669" w:type="dxa"/>
            <w:tcBorders>
              <w:top w:val="nil"/>
              <w:left w:val="nil"/>
              <w:bottom w:val="nil"/>
              <w:right w:val="nil"/>
              <w:tl2br w:val="nil"/>
              <w:tr2bl w:val="nil"/>
            </w:tcBorders>
            <w:tcMar>
              <w:left w:w="60" w:type="dxa"/>
              <w:right w:w="60" w:type="dxa"/>
            </w:tcMar>
            <w:vAlign w:val="center"/>
          </w:tcPr>
          <w:p>
            <w:pPr>
              <w:pStyle w:val="DMETW36743BIPBS"/>
              <w:rPr>
                <w:rFonts w:ascii="Verdana" w:eastAsia="Verdana" w:hAnsi="Verdana" w:cs="Verdana"/>
                <w:i/>
                <w:noProof/>
                <w:color w:val="000000"/>
                <w:sz w:val="18"/>
              </w:rPr>
            </w:pPr>
            <w:r>
              <w:rPr>
                <w:rFonts w:ascii="Verdana" w:hAnsi="Verdana"/>
                <w:i/>
                <w:noProof/>
                <w:color w:val="000000"/>
                <w:sz w:val="18"/>
              </w:rPr>
              <w:t>Actifs financiers</w:t>
            </w:r>
          </w:p>
        </w:tc>
        <w:tc>
          <w:tcPr>
            <w:tcW w:w="1363" w:type="dxa"/>
            <w:tcBorders>
              <w:top w:val="nil"/>
              <w:left w:val="nil"/>
              <w:bottom w:val="nil"/>
              <w:right w:val="nil"/>
              <w:tl2br w:val="nil"/>
              <w:tr2bl w:val="nil"/>
            </w:tcBorders>
            <w:tcMar>
              <w:left w:w="60" w:type="dxa"/>
              <w:right w:w="60" w:type="dxa"/>
            </w:tcMar>
            <w:vAlign w:val="center"/>
          </w:tcPr>
          <w:p>
            <w:pPr>
              <w:pStyle w:val="DMETW36743BIPBS"/>
              <w:jc w:val="center"/>
              <w:rPr>
                <w:rFonts w:ascii="Verdana" w:eastAsia="Verdana" w:hAnsi="Verdana" w:cs="Verdana"/>
                <w:i/>
                <w:noProof/>
                <w:color w:val="000000"/>
                <w:sz w:val="18"/>
              </w:rPr>
            </w:pPr>
            <w:r>
              <w:rPr>
                <w:rFonts w:ascii="Verdana" w:hAnsi="Verdana"/>
                <w:i/>
                <w:noProof/>
                <w:color w:val="000000"/>
                <w:sz w:val="18"/>
              </w:rPr>
              <w:t>2.4</w:t>
            </w: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23 291</w:t>
            </w: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19 377</w:t>
            </w:r>
          </w:p>
        </w:tc>
      </w:tr>
      <w:tr>
        <w:trPr>
          <w:trHeight w:hRule="exact" w:val="255"/>
        </w:trPr>
        <w:tc>
          <w:tcPr>
            <w:tcW w:w="5669" w:type="dxa"/>
            <w:tcBorders>
              <w:top w:val="nil"/>
              <w:left w:val="nil"/>
              <w:bottom w:val="nil"/>
              <w:right w:val="nil"/>
              <w:tl2br w:val="nil"/>
              <w:tr2bl w:val="nil"/>
            </w:tcBorders>
            <w:tcMar>
              <w:left w:w="60" w:type="dxa"/>
              <w:right w:w="60" w:type="dxa"/>
            </w:tcMar>
            <w:vAlign w:val="center"/>
          </w:tcPr>
          <w:p>
            <w:pPr>
              <w:pStyle w:val="DMETW36743BIPBS"/>
              <w:rPr>
                <w:rFonts w:ascii="Verdana" w:eastAsia="Verdana" w:hAnsi="Verdana" w:cs="Verdana"/>
                <w:i/>
                <w:noProof/>
                <w:color w:val="000000"/>
                <w:sz w:val="18"/>
              </w:rPr>
            </w:pPr>
            <w:r>
              <w:rPr>
                <w:rFonts w:ascii="Verdana" w:hAnsi="Verdana"/>
                <w:i/>
                <w:noProof/>
                <w:color w:val="000000"/>
                <w:sz w:val="18"/>
              </w:rPr>
              <w:t>Préfinancements</w:t>
            </w:r>
          </w:p>
        </w:tc>
        <w:tc>
          <w:tcPr>
            <w:tcW w:w="1363" w:type="dxa"/>
            <w:tcBorders>
              <w:top w:val="nil"/>
              <w:left w:val="nil"/>
              <w:bottom w:val="nil"/>
              <w:right w:val="nil"/>
              <w:tl2br w:val="nil"/>
              <w:tr2bl w:val="nil"/>
            </w:tcBorders>
            <w:tcMar>
              <w:left w:w="60" w:type="dxa"/>
              <w:right w:w="60" w:type="dxa"/>
            </w:tcMar>
            <w:vAlign w:val="center"/>
          </w:tcPr>
          <w:p>
            <w:pPr>
              <w:pStyle w:val="DMETW36743BIPBS"/>
              <w:jc w:val="center"/>
              <w:rPr>
                <w:rFonts w:ascii="Verdana" w:eastAsia="Verdana" w:hAnsi="Verdana" w:cs="Verdana"/>
                <w:i/>
                <w:noProof/>
                <w:color w:val="000000"/>
                <w:sz w:val="18"/>
              </w:rPr>
            </w:pPr>
            <w:r>
              <w:rPr>
                <w:rFonts w:ascii="Verdana" w:hAnsi="Verdana"/>
                <w:i/>
                <w:noProof/>
                <w:color w:val="000000"/>
                <w:sz w:val="18"/>
              </w:rPr>
              <w:t>2.5</w:t>
            </w: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37 775</w:t>
            </w: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38 058</w:t>
            </w:r>
          </w:p>
        </w:tc>
      </w:tr>
      <w:tr>
        <w:trPr>
          <w:trHeight w:hRule="exact" w:val="255"/>
        </w:trPr>
        <w:tc>
          <w:tcPr>
            <w:tcW w:w="5669" w:type="dxa"/>
            <w:tcBorders>
              <w:top w:val="nil"/>
              <w:left w:val="nil"/>
              <w:bottom w:val="nil"/>
              <w:right w:val="nil"/>
              <w:tl2br w:val="nil"/>
              <w:tr2bl w:val="nil"/>
            </w:tcBorders>
            <w:tcMar>
              <w:left w:w="60" w:type="dxa"/>
              <w:right w:w="60" w:type="dxa"/>
            </w:tcMar>
            <w:vAlign w:val="center"/>
          </w:tcPr>
          <w:p>
            <w:pPr>
              <w:pStyle w:val="DMETW36743BIPBS"/>
              <w:rPr>
                <w:rFonts w:ascii="Verdana" w:eastAsia="Verdana" w:hAnsi="Verdana" w:cs="Verdana"/>
                <w:i/>
                <w:noProof/>
                <w:color w:val="000000"/>
                <w:sz w:val="18"/>
              </w:rPr>
            </w:pPr>
            <w:r>
              <w:rPr>
                <w:rFonts w:ascii="Verdana" w:hAnsi="Verdana"/>
                <w:i/>
                <w:noProof/>
                <w:color w:val="000000"/>
                <w:sz w:val="18"/>
              </w:rPr>
              <w:t>Créances à recevoir avec contrepartie directe et créances à recouvrer sans contrepartie directe</w:t>
            </w:r>
          </w:p>
        </w:tc>
        <w:tc>
          <w:tcPr>
            <w:tcW w:w="1363" w:type="dxa"/>
            <w:tcBorders>
              <w:top w:val="nil"/>
              <w:left w:val="nil"/>
              <w:bottom w:val="nil"/>
              <w:right w:val="nil"/>
              <w:tl2br w:val="nil"/>
              <w:tr2bl w:val="nil"/>
            </w:tcBorders>
            <w:tcMar>
              <w:left w:w="60" w:type="dxa"/>
              <w:right w:w="60" w:type="dxa"/>
            </w:tcMar>
            <w:vAlign w:val="center"/>
          </w:tcPr>
          <w:p>
            <w:pPr>
              <w:pStyle w:val="DMETW36743BIPBS"/>
              <w:jc w:val="center"/>
              <w:rPr>
                <w:rFonts w:ascii="Verdana" w:eastAsia="Verdana" w:hAnsi="Verdana" w:cs="Verdana"/>
                <w:i/>
                <w:noProof/>
                <w:color w:val="000000"/>
                <w:sz w:val="18"/>
              </w:rPr>
            </w:pPr>
            <w:r>
              <w:rPr>
                <w:rFonts w:ascii="Verdana" w:hAnsi="Verdana"/>
                <w:i/>
                <w:noProof/>
                <w:color w:val="000000"/>
                <w:sz w:val="18"/>
              </w:rPr>
              <w:t>2.6</w:t>
            </w: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21 404</w:t>
            </w: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18 465</w:t>
            </w:r>
          </w:p>
        </w:tc>
      </w:tr>
      <w:tr>
        <w:trPr>
          <w:trHeight w:hRule="exact" w:val="255"/>
        </w:trPr>
        <w:tc>
          <w:tcPr>
            <w:tcW w:w="5669" w:type="dxa"/>
            <w:tcBorders>
              <w:top w:val="nil"/>
              <w:left w:val="nil"/>
              <w:bottom w:val="nil"/>
              <w:right w:val="nil"/>
              <w:tl2br w:val="nil"/>
              <w:tr2bl w:val="nil"/>
            </w:tcBorders>
            <w:tcMar>
              <w:left w:w="60" w:type="dxa"/>
              <w:right w:w="60" w:type="dxa"/>
            </w:tcMar>
            <w:vAlign w:val="center"/>
          </w:tcPr>
          <w:p>
            <w:pPr>
              <w:pStyle w:val="DMETW36743BIPBS"/>
              <w:rPr>
                <w:rFonts w:ascii="Verdana" w:eastAsia="Verdana" w:hAnsi="Verdana" w:cs="Verdana"/>
                <w:i/>
                <w:noProof/>
                <w:color w:val="000000"/>
                <w:sz w:val="18"/>
              </w:rPr>
            </w:pPr>
            <w:r>
              <w:rPr>
                <w:rFonts w:ascii="Verdana" w:hAnsi="Verdana"/>
                <w:i/>
                <w:noProof/>
                <w:color w:val="000000"/>
                <w:sz w:val="18"/>
              </w:rPr>
              <w:t>Stocks</w:t>
            </w:r>
          </w:p>
        </w:tc>
        <w:tc>
          <w:tcPr>
            <w:tcW w:w="1363" w:type="dxa"/>
            <w:tcBorders>
              <w:top w:val="nil"/>
              <w:left w:val="nil"/>
              <w:bottom w:val="nil"/>
              <w:right w:val="nil"/>
              <w:tl2br w:val="nil"/>
              <w:tr2bl w:val="nil"/>
            </w:tcBorders>
            <w:tcMar>
              <w:left w:w="60" w:type="dxa"/>
              <w:right w:w="60" w:type="dxa"/>
            </w:tcMar>
            <w:vAlign w:val="center"/>
          </w:tcPr>
          <w:p>
            <w:pPr>
              <w:pStyle w:val="DMETW36743BIPBS"/>
              <w:jc w:val="center"/>
              <w:rPr>
                <w:rFonts w:ascii="Verdana" w:eastAsia="Verdana" w:hAnsi="Verdana" w:cs="Verdana"/>
                <w:i/>
                <w:noProof/>
                <w:color w:val="000000"/>
                <w:sz w:val="18"/>
              </w:rPr>
            </w:pPr>
            <w:r>
              <w:rPr>
                <w:rFonts w:ascii="Verdana" w:hAnsi="Verdana"/>
                <w:i/>
                <w:noProof/>
                <w:color w:val="000000"/>
                <w:sz w:val="18"/>
              </w:rPr>
              <w:t>2.7</w:t>
            </w: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 xml:space="preserve"> 79</w:t>
            </w: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 xml:space="preserve"> 85</w:t>
            </w:r>
          </w:p>
        </w:tc>
      </w:tr>
      <w:tr>
        <w:trPr>
          <w:trHeight w:hRule="exact" w:val="255"/>
        </w:trPr>
        <w:tc>
          <w:tcPr>
            <w:tcW w:w="5669" w:type="dxa"/>
            <w:tcBorders>
              <w:top w:val="nil"/>
              <w:left w:val="nil"/>
              <w:bottom w:val="single" w:sz="4" w:space="0" w:color="016794"/>
              <w:right w:val="nil"/>
              <w:tl2br w:val="nil"/>
              <w:tr2bl w:val="nil"/>
            </w:tcBorders>
            <w:tcMar>
              <w:left w:w="60" w:type="dxa"/>
              <w:right w:w="60" w:type="dxa"/>
            </w:tcMar>
            <w:vAlign w:val="center"/>
          </w:tcPr>
          <w:p>
            <w:pPr>
              <w:pStyle w:val="DMETW36743BIPBS"/>
              <w:rPr>
                <w:rFonts w:ascii="Verdana" w:eastAsia="Verdana" w:hAnsi="Verdana" w:cs="Verdana"/>
                <w:i/>
                <w:noProof/>
                <w:color w:val="000000"/>
                <w:sz w:val="18"/>
              </w:rPr>
            </w:pPr>
            <w:r>
              <w:rPr>
                <w:rFonts w:ascii="Verdana" w:hAnsi="Verdana"/>
                <w:i/>
                <w:noProof/>
                <w:color w:val="000000"/>
                <w:sz w:val="18"/>
              </w:rPr>
              <w:t xml:space="preserve">Trésorerie et équivalents de trésorerie </w:t>
            </w:r>
          </w:p>
        </w:tc>
        <w:tc>
          <w:tcPr>
            <w:tcW w:w="1363" w:type="dxa"/>
            <w:tcBorders>
              <w:top w:val="nil"/>
              <w:left w:val="nil"/>
              <w:bottom w:val="single" w:sz="4" w:space="0" w:color="016794"/>
              <w:right w:val="nil"/>
              <w:tl2br w:val="nil"/>
              <w:tr2bl w:val="nil"/>
            </w:tcBorders>
            <w:tcMar>
              <w:left w:w="60" w:type="dxa"/>
              <w:right w:w="60" w:type="dxa"/>
            </w:tcMar>
            <w:vAlign w:val="center"/>
          </w:tcPr>
          <w:p>
            <w:pPr>
              <w:pStyle w:val="DMETW36743BIPBS"/>
              <w:jc w:val="center"/>
              <w:rPr>
                <w:rFonts w:ascii="Verdana" w:eastAsia="Verdana" w:hAnsi="Verdana" w:cs="Verdana"/>
                <w:i/>
                <w:noProof/>
                <w:color w:val="000000"/>
                <w:sz w:val="18"/>
              </w:rPr>
            </w:pPr>
            <w:r>
              <w:rPr>
                <w:rFonts w:ascii="Verdana" w:hAnsi="Verdana"/>
                <w:i/>
                <w:noProof/>
                <w:color w:val="000000"/>
                <w:sz w:val="18"/>
              </w:rPr>
              <w:t>2.8</w:t>
            </w:r>
          </w:p>
        </w:tc>
        <w:tc>
          <w:tcPr>
            <w:tcW w:w="1363" w:type="dxa"/>
            <w:tcBorders>
              <w:top w:val="nil"/>
              <w:left w:val="nil"/>
              <w:bottom w:val="single" w:sz="4" w:space="0" w:color="016794"/>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103 041</w:t>
            </w:r>
          </w:p>
        </w:tc>
        <w:tc>
          <w:tcPr>
            <w:tcW w:w="1363" w:type="dxa"/>
            <w:tcBorders>
              <w:top w:val="nil"/>
              <w:left w:val="nil"/>
              <w:bottom w:val="single" w:sz="4" w:space="0" w:color="016794"/>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63 163</w:t>
            </w:r>
          </w:p>
        </w:tc>
      </w:tr>
      <w:tr>
        <w:trPr>
          <w:trHeight w:hRule="exact" w:val="255"/>
        </w:trPr>
        <w:tc>
          <w:tcPr>
            <w:tcW w:w="5669" w:type="dxa"/>
            <w:tcBorders>
              <w:top w:val="single" w:sz="4" w:space="0" w:color="016794"/>
              <w:left w:val="nil"/>
              <w:bottom w:val="nil"/>
              <w:right w:val="nil"/>
              <w:tl2br w:val="nil"/>
              <w:tr2bl w:val="nil"/>
            </w:tcBorders>
            <w:tcMar>
              <w:left w:w="60" w:type="dxa"/>
              <w:right w:w="60" w:type="dxa"/>
            </w:tcMar>
            <w:vAlign w:val="center"/>
          </w:tcPr>
          <w:p>
            <w:pPr>
              <w:pStyle w:val="DMETW36743BIPBS"/>
              <w:rPr>
                <w:rFonts w:ascii="Verdana" w:eastAsia="Verdana" w:hAnsi="Verdana" w:cs="Verdana"/>
                <w:i/>
                <w:noProof/>
                <w:color w:val="000000"/>
                <w:sz w:val="18"/>
              </w:rPr>
            </w:pPr>
          </w:p>
        </w:tc>
        <w:tc>
          <w:tcPr>
            <w:tcW w:w="1363" w:type="dxa"/>
            <w:tcBorders>
              <w:top w:val="single" w:sz="4" w:space="0" w:color="016794"/>
              <w:left w:val="nil"/>
              <w:bottom w:val="nil"/>
              <w:right w:val="nil"/>
              <w:tl2br w:val="nil"/>
              <w:tr2bl w:val="nil"/>
            </w:tcBorders>
            <w:tcMar>
              <w:left w:w="60" w:type="dxa"/>
              <w:right w:w="60" w:type="dxa"/>
            </w:tcMar>
            <w:vAlign w:val="center"/>
          </w:tcPr>
          <w:p>
            <w:pPr>
              <w:pStyle w:val="DMETW36743BIPBS"/>
              <w:jc w:val="center"/>
              <w:rPr>
                <w:rFonts w:ascii="Verdana" w:eastAsia="Verdana" w:hAnsi="Verdana" w:cs="Verdana"/>
                <w:i/>
                <w:noProof/>
                <w:color w:val="000000"/>
                <w:sz w:val="18"/>
              </w:rPr>
            </w:pPr>
          </w:p>
        </w:tc>
        <w:tc>
          <w:tcPr>
            <w:tcW w:w="1363" w:type="dxa"/>
            <w:tcBorders>
              <w:top w:val="single" w:sz="4" w:space="0" w:color="016794"/>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b/>
                <w:noProof/>
                <w:color w:val="000000"/>
                <w:sz w:val="18"/>
              </w:rPr>
            </w:pPr>
            <w:r>
              <w:rPr>
                <w:rFonts w:ascii="Verdana" w:hAnsi="Verdana"/>
                <w:b/>
                <w:noProof/>
                <w:color w:val="000000"/>
                <w:sz w:val="18"/>
              </w:rPr>
              <w:t>185 591</w:t>
            </w:r>
          </w:p>
        </w:tc>
        <w:tc>
          <w:tcPr>
            <w:tcW w:w="1363" w:type="dxa"/>
            <w:tcBorders>
              <w:top w:val="single" w:sz="4" w:space="0" w:color="016794"/>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b/>
                <w:noProof/>
                <w:color w:val="000000"/>
                <w:sz w:val="18"/>
              </w:rPr>
            </w:pPr>
            <w:r>
              <w:rPr>
                <w:rFonts w:ascii="Verdana" w:hAnsi="Verdana"/>
                <w:b/>
                <w:noProof/>
                <w:color w:val="000000"/>
                <w:sz w:val="18"/>
              </w:rPr>
              <w:t>139 148</w:t>
            </w:r>
          </w:p>
        </w:tc>
      </w:tr>
      <w:tr>
        <w:trPr>
          <w:trHeight w:hRule="exact" w:val="255"/>
        </w:trPr>
        <w:tc>
          <w:tcPr>
            <w:tcW w:w="5669" w:type="dxa"/>
            <w:tcBorders>
              <w:top w:val="nil"/>
              <w:left w:val="nil"/>
              <w:bottom w:val="nil"/>
              <w:right w:val="nil"/>
              <w:tl2br w:val="nil"/>
              <w:tr2bl w:val="nil"/>
            </w:tcBorders>
            <w:shd w:val="solid" w:color="CCE1EA" w:fill="FFFFFF"/>
            <w:tcMar>
              <w:left w:w="60" w:type="dxa"/>
              <w:right w:w="60" w:type="dxa"/>
            </w:tcMar>
            <w:vAlign w:val="center"/>
          </w:tcPr>
          <w:p>
            <w:pPr>
              <w:pStyle w:val="DMETW36743BIPBS"/>
              <w:rPr>
                <w:rFonts w:ascii="Verdana" w:eastAsia="Verdana" w:hAnsi="Verdana" w:cs="Verdana"/>
                <w:b/>
                <w:noProof/>
                <w:color w:val="000000"/>
                <w:sz w:val="18"/>
              </w:rPr>
            </w:pPr>
            <w:r>
              <w:rPr>
                <w:rFonts w:ascii="Verdana" w:hAnsi="Verdana"/>
                <w:b/>
                <w:noProof/>
                <w:color w:val="000000"/>
                <w:sz w:val="18"/>
              </w:rPr>
              <w:t>TOTAL DES ACTIFS</w:t>
            </w:r>
          </w:p>
        </w:tc>
        <w:tc>
          <w:tcPr>
            <w:tcW w:w="1363" w:type="dxa"/>
            <w:tcBorders>
              <w:top w:val="nil"/>
              <w:left w:val="nil"/>
              <w:bottom w:val="nil"/>
              <w:right w:val="nil"/>
              <w:tl2br w:val="nil"/>
              <w:tr2bl w:val="nil"/>
            </w:tcBorders>
            <w:shd w:val="solid" w:color="CCE1EA" w:fill="FFFFFF"/>
            <w:tcMar>
              <w:left w:w="60" w:type="dxa"/>
              <w:right w:w="60" w:type="dxa"/>
            </w:tcMar>
            <w:vAlign w:val="center"/>
          </w:tcPr>
          <w:p>
            <w:pPr>
              <w:pStyle w:val="DMETW36743BIPBS"/>
              <w:jc w:val="center"/>
              <w:rPr>
                <w:rFonts w:ascii="Verdana" w:eastAsia="Verdana" w:hAnsi="Verdana" w:cs="Verdana"/>
                <w:noProof/>
                <w:color w:val="000000"/>
                <w:sz w:val="18"/>
              </w:rPr>
            </w:pPr>
          </w:p>
        </w:tc>
        <w:tc>
          <w:tcPr>
            <w:tcW w:w="1363" w:type="dxa"/>
            <w:tcBorders>
              <w:top w:val="nil"/>
              <w:left w:val="nil"/>
              <w:bottom w:val="nil"/>
              <w:right w:val="nil"/>
              <w:tl2br w:val="nil"/>
              <w:tr2bl w:val="nil"/>
            </w:tcBorders>
            <w:shd w:val="solid" w:color="CCE1EA" w:fill="FFFFFF"/>
            <w:tcMar>
              <w:left w:w="60" w:type="dxa"/>
              <w:right w:w="60" w:type="dxa"/>
            </w:tcMar>
            <w:vAlign w:val="center"/>
          </w:tcPr>
          <w:p>
            <w:pPr>
              <w:pStyle w:val="DMETW36743BIPBS"/>
              <w:jc w:val="right"/>
              <w:rPr>
                <w:rFonts w:ascii="Verdana" w:eastAsia="Verdana" w:hAnsi="Verdana" w:cs="Verdana"/>
                <w:b/>
                <w:noProof/>
                <w:color w:val="000000"/>
                <w:sz w:val="18"/>
              </w:rPr>
            </w:pPr>
            <w:r>
              <w:rPr>
                <w:rFonts w:ascii="Verdana" w:hAnsi="Verdana"/>
                <w:b/>
                <w:noProof/>
                <w:color w:val="000000"/>
                <w:sz w:val="18"/>
              </w:rPr>
              <w:t>617 447</w:t>
            </w:r>
          </w:p>
        </w:tc>
        <w:tc>
          <w:tcPr>
            <w:tcW w:w="1363" w:type="dxa"/>
            <w:tcBorders>
              <w:top w:val="nil"/>
              <w:left w:val="nil"/>
              <w:bottom w:val="nil"/>
              <w:right w:val="nil"/>
              <w:tl2br w:val="nil"/>
              <w:tr2bl w:val="nil"/>
            </w:tcBorders>
            <w:shd w:val="solid" w:color="CCE1EA" w:fill="FFFFFF"/>
            <w:tcMar>
              <w:left w:w="60" w:type="dxa"/>
              <w:right w:w="60" w:type="dxa"/>
            </w:tcMar>
            <w:vAlign w:val="center"/>
          </w:tcPr>
          <w:p>
            <w:pPr>
              <w:pStyle w:val="DMETW36743BIPBS"/>
              <w:jc w:val="right"/>
              <w:rPr>
                <w:rFonts w:ascii="Verdana" w:eastAsia="Verdana" w:hAnsi="Verdana" w:cs="Verdana"/>
                <w:b/>
                <w:noProof/>
                <w:color w:val="000000"/>
                <w:sz w:val="18"/>
              </w:rPr>
            </w:pPr>
            <w:r>
              <w:rPr>
                <w:rFonts w:ascii="Verdana" w:hAnsi="Verdana"/>
                <w:b/>
                <w:noProof/>
                <w:color w:val="000000"/>
                <w:sz w:val="18"/>
              </w:rPr>
              <w:t>518 495</w:t>
            </w:r>
          </w:p>
        </w:tc>
      </w:tr>
      <w:tr>
        <w:trPr>
          <w:trHeight w:hRule="exact" w:val="255"/>
        </w:trPr>
        <w:tc>
          <w:tcPr>
            <w:tcW w:w="5669" w:type="dxa"/>
            <w:tcBorders>
              <w:top w:val="nil"/>
              <w:left w:val="nil"/>
              <w:bottom w:val="nil"/>
              <w:right w:val="nil"/>
              <w:tl2br w:val="nil"/>
              <w:tr2bl w:val="nil"/>
            </w:tcBorders>
            <w:tcMar>
              <w:left w:w="60" w:type="dxa"/>
              <w:right w:w="60" w:type="dxa"/>
            </w:tcMar>
            <w:vAlign w:val="center"/>
          </w:tcPr>
          <w:p>
            <w:pPr>
              <w:pStyle w:val="DMETW36743BIPBS"/>
              <w:rPr>
                <w:rFonts w:ascii="Verdana" w:eastAsia="Verdana" w:hAnsi="Verdana" w:cs="Verdana"/>
                <w:i/>
                <w:noProof/>
                <w:color w:val="000000"/>
                <w:sz w:val="18"/>
              </w:rPr>
            </w:pPr>
          </w:p>
        </w:tc>
        <w:tc>
          <w:tcPr>
            <w:tcW w:w="1363" w:type="dxa"/>
            <w:tcBorders>
              <w:top w:val="nil"/>
              <w:left w:val="nil"/>
              <w:bottom w:val="nil"/>
              <w:right w:val="nil"/>
              <w:tl2br w:val="nil"/>
              <w:tr2bl w:val="nil"/>
            </w:tcBorders>
            <w:tcMar>
              <w:left w:w="60" w:type="dxa"/>
              <w:right w:w="60" w:type="dxa"/>
            </w:tcMar>
            <w:vAlign w:val="center"/>
          </w:tcPr>
          <w:p>
            <w:pPr>
              <w:pStyle w:val="DMETW36743BIPBS"/>
              <w:jc w:val="center"/>
              <w:rPr>
                <w:rFonts w:ascii="Verdana" w:eastAsia="Verdana" w:hAnsi="Verdana" w:cs="Verdana"/>
                <w:noProof/>
                <w:color w:val="000000"/>
                <w:sz w:val="18"/>
              </w:rPr>
            </w:pP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noProof/>
                <w:color w:val="000000"/>
                <w:sz w:val="18"/>
              </w:rPr>
            </w:pPr>
          </w:p>
        </w:tc>
        <w:tc>
          <w:tcPr>
            <w:tcW w:w="1363" w:type="dxa"/>
            <w:tcBorders>
              <w:top w:val="nil"/>
              <w:left w:val="nil"/>
              <w:bottom w:val="nil"/>
              <w:right w:val="nil"/>
              <w:tl2br w:val="nil"/>
              <w:tr2bl w:val="nil"/>
            </w:tcBorders>
            <w:tcMar>
              <w:left w:w="60" w:type="dxa"/>
              <w:right w:w="60" w:type="dxa"/>
            </w:tcMar>
            <w:vAlign w:val="center"/>
          </w:tcPr>
          <w:p>
            <w:pPr>
              <w:pStyle w:val="DMETW36743BIPBS"/>
              <w:rPr>
                <w:rFonts w:ascii="Verdana" w:eastAsia="Verdana" w:hAnsi="Verdana" w:cs="Verdana"/>
                <w:noProof/>
                <w:color w:val="000000"/>
                <w:sz w:val="18"/>
                <w:lang w:bidi="en-GB"/>
              </w:rPr>
            </w:pPr>
          </w:p>
        </w:tc>
      </w:tr>
      <w:tr>
        <w:trPr>
          <w:trHeight w:hRule="exact" w:val="255"/>
        </w:trPr>
        <w:tc>
          <w:tcPr>
            <w:tcW w:w="5669" w:type="dxa"/>
            <w:tcBorders>
              <w:top w:val="nil"/>
              <w:left w:val="nil"/>
              <w:bottom w:val="nil"/>
              <w:right w:val="nil"/>
              <w:tl2br w:val="nil"/>
              <w:tr2bl w:val="nil"/>
            </w:tcBorders>
            <w:tcMar>
              <w:left w:w="60" w:type="dxa"/>
              <w:right w:w="60" w:type="dxa"/>
            </w:tcMar>
            <w:vAlign w:val="center"/>
          </w:tcPr>
          <w:p>
            <w:pPr>
              <w:pStyle w:val="DMETW36743BIPBS"/>
              <w:rPr>
                <w:rFonts w:ascii="Verdana" w:eastAsia="Verdana" w:hAnsi="Verdana" w:cs="Verdana"/>
                <w:b/>
                <w:noProof/>
                <w:color w:val="000000"/>
                <w:sz w:val="18"/>
              </w:rPr>
            </w:pPr>
            <w:r>
              <w:rPr>
                <w:rFonts w:ascii="Verdana" w:hAnsi="Verdana"/>
                <w:b/>
                <w:noProof/>
                <w:color w:val="000000"/>
                <w:sz w:val="18"/>
              </w:rPr>
              <w:t>PASSIFS NON COURANTS</w:t>
            </w: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b/>
                <w:noProof/>
                <w:color w:val="000000"/>
                <w:sz w:val="18"/>
              </w:rPr>
            </w:pP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noProof/>
                <w:color w:val="000000"/>
                <w:sz w:val="18"/>
              </w:rPr>
            </w:pPr>
          </w:p>
        </w:tc>
        <w:tc>
          <w:tcPr>
            <w:tcW w:w="1363" w:type="dxa"/>
            <w:tcBorders>
              <w:top w:val="nil"/>
              <w:left w:val="nil"/>
              <w:bottom w:val="nil"/>
              <w:right w:val="nil"/>
              <w:tl2br w:val="nil"/>
              <w:tr2bl w:val="nil"/>
            </w:tcBorders>
            <w:tcMar>
              <w:left w:w="60" w:type="dxa"/>
              <w:right w:w="60" w:type="dxa"/>
            </w:tcMar>
            <w:vAlign w:val="center"/>
          </w:tcPr>
          <w:p>
            <w:pPr>
              <w:pStyle w:val="DMETW36743BIPBS"/>
              <w:rPr>
                <w:rFonts w:ascii="Verdana" w:eastAsia="Verdana" w:hAnsi="Verdana" w:cs="Verdana"/>
                <w:noProof/>
                <w:color w:val="000000"/>
                <w:sz w:val="18"/>
                <w:lang w:bidi="en-GB"/>
              </w:rPr>
            </w:pPr>
          </w:p>
        </w:tc>
      </w:tr>
      <w:tr>
        <w:trPr>
          <w:trHeight w:hRule="exact" w:val="255"/>
        </w:trPr>
        <w:tc>
          <w:tcPr>
            <w:tcW w:w="5669" w:type="dxa"/>
            <w:tcBorders>
              <w:top w:val="nil"/>
              <w:left w:val="nil"/>
              <w:bottom w:val="nil"/>
              <w:right w:val="nil"/>
              <w:tl2br w:val="nil"/>
              <w:tr2bl w:val="nil"/>
            </w:tcBorders>
            <w:tcMar>
              <w:left w:w="60" w:type="dxa"/>
              <w:right w:w="60" w:type="dxa"/>
            </w:tcMar>
            <w:vAlign w:val="center"/>
          </w:tcPr>
          <w:p>
            <w:pPr>
              <w:pStyle w:val="DMETW36743BIPBS"/>
              <w:rPr>
                <w:rFonts w:ascii="Verdana" w:eastAsia="Verdana" w:hAnsi="Verdana" w:cs="Verdana"/>
                <w:i/>
                <w:noProof/>
                <w:color w:val="000000"/>
                <w:sz w:val="18"/>
              </w:rPr>
            </w:pPr>
            <w:r>
              <w:rPr>
                <w:rFonts w:ascii="Verdana" w:hAnsi="Verdana"/>
                <w:i/>
                <w:noProof/>
                <w:color w:val="000000"/>
                <w:sz w:val="18"/>
              </w:rPr>
              <w:t>Retraites et autres avantages du personnel</w:t>
            </w:r>
          </w:p>
        </w:tc>
        <w:tc>
          <w:tcPr>
            <w:tcW w:w="1363" w:type="dxa"/>
            <w:tcBorders>
              <w:top w:val="nil"/>
              <w:left w:val="nil"/>
              <w:bottom w:val="nil"/>
              <w:right w:val="nil"/>
              <w:tl2br w:val="nil"/>
              <w:tr2bl w:val="nil"/>
            </w:tcBorders>
            <w:tcMar>
              <w:left w:w="60" w:type="dxa"/>
              <w:right w:w="60" w:type="dxa"/>
            </w:tcMar>
            <w:vAlign w:val="center"/>
          </w:tcPr>
          <w:p>
            <w:pPr>
              <w:pStyle w:val="DMETW36743BIPBS"/>
              <w:jc w:val="center"/>
              <w:rPr>
                <w:rFonts w:ascii="Verdana" w:eastAsia="Verdana" w:hAnsi="Verdana" w:cs="Verdana"/>
                <w:i/>
                <w:noProof/>
                <w:color w:val="000000"/>
                <w:sz w:val="18"/>
              </w:rPr>
            </w:pPr>
            <w:r>
              <w:rPr>
                <w:rFonts w:ascii="Verdana" w:hAnsi="Verdana"/>
                <w:i/>
                <w:noProof/>
                <w:color w:val="000000"/>
                <w:sz w:val="18"/>
              </w:rPr>
              <w:t>2.9</w:t>
            </w: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(91 128)</w:t>
            </w: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(93 096)</w:t>
            </w:r>
          </w:p>
        </w:tc>
      </w:tr>
      <w:tr>
        <w:trPr>
          <w:trHeight w:hRule="exact" w:val="255"/>
        </w:trPr>
        <w:tc>
          <w:tcPr>
            <w:tcW w:w="5669" w:type="dxa"/>
            <w:tcBorders>
              <w:top w:val="nil"/>
              <w:left w:val="nil"/>
              <w:bottom w:val="nil"/>
              <w:right w:val="nil"/>
              <w:tl2br w:val="nil"/>
              <w:tr2bl w:val="nil"/>
            </w:tcBorders>
            <w:tcMar>
              <w:left w:w="60" w:type="dxa"/>
              <w:right w:w="60" w:type="dxa"/>
            </w:tcMar>
            <w:vAlign w:val="center"/>
          </w:tcPr>
          <w:p>
            <w:pPr>
              <w:pStyle w:val="DMETW36743BIPBS"/>
              <w:rPr>
                <w:rFonts w:ascii="Verdana" w:eastAsia="Verdana" w:hAnsi="Verdana" w:cs="Verdana"/>
                <w:i/>
                <w:noProof/>
                <w:color w:val="000000"/>
                <w:sz w:val="18"/>
              </w:rPr>
            </w:pPr>
            <w:r>
              <w:rPr>
                <w:rFonts w:ascii="Verdana" w:hAnsi="Verdana"/>
                <w:i/>
                <w:noProof/>
                <w:color w:val="000000"/>
                <w:sz w:val="18"/>
              </w:rPr>
              <w:t>Provisions</w:t>
            </w:r>
          </w:p>
        </w:tc>
        <w:tc>
          <w:tcPr>
            <w:tcW w:w="1363" w:type="dxa"/>
            <w:tcBorders>
              <w:top w:val="nil"/>
              <w:left w:val="nil"/>
              <w:bottom w:val="nil"/>
              <w:right w:val="nil"/>
              <w:tl2br w:val="nil"/>
              <w:tr2bl w:val="nil"/>
            </w:tcBorders>
            <w:tcMar>
              <w:left w:w="60" w:type="dxa"/>
              <w:right w:w="60" w:type="dxa"/>
            </w:tcMar>
            <w:vAlign w:val="center"/>
          </w:tcPr>
          <w:p>
            <w:pPr>
              <w:pStyle w:val="DMETW36743BIPBS"/>
              <w:jc w:val="center"/>
              <w:rPr>
                <w:rFonts w:ascii="Verdana" w:eastAsia="Verdana" w:hAnsi="Verdana" w:cs="Verdana"/>
                <w:i/>
                <w:noProof/>
                <w:color w:val="000000"/>
                <w:sz w:val="18"/>
              </w:rPr>
            </w:pPr>
            <w:r>
              <w:rPr>
                <w:rFonts w:ascii="Verdana" w:hAnsi="Verdana"/>
                <w:i/>
                <w:noProof/>
                <w:color w:val="000000"/>
                <w:sz w:val="18"/>
              </w:rPr>
              <w:t>2.10</w:t>
            </w: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(2 149)</w:t>
            </w: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(2 280)</w:t>
            </w:r>
          </w:p>
        </w:tc>
      </w:tr>
      <w:tr>
        <w:trPr>
          <w:trHeight w:hRule="exact" w:val="255"/>
        </w:trPr>
        <w:tc>
          <w:tcPr>
            <w:tcW w:w="5669" w:type="dxa"/>
            <w:tcBorders>
              <w:top w:val="nil"/>
              <w:left w:val="nil"/>
              <w:bottom w:val="nil"/>
              <w:right w:val="nil"/>
              <w:tl2br w:val="nil"/>
              <w:tr2bl w:val="nil"/>
            </w:tcBorders>
            <w:tcMar>
              <w:left w:w="60" w:type="dxa"/>
              <w:right w:w="60" w:type="dxa"/>
            </w:tcMar>
            <w:vAlign w:val="center"/>
          </w:tcPr>
          <w:p>
            <w:pPr>
              <w:pStyle w:val="DMETW36743BIPBS"/>
              <w:rPr>
                <w:rFonts w:ascii="Verdana" w:eastAsia="Verdana" w:hAnsi="Verdana" w:cs="Verdana"/>
                <w:i/>
                <w:noProof/>
                <w:color w:val="000000"/>
                <w:sz w:val="18"/>
              </w:rPr>
            </w:pPr>
            <w:r>
              <w:rPr>
                <w:rFonts w:ascii="Verdana" w:hAnsi="Verdana"/>
                <w:i/>
                <w:noProof/>
                <w:color w:val="000000"/>
                <w:sz w:val="18"/>
              </w:rPr>
              <w:t>Passifs financiers</w:t>
            </w:r>
          </w:p>
        </w:tc>
        <w:tc>
          <w:tcPr>
            <w:tcW w:w="1363" w:type="dxa"/>
            <w:tcBorders>
              <w:top w:val="nil"/>
              <w:left w:val="nil"/>
              <w:bottom w:val="nil"/>
              <w:right w:val="nil"/>
              <w:tl2br w:val="nil"/>
              <w:tr2bl w:val="nil"/>
            </w:tcBorders>
            <w:tcMar>
              <w:left w:w="60" w:type="dxa"/>
              <w:right w:w="60" w:type="dxa"/>
            </w:tcMar>
            <w:vAlign w:val="center"/>
          </w:tcPr>
          <w:p>
            <w:pPr>
              <w:pStyle w:val="DMETW36743BIPBS"/>
              <w:jc w:val="center"/>
              <w:rPr>
                <w:rFonts w:ascii="Verdana" w:eastAsia="Verdana" w:hAnsi="Verdana" w:cs="Verdana"/>
                <w:i/>
                <w:noProof/>
                <w:color w:val="000000"/>
                <w:sz w:val="18"/>
              </w:rPr>
            </w:pPr>
            <w:r>
              <w:rPr>
                <w:rFonts w:ascii="Verdana" w:hAnsi="Verdana"/>
                <w:i/>
                <w:noProof/>
                <w:color w:val="000000"/>
                <w:sz w:val="18"/>
              </w:rPr>
              <w:t>2.11</w:t>
            </w: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(644 018)</w:t>
            </w: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(539 575)</w:t>
            </w:r>
          </w:p>
        </w:tc>
      </w:tr>
      <w:tr>
        <w:trPr>
          <w:trHeight w:hRule="exact" w:val="255"/>
        </w:trPr>
        <w:tc>
          <w:tcPr>
            <w:tcW w:w="566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3BIPBS"/>
              <w:rPr>
                <w:rFonts w:ascii="Verdana" w:eastAsia="Verdana" w:hAnsi="Verdana" w:cs="Verdana"/>
                <w:i/>
                <w:noProof/>
                <w:color w:val="000000"/>
                <w:sz w:val="18"/>
              </w:rPr>
            </w:pPr>
          </w:p>
        </w:tc>
        <w:tc>
          <w:tcPr>
            <w:tcW w:w="136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3BIPBS"/>
              <w:jc w:val="center"/>
              <w:rPr>
                <w:rFonts w:ascii="Verdana" w:eastAsia="Verdana" w:hAnsi="Verdana" w:cs="Verdana"/>
                <w:noProof/>
                <w:color w:val="000000"/>
                <w:sz w:val="18"/>
              </w:rPr>
            </w:pPr>
          </w:p>
        </w:tc>
        <w:tc>
          <w:tcPr>
            <w:tcW w:w="136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3BIPBS"/>
              <w:jc w:val="right"/>
              <w:rPr>
                <w:rFonts w:ascii="Verdana" w:eastAsia="Verdana" w:hAnsi="Verdana" w:cs="Verdana"/>
                <w:b/>
                <w:noProof/>
                <w:color w:val="000000"/>
                <w:sz w:val="18"/>
              </w:rPr>
            </w:pPr>
            <w:r>
              <w:rPr>
                <w:rFonts w:ascii="Verdana" w:hAnsi="Verdana"/>
                <w:b/>
                <w:noProof/>
                <w:color w:val="000000"/>
                <w:sz w:val="18"/>
              </w:rPr>
              <w:t>(737 295)</w:t>
            </w:r>
          </w:p>
        </w:tc>
        <w:tc>
          <w:tcPr>
            <w:tcW w:w="136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3BIPBS"/>
              <w:jc w:val="right"/>
              <w:rPr>
                <w:rFonts w:ascii="Verdana" w:eastAsia="Verdana" w:hAnsi="Verdana" w:cs="Verdana"/>
                <w:b/>
                <w:noProof/>
                <w:color w:val="000000"/>
                <w:sz w:val="18"/>
              </w:rPr>
            </w:pPr>
            <w:r>
              <w:rPr>
                <w:rFonts w:ascii="Verdana" w:hAnsi="Verdana"/>
                <w:b/>
                <w:noProof/>
                <w:color w:val="000000"/>
                <w:sz w:val="18"/>
              </w:rPr>
              <w:t>(634 951)</w:t>
            </w:r>
          </w:p>
        </w:tc>
      </w:tr>
      <w:tr>
        <w:trPr>
          <w:trHeight w:hRule="exact" w:val="255"/>
        </w:trPr>
        <w:tc>
          <w:tcPr>
            <w:tcW w:w="5669" w:type="dxa"/>
            <w:tcBorders>
              <w:top w:val="single" w:sz="4" w:space="0" w:color="016794"/>
              <w:left w:val="nil"/>
              <w:bottom w:val="nil"/>
              <w:right w:val="nil"/>
              <w:tl2br w:val="nil"/>
              <w:tr2bl w:val="nil"/>
            </w:tcBorders>
            <w:tcMar>
              <w:left w:w="60" w:type="dxa"/>
              <w:right w:w="60" w:type="dxa"/>
            </w:tcMar>
            <w:vAlign w:val="center"/>
          </w:tcPr>
          <w:p>
            <w:pPr>
              <w:pStyle w:val="DMETW36743BIPBS"/>
              <w:rPr>
                <w:rFonts w:ascii="Verdana" w:eastAsia="Verdana" w:hAnsi="Verdana" w:cs="Verdana"/>
                <w:b/>
                <w:noProof/>
                <w:color w:val="000000"/>
                <w:sz w:val="18"/>
              </w:rPr>
            </w:pPr>
            <w:r>
              <w:rPr>
                <w:rFonts w:ascii="Verdana" w:hAnsi="Verdana"/>
                <w:b/>
                <w:noProof/>
                <w:color w:val="000000"/>
                <w:sz w:val="18"/>
              </w:rPr>
              <w:t>PASSIFS COURANTS</w:t>
            </w:r>
          </w:p>
        </w:tc>
        <w:tc>
          <w:tcPr>
            <w:tcW w:w="1363" w:type="dxa"/>
            <w:tcBorders>
              <w:top w:val="single" w:sz="4" w:space="0" w:color="016794"/>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b/>
                <w:noProof/>
                <w:color w:val="000000"/>
                <w:sz w:val="18"/>
              </w:rPr>
            </w:pPr>
          </w:p>
        </w:tc>
        <w:tc>
          <w:tcPr>
            <w:tcW w:w="1363" w:type="dxa"/>
            <w:tcBorders>
              <w:top w:val="single" w:sz="4" w:space="0" w:color="016794"/>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noProof/>
                <w:color w:val="000000"/>
                <w:sz w:val="18"/>
              </w:rPr>
            </w:pPr>
          </w:p>
        </w:tc>
        <w:tc>
          <w:tcPr>
            <w:tcW w:w="1363" w:type="dxa"/>
            <w:tcBorders>
              <w:top w:val="single" w:sz="4" w:space="0" w:color="016794"/>
              <w:left w:val="nil"/>
              <w:bottom w:val="nil"/>
              <w:right w:val="nil"/>
              <w:tl2br w:val="nil"/>
              <w:tr2bl w:val="nil"/>
            </w:tcBorders>
            <w:tcMar>
              <w:left w:w="60" w:type="dxa"/>
              <w:right w:w="60" w:type="dxa"/>
            </w:tcMar>
            <w:vAlign w:val="center"/>
          </w:tcPr>
          <w:p>
            <w:pPr>
              <w:pStyle w:val="DMETW36743BIPBS"/>
              <w:rPr>
                <w:rFonts w:ascii="Verdana" w:eastAsia="Verdana" w:hAnsi="Verdana" w:cs="Verdana"/>
                <w:noProof/>
                <w:color w:val="000000"/>
                <w:sz w:val="18"/>
                <w:lang w:bidi="en-GB"/>
              </w:rPr>
            </w:pPr>
          </w:p>
        </w:tc>
      </w:tr>
      <w:tr>
        <w:trPr>
          <w:trHeight w:hRule="exact" w:val="255"/>
        </w:trPr>
        <w:tc>
          <w:tcPr>
            <w:tcW w:w="5669" w:type="dxa"/>
            <w:tcBorders>
              <w:top w:val="nil"/>
              <w:left w:val="nil"/>
              <w:bottom w:val="nil"/>
              <w:right w:val="nil"/>
              <w:tl2br w:val="nil"/>
              <w:tr2bl w:val="nil"/>
            </w:tcBorders>
            <w:tcMar>
              <w:left w:w="60" w:type="dxa"/>
              <w:right w:w="60" w:type="dxa"/>
            </w:tcMar>
            <w:vAlign w:val="center"/>
          </w:tcPr>
          <w:p>
            <w:pPr>
              <w:pStyle w:val="DMETW36743BIPBS"/>
              <w:rPr>
                <w:rFonts w:ascii="Verdana" w:eastAsia="Verdana" w:hAnsi="Verdana" w:cs="Verdana"/>
                <w:i/>
                <w:noProof/>
                <w:color w:val="000000"/>
                <w:sz w:val="18"/>
              </w:rPr>
            </w:pPr>
            <w:r>
              <w:rPr>
                <w:rFonts w:ascii="Verdana" w:hAnsi="Verdana"/>
                <w:i/>
                <w:noProof/>
                <w:color w:val="000000"/>
                <w:sz w:val="18"/>
              </w:rPr>
              <w:t>Provisions</w:t>
            </w:r>
          </w:p>
        </w:tc>
        <w:tc>
          <w:tcPr>
            <w:tcW w:w="1363" w:type="dxa"/>
            <w:tcBorders>
              <w:top w:val="nil"/>
              <w:left w:val="nil"/>
              <w:bottom w:val="nil"/>
              <w:right w:val="nil"/>
              <w:tl2br w:val="nil"/>
              <w:tr2bl w:val="nil"/>
            </w:tcBorders>
            <w:tcMar>
              <w:left w:w="60" w:type="dxa"/>
              <w:right w:w="60" w:type="dxa"/>
            </w:tcMar>
            <w:vAlign w:val="center"/>
          </w:tcPr>
          <w:p>
            <w:pPr>
              <w:pStyle w:val="DMETW36743BIPBS"/>
              <w:jc w:val="center"/>
              <w:rPr>
                <w:rFonts w:ascii="Verdana" w:eastAsia="Verdana" w:hAnsi="Verdana" w:cs="Verdana"/>
                <w:i/>
                <w:noProof/>
                <w:color w:val="000000"/>
                <w:sz w:val="18"/>
              </w:rPr>
            </w:pPr>
            <w:r>
              <w:rPr>
                <w:rFonts w:ascii="Verdana" w:hAnsi="Verdana"/>
                <w:i/>
                <w:noProof/>
                <w:color w:val="000000"/>
                <w:sz w:val="18"/>
              </w:rPr>
              <w:t>2.10</w:t>
            </w: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 xml:space="preserve"> (464)</w:t>
            </w: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(7 536)</w:t>
            </w:r>
          </w:p>
        </w:tc>
      </w:tr>
      <w:tr>
        <w:trPr>
          <w:trHeight w:hRule="exact" w:val="255"/>
        </w:trPr>
        <w:tc>
          <w:tcPr>
            <w:tcW w:w="5669" w:type="dxa"/>
            <w:tcBorders>
              <w:top w:val="nil"/>
              <w:left w:val="nil"/>
              <w:bottom w:val="nil"/>
              <w:right w:val="nil"/>
              <w:tl2br w:val="nil"/>
              <w:tr2bl w:val="nil"/>
            </w:tcBorders>
            <w:tcMar>
              <w:left w:w="60" w:type="dxa"/>
              <w:right w:w="60" w:type="dxa"/>
            </w:tcMar>
            <w:vAlign w:val="center"/>
          </w:tcPr>
          <w:p>
            <w:pPr>
              <w:pStyle w:val="DMETW36743BIPBS"/>
              <w:rPr>
                <w:rFonts w:ascii="Verdana" w:eastAsia="Verdana" w:hAnsi="Verdana" w:cs="Verdana"/>
                <w:i/>
                <w:noProof/>
                <w:color w:val="000000"/>
                <w:sz w:val="18"/>
              </w:rPr>
            </w:pPr>
            <w:r>
              <w:rPr>
                <w:rFonts w:ascii="Verdana" w:hAnsi="Verdana"/>
                <w:i/>
                <w:noProof/>
                <w:color w:val="000000"/>
                <w:sz w:val="18"/>
              </w:rPr>
              <w:t>Passifs financiers</w:t>
            </w:r>
          </w:p>
        </w:tc>
        <w:tc>
          <w:tcPr>
            <w:tcW w:w="1363" w:type="dxa"/>
            <w:tcBorders>
              <w:top w:val="nil"/>
              <w:left w:val="nil"/>
              <w:bottom w:val="nil"/>
              <w:right w:val="nil"/>
              <w:tl2br w:val="nil"/>
              <w:tr2bl w:val="nil"/>
            </w:tcBorders>
            <w:tcMar>
              <w:left w:w="60" w:type="dxa"/>
              <w:right w:w="60" w:type="dxa"/>
            </w:tcMar>
            <w:vAlign w:val="center"/>
          </w:tcPr>
          <w:p>
            <w:pPr>
              <w:pStyle w:val="DMETW36743BIPBS"/>
              <w:jc w:val="center"/>
              <w:rPr>
                <w:rFonts w:ascii="Verdana" w:eastAsia="Verdana" w:hAnsi="Verdana" w:cs="Verdana"/>
                <w:i/>
                <w:noProof/>
                <w:color w:val="000000"/>
                <w:sz w:val="18"/>
              </w:rPr>
            </w:pPr>
            <w:r>
              <w:rPr>
                <w:rFonts w:ascii="Verdana" w:hAnsi="Verdana"/>
                <w:i/>
                <w:noProof/>
                <w:color w:val="000000"/>
                <w:sz w:val="18"/>
              </w:rPr>
              <w:t>2.11</w:t>
            </w: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(96 769)</w:t>
            </w: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(62 328)</w:t>
            </w:r>
          </w:p>
        </w:tc>
      </w:tr>
      <w:tr>
        <w:trPr>
          <w:trHeight w:hRule="exact" w:val="255"/>
        </w:trPr>
        <w:tc>
          <w:tcPr>
            <w:tcW w:w="5669" w:type="dxa"/>
            <w:tcBorders>
              <w:top w:val="nil"/>
              <w:left w:val="nil"/>
              <w:bottom w:val="nil"/>
              <w:right w:val="nil"/>
              <w:tl2br w:val="nil"/>
              <w:tr2bl w:val="nil"/>
            </w:tcBorders>
            <w:tcMar>
              <w:left w:w="60" w:type="dxa"/>
              <w:right w:w="60" w:type="dxa"/>
            </w:tcMar>
            <w:vAlign w:val="center"/>
          </w:tcPr>
          <w:p>
            <w:pPr>
              <w:pStyle w:val="DMETW36743BIPBS"/>
              <w:rPr>
                <w:rFonts w:ascii="Verdana" w:eastAsia="Verdana" w:hAnsi="Verdana" w:cs="Verdana"/>
                <w:i/>
                <w:noProof/>
                <w:color w:val="000000"/>
                <w:sz w:val="18"/>
              </w:rPr>
            </w:pPr>
            <w:r>
              <w:rPr>
                <w:rFonts w:ascii="Verdana" w:hAnsi="Verdana"/>
                <w:i/>
                <w:noProof/>
                <w:color w:val="000000"/>
                <w:sz w:val="18"/>
              </w:rPr>
              <w:t>Sommes à payer</w:t>
            </w:r>
          </w:p>
        </w:tc>
        <w:tc>
          <w:tcPr>
            <w:tcW w:w="1363" w:type="dxa"/>
            <w:tcBorders>
              <w:top w:val="nil"/>
              <w:left w:val="nil"/>
              <w:bottom w:val="nil"/>
              <w:right w:val="nil"/>
              <w:tl2br w:val="nil"/>
              <w:tr2bl w:val="nil"/>
            </w:tcBorders>
            <w:tcMar>
              <w:left w:w="60" w:type="dxa"/>
              <w:right w:w="60" w:type="dxa"/>
            </w:tcMar>
            <w:vAlign w:val="center"/>
          </w:tcPr>
          <w:p>
            <w:pPr>
              <w:pStyle w:val="DMETW36743BIPBS"/>
              <w:jc w:val="center"/>
              <w:rPr>
                <w:rFonts w:ascii="Verdana" w:eastAsia="Verdana" w:hAnsi="Verdana" w:cs="Verdana"/>
                <w:i/>
                <w:noProof/>
                <w:color w:val="000000"/>
                <w:sz w:val="18"/>
              </w:rPr>
            </w:pPr>
            <w:r>
              <w:rPr>
                <w:rFonts w:ascii="Verdana" w:hAnsi="Verdana"/>
                <w:i/>
                <w:noProof/>
                <w:color w:val="000000"/>
                <w:sz w:val="18"/>
              </w:rPr>
              <w:t>2.12</w:t>
            </w: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(65 037)</w:t>
            </w: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(55 414)</w:t>
            </w:r>
          </w:p>
        </w:tc>
      </w:tr>
      <w:tr>
        <w:trPr>
          <w:trHeight w:hRule="exact" w:val="255"/>
        </w:trPr>
        <w:tc>
          <w:tcPr>
            <w:tcW w:w="5669" w:type="dxa"/>
            <w:tcBorders>
              <w:top w:val="nil"/>
              <w:left w:val="nil"/>
              <w:bottom w:val="single" w:sz="4" w:space="0" w:color="016794"/>
              <w:right w:val="nil"/>
              <w:tl2br w:val="nil"/>
              <w:tr2bl w:val="nil"/>
            </w:tcBorders>
            <w:tcMar>
              <w:left w:w="60" w:type="dxa"/>
              <w:right w:w="60" w:type="dxa"/>
            </w:tcMar>
            <w:vAlign w:val="center"/>
          </w:tcPr>
          <w:p>
            <w:pPr>
              <w:pStyle w:val="DMETW36743BIPBS"/>
              <w:rPr>
                <w:rFonts w:ascii="Verdana" w:eastAsia="Verdana" w:hAnsi="Verdana" w:cs="Verdana"/>
                <w:i/>
                <w:noProof/>
                <w:color w:val="000000"/>
                <w:sz w:val="18"/>
              </w:rPr>
            </w:pPr>
            <w:r>
              <w:rPr>
                <w:rFonts w:ascii="Verdana" w:hAnsi="Verdana"/>
                <w:i/>
                <w:noProof/>
                <w:color w:val="000000"/>
                <w:sz w:val="18"/>
              </w:rPr>
              <w:t>Charges à payer et produits à reporter</w:t>
            </w:r>
          </w:p>
        </w:tc>
        <w:tc>
          <w:tcPr>
            <w:tcW w:w="1363" w:type="dxa"/>
            <w:tcBorders>
              <w:top w:val="nil"/>
              <w:left w:val="nil"/>
              <w:bottom w:val="single" w:sz="4" w:space="0" w:color="016794"/>
              <w:right w:val="nil"/>
              <w:tl2br w:val="nil"/>
              <w:tr2bl w:val="nil"/>
            </w:tcBorders>
            <w:tcMar>
              <w:left w:w="60" w:type="dxa"/>
              <w:right w:w="60" w:type="dxa"/>
            </w:tcMar>
            <w:vAlign w:val="center"/>
          </w:tcPr>
          <w:p>
            <w:pPr>
              <w:pStyle w:val="DMETW36743BIPBS"/>
              <w:jc w:val="center"/>
              <w:rPr>
                <w:rFonts w:ascii="Verdana" w:eastAsia="Verdana" w:hAnsi="Verdana" w:cs="Verdana"/>
                <w:i/>
                <w:noProof/>
                <w:color w:val="000000"/>
                <w:sz w:val="18"/>
              </w:rPr>
            </w:pPr>
            <w:r>
              <w:rPr>
                <w:rFonts w:ascii="Verdana" w:hAnsi="Verdana"/>
                <w:i/>
                <w:noProof/>
                <w:color w:val="000000"/>
                <w:sz w:val="18"/>
              </w:rPr>
              <w:t>2.13</w:t>
            </w:r>
          </w:p>
        </w:tc>
        <w:tc>
          <w:tcPr>
            <w:tcW w:w="1363" w:type="dxa"/>
            <w:tcBorders>
              <w:top w:val="nil"/>
              <w:left w:val="nil"/>
              <w:bottom w:val="single" w:sz="4" w:space="0" w:color="016794"/>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(77 048)</w:t>
            </w:r>
          </w:p>
        </w:tc>
        <w:tc>
          <w:tcPr>
            <w:tcW w:w="1363" w:type="dxa"/>
            <w:tcBorders>
              <w:top w:val="nil"/>
              <w:left w:val="nil"/>
              <w:bottom w:val="single" w:sz="4" w:space="0" w:color="016794"/>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(67 091)</w:t>
            </w:r>
          </w:p>
        </w:tc>
      </w:tr>
      <w:tr>
        <w:trPr>
          <w:trHeight w:hRule="exact" w:val="255"/>
        </w:trPr>
        <w:tc>
          <w:tcPr>
            <w:tcW w:w="5669" w:type="dxa"/>
            <w:tcBorders>
              <w:top w:val="single" w:sz="4" w:space="0" w:color="016794"/>
              <w:left w:val="nil"/>
              <w:bottom w:val="nil"/>
              <w:right w:val="nil"/>
              <w:tl2br w:val="nil"/>
              <w:tr2bl w:val="nil"/>
            </w:tcBorders>
            <w:tcMar>
              <w:left w:w="60" w:type="dxa"/>
              <w:right w:w="60" w:type="dxa"/>
            </w:tcMar>
            <w:vAlign w:val="center"/>
          </w:tcPr>
          <w:p>
            <w:pPr>
              <w:pStyle w:val="DMETW36743BIPBS"/>
              <w:rPr>
                <w:rFonts w:ascii="Verdana" w:eastAsia="Verdana" w:hAnsi="Verdana" w:cs="Verdana"/>
                <w:i/>
                <w:noProof/>
                <w:color w:val="000000"/>
                <w:sz w:val="18"/>
              </w:rPr>
            </w:pPr>
          </w:p>
        </w:tc>
        <w:tc>
          <w:tcPr>
            <w:tcW w:w="1363" w:type="dxa"/>
            <w:tcBorders>
              <w:top w:val="single" w:sz="4" w:space="0" w:color="016794"/>
              <w:left w:val="nil"/>
              <w:bottom w:val="nil"/>
              <w:right w:val="nil"/>
              <w:tl2br w:val="nil"/>
              <w:tr2bl w:val="nil"/>
            </w:tcBorders>
            <w:tcMar>
              <w:left w:w="60" w:type="dxa"/>
              <w:right w:w="60" w:type="dxa"/>
            </w:tcMar>
            <w:vAlign w:val="center"/>
          </w:tcPr>
          <w:p>
            <w:pPr>
              <w:pStyle w:val="DMETW36743BIPBS"/>
              <w:jc w:val="center"/>
              <w:rPr>
                <w:rFonts w:ascii="Verdana" w:eastAsia="Verdana" w:hAnsi="Verdana" w:cs="Verdana"/>
                <w:i/>
                <w:noProof/>
                <w:color w:val="000000"/>
                <w:sz w:val="18"/>
              </w:rPr>
            </w:pPr>
          </w:p>
        </w:tc>
        <w:tc>
          <w:tcPr>
            <w:tcW w:w="1363" w:type="dxa"/>
            <w:tcBorders>
              <w:top w:val="single" w:sz="4" w:space="0" w:color="016794"/>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b/>
                <w:noProof/>
                <w:color w:val="000000"/>
                <w:sz w:val="18"/>
              </w:rPr>
            </w:pPr>
            <w:r>
              <w:rPr>
                <w:rFonts w:ascii="Verdana" w:hAnsi="Verdana"/>
                <w:b/>
                <w:noProof/>
                <w:color w:val="000000"/>
                <w:sz w:val="18"/>
              </w:rPr>
              <w:t>(239 319)</w:t>
            </w:r>
          </w:p>
        </w:tc>
        <w:tc>
          <w:tcPr>
            <w:tcW w:w="1363" w:type="dxa"/>
            <w:tcBorders>
              <w:top w:val="single" w:sz="4" w:space="0" w:color="016794"/>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b/>
                <w:noProof/>
                <w:color w:val="000000"/>
                <w:sz w:val="18"/>
              </w:rPr>
            </w:pPr>
            <w:r>
              <w:rPr>
                <w:rFonts w:ascii="Verdana" w:hAnsi="Verdana"/>
                <w:b/>
                <w:noProof/>
                <w:color w:val="000000"/>
                <w:sz w:val="18"/>
              </w:rPr>
              <w:t>(192 368)</w:t>
            </w:r>
          </w:p>
        </w:tc>
      </w:tr>
      <w:tr>
        <w:trPr>
          <w:trHeight w:hRule="exact" w:val="255"/>
        </w:trPr>
        <w:tc>
          <w:tcPr>
            <w:tcW w:w="5669" w:type="dxa"/>
            <w:tcBorders>
              <w:top w:val="nil"/>
              <w:left w:val="nil"/>
              <w:bottom w:val="nil"/>
              <w:right w:val="nil"/>
              <w:tl2br w:val="nil"/>
              <w:tr2bl w:val="nil"/>
            </w:tcBorders>
            <w:shd w:val="solid" w:color="CCE1EA" w:fill="FFFFFF"/>
            <w:tcMar>
              <w:left w:w="60" w:type="dxa"/>
              <w:right w:w="60" w:type="dxa"/>
            </w:tcMar>
            <w:vAlign w:val="center"/>
          </w:tcPr>
          <w:p>
            <w:pPr>
              <w:pStyle w:val="DMETW36743BIPBS"/>
              <w:rPr>
                <w:rFonts w:ascii="Verdana" w:eastAsia="Verdana" w:hAnsi="Verdana" w:cs="Verdana"/>
                <w:b/>
                <w:noProof/>
                <w:color w:val="000000"/>
                <w:sz w:val="18"/>
              </w:rPr>
            </w:pPr>
            <w:r>
              <w:rPr>
                <w:rFonts w:ascii="Verdana" w:hAnsi="Verdana"/>
                <w:b/>
                <w:noProof/>
                <w:color w:val="000000"/>
                <w:sz w:val="18"/>
              </w:rPr>
              <w:t>TOTAL DES PASSIFS</w:t>
            </w:r>
          </w:p>
        </w:tc>
        <w:tc>
          <w:tcPr>
            <w:tcW w:w="1363" w:type="dxa"/>
            <w:tcBorders>
              <w:top w:val="nil"/>
              <w:left w:val="nil"/>
              <w:bottom w:val="nil"/>
              <w:right w:val="nil"/>
              <w:tl2br w:val="nil"/>
              <w:tr2bl w:val="nil"/>
            </w:tcBorders>
            <w:shd w:val="solid" w:color="CCE1EA" w:fill="FFFFFF"/>
            <w:tcMar>
              <w:left w:w="60" w:type="dxa"/>
              <w:right w:w="60" w:type="dxa"/>
            </w:tcMar>
            <w:vAlign w:val="center"/>
          </w:tcPr>
          <w:p>
            <w:pPr>
              <w:pStyle w:val="DMETW36743BIPBS"/>
              <w:jc w:val="center"/>
              <w:rPr>
                <w:rFonts w:ascii="Verdana" w:eastAsia="Verdana" w:hAnsi="Verdana" w:cs="Verdana"/>
                <w:noProof/>
                <w:color w:val="000000"/>
                <w:sz w:val="18"/>
              </w:rPr>
            </w:pPr>
          </w:p>
        </w:tc>
        <w:tc>
          <w:tcPr>
            <w:tcW w:w="1363" w:type="dxa"/>
            <w:tcBorders>
              <w:top w:val="nil"/>
              <w:left w:val="nil"/>
              <w:bottom w:val="nil"/>
              <w:right w:val="nil"/>
              <w:tl2br w:val="nil"/>
              <w:tr2bl w:val="nil"/>
            </w:tcBorders>
            <w:shd w:val="solid" w:color="CCE1EA" w:fill="FFFFFF"/>
            <w:tcMar>
              <w:left w:w="60" w:type="dxa"/>
              <w:right w:w="60" w:type="dxa"/>
            </w:tcMar>
            <w:vAlign w:val="center"/>
          </w:tcPr>
          <w:p>
            <w:pPr>
              <w:pStyle w:val="DMETW36743BIPBS"/>
              <w:jc w:val="right"/>
              <w:rPr>
                <w:rFonts w:ascii="Verdana" w:eastAsia="Verdana" w:hAnsi="Verdana" w:cs="Verdana"/>
                <w:b/>
                <w:noProof/>
                <w:color w:val="000000"/>
                <w:sz w:val="18"/>
              </w:rPr>
            </w:pPr>
            <w:r>
              <w:rPr>
                <w:rFonts w:ascii="Verdana" w:hAnsi="Verdana"/>
                <w:b/>
                <w:noProof/>
                <w:color w:val="000000"/>
                <w:sz w:val="18"/>
              </w:rPr>
              <w:t>(976 614)</w:t>
            </w:r>
          </w:p>
        </w:tc>
        <w:tc>
          <w:tcPr>
            <w:tcW w:w="1363" w:type="dxa"/>
            <w:tcBorders>
              <w:top w:val="nil"/>
              <w:left w:val="nil"/>
              <w:bottom w:val="nil"/>
              <w:right w:val="nil"/>
              <w:tl2br w:val="nil"/>
              <w:tr2bl w:val="nil"/>
            </w:tcBorders>
            <w:shd w:val="solid" w:color="CCE1EA" w:fill="FFFFFF"/>
            <w:tcMar>
              <w:left w:w="60" w:type="dxa"/>
              <w:right w:w="60" w:type="dxa"/>
            </w:tcMar>
            <w:vAlign w:val="center"/>
          </w:tcPr>
          <w:p>
            <w:pPr>
              <w:pStyle w:val="DMETW36743BIPBS"/>
              <w:jc w:val="right"/>
              <w:rPr>
                <w:rFonts w:ascii="Verdana" w:eastAsia="Verdana" w:hAnsi="Verdana" w:cs="Verdana"/>
                <w:b/>
                <w:noProof/>
                <w:color w:val="000000"/>
                <w:sz w:val="18"/>
              </w:rPr>
            </w:pPr>
            <w:r>
              <w:rPr>
                <w:rFonts w:ascii="Verdana" w:hAnsi="Verdana"/>
                <w:b/>
                <w:noProof/>
                <w:color w:val="000000"/>
                <w:sz w:val="18"/>
              </w:rPr>
              <w:t>(827 319)</w:t>
            </w:r>
          </w:p>
        </w:tc>
      </w:tr>
      <w:tr>
        <w:trPr>
          <w:trHeight w:hRule="exact" w:val="255"/>
        </w:trPr>
        <w:tc>
          <w:tcPr>
            <w:tcW w:w="5669" w:type="dxa"/>
            <w:tcBorders>
              <w:top w:val="nil"/>
              <w:left w:val="nil"/>
              <w:bottom w:val="nil"/>
              <w:right w:val="nil"/>
              <w:tl2br w:val="nil"/>
              <w:tr2bl w:val="nil"/>
            </w:tcBorders>
            <w:tcMar>
              <w:left w:w="60" w:type="dxa"/>
              <w:right w:w="60" w:type="dxa"/>
            </w:tcMar>
            <w:vAlign w:val="center"/>
          </w:tcPr>
          <w:p>
            <w:pPr>
              <w:pStyle w:val="DMETW36743BIPBS"/>
              <w:rPr>
                <w:rFonts w:ascii="Verdana" w:eastAsia="Verdana" w:hAnsi="Verdana" w:cs="Verdana"/>
                <w:i/>
                <w:noProof/>
                <w:color w:val="000000"/>
                <w:sz w:val="18"/>
              </w:rPr>
            </w:pPr>
          </w:p>
        </w:tc>
        <w:tc>
          <w:tcPr>
            <w:tcW w:w="1363" w:type="dxa"/>
            <w:tcBorders>
              <w:top w:val="nil"/>
              <w:left w:val="nil"/>
              <w:bottom w:val="nil"/>
              <w:right w:val="nil"/>
              <w:tl2br w:val="nil"/>
              <w:tr2bl w:val="nil"/>
            </w:tcBorders>
            <w:tcMar>
              <w:left w:w="60" w:type="dxa"/>
              <w:right w:w="60" w:type="dxa"/>
            </w:tcMar>
            <w:vAlign w:val="center"/>
          </w:tcPr>
          <w:p>
            <w:pPr>
              <w:pStyle w:val="DMETW36743BIPBS"/>
              <w:jc w:val="center"/>
              <w:rPr>
                <w:rFonts w:ascii="Verdana" w:eastAsia="Verdana" w:hAnsi="Verdana" w:cs="Verdana"/>
                <w:noProof/>
                <w:color w:val="000000"/>
                <w:sz w:val="18"/>
              </w:rPr>
            </w:pPr>
          </w:p>
        </w:tc>
        <w:tc>
          <w:tcPr>
            <w:tcW w:w="1363" w:type="dxa"/>
            <w:tcBorders>
              <w:top w:val="nil"/>
              <w:left w:val="nil"/>
              <w:bottom w:val="nil"/>
              <w:right w:val="nil"/>
              <w:tl2br w:val="nil"/>
              <w:tr2bl w:val="nil"/>
            </w:tcBorders>
            <w:tcMar>
              <w:left w:w="60" w:type="dxa"/>
              <w:right w:w="60" w:type="dxa"/>
            </w:tcMar>
            <w:vAlign w:val="center"/>
          </w:tcPr>
          <w:p>
            <w:pPr>
              <w:pStyle w:val="DMETW36743BIPBS"/>
              <w:rPr>
                <w:rFonts w:ascii="Verdana" w:eastAsia="Verdana" w:hAnsi="Verdana" w:cs="Verdana"/>
                <w:noProof/>
                <w:color w:val="000000"/>
                <w:sz w:val="18"/>
              </w:rPr>
            </w:pPr>
          </w:p>
        </w:tc>
        <w:tc>
          <w:tcPr>
            <w:tcW w:w="1363" w:type="dxa"/>
            <w:tcBorders>
              <w:top w:val="nil"/>
              <w:left w:val="nil"/>
              <w:bottom w:val="nil"/>
              <w:right w:val="nil"/>
              <w:tl2br w:val="nil"/>
              <w:tr2bl w:val="nil"/>
            </w:tcBorders>
            <w:tcMar>
              <w:left w:w="60" w:type="dxa"/>
              <w:right w:w="60" w:type="dxa"/>
            </w:tcMar>
            <w:vAlign w:val="center"/>
          </w:tcPr>
          <w:p>
            <w:pPr>
              <w:pStyle w:val="DMETW36743BIPBS"/>
              <w:rPr>
                <w:rFonts w:ascii="Verdana" w:eastAsia="Verdana" w:hAnsi="Verdana" w:cs="Verdana"/>
                <w:noProof/>
                <w:color w:val="000000"/>
                <w:sz w:val="18"/>
                <w:lang w:bidi="en-GB"/>
              </w:rPr>
            </w:pPr>
          </w:p>
        </w:tc>
      </w:tr>
      <w:tr>
        <w:trPr>
          <w:trHeight w:hRule="exact" w:val="255"/>
        </w:trPr>
        <w:tc>
          <w:tcPr>
            <w:tcW w:w="5669" w:type="dxa"/>
            <w:tcBorders>
              <w:top w:val="nil"/>
              <w:left w:val="nil"/>
              <w:bottom w:val="nil"/>
              <w:right w:val="nil"/>
              <w:tl2br w:val="nil"/>
              <w:tr2bl w:val="nil"/>
            </w:tcBorders>
            <w:shd w:val="solid" w:color="CCE1EA" w:fill="FFFFFF"/>
            <w:tcMar>
              <w:left w:w="60" w:type="dxa"/>
              <w:right w:w="60" w:type="dxa"/>
            </w:tcMar>
            <w:vAlign w:val="center"/>
          </w:tcPr>
          <w:p>
            <w:pPr>
              <w:pStyle w:val="DMETW36743BIPBS"/>
              <w:rPr>
                <w:rFonts w:ascii="Verdana" w:eastAsia="Verdana" w:hAnsi="Verdana" w:cs="Verdana"/>
                <w:b/>
                <w:noProof/>
                <w:color w:val="000000"/>
                <w:sz w:val="18"/>
              </w:rPr>
            </w:pPr>
            <w:r>
              <w:rPr>
                <w:rFonts w:ascii="Verdana" w:hAnsi="Verdana"/>
                <w:b/>
                <w:noProof/>
                <w:color w:val="000000"/>
                <w:sz w:val="18"/>
              </w:rPr>
              <w:t>ACTIF NET</w:t>
            </w:r>
          </w:p>
        </w:tc>
        <w:tc>
          <w:tcPr>
            <w:tcW w:w="1363" w:type="dxa"/>
            <w:tcBorders>
              <w:top w:val="nil"/>
              <w:left w:val="nil"/>
              <w:bottom w:val="nil"/>
              <w:right w:val="nil"/>
              <w:tl2br w:val="nil"/>
              <w:tr2bl w:val="nil"/>
            </w:tcBorders>
            <w:shd w:val="solid" w:color="CCE1EA" w:fill="FFFFFF"/>
            <w:tcMar>
              <w:left w:w="60" w:type="dxa"/>
              <w:right w:w="60" w:type="dxa"/>
            </w:tcMar>
            <w:vAlign w:val="center"/>
          </w:tcPr>
          <w:p>
            <w:pPr>
              <w:pStyle w:val="DMETW36743BIPBS"/>
              <w:jc w:val="center"/>
              <w:rPr>
                <w:rFonts w:ascii="Verdana" w:eastAsia="Verdana" w:hAnsi="Verdana" w:cs="Verdana"/>
                <w:noProof/>
                <w:color w:val="000000"/>
                <w:sz w:val="18"/>
              </w:rPr>
            </w:pPr>
          </w:p>
        </w:tc>
        <w:tc>
          <w:tcPr>
            <w:tcW w:w="1363" w:type="dxa"/>
            <w:tcBorders>
              <w:top w:val="nil"/>
              <w:left w:val="nil"/>
              <w:bottom w:val="nil"/>
              <w:right w:val="nil"/>
              <w:tl2br w:val="nil"/>
              <w:tr2bl w:val="nil"/>
            </w:tcBorders>
            <w:shd w:val="solid" w:color="CCE1EA" w:fill="FFFFFF"/>
            <w:tcMar>
              <w:left w:w="60" w:type="dxa"/>
              <w:right w:w="60" w:type="dxa"/>
            </w:tcMar>
            <w:vAlign w:val="center"/>
          </w:tcPr>
          <w:p>
            <w:pPr>
              <w:pStyle w:val="DMETW36743BIPBS"/>
              <w:jc w:val="right"/>
              <w:rPr>
                <w:rFonts w:ascii="Verdana" w:eastAsia="Verdana" w:hAnsi="Verdana" w:cs="Verdana"/>
                <w:b/>
                <w:noProof/>
                <w:color w:val="000000"/>
                <w:sz w:val="18"/>
              </w:rPr>
            </w:pPr>
            <w:r>
              <w:rPr>
                <w:rFonts w:ascii="Verdana" w:hAnsi="Verdana"/>
                <w:b/>
                <w:noProof/>
                <w:color w:val="000000"/>
                <w:sz w:val="18"/>
              </w:rPr>
              <w:t>(359 167)</w:t>
            </w:r>
          </w:p>
        </w:tc>
        <w:tc>
          <w:tcPr>
            <w:tcW w:w="1363" w:type="dxa"/>
            <w:tcBorders>
              <w:top w:val="nil"/>
              <w:left w:val="nil"/>
              <w:bottom w:val="nil"/>
              <w:right w:val="nil"/>
              <w:tl2br w:val="nil"/>
              <w:tr2bl w:val="nil"/>
            </w:tcBorders>
            <w:shd w:val="solid" w:color="CCE1EA" w:fill="FFFFFF"/>
            <w:tcMar>
              <w:left w:w="60" w:type="dxa"/>
              <w:right w:w="60" w:type="dxa"/>
            </w:tcMar>
            <w:vAlign w:val="center"/>
          </w:tcPr>
          <w:p>
            <w:pPr>
              <w:pStyle w:val="DMETW36743BIPBS"/>
              <w:jc w:val="right"/>
              <w:rPr>
                <w:rFonts w:ascii="Verdana" w:eastAsia="Verdana" w:hAnsi="Verdana" w:cs="Verdana"/>
                <w:b/>
                <w:noProof/>
                <w:color w:val="000000"/>
                <w:sz w:val="18"/>
              </w:rPr>
            </w:pPr>
            <w:r>
              <w:rPr>
                <w:rFonts w:ascii="Verdana" w:hAnsi="Verdana"/>
                <w:b/>
                <w:noProof/>
                <w:color w:val="000000"/>
                <w:sz w:val="18"/>
              </w:rPr>
              <w:t>(308 824)</w:t>
            </w:r>
          </w:p>
        </w:tc>
      </w:tr>
      <w:tr>
        <w:trPr>
          <w:trHeight w:hRule="exact" w:val="255"/>
        </w:trPr>
        <w:tc>
          <w:tcPr>
            <w:tcW w:w="5669" w:type="dxa"/>
            <w:tcBorders>
              <w:top w:val="nil"/>
              <w:left w:val="nil"/>
              <w:bottom w:val="nil"/>
              <w:right w:val="nil"/>
              <w:tl2br w:val="nil"/>
              <w:tr2bl w:val="nil"/>
            </w:tcBorders>
            <w:tcMar>
              <w:left w:w="60" w:type="dxa"/>
              <w:right w:w="60" w:type="dxa"/>
            </w:tcMar>
            <w:vAlign w:val="center"/>
          </w:tcPr>
          <w:p>
            <w:pPr>
              <w:pStyle w:val="DMETW36743BIPBS"/>
              <w:rPr>
                <w:rFonts w:ascii="Verdana" w:eastAsia="Verdana" w:hAnsi="Verdana" w:cs="Verdana"/>
                <w:i/>
                <w:noProof/>
                <w:color w:val="000000"/>
                <w:sz w:val="18"/>
              </w:rPr>
            </w:pPr>
          </w:p>
        </w:tc>
        <w:tc>
          <w:tcPr>
            <w:tcW w:w="1363" w:type="dxa"/>
            <w:tcBorders>
              <w:top w:val="nil"/>
              <w:left w:val="nil"/>
              <w:bottom w:val="nil"/>
              <w:right w:val="nil"/>
              <w:tl2br w:val="nil"/>
              <w:tr2bl w:val="nil"/>
            </w:tcBorders>
            <w:tcMar>
              <w:left w:w="60" w:type="dxa"/>
              <w:right w:w="60" w:type="dxa"/>
            </w:tcMar>
            <w:vAlign w:val="center"/>
          </w:tcPr>
          <w:p>
            <w:pPr>
              <w:pStyle w:val="DMETW36743BIPBS"/>
              <w:jc w:val="center"/>
              <w:rPr>
                <w:rFonts w:ascii="Verdana" w:eastAsia="Verdana" w:hAnsi="Verdana" w:cs="Verdana"/>
                <w:noProof/>
                <w:color w:val="000000"/>
                <w:sz w:val="18"/>
              </w:rPr>
            </w:pP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b/>
                <w:noProof/>
                <w:color w:val="000000"/>
                <w:sz w:val="18"/>
              </w:rPr>
            </w:pP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b/>
                <w:noProof/>
                <w:color w:val="000000"/>
                <w:sz w:val="18"/>
                <w:lang w:bidi="en-GB"/>
              </w:rPr>
            </w:pPr>
          </w:p>
        </w:tc>
      </w:tr>
      <w:tr>
        <w:trPr>
          <w:trHeight w:hRule="exact" w:val="255"/>
        </w:trPr>
        <w:tc>
          <w:tcPr>
            <w:tcW w:w="5669" w:type="dxa"/>
            <w:tcBorders>
              <w:top w:val="nil"/>
              <w:left w:val="nil"/>
              <w:bottom w:val="nil"/>
              <w:right w:val="nil"/>
              <w:tl2br w:val="nil"/>
              <w:tr2bl w:val="nil"/>
            </w:tcBorders>
            <w:tcMar>
              <w:left w:w="60" w:type="dxa"/>
              <w:right w:w="60" w:type="dxa"/>
            </w:tcMar>
            <w:vAlign w:val="center"/>
          </w:tcPr>
          <w:p>
            <w:pPr>
              <w:pStyle w:val="DMETW36743BIPBS"/>
              <w:rPr>
                <w:rFonts w:ascii="Verdana" w:eastAsia="Verdana" w:hAnsi="Verdana" w:cs="Verdana"/>
                <w:i/>
                <w:noProof/>
                <w:color w:val="000000"/>
                <w:sz w:val="18"/>
              </w:rPr>
            </w:pPr>
            <w:r>
              <w:rPr>
                <w:rFonts w:ascii="Verdana" w:hAnsi="Verdana"/>
                <w:i/>
                <w:noProof/>
                <w:color w:val="000000"/>
                <w:sz w:val="18"/>
              </w:rPr>
              <w:t>Réserves</w:t>
            </w:r>
          </w:p>
        </w:tc>
        <w:tc>
          <w:tcPr>
            <w:tcW w:w="1363" w:type="dxa"/>
            <w:tcBorders>
              <w:top w:val="nil"/>
              <w:left w:val="nil"/>
              <w:bottom w:val="nil"/>
              <w:right w:val="nil"/>
              <w:tl2br w:val="nil"/>
              <w:tr2bl w:val="nil"/>
            </w:tcBorders>
            <w:tcMar>
              <w:left w:w="60" w:type="dxa"/>
              <w:right w:w="60" w:type="dxa"/>
            </w:tcMar>
            <w:vAlign w:val="center"/>
          </w:tcPr>
          <w:p>
            <w:pPr>
              <w:pStyle w:val="DMETW36743BIPBS"/>
              <w:jc w:val="center"/>
              <w:rPr>
                <w:rFonts w:ascii="Verdana" w:eastAsia="Verdana" w:hAnsi="Verdana" w:cs="Verdana"/>
                <w:i/>
                <w:noProof/>
                <w:color w:val="000000"/>
                <w:sz w:val="18"/>
              </w:rPr>
            </w:pPr>
            <w:r>
              <w:rPr>
                <w:rFonts w:ascii="Verdana" w:hAnsi="Verdana"/>
                <w:i/>
                <w:noProof/>
                <w:color w:val="000000"/>
                <w:sz w:val="18"/>
              </w:rPr>
              <w:t>2.14</w:t>
            </w: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 xml:space="preserve"> 941</w:t>
            </w: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 xml:space="preserve"> 986</w:t>
            </w:r>
          </w:p>
        </w:tc>
      </w:tr>
      <w:tr>
        <w:trPr>
          <w:trHeight w:hRule="exact" w:val="255"/>
        </w:trPr>
        <w:tc>
          <w:tcPr>
            <w:tcW w:w="5669" w:type="dxa"/>
            <w:tcBorders>
              <w:top w:val="nil"/>
              <w:left w:val="nil"/>
              <w:bottom w:val="nil"/>
              <w:right w:val="nil"/>
              <w:tl2br w:val="nil"/>
              <w:tr2bl w:val="nil"/>
            </w:tcBorders>
            <w:tcMar>
              <w:left w:w="60" w:type="dxa"/>
              <w:right w:w="60" w:type="dxa"/>
            </w:tcMar>
            <w:vAlign w:val="center"/>
          </w:tcPr>
          <w:p>
            <w:pPr>
              <w:pStyle w:val="DMETW36743BIPBS"/>
              <w:rPr>
                <w:rFonts w:ascii="Verdana" w:eastAsia="Verdana" w:hAnsi="Verdana" w:cs="Verdana"/>
                <w:i/>
                <w:noProof/>
                <w:color w:val="000000"/>
                <w:sz w:val="18"/>
              </w:rPr>
            </w:pPr>
            <w:r>
              <w:rPr>
                <w:rFonts w:ascii="Verdana" w:hAnsi="Verdana"/>
                <w:i/>
                <w:noProof/>
                <w:color w:val="000000"/>
                <w:sz w:val="18"/>
              </w:rPr>
              <w:t>Montants à appeler auprès des États membres*</w:t>
            </w:r>
          </w:p>
        </w:tc>
        <w:tc>
          <w:tcPr>
            <w:tcW w:w="1363" w:type="dxa"/>
            <w:tcBorders>
              <w:top w:val="nil"/>
              <w:left w:val="nil"/>
              <w:bottom w:val="nil"/>
              <w:right w:val="nil"/>
              <w:tl2br w:val="nil"/>
              <w:tr2bl w:val="nil"/>
            </w:tcBorders>
            <w:tcMar>
              <w:left w:w="60" w:type="dxa"/>
              <w:right w:w="60" w:type="dxa"/>
            </w:tcMar>
            <w:vAlign w:val="center"/>
          </w:tcPr>
          <w:p>
            <w:pPr>
              <w:pStyle w:val="DMETW36743BIPBS"/>
              <w:jc w:val="center"/>
              <w:rPr>
                <w:rFonts w:ascii="Verdana" w:eastAsia="Verdana" w:hAnsi="Verdana" w:cs="Verdana"/>
                <w:i/>
                <w:noProof/>
                <w:color w:val="000000"/>
                <w:sz w:val="18"/>
              </w:rPr>
            </w:pPr>
            <w:r>
              <w:rPr>
                <w:rFonts w:ascii="Verdana" w:hAnsi="Verdana"/>
                <w:i/>
                <w:noProof/>
                <w:color w:val="000000"/>
                <w:sz w:val="18"/>
              </w:rPr>
              <w:t>2.15</w:t>
            </w: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(360 108)</w:t>
            </w: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(309 810)</w:t>
            </w:r>
          </w:p>
        </w:tc>
      </w:tr>
      <w:tr>
        <w:trPr>
          <w:trHeight w:hRule="exact" w:val="255"/>
        </w:trPr>
        <w:tc>
          <w:tcPr>
            <w:tcW w:w="5669" w:type="dxa"/>
            <w:tcBorders>
              <w:top w:val="nil"/>
              <w:left w:val="nil"/>
              <w:bottom w:val="nil"/>
              <w:right w:val="nil"/>
              <w:tl2br w:val="nil"/>
              <w:tr2bl w:val="nil"/>
            </w:tcBorders>
            <w:shd w:val="solid" w:color="CCE1EA" w:fill="FFFFFF"/>
            <w:tcMar>
              <w:left w:w="60" w:type="dxa"/>
              <w:right w:w="60" w:type="dxa"/>
            </w:tcMar>
            <w:vAlign w:val="center"/>
          </w:tcPr>
          <w:p>
            <w:pPr>
              <w:pStyle w:val="DMETW36743BIPBS"/>
              <w:rPr>
                <w:rFonts w:ascii="Verdana" w:eastAsia="Verdana" w:hAnsi="Verdana" w:cs="Verdana"/>
                <w:b/>
                <w:noProof/>
                <w:color w:val="000000"/>
                <w:sz w:val="18"/>
              </w:rPr>
            </w:pPr>
            <w:r>
              <w:rPr>
                <w:rFonts w:ascii="Verdana" w:hAnsi="Verdana"/>
                <w:b/>
                <w:noProof/>
                <w:color w:val="000000"/>
                <w:sz w:val="18"/>
              </w:rPr>
              <w:t>ACTIF NET</w:t>
            </w:r>
          </w:p>
        </w:tc>
        <w:tc>
          <w:tcPr>
            <w:tcW w:w="1363" w:type="dxa"/>
            <w:tcBorders>
              <w:top w:val="nil"/>
              <w:left w:val="nil"/>
              <w:bottom w:val="nil"/>
              <w:right w:val="nil"/>
              <w:tl2br w:val="nil"/>
              <w:tr2bl w:val="nil"/>
            </w:tcBorders>
            <w:shd w:val="solid" w:color="CCE1EA" w:fill="FFFFFF"/>
            <w:tcMar>
              <w:left w:w="60" w:type="dxa"/>
              <w:right w:w="60" w:type="dxa"/>
            </w:tcMar>
            <w:vAlign w:val="center"/>
          </w:tcPr>
          <w:p>
            <w:pPr>
              <w:pStyle w:val="DMETW36743BIPBS"/>
              <w:jc w:val="center"/>
              <w:rPr>
                <w:rFonts w:ascii="Verdana" w:eastAsia="Verdana" w:hAnsi="Verdana" w:cs="Verdana"/>
                <w:noProof/>
                <w:color w:val="000000"/>
                <w:sz w:val="18"/>
              </w:rPr>
            </w:pPr>
          </w:p>
        </w:tc>
        <w:tc>
          <w:tcPr>
            <w:tcW w:w="1363" w:type="dxa"/>
            <w:tcBorders>
              <w:top w:val="nil"/>
              <w:left w:val="nil"/>
              <w:bottom w:val="nil"/>
              <w:right w:val="nil"/>
              <w:tl2br w:val="nil"/>
              <w:tr2bl w:val="nil"/>
            </w:tcBorders>
            <w:shd w:val="solid" w:color="CCE1EA" w:fill="FFFFFF"/>
            <w:tcMar>
              <w:left w:w="60" w:type="dxa"/>
              <w:right w:w="60" w:type="dxa"/>
            </w:tcMar>
            <w:vAlign w:val="center"/>
          </w:tcPr>
          <w:p>
            <w:pPr>
              <w:pStyle w:val="DMETW36743BIPBS"/>
              <w:jc w:val="right"/>
              <w:rPr>
                <w:rFonts w:ascii="Verdana" w:eastAsia="Verdana" w:hAnsi="Verdana" w:cs="Verdana"/>
                <w:b/>
                <w:noProof/>
                <w:color w:val="000000"/>
                <w:sz w:val="18"/>
              </w:rPr>
            </w:pPr>
            <w:r>
              <w:rPr>
                <w:rFonts w:ascii="Verdana" w:hAnsi="Verdana"/>
                <w:b/>
                <w:noProof/>
                <w:color w:val="000000"/>
                <w:sz w:val="18"/>
              </w:rPr>
              <w:t>(359 167)</w:t>
            </w:r>
          </w:p>
        </w:tc>
        <w:tc>
          <w:tcPr>
            <w:tcW w:w="1363" w:type="dxa"/>
            <w:tcBorders>
              <w:top w:val="nil"/>
              <w:left w:val="nil"/>
              <w:bottom w:val="nil"/>
              <w:right w:val="nil"/>
              <w:tl2br w:val="nil"/>
              <w:tr2bl w:val="nil"/>
            </w:tcBorders>
            <w:shd w:val="solid" w:color="CCE1EA" w:fill="FFFFFF"/>
            <w:tcMar>
              <w:left w:w="60" w:type="dxa"/>
              <w:right w:w="60" w:type="dxa"/>
            </w:tcMar>
            <w:vAlign w:val="center"/>
          </w:tcPr>
          <w:p>
            <w:pPr>
              <w:pStyle w:val="DMETW36743BIPBS"/>
              <w:jc w:val="right"/>
              <w:rPr>
                <w:rFonts w:ascii="Verdana" w:eastAsia="Verdana" w:hAnsi="Verdana" w:cs="Verdana"/>
                <w:b/>
                <w:noProof/>
                <w:color w:val="000000"/>
                <w:sz w:val="18"/>
              </w:rPr>
            </w:pPr>
            <w:r>
              <w:rPr>
                <w:rFonts w:ascii="Verdana" w:hAnsi="Verdana"/>
                <w:b/>
                <w:noProof/>
                <w:color w:val="000000"/>
                <w:sz w:val="18"/>
              </w:rPr>
              <w:t>(308 824)</w:t>
            </w:r>
          </w:p>
        </w:tc>
      </w:tr>
    </w:tbl>
    <w:p>
      <w:pPr>
        <w:pStyle w:val="Textstand-alone"/>
        <w:tabs>
          <w:tab w:val="left" w:pos="170"/>
        </w:tabs>
        <w:spacing w:before="60"/>
        <w:ind w:left="170" w:hanging="170"/>
        <w:rPr>
          <w:i/>
          <w:sz w:val="14"/>
        </w:rPr>
      </w:pPr>
      <w:r>
        <w:rPr>
          <w:i/>
          <w:sz w:val="14"/>
        </w:rPr>
        <w:t>*</w:t>
      </w:r>
      <w:r>
        <w:rPr>
          <w:i/>
          <w:sz w:val="14"/>
        </w:rPr>
        <w:tab/>
        <w:t>Le Parlement européen a adopté, le 26 novembre 2025, un budget prévoyant que le paiement des dettes à court terme de l’UE doit être assuré sur des ressources propres à percevoir par les États membres ou à appeler auprès de ceux-ci au cours de l’année suivante. De plus, en vertu de l’article 83 du statut [règlement (CEE, Euratom, CECA) nº 259/68 du Conseil (JO L 56 du 4.3.1968, p. 1) du 29 février 1968, tel que modifié], les États membres garantissent collectivement le paiement des prestations de pension.</w:t>
      </w:r>
    </w:p>
    <w:bookmarkEnd w:id="56"/>
    <w:p>
      <w:pPr>
        <w:pStyle w:val="Textstand-alone"/>
        <w:rPr>
          <w:i/>
        </w:rPr>
        <w:sectPr>
          <w:headerReference w:type="default" r:id="rId51"/>
          <w:footerReference w:type="default" r:id="rId52"/>
          <w:pgSz w:w="11906" w:h="16838"/>
          <w:pgMar w:top="1134" w:right="1134" w:bottom="1134" w:left="1134" w:header="709" w:footer="709" w:gutter="0"/>
          <w:cols w:space="708"/>
          <w:docGrid w:linePitch="360"/>
        </w:sectPr>
      </w:pPr>
    </w:p>
    <w:p>
      <w:pPr>
        <w:pStyle w:val="HEADERTITLE1"/>
        <w:spacing w:after="0"/>
      </w:pPr>
      <w:bookmarkStart w:id="58" w:name="_Toc237348408"/>
      <w:bookmarkStart w:id="59" w:name="_Toc237350929"/>
      <w:bookmarkStart w:id="60" w:name="_DMBM_36695"/>
      <w:r>
        <w:lastRenderedPageBreak/>
        <w:t>COMPTE DE RÉSULTAT ÉCONOMIQUE</w:t>
      </w:r>
      <w:bookmarkEnd w:id="58"/>
      <w:bookmarkEnd w:id="59"/>
    </w:p>
    <w:p>
      <w:pPr>
        <w:pStyle w:val="HEADERTITLE1"/>
        <w:spacing w:after="0"/>
        <w:rPr>
          <w:lang w:val="fr-B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25"/>
        <w:gridCol w:w="846"/>
        <w:gridCol w:w="1743"/>
        <w:gridCol w:w="1444"/>
      </w:tblGrid>
      <w:tr>
        <w:trPr>
          <w:trHeight w:val="255"/>
        </w:trPr>
        <w:tc>
          <w:tcPr>
            <w:tcW w:w="5725" w:type="dxa"/>
            <w:tcBorders>
              <w:top w:val="nil"/>
              <w:left w:val="nil"/>
              <w:bottom w:val="nil"/>
              <w:right w:val="nil"/>
              <w:tl2br w:val="nil"/>
              <w:tr2bl w:val="nil"/>
            </w:tcBorders>
            <w:tcMar>
              <w:left w:w="60" w:type="dxa"/>
              <w:right w:w="60" w:type="dxa"/>
            </w:tcMar>
            <w:vAlign w:val="center"/>
          </w:tcPr>
          <w:p>
            <w:pPr>
              <w:pStyle w:val="DMETW36757BIPSOFP"/>
              <w:rPr>
                <w:rFonts w:ascii="Verdana" w:eastAsia="Verdana" w:hAnsi="Verdana" w:cs="Verdana"/>
                <w:i/>
                <w:noProof/>
                <w:color w:val="FFFFFF"/>
                <w:sz w:val="16"/>
              </w:rPr>
            </w:pPr>
            <w:bookmarkStart w:id="61" w:name="DOC_TBL00002_1_1"/>
            <w:bookmarkEnd w:id="61"/>
          </w:p>
        </w:tc>
        <w:tc>
          <w:tcPr>
            <w:tcW w:w="846" w:type="dxa"/>
            <w:tcBorders>
              <w:top w:val="nil"/>
              <w:left w:val="nil"/>
              <w:bottom w:val="nil"/>
              <w:right w:val="nil"/>
              <w:tl2br w:val="nil"/>
              <w:tr2bl w:val="nil"/>
            </w:tcBorders>
            <w:tcMar>
              <w:left w:w="60" w:type="dxa"/>
              <w:right w:w="60" w:type="dxa"/>
            </w:tcMar>
            <w:vAlign w:val="bottom"/>
          </w:tcPr>
          <w:p>
            <w:pPr>
              <w:pStyle w:val="DMETW36757BIPSOFP"/>
              <w:rPr>
                <w:rFonts w:ascii="Arial" w:eastAsia="Arial" w:hAnsi="Arial" w:cs="Arial"/>
                <w:noProof/>
                <w:color w:val="000000"/>
              </w:rPr>
            </w:pPr>
          </w:p>
        </w:tc>
        <w:tc>
          <w:tcPr>
            <w:tcW w:w="1743" w:type="dxa"/>
            <w:tcBorders>
              <w:top w:val="nil"/>
              <w:left w:val="nil"/>
              <w:bottom w:val="nil"/>
              <w:right w:val="nil"/>
              <w:tl2br w:val="nil"/>
              <w:tr2bl w:val="nil"/>
            </w:tcBorders>
            <w:tcMar>
              <w:left w:w="60" w:type="dxa"/>
              <w:right w:w="60" w:type="dxa"/>
            </w:tcMar>
            <w:vAlign w:val="bottom"/>
          </w:tcPr>
          <w:p>
            <w:pPr>
              <w:pStyle w:val="DMETW36757BIPSOFP"/>
              <w:rPr>
                <w:rFonts w:ascii="Arial" w:eastAsia="Arial" w:hAnsi="Arial" w:cs="Arial"/>
                <w:noProof/>
                <w:color w:val="000000"/>
              </w:rPr>
            </w:pPr>
          </w:p>
        </w:tc>
        <w:tc>
          <w:tcPr>
            <w:tcW w:w="1444"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6"/>
              </w:rPr>
            </w:pPr>
            <w:r>
              <w:rPr>
                <w:rFonts w:ascii="Verdana" w:hAnsi="Verdana"/>
                <w:i/>
                <w:noProof/>
                <w:color w:val="000000"/>
                <w:sz w:val="16"/>
              </w:rPr>
              <w:t>en Mio EUR</w:t>
            </w:r>
          </w:p>
        </w:tc>
      </w:tr>
      <w:tr>
        <w:trPr>
          <w:trHeight w:val="255"/>
        </w:trPr>
        <w:tc>
          <w:tcPr>
            <w:tcW w:w="5725" w:type="dxa"/>
            <w:tcBorders>
              <w:top w:val="nil"/>
              <w:left w:val="nil"/>
              <w:bottom w:val="nil"/>
              <w:right w:val="nil"/>
              <w:tl2br w:val="nil"/>
              <w:tr2bl w:val="nil"/>
            </w:tcBorders>
            <w:shd w:val="solid" w:color="016794" w:fill="FFFFFF"/>
            <w:tcMar>
              <w:left w:w="60" w:type="dxa"/>
              <w:right w:w="60" w:type="dxa"/>
            </w:tcMar>
            <w:vAlign w:val="center"/>
          </w:tcPr>
          <w:p>
            <w:pPr>
              <w:pStyle w:val="DMETW36757BIPSOFP"/>
              <w:rPr>
                <w:rFonts w:ascii="Verdana" w:eastAsia="Verdana" w:hAnsi="Verdana" w:cs="Verdana"/>
                <w:noProof/>
                <w:color w:val="FFFFFF"/>
              </w:rPr>
            </w:pPr>
          </w:p>
        </w:tc>
        <w:tc>
          <w:tcPr>
            <w:tcW w:w="846" w:type="dxa"/>
            <w:tcBorders>
              <w:top w:val="nil"/>
              <w:left w:val="nil"/>
              <w:bottom w:val="nil"/>
              <w:right w:val="nil"/>
              <w:tl2br w:val="nil"/>
              <w:tr2bl w:val="nil"/>
            </w:tcBorders>
            <w:shd w:val="solid" w:color="016794" w:fill="FFFFFF"/>
            <w:tcMar>
              <w:left w:w="60" w:type="dxa"/>
              <w:right w:w="60" w:type="dxa"/>
            </w:tcMar>
            <w:vAlign w:val="center"/>
          </w:tcPr>
          <w:p>
            <w:pPr>
              <w:pStyle w:val="DMETW36757BIPSOFP"/>
              <w:jc w:val="center"/>
              <w:rPr>
                <w:rFonts w:ascii="Verdana" w:eastAsia="Verdana" w:hAnsi="Verdana" w:cs="Verdana"/>
                <w:noProof/>
                <w:color w:val="FFFFFF"/>
              </w:rPr>
            </w:pPr>
            <w:r>
              <w:rPr>
                <w:rFonts w:ascii="Verdana" w:hAnsi="Verdana"/>
                <w:noProof/>
                <w:color w:val="FFFFFF"/>
              </w:rPr>
              <w:t>Note</w:t>
            </w:r>
          </w:p>
        </w:tc>
        <w:tc>
          <w:tcPr>
            <w:tcW w:w="1743" w:type="dxa"/>
            <w:tcBorders>
              <w:top w:val="nil"/>
              <w:left w:val="nil"/>
              <w:bottom w:val="nil"/>
              <w:right w:val="nil"/>
              <w:tl2br w:val="nil"/>
              <w:tr2bl w:val="nil"/>
            </w:tcBorders>
            <w:shd w:val="solid" w:color="016794" w:fill="FFFFFF"/>
            <w:tcMar>
              <w:left w:w="60" w:type="dxa"/>
              <w:right w:w="60" w:type="dxa"/>
            </w:tcMar>
            <w:vAlign w:val="center"/>
          </w:tcPr>
          <w:p>
            <w:pPr>
              <w:pStyle w:val="DMETW36757BIPSOFP"/>
              <w:jc w:val="right"/>
              <w:rPr>
                <w:rFonts w:ascii="Verdana" w:eastAsia="Verdana" w:hAnsi="Verdana" w:cs="Verdana"/>
                <w:noProof/>
                <w:color w:val="FFFFFF"/>
              </w:rPr>
            </w:pPr>
            <w:r>
              <w:rPr>
                <w:rFonts w:ascii="Verdana" w:hAnsi="Verdana"/>
                <w:noProof/>
                <w:color w:val="FFFFFF"/>
              </w:rPr>
              <w:t>2025</w:t>
            </w:r>
          </w:p>
        </w:tc>
        <w:tc>
          <w:tcPr>
            <w:tcW w:w="1444" w:type="dxa"/>
            <w:tcBorders>
              <w:top w:val="nil"/>
              <w:left w:val="nil"/>
              <w:bottom w:val="nil"/>
              <w:right w:val="nil"/>
              <w:tl2br w:val="nil"/>
              <w:tr2bl w:val="nil"/>
            </w:tcBorders>
            <w:shd w:val="solid" w:color="016794" w:fill="FFFFFF"/>
            <w:tcMar>
              <w:left w:w="60" w:type="dxa"/>
              <w:right w:w="60" w:type="dxa"/>
            </w:tcMar>
            <w:vAlign w:val="center"/>
          </w:tcPr>
          <w:p>
            <w:pPr>
              <w:pStyle w:val="DMETW36757BIPSOFP"/>
              <w:jc w:val="right"/>
              <w:rPr>
                <w:rFonts w:ascii="Verdana" w:eastAsia="Verdana" w:hAnsi="Verdana" w:cs="Verdana"/>
                <w:noProof/>
                <w:color w:val="FFFFFF"/>
              </w:rPr>
            </w:pPr>
            <w:r>
              <w:rPr>
                <w:rFonts w:ascii="Verdana" w:hAnsi="Verdana"/>
                <w:noProof/>
                <w:color w:val="FFFFFF"/>
              </w:rPr>
              <w:t xml:space="preserve">2024     </w:t>
            </w:r>
          </w:p>
        </w:tc>
      </w:tr>
      <w:tr>
        <w:trPr>
          <w:trHeight w:val="255"/>
        </w:trPr>
        <w:tc>
          <w:tcPr>
            <w:tcW w:w="5725" w:type="dxa"/>
            <w:tcBorders>
              <w:top w:val="nil"/>
              <w:left w:val="nil"/>
              <w:bottom w:val="nil"/>
              <w:right w:val="nil"/>
              <w:tl2br w:val="nil"/>
              <w:tr2bl w:val="nil"/>
            </w:tcBorders>
            <w:shd w:val="solid" w:color="016794" w:fill="FFFFFF"/>
            <w:tcMar>
              <w:left w:w="60" w:type="dxa"/>
              <w:right w:w="60" w:type="dxa"/>
            </w:tcMar>
            <w:vAlign w:val="center"/>
          </w:tcPr>
          <w:p>
            <w:pPr>
              <w:pStyle w:val="DMETW36757BIPSOFP"/>
              <w:rPr>
                <w:rFonts w:ascii="Verdana" w:eastAsia="Verdana" w:hAnsi="Verdana" w:cs="Verdana"/>
                <w:noProof/>
                <w:color w:val="FFFFFF"/>
              </w:rPr>
            </w:pPr>
          </w:p>
        </w:tc>
        <w:tc>
          <w:tcPr>
            <w:tcW w:w="846" w:type="dxa"/>
            <w:tcBorders>
              <w:top w:val="nil"/>
              <w:left w:val="nil"/>
              <w:bottom w:val="nil"/>
              <w:right w:val="nil"/>
              <w:tl2br w:val="nil"/>
              <w:tr2bl w:val="nil"/>
            </w:tcBorders>
            <w:shd w:val="solid" w:color="016794" w:fill="FFFFFF"/>
            <w:tcMar>
              <w:left w:w="60" w:type="dxa"/>
              <w:right w:w="60" w:type="dxa"/>
            </w:tcMar>
            <w:vAlign w:val="center"/>
          </w:tcPr>
          <w:p>
            <w:pPr>
              <w:pStyle w:val="DMETW36757BIPSOFP"/>
              <w:jc w:val="center"/>
              <w:rPr>
                <w:rFonts w:ascii="Verdana" w:eastAsia="Verdana" w:hAnsi="Verdana" w:cs="Verdana"/>
                <w:noProof/>
                <w:color w:val="FFFFFF"/>
              </w:rPr>
            </w:pPr>
          </w:p>
        </w:tc>
        <w:tc>
          <w:tcPr>
            <w:tcW w:w="1743" w:type="dxa"/>
            <w:tcBorders>
              <w:top w:val="nil"/>
              <w:left w:val="nil"/>
              <w:bottom w:val="nil"/>
              <w:right w:val="nil"/>
              <w:tl2br w:val="nil"/>
              <w:tr2bl w:val="nil"/>
            </w:tcBorders>
            <w:shd w:val="solid" w:color="016794" w:fill="FFFFFF"/>
            <w:tcMar>
              <w:left w:w="60" w:type="dxa"/>
              <w:right w:w="60" w:type="dxa"/>
            </w:tcMar>
            <w:vAlign w:val="center"/>
          </w:tcPr>
          <w:p>
            <w:pPr>
              <w:pStyle w:val="DMETW36757BIPSOFP"/>
              <w:jc w:val="right"/>
              <w:rPr>
                <w:rFonts w:ascii="Verdana" w:eastAsia="Verdana" w:hAnsi="Verdana" w:cs="Verdana"/>
                <w:noProof/>
                <w:color w:val="FFFFFF"/>
              </w:rPr>
            </w:pPr>
          </w:p>
        </w:tc>
        <w:tc>
          <w:tcPr>
            <w:tcW w:w="1444" w:type="dxa"/>
            <w:tcBorders>
              <w:top w:val="nil"/>
              <w:left w:val="nil"/>
              <w:bottom w:val="nil"/>
              <w:right w:val="nil"/>
              <w:tl2br w:val="nil"/>
              <w:tr2bl w:val="nil"/>
            </w:tcBorders>
            <w:shd w:val="solid" w:color="016794" w:fill="FFFFFF"/>
            <w:tcMar>
              <w:left w:w="60" w:type="dxa"/>
              <w:right w:w="60" w:type="dxa"/>
            </w:tcMar>
            <w:vAlign w:val="center"/>
          </w:tcPr>
          <w:p>
            <w:pPr>
              <w:pStyle w:val="DMETW36757BIPSOFP"/>
              <w:jc w:val="right"/>
              <w:rPr>
                <w:rFonts w:ascii="Verdana" w:eastAsia="Verdana" w:hAnsi="Verdana" w:cs="Verdana"/>
                <w:noProof/>
                <w:color w:val="FFFFFF"/>
              </w:rPr>
            </w:pPr>
            <w:r>
              <w:rPr>
                <w:rFonts w:ascii="Verdana" w:hAnsi="Verdana"/>
                <w:noProof/>
                <w:color w:val="FFFFFF"/>
              </w:rPr>
              <w:t>(reclassé)</w:t>
            </w:r>
          </w:p>
        </w:tc>
      </w:tr>
      <w:tr>
        <w:trPr>
          <w:trHeight w:val="255"/>
        </w:trPr>
        <w:tc>
          <w:tcPr>
            <w:tcW w:w="5725" w:type="dxa"/>
            <w:tcBorders>
              <w:top w:val="nil"/>
              <w:left w:val="nil"/>
              <w:bottom w:val="nil"/>
              <w:right w:val="nil"/>
              <w:tl2br w:val="nil"/>
              <w:tr2bl w:val="nil"/>
            </w:tcBorders>
            <w:tcMar>
              <w:left w:w="60" w:type="dxa"/>
              <w:right w:w="60" w:type="dxa"/>
            </w:tcMar>
            <w:vAlign w:val="center"/>
          </w:tcPr>
          <w:p>
            <w:pPr>
              <w:pStyle w:val="DMETW36757BIPSOFP"/>
              <w:rPr>
                <w:rFonts w:ascii="Verdana" w:eastAsia="Verdana" w:hAnsi="Verdana" w:cs="Verdana"/>
                <w:b/>
                <w:noProof/>
                <w:color w:val="000000"/>
                <w:sz w:val="18"/>
              </w:rPr>
            </w:pPr>
            <w:r>
              <w:rPr>
                <w:rFonts w:ascii="Verdana" w:hAnsi="Verdana"/>
                <w:b/>
                <w:noProof/>
                <w:color w:val="000000"/>
                <w:sz w:val="18"/>
              </w:rPr>
              <w:t>RECETTES</w:t>
            </w:r>
          </w:p>
        </w:tc>
        <w:tc>
          <w:tcPr>
            <w:tcW w:w="846" w:type="dxa"/>
            <w:tcBorders>
              <w:top w:val="nil"/>
              <w:left w:val="nil"/>
              <w:bottom w:val="nil"/>
              <w:right w:val="nil"/>
              <w:tl2br w:val="nil"/>
              <w:tr2bl w:val="nil"/>
            </w:tcBorders>
            <w:tcMar>
              <w:left w:w="60" w:type="dxa"/>
              <w:right w:w="60" w:type="dxa"/>
            </w:tcMar>
            <w:vAlign w:val="bottom"/>
          </w:tcPr>
          <w:p>
            <w:pPr>
              <w:pStyle w:val="DMETW36757BIPSOFP"/>
              <w:jc w:val="center"/>
              <w:rPr>
                <w:rFonts w:ascii="Verdana" w:eastAsia="Verdana" w:hAnsi="Verdana" w:cs="Verdana"/>
                <w:b/>
                <w:i/>
                <w:noProof/>
                <w:color w:val="000000"/>
                <w:sz w:val="18"/>
              </w:rPr>
            </w:pPr>
          </w:p>
        </w:tc>
        <w:tc>
          <w:tcPr>
            <w:tcW w:w="1743" w:type="dxa"/>
            <w:tcBorders>
              <w:top w:val="nil"/>
              <w:left w:val="nil"/>
              <w:bottom w:val="nil"/>
              <w:right w:val="nil"/>
              <w:tl2br w:val="nil"/>
              <w:tr2bl w:val="nil"/>
            </w:tcBorders>
            <w:tcMar>
              <w:left w:w="60" w:type="dxa"/>
              <w:right w:w="60" w:type="dxa"/>
            </w:tcMar>
            <w:vAlign w:val="bottom"/>
          </w:tcPr>
          <w:p>
            <w:pPr>
              <w:pStyle w:val="DMETW36757BIPSOFP"/>
              <w:jc w:val="right"/>
              <w:rPr>
                <w:rFonts w:ascii="Arial" w:eastAsia="Arial" w:hAnsi="Arial" w:cs="Arial"/>
                <w:noProof/>
                <w:color w:val="000000"/>
              </w:rPr>
            </w:pPr>
          </w:p>
        </w:tc>
        <w:tc>
          <w:tcPr>
            <w:tcW w:w="1444" w:type="dxa"/>
            <w:tcBorders>
              <w:top w:val="nil"/>
              <w:left w:val="nil"/>
              <w:bottom w:val="nil"/>
              <w:right w:val="nil"/>
              <w:tl2br w:val="nil"/>
              <w:tr2bl w:val="nil"/>
            </w:tcBorders>
            <w:tcMar>
              <w:left w:w="60" w:type="dxa"/>
              <w:right w:w="60" w:type="dxa"/>
            </w:tcMar>
            <w:vAlign w:val="bottom"/>
          </w:tcPr>
          <w:p>
            <w:pPr>
              <w:pStyle w:val="DMETW36757BIPSOFP"/>
              <w:jc w:val="right"/>
              <w:rPr>
                <w:rFonts w:ascii="Arial" w:eastAsia="Arial" w:hAnsi="Arial" w:cs="Arial"/>
                <w:noProof/>
                <w:color w:val="000000"/>
                <w:lang w:bidi="en-GB"/>
              </w:rPr>
            </w:pPr>
          </w:p>
        </w:tc>
      </w:tr>
      <w:tr>
        <w:trPr>
          <w:trHeight w:val="255"/>
        </w:trPr>
        <w:tc>
          <w:tcPr>
            <w:tcW w:w="5725" w:type="dxa"/>
            <w:tcBorders>
              <w:top w:val="nil"/>
              <w:left w:val="nil"/>
              <w:bottom w:val="nil"/>
              <w:right w:val="nil"/>
              <w:tl2br w:val="nil"/>
              <w:tr2bl w:val="nil"/>
            </w:tcBorders>
            <w:tcMar>
              <w:left w:w="60" w:type="dxa"/>
              <w:right w:w="60" w:type="dxa"/>
            </w:tcMar>
            <w:vAlign w:val="center"/>
          </w:tcPr>
          <w:p>
            <w:pPr>
              <w:pStyle w:val="DMETW36757BIPSOFP"/>
              <w:rPr>
                <w:rFonts w:ascii="Verdana" w:eastAsia="Verdana" w:hAnsi="Verdana" w:cs="Verdana"/>
                <w:b/>
                <w:noProof/>
                <w:color w:val="000000"/>
                <w:sz w:val="18"/>
              </w:rPr>
            </w:pPr>
            <w:r>
              <w:rPr>
                <w:rFonts w:ascii="Verdana" w:hAnsi="Verdana"/>
                <w:b/>
                <w:noProof/>
                <w:color w:val="000000"/>
                <w:sz w:val="18"/>
              </w:rPr>
              <w:t>Produits des opérations sans contrepartie directe</w:t>
            </w:r>
          </w:p>
        </w:tc>
        <w:tc>
          <w:tcPr>
            <w:tcW w:w="846" w:type="dxa"/>
            <w:tcBorders>
              <w:top w:val="nil"/>
              <w:left w:val="nil"/>
              <w:bottom w:val="nil"/>
              <w:right w:val="nil"/>
              <w:tl2br w:val="nil"/>
              <w:tr2bl w:val="nil"/>
            </w:tcBorders>
            <w:tcMar>
              <w:left w:w="60" w:type="dxa"/>
              <w:right w:w="60" w:type="dxa"/>
            </w:tcMar>
            <w:vAlign w:val="bottom"/>
          </w:tcPr>
          <w:p>
            <w:pPr>
              <w:pStyle w:val="DMETW36757BIPSOFP"/>
              <w:jc w:val="center"/>
              <w:rPr>
                <w:rFonts w:ascii="Verdana" w:eastAsia="Verdana" w:hAnsi="Verdana" w:cs="Verdana"/>
                <w:i/>
                <w:noProof/>
                <w:color w:val="000000"/>
                <w:sz w:val="18"/>
              </w:rPr>
            </w:pPr>
          </w:p>
        </w:tc>
        <w:tc>
          <w:tcPr>
            <w:tcW w:w="1743"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p>
        </w:tc>
        <w:tc>
          <w:tcPr>
            <w:tcW w:w="1444"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lang w:bidi="en-GB"/>
              </w:rPr>
            </w:pPr>
          </w:p>
        </w:tc>
      </w:tr>
      <w:tr>
        <w:trPr>
          <w:trHeight w:val="255"/>
        </w:trPr>
        <w:tc>
          <w:tcPr>
            <w:tcW w:w="5725" w:type="dxa"/>
            <w:tcBorders>
              <w:top w:val="nil"/>
              <w:left w:val="nil"/>
              <w:bottom w:val="nil"/>
              <w:right w:val="nil"/>
              <w:tl2br w:val="nil"/>
              <w:tr2bl w:val="nil"/>
            </w:tcBorders>
            <w:tcMar>
              <w:left w:w="60" w:type="dxa"/>
              <w:right w:w="60" w:type="dxa"/>
            </w:tcMar>
            <w:vAlign w:val="center"/>
          </w:tcPr>
          <w:p>
            <w:pPr>
              <w:pStyle w:val="DMETW36757BIPSOFP"/>
              <w:rPr>
                <w:rFonts w:ascii="Verdana" w:eastAsia="Verdana" w:hAnsi="Verdana" w:cs="Verdana"/>
                <w:i/>
                <w:noProof/>
                <w:color w:val="000000"/>
                <w:sz w:val="18"/>
              </w:rPr>
            </w:pPr>
            <w:r>
              <w:rPr>
                <w:rFonts w:ascii="Verdana" w:hAnsi="Verdana"/>
                <w:i/>
                <w:noProof/>
                <w:color w:val="000000"/>
                <w:sz w:val="18"/>
              </w:rPr>
              <w:t>Ressources RNB</w:t>
            </w:r>
          </w:p>
        </w:tc>
        <w:tc>
          <w:tcPr>
            <w:tcW w:w="846" w:type="dxa"/>
            <w:tcBorders>
              <w:top w:val="nil"/>
              <w:left w:val="nil"/>
              <w:bottom w:val="nil"/>
              <w:right w:val="nil"/>
              <w:tl2br w:val="nil"/>
              <w:tr2bl w:val="nil"/>
            </w:tcBorders>
            <w:tcMar>
              <w:left w:w="60" w:type="dxa"/>
              <w:right w:w="60" w:type="dxa"/>
            </w:tcMar>
            <w:vAlign w:val="bottom"/>
          </w:tcPr>
          <w:p>
            <w:pPr>
              <w:pStyle w:val="DMETW36757BIPSOFP"/>
              <w:jc w:val="center"/>
              <w:rPr>
                <w:rFonts w:ascii="Verdana" w:eastAsia="Verdana" w:hAnsi="Verdana" w:cs="Verdana"/>
                <w:i/>
                <w:noProof/>
                <w:color w:val="000000"/>
                <w:sz w:val="18"/>
              </w:rPr>
            </w:pPr>
            <w:r>
              <w:rPr>
                <w:rFonts w:ascii="Verdana" w:hAnsi="Verdana"/>
                <w:i/>
                <w:noProof/>
                <w:color w:val="000000"/>
                <w:sz w:val="18"/>
              </w:rPr>
              <w:t>3.1</w:t>
            </w:r>
          </w:p>
        </w:tc>
        <w:tc>
          <w:tcPr>
            <w:tcW w:w="1743"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106 342</w:t>
            </w:r>
          </w:p>
        </w:tc>
        <w:tc>
          <w:tcPr>
            <w:tcW w:w="1444"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95 037</w:t>
            </w:r>
          </w:p>
        </w:tc>
      </w:tr>
      <w:tr>
        <w:trPr>
          <w:trHeight w:val="255"/>
        </w:trPr>
        <w:tc>
          <w:tcPr>
            <w:tcW w:w="5725" w:type="dxa"/>
            <w:tcBorders>
              <w:top w:val="nil"/>
              <w:left w:val="nil"/>
              <w:bottom w:val="nil"/>
              <w:right w:val="nil"/>
              <w:tl2br w:val="nil"/>
              <w:tr2bl w:val="nil"/>
            </w:tcBorders>
            <w:tcMar>
              <w:left w:w="60" w:type="dxa"/>
              <w:right w:w="60" w:type="dxa"/>
            </w:tcMar>
            <w:vAlign w:val="center"/>
          </w:tcPr>
          <w:p>
            <w:pPr>
              <w:pStyle w:val="DMETW36757BIPSOFP"/>
              <w:rPr>
                <w:rFonts w:ascii="Verdana" w:eastAsia="Verdana" w:hAnsi="Verdana" w:cs="Verdana"/>
                <w:i/>
                <w:noProof/>
                <w:color w:val="000000"/>
                <w:sz w:val="18"/>
              </w:rPr>
            </w:pPr>
            <w:r>
              <w:rPr>
                <w:rFonts w:ascii="Verdana" w:hAnsi="Verdana"/>
                <w:i/>
                <w:noProof/>
                <w:color w:val="000000"/>
                <w:sz w:val="18"/>
              </w:rPr>
              <w:t>Ressources propres traditionnelles</w:t>
            </w:r>
          </w:p>
        </w:tc>
        <w:tc>
          <w:tcPr>
            <w:tcW w:w="846" w:type="dxa"/>
            <w:tcBorders>
              <w:top w:val="nil"/>
              <w:left w:val="nil"/>
              <w:bottom w:val="nil"/>
              <w:right w:val="nil"/>
              <w:tl2br w:val="nil"/>
              <w:tr2bl w:val="nil"/>
            </w:tcBorders>
            <w:tcMar>
              <w:left w:w="60" w:type="dxa"/>
              <w:right w:w="60" w:type="dxa"/>
            </w:tcMar>
            <w:vAlign w:val="bottom"/>
          </w:tcPr>
          <w:p>
            <w:pPr>
              <w:pStyle w:val="DMETW36757BIPSOFP"/>
              <w:jc w:val="center"/>
              <w:rPr>
                <w:rFonts w:ascii="Verdana" w:eastAsia="Verdana" w:hAnsi="Verdana" w:cs="Verdana"/>
                <w:i/>
                <w:noProof/>
                <w:color w:val="000000"/>
                <w:sz w:val="18"/>
              </w:rPr>
            </w:pPr>
            <w:r>
              <w:rPr>
                <w:rFonts w:ascii="Verdana" w:hAnsi="Verdana"/>
                <w:i/>
                <w:noProof/>
                <w:color w:val="000000"/>
                <w:sz w:val="18"/>
              </w:rPr>
              <w:t>3.2</w:t>
            </w:r>
          </w:p>
        </w:tc>
        <w:tc>
          <w:tcPr>
            <w:tcW w:w="1743"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23 436</w:t>
            </w:r>
          </w:p>
        </w:tc>
        <w:tc>
          <w:tcPr>
            <w:tcW w:w="1444"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20 587</w:t>
            </w:r>
          </w:p>
        </w:tc>
      </w:tr>
      <w:tr>
        <w:trPr>
          <w:trHeight w:val="255"/>
        </w:trPr>
        <w:tc>
          <w:tcPr>
            <w:tcW w:w="5725" w:type="dxa"/>
            <w:tcBorders>
              <w:top w:val="nil"/>
              <w:left w:val="nil"/>
              <w:bottom w:val="nil"/>
              <w:right w:val="nil"/>
              <w:tl2br w:val="nil"/>
              <w:tr2bl w:val="nil"/>
            </w:tcBorders>
            <w:tcMar>
              <w:left w:w="60" w:type="dxa"/>
              <w:right w:w="60" w:type="dxa"/>
            </w:tcMar>
            <w:vAlign w:val="center"/>
          </w:tcPr>
          <w:p>
            <w:pPr>
              <w:pStyle w:val="DMETW36757BIPSOFP"/>
              <w:rPr>
                <w:rFonts w:ascii="Verdana" w:eastAsia="Verdana" w:hAnsi="Verdana" w:cs="Verdana"/>
                <w:i/>
                <w:noProof/>
                <w:color w:val="000000"/>
                <w:sz w:val="18"/>
              </w:rPr>
            </w:pPr>
            <w:r>
              <w:rPr>
                <w:rFonts w:ascii="Verdana" w:hAnsi="Verdana"/>
                <w:i/>
                <w:noProof/>
                <w:color w:val="000000"/>
                <w:sz w:val="18"/>
              </w:rPr>
              <w:t>Ressources TVA</w:t>
            </w:r>
          </w:p>
        </w:tc>
        <w:tc>
          <w:tcPr>
            <w:tcW w:w="846" w:type="dxa"/>
            <w:tcBorders>
              <w:top w:val="nil"/>
              <w:left w:val="nil"/>
              <w:bottom w:val="nil"/>
              <w:right w:val="nil"/>
              <w:tl2br w:val="nil"/>
              <w:tr2bl w:val="nil"/>
            </w:tcBorders>
            <w:tcMar>
              <w:left w:w="60" w:type="dxa"/>
              <w:right w:w="60" w:type="dxa"/>
            </w:tcMar>
            <w:vAlign w:val="bottom"/>
          </w:tcPr>
          <w:p>
            <w:pPr>
              <w:pStyle w:val="DMETW36757BIPSOFP"/>
              <w:jc w:val="center"/>
              <w:rPr>
                <w:rFonts w:ascii="Verdana" w:eastAsia="Verdana" w:hAnsi="Verdana" w:cs="Verdana"/>
                <w:i/>
                <w:noProof/>
                <w:color w:val="000000"/>
                <w:sz w:val="18"/>
              </w:rPr>
            </w:pPr>
            <w:r>
              <w:rPr>
                <w:rFonts w:ascii="Verdana" w:hAnsi="Verdana"/>
                <w:i/>
                <w:noProof/>
                <w:color w:val="000000"/>
                <w:sz w:val="18"/>
              </w:rPr>
              <w:t>3.3</w:t>
            </w:r>
          </w:p>
        </w:tc>
        <w:tc>
          <w:tcPr>
            <w:tcW w:w="1743"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25 728</w:t>
            </w:r>
          </w:p>
        </w:tc>
        <w:tc>
          <w:tcPr>
            <w:tcW w:w="1444"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24 547</w:t>
            </w:r>
          </w:p>
        </w:tc>
      </w:tr>
      <w:tr>
        <w:trPr>
          <w:trHeight w:val="255"/>
        </w:trPr>
        <w:tc>
          <w:tcPr>
            <w:tcW w:w="5725" w:type="dxa"/>
            <w:tcBorders>
              <w:top w:val="nil"/>
              <w:left w:val="nil"/>
              <w:bottom w:val="nil"/>
              <w:right w:val="nil"/>
              <w:tl2br w:val="nil"/>
              <w:tr2bl w:val="nil"/>
            </w:tcBorders>
            <w:tcMar>
              <w:left w:w="60" w:type="dxa"/>
              <w:right w:w="60" w:type="dxa"/>
            </w:tcMar>
            <w:vAlign w:val="center"/>
          </w:tcPr>
          <w:p>
            <w:pPr>
              <w:pStyle w:val="DMETW36757BIPSOFP"/>
              <w:rPr>
                <w:rFonts w:ascii="Verdana" w:eastAsia="Verdana" w:hAnsi="Verdana" w:cs="Verdana"/>
                <w:i/>
                <w:noProof/>
                <w:color w:val="000000"/>
                <w:sz w:val="18"/>
              </w:rPr>
            </w:pPr>
            <w:r>
              <w:rPr>
                <w:rFonts w:ascii="Verdana" w:hAnsi="Verdana"/>
                <w:i/>
                <w:noProof/>
                <w:color w:val="000000"/>
                <w:sz w:val="18"/>
              </w:rPr>
              <w:t>Ressources propres fondées sur les matières plastiques</w:t>
            </w:r>
          </w:p>
        </w:tc>
        <w:tc>
          <w:tcPr>
            <w:tcW w:w="846" w:type="dxa"/>
            <w:tcBorders>
              <w:top w:val="nil"/>
              <w:left w:val="nil"/>
              <w:bottom w:val="nil"/>
              <w:right w:val="nil"/>
              <w:tl2br w:val="nil"/>
              <w:tr2bl w:val="nil"/>
            </w:tcBorders>
            <w:tcMar>
              <w:left w:w="60" w:type="dxa"/>
              <w:right w:w="60" w:type="dxa"/>
            </w:tcMar>
            <w:vAlign w:val="bottom"/>
          </w:tcPr>
          <w:p>
            <w:pPr>
              <w:pStyle w:val="DMETW36757BIPSOFP"/>
              <w:jc w:val="center"/>
              <w:rPr>
                <w:rFonts w:ascii="Verdana" w:eastAsia="Verdana" w:hAnsi="Verdana" w:cs="Verdana"/>
                <w:i/>
                <w:noProof/>
                <w:color w:val="000000"/>
                <w:sz w:val="18"/>
              </w:rPr>
            </w:pPr>
            <w:r>
              <w:rPr>
                <w:rFonts w:ascii="Verdana" w:hAnsi="Verdana"/>
                <w:i/>
                <w:noProof/>
                <w:color w:val="000000"/>
                <w:sz w:val="18"/>
              </w:rPr>
              <w:t>3.4</w:t>
            </w:r>
          </w:p>
        </w:tc>
        <w:tc>
          <w:tcPr>
            <w:tcW w:w="1743"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7 524</w:t>
            </w:r>
          </w:p>
        </w:tc>
        <w:tc>
          <w:tcPr>
            <w:tcW w:w="1444"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8 227</w:t>
            </w:r>
          </w:p>
        </w:tc>
      </w:tr>
      <w:tr>
        <w:trPr>
          <w:trHeight w:val="255"/>
        </w:trPr>
        <w:tc>
          <w:tcPr>
            <w:tcW w:w="5725" w:type="dxa"/>
            <w:tcBorders>
              <w:top w:val="nil"/>
              <w:left w:val="nil"/>
              <w:bottom w:val="nil"/>
              <w:right w:val="nil"/>
              <w:tl2br w:val="nil"/>
              <w:tr2bl w:val="nil"/>
            </w:tcBorders>
            <w:tcMar>
              <w:left w:w="60" w:type="dxa"/>
              <w:right w:w="60" w:type="dxa"/>
            </w:tcMar>
            <w:vAlign w:val="center"/>
          </w:tcPr>
          <w:p>
            <w:pPr>
              <w:pStyle w:val="DMETW36757BIPSOFP"/>
              <w:rPr>
                <w:rFonts w:ascii="Verdana" w:eastAsia="Verdana" w:hAnsi="Verdana" w:cs="Verdana"/>
                <w:i/>
                <w:noProof/>
                <w:color w:val="000000"/>
                <w:sz w:val="18"/>
              </w:rPr>
            </w:pPr>
            <w:r>
              <w:rPr>
                <w:rFonts w:ascii="Verdana" w:hAnsi="Verdana"/>
                <w:i/>
                <w:noProof/>
                <w:color w:val="000000"/>
                <w:sz w:val="18"/>
              </w:rPr>
              <w:t>Amendes</w:t>
            </w:r>
          </w:p>
        </w:tc>
        <w:tc>
          <w:tcPr>
            <w:tcW w:w="846" w:type="dxa"/>
            <w:tcBorders>
              <w:top w:val="nil"/>
              <w:left w:val="nil"/>
              <w:bottom w:val="nil"/>
              <w:right w:val="nil"/>
              <w:tl2br w:val="nil"/>
              <w:tr2bl w:val="nil"/>
            </w:tcBorders>
            <w:tcMar>
              <w:left w:w="60" w:type="dxa"/>
              <w:right w:w="60" w:type="dxa"/>
            </w:tcMar>
            <w:vAlign w:val="bottom"/>
          </w:tcPr>
          <w:p>
            <w:pPr>
              <w:pStyle w:val="DMETW36757BIPSOFP"/>
              <w:jc w:val="center"/>
              <w:rPr>
                <w:rFonts w:ascii="Verdana" w:eastAsia="Verdana" w:hAnsi="Verdana" w:cs="Verdana"/>
                <w:i/>
                <w:noProof/>
                <w:color w:val="000000"/>
                <w:sz w:val="18"/>
              </w:rPr>
            </w:pPr>
            <w:r>
              <w:rPr>
                <w:rFonts w:ascii="Verdana" w:hAnsi="Verdana"/>
                <w:i/>
                <w:noProof/>
                <w:color w:val="000000"/>
                <w:sz w:val="18"/>
              </w:rPr>
              <w:t>3.5</w:t>
            </w:r>
          </w:p>
        </w:tc>
        <w:tc>
          <w:tcPr>
            <w:tcW w:w="1743"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5 370</w:t>
            </w:r>
          </w:p>
        </w:tc>
        <w:tc>
          <w:tcPr>
            <w:tcW w:w="1444"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4 039</w:t>
            </w:r>
          </w:p>
        </w:tc>
      </w:tr>
      <w:tr>
        <w:trPr>
          <w:trHeight w:val="255"/>
        </w:trPr>
        <w:tc>
          <w:tcPr>
            <w:tcW w:w="5725" w:type="dxa"/>
            <w:tcBorders>
              <w:top w:val="nil"/>
              <w:left w:val="nil"/>
              <w:bottom w:val="nil"/>
              <w:right w:val="nil"/>
              <w:tl2br w:val="nil"/>
              <w:tr2bl w:val="nil"/>
            </w:tcBorders>
            <w:tcMar>
              <w:left w:w="60" w:type="dxa"/>
              <w:right w:w="60" w:type="dxa"/>
            </w:tcMar>
            <w:vAlign w:val="center"/>
          </w:tcPr>
          <w:p>
            <w:pPr>
              <w:pStyle w:val="DMETW36757BIPSOFP"/>
              <w:rPr>
                <w:rFonts w:ascii="Verdana" w:eastAsia="Verdana" w:hAnsi="Verdana" w:cs="Verdana"/>
                <w:i/>
                <w:noProof/>
                <w:color w:val="000000"/>
                <w:sz w:val="18"/>
              </w:rPr>
            </w:pPr>
            <w:r>
              <w:rPr>
                <w:rFonts w:ascii="Verdana" w:hAnsi="Verdana"/>
                <w:i/>
                <w:noProof/>
                <w:color w:val="000000"/>
                <w:sz w:val="18"/>
              </w:rPr>
              <w:t>Récupération de dépenses</w:t>
            </w:r>
          </w:p>
        </w:tc>
        <w:tc>
          <w:tcPr>
            <w:tcW w:w="846" w:type="dxa"/>
            <w:tcBorders>
              <w:top w:val="nil"/>
              <w:left w:val="nil"/>
              <w:bottom w:val="nil"/>
              <w:right w:val="nil"/>
              <w:tl2br w:val="nil"/>
              <w:tr2bl w:val="nil"/>
            </w:tcBorders>
            <w:tcMar>
              <w:left w:w="60" w:type="dxa"/>
              <w:right w:w="60" w:type="dxa"/>
            </w:tcMar>
            <w:vAlign w:val="bottom"/>
          </w:tcPr>
          <w:p>
            <w:pPr>
              <w:pStyle w:val="DMETW36757BIPSOFP"/>
              <w:jc w:val="center"/>
              <w:rPr>
                <w:rFonts w:ascii="Verdana" w:eastAsia="Verdana" w:hAnsi="Verdana" w:cs="Verdana"/>
                <w:i/>
                <w:noProof/>
                <w:color w:val="000000"/>
                <w:sz w:val="18"/>
              </w:rPr>
            </w:pPr>
            <w:r>
              <w:rPr>
                <w:rFonts w:ascii="Verdana" w:hAnsi="Verdana"/>
                <w:i/>
                <w:noProof/>
                <w:color w:val="000000"/>
                <w:sz w:val="18"/>
              </w:rPr>
              <w:t>3.6</w:t>
            </w:r>
          </w:p>
        </w:tc>
        <w:tc>
          <w:tcPr>
            <w:tcW w:w="1743"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1 376</w:t>
            </w:r>
          </w:p>
        </w:tc>
        <w:tc>
          <w:tcPr>
            <w:tcW w:w="1444"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 xml:space="preserve"> 957</w:t>
            </w:r>
          </w:p>
        </w:tc>
      </w:tr>
      <w:tr>
        <w:trPr>
          <w:trHeight w:val="255"/>
        </w:trPr>
        <w:tc>
          <w:tcPr>
            <w:tcW w:w="5725" w:type="dxa"/>
            <w:tcBorders>
              <w:top w:val="nil"/>
              <w:left w:val="nil"/>
              <w:bottom w:val="single" w:sz="4" w:space="0" w:color="016794"/>
              <w:right w:val="nil"/>
              <w:tl2br w:val="nil"/>
              <w:tr2bl w:val="nil"/>
            </w:tcBorders>
            <w:tcMar>
              <w:left w:w="60" w:type="dxa"/>
              <w:right w:w="60" w:type="dxa"/>
            </w:tcMar>
            <w:vAlign w:val="center"/>
          </w:tcPr>
          <w:p>
            <w:pPr>
              <w:pStyle w:val="DMETW36757BIPSOFP"/>
              <w:rPr>
                <w:rFonts w:ascii="Verdana" w:eastAsia="Verdana" w:hAnsi="Verdana" w:cs="Verdana"/>
                <w:i/>
                <w:noProof/>
                <w:color w:val="000000"/>
                <w:sz w:val="18"/>
              </w:rPr>
            </w:pPr>
            <w:r>
              <w:rPr>
                <w:rFonts w:ascii="Verdana" w:hAnsi="Verdana"/>
                <w:i/>
                <w:noProof/>
                <w:color w:val="000000"/>
                <w:sz w:val="18"/>
              </w:rPr>
              <w:t>Autres</w:t>
            </w:r>
          </w:p>
        </w:tc>
        <w:tc>
          <w:tcPr>
            <w:tcW w:w="846" w:type="dxa"/>
            <w:tcBorders>
              <w:top w:val="nil"/>
              <w:left w:val="nil"/>
              <w:bottom w:val="single" w:sz="4" w:space="0" w:color="016794"/>
              <w:right w:val="nil"/>
              <w:tl2br w:val="nil"/>
              <w:tr2bl w:val="nil"/>
            </w:tcBorders>
            <w:tcMar>
              <w:left w:w="60" w:type="dxa"/>
              <w:right w:w="60" w:type="dxa"/>
            </w:tcMar>
            <w:vAlign w:val="bottom"/>
          </w:tcPr>
          <w:p>
            <w:pPr>
              <w:pStyle w:val="DMETW36757BIPSOFP"/>
              <w:jc w:val="center"/>
              <w:rPr>
                <w:rFonts w:ascii="Verdana" w:eastAsia="Verdana" w:hAnsi="Verdana" w:cs="Verdana"/>
                <w:i/>
                <w:noProof/>
                <w:color w:val="000000"/>
                <w:sz w:val="18"/>
              </w:rPr>
            </w:pPr>
            <w:r>
              <w:rPr>
                <w:rFonts w:ascii="Verdana" w:hAnsi="Verdana"/>
                <w:i/>
                <w:noProof/>
                <w:color w:val="000000"/>
                <w:sz w:val="18"/>
              </w:rPr>
              <w:t>3.8</w:t>
            </w:r>
          </w:p>
        </w:tc>
        <w:tc>
          <w:tcPr>
            <w:tcW w:w="1743" w:type="dxa"/>
            <w:tcBorders>
              <w:top w:val="nil"/>
              <w:left w:val="nil"/>
              <w:bottom w:val="single" w:sz="4" w:space="0" w:color="016794"/>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18 572</w:t>
            </w:r>
          </w:p>
        </w:tc>
        <w:tc>
          <w:tcPr>
            <w:tcW w:w="1444" w:type="dxa"/>
            <w:tcBorders>
              <w:top w:val="nil"/>
              <w:left w:val="nil"/>
              <w:bottom w:val="single" w:sz="4" w:space="0" w:color="016794"/>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10 673</w:t>
            </w:r>
          </w:p>
        </w:tc>
      </w:tr>
      <w:tr>
        <w:trPr>
          <w:trHeight w:val="255"/>
        </w:trPr>
        <w:tc>
          <w:tcPr>
            <w:tcW w:w="572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7BIPSOFP"/>
              <w:rPr>
                <w:rFonts w:ascii="Verdana" w:eastAsia="Verdana" w:hAnsi="Verdana" w:cs="Verdana"/>
                <w:i/>
                <w:noProof/>
                <w:color w:val="000000"/>
                <w:sz w:val="18"/>
              </w:rPr>
            </w:pPr>
          </w:p>
        </w:tc>
        <w:tc>
          <w:tcPr>
            <w:tcW w:w="846"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57BIPSOFP"/>
              <w:jc w:val="center"/>
              <w:rPr>
                <w:rFonts w:ascii="Verdana" w:eastAsia="Verdana" w:hAnsi="Verdana" w:cs="Verdana"/>
                <w:i/>
                <w:noProof/>
                <w:color w:val="000000"/>
                <w:sz w:val="18"/>
              </w:rPr>
            </w:pPr>
          </w:p>
        </w:tc>
        <w:tc>
          <w:tcPr>
            <w:tcW w:w="1743"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57BIPSOFP"/>
              <w:jc w:val="right"/>
              <w:rPr>
                <w:rFonts w:ascii="Verdana" w:eastAsia="Verdana" w:hAnsi="Verdana" w:cs="Verdana"/>
                <w:b/>
                <w:noProof/>
                <w:color w:val="000000"/>
                <w:sz w:val="18"/>
              </w:rPr>
            </w:pPr>
            <w:r>
              <w:rPr>
                <w:rFonts w:ascii="Verdana" w:hAnsi="Verdana"/>
                <w:b/>
                <w:noProof/>
                <w:color w:val="000000"/>
                <w:sz w:val="18"/>
              </w:rPr>
              <w:t>188 348</w:t>
            </w:r>
          </w:p>
        </w:tc>
        <w:tc>
          <w:tcPr>
            <w:tcW w:w="1444"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57BIPSOFP"/>
              <w:jc w:val="right"/>
              <w:rPr>
                <w:rFonts w:ascii="Verdana" w:eastAsia="Verdana" w:hAnsi="Verdana" w:cs="Verdana"/>
                <w:b/>
                <w:noProof/>
                <w:color w:val="000000"/>
                <w:sz w:val="18"/>
              </w:rPr>
            </w:pPr>
            <w:r>
              <w:rPr>
                <w:rFonts w:ascii="Verdana" w:hAnsi="Verdana"/>
                <w:b/>
                <w:noProof/>
                <w:color w:val="000000"/>
                <w:sz w:val="18"/>
              </w:rPr>
              <w:t>164 068</w:t>
            </w:r>
          </w:p>
        </w:tc>
      </w:tr>
      <w:tr>
        <w:trPr>
          <w:trHeight w:val="255"/>
        </w:trPr>
        <w:tc>
          <w:tcPr>
            <w:tcW w:w="5725" w:type="dxa"/>
            <w:tcBorders>
              <w:top w:val="single" w:sz="4" w:space="0" w:color="016794"/>
              <w:left w:val="nil"/>
              <w:bottom w:val="nil"/>
              <w:right w:val="nil"/>
              <w:tl2br w:val="nil"/>
              <w:tr2bl w:val="nil"/>
            </w:tcBorders>
            <w:tcMar>
              <w:left w:w="60" w:type="dxa"/>
              <w:right w:w="60" w:type="dxa"/>
            </w:tcMar>
            <w:vAlign w:val="center"/>
          </w:tcPr>
          <w:p>
            <w:pPr>
              <w:pStyle w:val="DMETW36757BIPSOFP"/>
              <w:rPr>
                <w:rFonts w:ascii="Verdana" w:eastAsia="Verdana" w:hAnsi="Verdana" w:cs="Verdana"/>
                <w:b/>
                <w:noProof/>
                <w:color w:val="000000"/>
                <w:sz w:val="18"/>
              </w:rPr>
            </w:pPr>
            <w:r>
              <w:rPr>
                <w:rFonts w:ascii="Verdana" w:hAnsi="Verdana"/>
                <w:b/>
                <w:noProof/>
                <w:color w:val="000000"/>
                <w:sz w:val="18"/>
              </w:rPr>
              <w:t>Produits des opérations avec contrepartie directe</w:t>
            </w:r>
          </w:p>
        </w:tc>
        <w:tc>
          <w:tcPr>
            <w:tcW w:w="846" w:type="dxa"/>
            <w:tcBorders>
              <w:top w:val="single" w:sz="4" w:space="0" w:color="016794"/>
              <w:left w:val="nil"/>
              <w:bottom w:val="nil"/>
              <w:right w:val="nil"/>
              <w:tl2br w:val="nil"/>
              <w:tr2bl w:val="nil"/>
            </w:tcBorders>
            <w:tcMar>
              <w:left w:w="60" w:type="dxa"/>
              <w:right w:w="60" w:type="dxa"/>
            </w:tcMar>
            <w:vAlign w:val="bottom"/>
          </w:tcPr>
          <w:p>
            <w:pPr>
              <w:pStyle w:val="DMETW36757BIPSOFP"/>
              <w:jc w:val="center"/>
              <w:rPr>
                <w:rFonts w:ascii="Verdana" w:eastAsia="Verdana" w:hAnsi="Verdana" w:cs="Verdana"/>
                <w:i/>
                <w:noProof/>
                <w:color w:val="000000"/>
                <w:sz w:val="18"/>
              </w:rPr>
            </w:pPr>
          </w:p>
        </w:tc>
        <w:tc>
          <w:tcPr>
            <w:tcW w:w="1743" w:type="dxa"/>
            <w:tcBorders>
              <w:top w:val="single" w:sz="4" w:space="0" w:color="016794"/>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p>
        </w:tc>
        <w:tc>
          <w:tcPr>
            <w:tcW w:w="1444" w:type="dxa"/>
            <w:tcBorders>
              <w:top w:val="single" w:sz="4" w:space="0" w:color="016794"/>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lang w:bidi="en-GB"/>
              </w:rPr>
            </w:pPr>
          </w:p>
        </w:tc>
      </w:tr>
      <w:tr>
        <w:trPr>
          <w:trHeight w:val="255"/>
        </w:trPr>
        <w:tc>
          <w:tcPr>
            <w:tcW w:w="5725" w:type="dxa"/>
            <w:tcBorders>
              <w:top w:val="nil"/>
              <w:left w:val="nil"/>
              <w:bottom w:val="nil"/>
              <w:right w:val="nil"/>
              <w:tl2br w:val="nil"/>
              <w:tr2bl w:val="nil"/>
            </w:tcBorders>
            <w:tcMar>
              <w:left w:w="60" w:type="dxa"/>
              <w:right w:w="60" w:type="dxa"/>
            </w:tcMar>
            <w:vAlign w:val="center"/>
          </w:tcPr>
          <w:p>
            <w:pPr>
              <w:pStyle w:val="DMETW36757BIPSOFP"/>
              <w:rPr>
                <w:rFonts w:ascii="Verdana" w:eastAsia="Verdana" w:hAnsi="Verdana" w:cs="Verdana"/>
                <w:i/>
                <w:noProof/>
                <w:color w:val="000000"/>
                <w:sz w:val="18"/>
              </w:rPr>
            </w:pPr>
            <w:r>
              <w:rPr>
                <w:rFonts w:ascii="Verdana" w:hAnsi="Verdana"/>
                <w:i/>
                <w:noProof/>
                <w:color w:val="000000"/>
                <w:sz w:val="18"/>
              </w:rPr>
              <w:t>Produit financier</w:t>
            </w:r>
          </w:p>
        </w:tc>
        <w:tc>
          <w:tcPr>
            <w:tcW w:w="846" w:type="dxa"/>
            <w:tcBorders>
              <w:top w:val="nil"/>
              <w:left w:val="nil"/>
              <w:bottom w:val="nil"/>
              <w:right w:val="nil"/>
              <w:tl2br w:val="nil"/>
              <w:tr2bl w:val="nil"/>
            </w:tcBorders>
            <w:tcMar>
              <w:left w:w="60" w:type="dxa"/>
              <w:right w:w="60" w:type="dxa"/>
            </w:tcMar>
            <w:vAlign w:val="bottom"/>
          </w:tcPr>
          <w:p>
            <w:pPr>
              <w:pStyle w:val="DMETW36757BIPSOFP"/>
              <w:jc w:val="center"/>
              <w:rPr>
                <w:rFonts w:ascii="Verdana" w:eastAsia="Verdana" w:hAnsi="Verdana" w:cs="Verdana"/>
                <w:i/>
                <w:noProof/>
                <w:color w:val="000000"/>
                <w:sz w:val="18"/>
              </w:rPr>
            </w:pPr>
            <w:r>
              <w:rPr>
                <w:rFonts w:ascii="Verdana" w:hAnsi="Verdana"/>
                <w:i/>
                <w:noProof/>
                <w:color w:val="000000"/>
                <w:sz w:val="18"/>
              </w:rPr>
              <w:t>3.9</w:t>
            </w:r>
          </w:p>
        </w:tc>
        <w:tc>
          <w:tcPr>
            <w:tcW w:w="1743"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11 646</w:t>
            </w:r>
          </w:p>
        </w:tc>
        <w:tc>
          <w:tcPr>
            <w:tcW w:w="1444"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9 005</w:t>
            </w:r>
          </w:p>
        </w:tc>
      </w:tr>
      <w:tr>
        <w:trPr>
          <w:trHeight w:val="255"/>
        </w:trPr>
        <w:tc>
          <w:tcPr>
            <w:tcW w:w="5725" w:type="dxa"/>
            <w:tcBorders>
              <w:top w:val="nil"/>
              <w:left w:val="nil"/>
              <w:bottom w:val="single" w:sz="4" w:space="0" w:color="016794"/>
              <w:right w:val="nil"/>
              <w:tl2br w:val="nil"/>
              <w:tr2bl w:val="nil"/>
            </w:tcBorders>
            <w:tcMar>
              <w:left w:w="60" w:type="dxa"/>
              <w:right w:w="60" w:type="dxa"/>
            </w:tcMar>
            <w:vAlign w:val="center"/>
          </w:tcPr>
          <w:p>
            <w:pPr>
              <w:pStyle w:val="DMETW36757BIPSOFP"/>
              <w:rPr>
                <w:rFonts w:ascii="Verdana" w:eastAsia="Verdana" w:hAnsi="Verdana" w:cs="Verdana"/>
                <w:i/>
                <w:noProof/>
                <w:color w:val="000000"/>
                <w:sz w:val="18"/>
              </w:rPr>
            </w:pPr>
            <w:r>
              <w:rPr>
                <w:rFonts w:ascii="Verdana" w:hAnsi="Verdana"/>
                <w:i/>
                <w:noProof/>
                <w:color w:val="000000"/>
                <w:sz w:val="18"/>
              </w:rPr>
              <w:t>Autres</w:t>
            </w:r>
          </w:p>
        </w:tc>
        <w:tc>
          <w:tcPr>
            <w:tcW w:w="846" w:type="dxa"/>
            <w:tcBorders>
              <w:top w:val="nil"/>
              <w:left w:val="nil"/>
              <w:bottom w:val="single" w:sz="4" w:space="0" w:color="016794"/>
              <w:right w:val="nil"/>
              <w:tl2br w:val="nil"/>
              <w:tr2bl w:val="nil"/>
            </w:tcBorders>
            <w:tcMar>
              <w:left w:w="60" w:type="dxa"/>
              <w:right w:w="60" w:type="dxa"/>
            </w:tcMar>
            <w:vAlign w:val="bottom"/>
          </w:tcPr>
          <w:p>
            <w:pPr>
              <w:pStyle w:val="DMETW36757BIPSOFP"/>
              <w:jc w:val="center"/>
              <w:rPr>
                <w:rFonts w:ascii="Verdana" w:eastAsia="Verdana" w:hAnsi="Verdana" w:cs="Verdana"/>
                <w:i/>
                <w:noProof/>
                <w:color w:val="000000"/>
                <w:sz w:val="18"/>
              </w:rPr>
            </w:pPr>
            <w:r>
              <w:rPr>
                <w:rFonts w:ascii="Verdana" w:hAnsi="Verdana"/>
                <w:i/>
                <w:noProof/>
                <w:color w:val="000000"/>
                <w:sz w:val="18"/>
              </w:rPr>
              <w:t>3.10</w:t>
            </w:r>
          </w:p>
        </w:tc>
        <w:tc>
          <w:tcPr>
            <w:tcW w:w="1743" w:type="dxa"/>
            <w:tcBorders>
              <w:top w:val="nil"/>
              <w:left w:val="nil"/>
              <w:bottom w:val="single" w:sz="4" w:space="0" w:color="016794"/>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2 500</w:t>
            </w:r>
          </w:p>
        </w:tc>
        <w:tc>
          <w:tcPr>
            <w:tcW w:w="1444" w:type="dxa"/>
            <w:tcBorders>
              <w:top w:val="nil"/>
              <w:left w:val="nil"/>
              <w:bottom w:val="single" w:sz="4" w:space="0" w:color="016794"/>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2 592</w:t>
            </w:r>
          </w:p>
        </w:tc>
      </w:tr>
      <w:tr>
        <w:trPr>
          <w:trHeight w:val="255"/>
        </w:trPr>
        <w:tc>
          <w:tcPr>
            <w:tcW w:w="572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7BIPSOFP"/>
              <w:rPr>
                <w:rFonts w:ascii="Verdana" w:eastAsia="Verdana" w:hAnsi="Verdana" w:cs="Verdana"/>
                <w:i/>
                <w:noProof/>
                <w:color w:val="000000"/>
                <w:sz w:val="18"/>
              </w:rPr>
            </w:pPr>
          </w:p>
        </w:tc>
        <w:tc>
          <w:tcPr>
            <w:tcW w:w="846"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57BIPSOFP"/>
              <w:jc w:val="center"/>
              <w:rPr>
                <w:rFonts w:ascii="Verdana" w:eastAsia="Verdana" w:hAnsi="Verdana" w:cs="Verdana"/>
                <w:i/>
                <w:noProof/>
                <w:color w:val="000000"/>
                <w:sz w:val="18"/>
              </w:rPr>
            </w:pPr>
          </w:p>
        </w:tc>
        <w:tc>
          <w:tcPr>
            <w:tcW w:w="1743"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57BIPSOFP"/>
              <w:jc w:val="right"/>
              <w:rPr>
                <w:rFonts w:ascii="Verdana" w:eastAsia="Verdana" w:hAnsi="Verdana" w:cs="Verdana"/>
                <w:b/>
                <w:noProof/>
                <w:color w:val="000000"/>
                <w:sz w:val="18"/>
              </w:rPr>
            </w:pPr>
            <w:r>
              <w:rPr>
                <w:rFonts w:ascii="Verdana" w:hAnsi="Verdana"/>
                <w:b/>
                <w:noProof/>
                <w:color w:val="000000"/>
                <w:sz w:val="18"/>
              </w:rPr>
              <w:t>14 146</w:t>
            </w:r>
          </w:p>
        </w:tc>
        <w:tc>
          <w:tcPr>
            <w:tcW w:w="1444"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57BIPSOFP"/>
              <w:jc w:val="right"/>
              <w:rPr>
                <w:rFonts w:ascii="Verdana" w:eastAsia="Verdana" w:hAnsi="Verdana" w:cs="Verdana"/>
                <w:b/>
                <w:noProof/>
                <w:color w:val="000000"/>
                <w:sz w:val="18"/>
              </w:rPr>
            </w:pPr>
            <w:r>
              <w:rPr>
                <w:rFonts w:ascii="Verdana" w:hAnsi="Verdana"/>
                <w:b/>
                <w:noProof/>
                <w:color w:val="000000"/>
                <w:sz w:val="18"/>
              </w:rPr>
              <w:t>11 597</w:t>
            </w:r>
          </w:p>
        </w:tc>
      </w:tr>
      <w:tr>
        <w:trPr>
          <w:trHeight w:val="255"/>
        </w:trPr>
        <w:tc>
          <w:tcPr>
            <w:tcW w:w="572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7BIPSOFP"/>
              <w:rPr>
                <w:rFonts w:ascii="Verdana" w:eastAsia="Verdana" w:hAnsi="Verdana" w:cs="Verdana"/>
                <w:b/>
                <w:noProof/>
                <w:color w:val="000000"/>
                <w:sz w:val="18"/>
              </w:rPr>
            </w:pPr>
            <w:r>
              <w:rPr>
                <w:rFonts w:ascii="Verdana" w:hAnsi="Verdana"/>
                <w:b/>
                <w:noProof/>
                <w:color w:val="000000"/>
                <w:sz w:val="18"/>
              </w:rPr>
              <w:t>Recettes totales</w:t>
            </w:r>
          </w:p>
        </w:tc>
        <w:tc>
          <w:tcPr>
            <w:tcW w:w="846"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57BIPSOFP"/>
              <w:jc w:val="center"/>
              <w:rPr>
                <w:rFonts w:ascii="Verdana" w:eastAsia="Verdana" w:hAnsi="Verdana" w:cs="Verdana"/>
                <w:i/>
                <w:noProof/>
                <w:color w:val="000000"/>
                <w:sz w:val="18"/>
              </w:rPr>
            </w:pPr>
          </w:p>
        </w:tc>
        <w:tc>
          <w:tcPr>
            <w:tcW w:w="1743"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57BIPSOFP"/>
              <w:jc w:val="right"/>
              <w:rPr>
                <w:rFonts w:ascii="Verdana" w:eastAsia="Verdana" w:hAnsi="Verdana" w:cs="Verdana"/>
                <w:b/>
                <w:noProof/>
                <w:color w:val="000000"/>
                <w:sz w:val="18"/>
              </w:rPr>
            </w:pPr>
            <w:r>
              <w:rPr>
                <w:rFonts w:ascii="Verdana" w:hAnsi="Verdana"/>
                <w:b/>
                <w:noProof/>
                <w:color w:val="000000"/>
                <w:sz w:val="18"/>
              </w:rPr>
              <w:t>202 495</w:t>
            </w:r>
          </w:p>
        </w:tc>
        <w:tc>
          <w:tcPr>
            <w:tcW w:w="1444"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57BIPSOFP"/>
              <w:jc w:val="right"/>
              <w:rPr>
                <w:rFonts w:ascii="Verdana" w:eastAsia="Verdana" w:hAnsi="Verdana" w:cs="Verdana"/>
                <w:b/>
                <w:noProof/>
                <w:color w:val="000000"/>
                <w:sz w:val="18"/>
              </w:rPr>
            </w:pPr>
            <w:r>
              <w:rPr>
                <w:rFonts w:ascii="Verdana" w:hAnsi="Verdana"/>
                <w:b/>
                <w:noProof/>
                <w:color w:val="000000"/>
                <w:sz w:val="18"/>
              </w:rPr>
              <w:t>175 665</w:t>
            </w:r>
          </w:p>
        </w:tc>
      </w:tr>
      <w:tr>
        <w:trPr>
          <w:trHeight w:val="255"/>
        </w:trPr>
        <w:tc>
          <w:tcPr>
            <w:tcW w:w="5725" w:type="dxa"/>
            <w:tcBorders>
              <w:top w:val="single" w:sz="4" w:space="0" w:color="016794"/>
              <w:left w:val="nil"/>
              <w:bottom w:val="nil"/>
              <w:right w:val="nil"/>
              <w:tl2br w:val="nil"/>
              <w:tr2bl w:val="nil"/>
            </w:tcBorders>
            <w:tcMar>
              <w:left w:w="60" w:type="dxa"/>
              <w:right w:w="60" w:type="dxa"/>
            </w:tcMar>
            <w:vAlign w:val="center"/>
          </w:tcPr>
          <w:p>
            <w:pPr>
              <w:pStyle w:val="DMETW36757BIPSOFP"/>
              <w:rPr>
                <w:rFonts w:ascii="Verdana" w:eastAsia="Verdana" w:hAnsi="Verdana" w:cs="Verdana"/>
                <w:b/>
                <w:noProof/>
                <w:color w:val="000000"/>
                <w:sz w:val="18"/>
              </w:rPr>
            </w:pPr>
            <w:r>
              <w:rPr>
                <w:rFonts w:ascii="Verdana" w:hAnsi="Verdana"/>
                <w:b/>
                <w:noProof/>
                <w:color w:val="000000"/>
                <w:sz w:val="18"/>
              </w:rPr>
              <w:t>DÉPENSES</w:t>
            </w:r>
          </w:p>
        </w:tc>
        <w:tc>
          <w:tcPr>
            <w:tcW w:w="846" w:type="dxa"/>
            <w:tcBorders>
              <w:top w:val="single" w:sz="4" w:space="0" w:color="016794"/>
              <w:left w:val="nil"/>
              <w:bottom w:val="nil"/>
              <w:right w:val="nil"/>
              <w:tl2br w:val="nil"/>
              <w:tr2bl w:val="nil"/>
            </w:tcBorders>
            <w:tcMar>
              <w:left w:w="60" w:type="dxa"/>
              <w:right w:w="60" w:type="dxa"/>
            </w:tcMar>
            <w:vAlign w:val="bottom"/>
          </w:tcPr>
          <w:p>
            <w:pPr>
              <w:pStyle w:val="DMETW36757BIPSOFP"/>
              <w:jc w:val="center"/>
              <w:rPr>
                <w:rFonts w:ascii="Verdana" w:eastAsia="Verdana" w:hAnsi="Verdana" w:cs="Verdana"/>
                <w:i/>
                <w:noProof/>
                <w:color w:val="000000"/>
                <w:sz w:val="18"/>
              </w:rPr>
            </w:pPr>
          </w:p>
        </w:tc>
        <w:tc>
          <w:tcPr>
            <w:tcW w:w="1743" w:type="dxa"/>
            <w:tcBorders>
              <w:top w:val="single" w:sz="4" w:space="0" w:color="016794"/>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b/>
                <w:noProof/>
                <w:color w:val="000000"/>
                <w:sz w:val="18"/>
              </w:rPr>
            </w:pPr>
          </w:p>
        </w:tc>
        <w:tc>
          <w:tcPr>
            <w:tcW w:w="1444" w:type="dxa"/>
            <w:tcBorders>
              <w:top w:val="single" w:sz="4" w:space="0" w:color="016794"/>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b/>
                <w:noProof/>
                <w:color w:val="000000"/>
                <w:sz w:val="18"/>
                <w:lang w:bidi="en-GB"/>
              </w:rPr>
            </w:pPr>
          </w:p>
        </w:tc>
      </w:tr>
      <w:tr>
        <w:trPr>
          <w:trHeight w:val="255"/>
        </w:trPr>
        <w:tc>
          <w:tcPr>
            <w:tcW w:w="5725" w:type="dxa"/>
            <w:tcBorders>
              <w:top w:val="nil"/>
              <w:left w:val="nil"/>
              <w:bottom w:val="nil"/>
              <w:right w:val="nil"/>
              <w:tl2br w:val="nil"/>
              <w:tr2bl w:val="nil"/>
            </w:tcBorders>
            <w:tcMar>
              <w:left w:w="60" w:type="dxa"/>
              <w:right w:w="60" w:type="dxa"/>
            </w:tcMar>
            <w:vAlign w:val="center"/>
          </w:tcPr>
          <w:p>
            <w:pPr>
              <w:pStyle w:val="DMETW36757BIPSOFP"/>
              <w:rPr>
                <w:rFonts w:ascii="Verdana" w:eastAsia="Verdana" w:hAnsi="Verdana" w:cs="Verdana"/>
                <w:i/>
                <w:noProof/>
                <w:color w:val="000000"/>
                <w:sz w:val="18"/>
              </w:rPr>
            </w:pPr>
            <w:r>
              <w:rPr>
                <w:rFonts w:ascii="Verdana" w:hAnsi="Verdana"/>
                <w:i/>
                <w:noProof/>
                <w:color w:val="000000"/>
                <w:sz w:val="18"/>
              </w:rPr>
              <w:t>Déléguées aux États membres</w:t>
            </w:r>
          </w:p>
        </w:tc>
        <w:tc>
          <w:tcPr>
            <w:tcW w:w="846" w:type="dxa"/>
            <w:tcBorders>
              <w:top w:val="nil"/>
              <w:left w:val="nil"/>
              <w:bottom w:val="nil"/>
              <w:right w:val="nil"/>
              <w:tl2br w:val="nil"/>
              <w:tr2bl w:val="nil"/>
            </w:tcBorders>
            <w:tcMar>
              <w:left w:w="60" w:type="dxa"/>
              <w:right w:w="60" w:type="dxa"/>
            </w:tcMar>
            <w:vAlign w:val="bottom"/>
          </w:tcPr>
          <w:p>
            <w:pPr>
              <w:pStyle w:val="DMETW36757BIPSOFP"/>
              <w:jc w:val="center"/>
              <w:rPr>
                <w:rFonts w:ascii="Verdana" w:eastAsia="Verdana" w:hAnsi="Verdana" w:cs="Verdana"/>
                <w:i/>
                <w:noProof/>
                <w:color w:val="000000"/>
                <w:sz w:val="18"/>
              </w:rPr>
            </w:pPr>
            <w:r>
              <w:rPr>
                <w:rFonts w:ascii="Verdana" w:hAnsi="Verdana"/>
                <w:i/>
                <w:noProof/>
                <w:color w:val="000000"/>
                <w:sz w:val="18"/>
              </w:rPr>
              <w:t>3.11</w:t>
            </w:r>
          </w:p>
        </w:tc>
        <w:tc>
          <w:tcPr>
            <w:tcW w:w="1743"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p>
        </w:tc>
        <w:tc>
          <w:tcPr>
            <w:tcW w:w="1444"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lang w:bidi="en-GB"/>
              </w:rPr>
            </w:pPr>
          </w:p>
        </w:tc>
      </w:tr>
      <w:tr>
        <w:trPr>
          <w:trHeight w:val="255"/>
        </w:trPr>
        <w:tc>
          <w:tcPr>
            <w:tcW w:w="5725" w:type="dxa"/>
            <w:tcBorders>
              <w:top w:val="nil"/>
              <w:left w:val="nil"/>
              <w:bottom w:val="nil"/>
              <w:right w:val="nil"/>
              <w:tl2br w:val="nil"/>
              <w:tr2bl w:val="nil"/>
            </w:tcBorders>
            <w:tcMar>
              <w:left w:w="60" w:type="dxa"/>
              <w:right w:w="60" w:type="dxa"/>
            </w:tcMar>
            <w:vAlign w:val="center"/>
          </w:tcPr>
          <w:p>
            <w:pPr>
              <w:pStyle w:val="DMETW36757BIPSOFP"/>
              <w:rPr>
                <w:rFonts w:ascii="Verdana" w:eastAsia="Verdana" w:hAnsi="Verdana" w:cs="Verdana"/>
                <w:i/>
                <w:noProof/>
                <w:color w:val="000000"/>
                <w:sz w:val="18"/>
              </w:rPr>
            </w:pPr>
            <w:r>
              <w:rPr>
                <w:rFonts w:ascii="Verdana" w:hAnsi="Verdana"/>
                <w:i/>
                <w:noProof/>
                <w:color w:val="000000"/>
                <w:sz w:val="18"/>
              </w:rPr>
              <w:t xml:space="preserve">     Fonds européen agricole de garantie</w:t>
            </w:r>
          </w:p>
        </w:tc>
        <w:tc>
          <w:tcPr>
            <w:tcW w:w="846" w:type="dxa"/>
            <w:tcBorders>
              <w:top w:val="nil"/>
              <w:left w:val="nil"/>
              <w:bottom w:val="nil"/>
              <w:right w:val="nil"/>
              <w:tl2br w:val="nil"/>
              <w:tr2bl w:val="nil"/>
            </w:tcBorders>
            <w:tcMar>
              <w:left w:w="60" w:type="dxa"/>
              <w:right w:w="60" w:type="dxa"/>
            </w:tcMar>
            <w:vAlign w:val="bottom"/>
          </w:tcPr>
          <w:p>
            <w:pPr>
              <w:pStyle w:val="DMETW36757BIPSOFP"/>
              <w:jc w:val="center"/>
              <w:rPr>
                <w:rFonts w:ascii="Verdana" w:eastAsia="Verdana" w:hAnsi="Verdana" w:cs="Verdana"/>
                <w:i/>
                <w:noProof/>
                <w:color w:val="000000"/>
                <w:sz w:val="18"/>
              </w:rPr>
            </w:pPr>
          </w:p>
        </w:tc>
        <w:tc>
          <w:tcPr>
            <w:tcW w:w="1743"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(40 914)</w:t>
            </w:r>
          </w:p>
        </w:tc>
        <w:tc>
          <w:tcPr>
            <w:tcW w:w="1444"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(40 267)</w:t>
            </w:r>
          </w:p>
        </w:tc>
      </w:tr>
      <w:tr>
        <w:trPr>
          <w:trHeight w:val="255"/>
        </w:trPr>
        <w:tc>
          <w:tcPr>
            <w:tcW w:w="5725" w:type="dxa"/>
            <w:tcBorders>
              <w:top w:val="nil"/>
              <w:left w:val="nil"/>
              <w:bottom w:val="nil"/>
              <w:right w:val="nil"/>
              <w:tl2br w:val="nil"/>
              <w:tr2bl w:val="nil"/>
            </w:tcBorders>
            <w:tcMar>
              <w:left w:w="60" w:type="dxa"/>
              <w:right w:w="60" w:type="dxa"/>
            </w:tcMar>
            <w:vAlign w:val="center"/>
          </w:tcPr>
          <w:p>
            <w:pPr>
              <w:pStyle w:val="DMETW36757BIPSOFP"/>
              <w:rPr>
                <w:rFonts w:ascii="Verdana" w:eastAsia="Verdana" w:hAnsi="Verdana" w:cs="Verdana"/>
                <w:i/>
                <w:noProof/>
                <w:color w:val="000000"/>
                <w:sz w:val="18"/>
              </w:rPr>
            </w:pPr>
            <w:r>
              <w:rPr>
                <w:rFonts w:ascii="Verdana" w:hAnsi="Verdana"/>
                <w:i/>
                <w:noProof/>
                <w:color w:val="000000"/>
                <w:sz w:val="18"/>
              </w:rPr>
              <w:t xml:space="preserve">     Fonds européen agricole pour le développement rural et</w:t>
            </w:r>
          </w:p>
          <w:p>
            <w:pPr>
              <w:pStyle w:val="DMETW36757BIPSOFP"/>
              <w:rPr>
                <w:rFonts w:ascii="Verdana" w:eastAsia="Verdana" w:hAnsi="Verdana" w:cs="Verdana"/>
                <w:i/>
                <w:noProof/>
                <w:color w:val="000000"/>
                <w:sz w:val="18"/>
              </w:rPr>
            </w:pPr>
            <w:r>
              <w:rPr>
                <w:rFonts w:ascii="Verdana" w:hAnsi="Verdana"/>
                <w:i/>
                <w:noProof/>
                <w:color w:val="000000"/>
                <w:sz w:val="18"/>
              </w:rPr>
              <w:t xml:space="preserve">     autres instruments de développement rural</w:t>
            </w:r>
          </w:p>
        </w:tc>
        <w:tc>
          <w:tcPr>
            <w:tcW w:w="846" w:type="dxa"/>
            <w:tcBorders>
              <w:top w:val="nil"/>
              <w:left w:val="nil"/>
              <w:bottom w:val="nil"/>
              <w:right w:val="nil"/>
              <w:tl2br w:val="nil"/>
              <w:tr2bl w:val="nil"/>
            </w:tcBorders>
            <w:tcMar>
              <w:left w:w="60" w:type="dxa"/>
              <w:right w:w="60" w:type="dxa"/>
            </w:tcMar>
            <w:vAlign w:val="bottom"/>
          </w:tcPr>
          <w:p>
            <w:pPr>
              <w:pStyle w:val="DMETW36757BIPSOFP"/>
              <w:jc w:val="center"/>
              <w:rPr>
                <w:rFonts w:ascii="Verdana" w:eastAsia="Verdana" w:hAnsi="Verdana" w:cs="Verdana"/>
                <w:b/>
                <w:i/>
                <w:noProof/>
                <w:color w:val="000000"/>
                <w:sz w:val="18"/>
              </w:rPr>
            </w:pPr>
          </w:p>
        </w:tc>
        <w:tc>
          <w:tcPr>
            <w:tcW w:w="1743"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(17 017)</w:t>
            </w:r>
          </w:p>
        </w:tc>
        <w:tc>
          <w:tcPr>
            <w:tcW w:w="1444"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(14 779)</w:t>
            </w:r>
          </w:p>
        </w:tc>
      </w:tr>
      <w:tr>
        <w:trPr>
          <w:trHeight w:val="255"/>
        </w:trPr>
        <w:tc>
          <w:tcPr>
            <w:tcW w:w="5725" w:type="dxa"/>
            <w:tcBorders>
              <w:top w:val="nil"/>
              <w:left w:val="nil"/>
              <w:bottom w:val="nil"/>
              <w:right w:val="nil"/>
              <w:tl2br w:val="nil"/>
              <w:tr2bl w:val="nil"/>
            </w:tcBorders>
            <w:tcMar>
              <w:left w:w="60" w:type="dxa"/>
              <w:right w:w="60" w:type="dxa"/>
            </w:tcMar>
            <w:vAlign w:val="center"/>
          </w:tcPr>
          <w:p>
            <w:pPr>
              <w:pStyle w:val="DMETW36757BIPSOFP"/>
              <w:rPr>
                <w:rFonts w:ascii="Verdana" w:eastAsia="Verdana" w:hAnsi="Verdana" w:cs="Verdana"/>
                <w:i/>
                <w:noProof/>
                <w:color w:val="000000"/>
                <w:sz w:val="18"/>
              </w:rPr>
            </w:pPr>
            <w:r>
              <w:rPr>
                <w:rFonts w:ascii="Verdana" w:hAnsi="Verdana"/>
                <w:i/>
                <w:noProof/>
                <w:color w:val="000000"/>
                <w:sz w:val="18"/>
              </w:rPr>
              <w:t xml:space="preserve">     Fonds européen de développement régional et Fonds de cohésion</w:t>
            </w:r>
          </w:p>
        </w:tc>
        <w:tc>
          <w:tcPr>
            <w:tcW w:w="846" w:type="dxa"/>
            <w:tcBorders>
              <w:top w:val="nil"/>
              <w:left w:val="nil"/>
              <w:bottom w:val="nil"/>
              <w:right w:val="nil"/>
              <w:tl2br w:val="nil"/>
              <w:tr2bl w:val="nil"/>
            </w:tcBorders>
            <w:tcMar>
              <w:left w:w="60" w:type="dxa"/>
              <w:right w:w="60" w:type="dxa"/>
            </w:tcMar>
            <w:vAlign w:val="bottom"/>
          </w:tcPr>
          <w:p>
            <w:pPr>
              <w:pStyle w:val="DMETW36757BIPSOFP"/>
              <w:jc w:val="center"/>
              <w:rPr>
                <w:rFonts w:ascii="Verdana" w:eastAsia="Verdana" w:hAnsi="Verdana" w:cs="Verdana"/>
                <w:i/>
                <w:noProof/>
                <w:color w:val="000000"/>
                <w:sz w:val="18"/>
              </w:rPr>
            </w:pPr>
          </w:p>
        </w:tc>
        <w:tc>
          <w:tcPr>
            <w:tcW w:w="1743"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(31 032)</w:t>
            </w:r>
          </w:p>
        </w:tc>
        <w:tc>
          <w:tcPr>
            <w:tcW w:w="1444"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(28 833)</w:t>
            </w:r>
          </w:p>
        </w:tc>
      </w:tr>
      <w:tr>
        <w:trPr>
          <w:trHeight w:val="255"/>
        </w:trPr>
        <w:tc>
          <w:tcPr>
            <w:tcW w:w="5725" w:type="dxa"/>
            <w:tcBorders>
              <w:top w:val="nil"/>
              <w:left w:val="nil"/>
              <w:bottom w:val="nil"/>
              <w:right w:val="nil"/>
              <w:tl2br w:val="nil"/>
              <w:tr2bl w:val="nil"/>
            </w:tcBorders>
            <w:tcMar>
              <w:left w:w="60" w:type="dxa"/>
              <w:right w:w="60" w:type="dxa"/>
            </w:tcMar>
            <w:vAlign w:val="center"/>
          </w:tcPr>
          <w:p>
            <w:pPr>
              <w:pStyle w:val="DMETW36757BIPSOFP"/>
              <w:rPr>
                <w:rFonts w:ascii="Verdana" w:eastAsia="Verdana" w:hAnsi="Verdana" w:cs="Verdana"/>
                <w:i/>
                <w:noProof/>
                <w:color w:val="000000"/>
                <w:sz w:val="18"/>
              </w:rPr>
            </w:pPr>
            <w:r>
              <w:rPr>
                <w:rFonts w:ascii="Verdana" w:hAnsi="Verdana"/>
                <w:i/>
                <w:noProof/>
                <w:color w:val="000000"/>
                <w:sz w:val="18"/>
              </w:rPr>
              <w:t xml:space="preserve">     Fonds social européen</w:t>
            </w:r>
          </w:p>
        </w:tc>
        <w:tc>
          <w:tcPr>
            <w:tcW w:w="846" w:type="dxa"/>
            <w:tcBorders>
              <w:top w:val="nil"/>
              <w:left w:val="nil"/>
              <w:bottom w:val="nil"/>
              <w:right w:val="nil"/>
              <w:tl2br w:val="nil"/>
              <w:tr2bl w:val="nil"/>
            </w:tcBorders>
            <w:tcMar>
              <w:left w:w="60" w:type="dxa"/>
              <w:right w:w="60" w:type="dxa"/>
            </w:tcMar>
            <w:vAlign w:val="bottom"/>
          </w:tcPr>
          <w:p>
            <w:pPr>
              <w:pStyle w:val="DMETW36757BIPSOFP"/>
              <w:jc w:val="center"/>
              <w:rPr>
                <w:rFonts w:ascii="Verdana" w:eastAsia="Verdana" w:hAnsi="Verdana" w:cs="Verdana"/>
                <w:i/>
                <w:noProof/>
                <w:color w:val="000000"/>
                <w:sz w:val="18"/>
              </w:rPr>
            </w:pPr>
          </w:p>
        </w:tc>
        <w:tc>
          <w:tcPr>
            <w:tcW w:w="1743"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(17 308)</w:t>
            </w:r>
          </w:p>
        </w:tc>
        <w:tc>
          <w:tcPr>
            <w:tcW w:w="1444"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(18 037)</w:t>
            </w:r>
          </w:p>
        </w:tc>
      </w:tr>
      <w:tr>
        <w:trPr>
          <w:trHeight w:val="255"/>
        </w:trPr>
        <w:tc>
          <w:tcPr>
            <w:tcW w:w="5725" w:type="dxa"/>
            <w:tcBorders>
              <w:top w:val="nil"/>
              <w:left w:val="nil"/>
              <w:bottom w:val="nil"/>
              <w:right w:val="nil"/>
              <w:tl2br w:val="nil"/>
              <w:tr2bl w:val="nil"/>
            </w:tcBorders>
            <w:tcMar>
              <w:left w:w="60" w:type="dxa"/>
              <w:right w:w="60" w:type="dxa"/>
            </w:tcMar>
            <w:vAlign w:val="center"/>
          </w:tcPr>
          <w:p>
            <w:pPr>
              <w:pStyle w:val="DMETW36757BIPSOFP"/>
              <w:rPr>
                <w:rFonts w:ascii="Verdana" w:eastAsia="Verdana" w:hAnsi="Verdana" w:cs="Verdana"/>
                <w:i/>
                <w:noProof/>
                <w:color w:val="000000"/>
                <w:sz w:val="18"/>
              </w:rPr>
            </w:pPr>
            <w:r>
              <w:rPr>
                <w:rFonts w:ascii="Verdana" w:hAnsi="Verdana"/>
                <w:i/>
                <w:noProof/>
                <w:color w:val="000000"/>
                <w:sz w:val="18"/>
              </w:rPr>
              <w:t xml:space="preserve">     Autres</w:t>
            </w:r>
          </w:p>
        </w:tc>
        <w:tc>
          <w:tcPr>
            <w:tcW w:w="846" w:type="dxa"/>
            <w:tcBorders>
              <w:top w:val="nil"/>
              <w:left w:val="nil"/>
              <w:bottom w:val="nil"/>
              <w:right w:val="nil"/>
              <w:tl2br w:val="nil"/>
              <w:tr2bl w:val="nil"/>
            </w:tcBorders>
            <w:tcMar>
              <w:left w:w="60" w:type="dxa"/>
              <w:right w:w="60" w:type="dxa"/>
            </w:tcMar>
            <w:vAlign w:val="bottom"/>
          </w:tcPr>
          <w:p>
            <w:pPr>
              <w:pStyle w:val="DMETW36757BIPSOFP"/>
              <w:jc w:val="center"/>
              <w:rPr>
                <w:rFonts w:ascii="Verdana" w:eastAsia="Verdana" w:hAnsi="Verdana" w:cs="Verdana"/>
                <w:i/>
                <w:noProof/>
                <w:color w:val="000000"/>
                <w:sz w:val="18"/>
              </w:rPr>
            </w:pPr>
          </w:p>
        </w:tc>
        <w:tc>
          <w:tcPr>
            <w:tcW w:w="1743"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(4 514)</w:t>
            </w:r>
          </w:p>
        </w:tc>
        <w:tc>
          <w:tcPr>
            <w:tcW w:w="1444"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(3 854)</w:t>
            </w:r>
          </w:p>
        </w:tc>
      </w:tr>
      <w:tr>
        <w:trPr>
          <w:trHeight w:val="255"/>
        </w:trPr>
        <w:tc>
          <w:tcPr>
            <w:tcW w:w="5725" w:type="dxa"/>
            <w:tcBorders>
              <w:top w:val="nil"/>
              <w:left w:val="nil"/>
              <w:bottom w:val="nil"/>
              <w:right w:val="nil"/>
              <w:tl2br w:val="nil"/>
              <w:tr2bl w:val="nil"/>
            </w:tcBorders>
            <w:tcMar>
              <w:left w:w="60" w:type="dxa"/>
              <w:right w:w="60" w:type="dxa"/>
            </w:tcMar>
            <w:vAlign w:val="center"/>
          </w:tcPr>
          <w:p>
            <w:pPr>
              <w:pStyle w:val="DMETW36757BIPSOFP"/>
              <w:rPr>
                <w:rFonts w:ascii="Verdana" w:eastAsia="Verdana" w:hAnsi="Verdana" w:cs="Verdana"/>
                <w:i/>
                <w:noProof/>
                <w:color w:val="000000"/>
                <w:sz w:val="18"/>
              </w:rPr>
            </w:pPr>
            <w:r>
              <w:rPr>
                <w:rFonts w:ascii="Verdana" w:hAnsi="Verdana"/>
                <w:i/>
                <w:noProof/>
                <w:color w:val="000000"/>
                <w:sz w:val="18"/>
              </w:rPr>
              <w:t>Transferts, y compris les subventions et l’appui budgétaire</w:t>
            </w:r>
          </w:p>
        </w:tc>
        <w:tc>
          <w:tcPr>
            <w:tcW w:w="846" w:type="dxa"/>
            <w:tcBorders>
              <w:top w:val="nil"/>
              <w:left w:val="nil"/>
              <w:bottom w:val="nil"/>
              <w:right w:val="nil"/>
              <w:tl2br w:val="nil"/>
              <w:tr2bl w:val="nil"/>
            </w:tcBorders>
            <w:tcMar>
              <w:left w:w="60" w:type="dxa"/>
              <w:right w:w="60" w:type="dxa"/>
            </w:tcMar>
            <w:vAlign w:val="bottom"/>
          </w:tcPr>
          <w:p>
            <w:pPr>
              <w:pStyle w:val="DMETW36757BIPSOFP"/>
              <w:jc w:val="center"/>
              <w:rPr>
                <w:rFonts w:ascii="Verdana" w:eastAsia="Verdana" w:hAnsi="Verdana" w:cs="Verdana"/>
                <w:i/>
                <w:noProof/>
                <w:color w:val="000000"/>
                <w:sz w:val="18"/>
              </w:rPr>
            </w:pPr>
            <w:r>
              <w:rPr>
                <w:rFonts w:ascii="Verdana" w:hAnsi="Verdana"/>
                <w:i/>
                <w:noProof/>
                <w:color w:val="000000"/>
                <w:sz w:val="18"/>
              </w:rPr>
              <w:t>3.12</w:t>
            </w:r>
          </w:p>
        </w:tc>
        <w:tc>
          <w:tcPr>
            <w:tcW w:w="1743"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p>
        </w:tc>
        <w:tc>
          <w:tcPr>
            <w:tcW w:w="1444"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lang w:bidi="en-GB"/>
              </w:rPr>
            </w:pPr>
          </w:p>
        </w:tc>
      </w:tr>
      <w:tr>
        <w:trPr>
          <w:trHeight w:val="255"/>
        </w:trPr>
        <w:tc>
          <w:tcPr>
            <w:tcW w:w="5725" w:type="dxa"/>
            <w:tcBorders>
              <w:top w:val="nil"/>
              <w:left w:val="nil"/>
              <w:bottom w:val="nil"/>
              <w:right w:val="nil"/>
              <w:tl2br w:val="nil"/>
              <w:tr2bl w:val="nil"/>
            </w:tcBorders>
            <w:tcMar>
              <w:left w:w="60" w:type="dxa"/>
              <w:right w:w="60" w:type="dxa"/>
            </w:tcMar>
            <w:vAlign w:val="center"/>
          </w:tcPr>
          <w:p>
            <w:pPr>
              <w:pStyle w:val="DMETW36757BIPSOFP"/>
              <w:rPr>
                <w:rFonts w:ascii="Verdana" w:eastAsia="Verdana" w:hAnsi="Verdana" w:cs="Verdana"/>
                <w:i/>
                <w:noProof/>
                <w:color w:val="000000"/>
                <w:sz w:val="18"/>
              </w:rPr>
            </w:pPr>
            <w:r>
              <w:rPr>
                <w:rFonts w:ascii="Verdana" w:hAnsi="Verdana"/>
                <w:i/>
                <w:noProof/>
                <w:color w:val="000000"/>
                <w:sz w:val="18"/>
              </w:rPr>
              <w:t xml:space="preserve">     Facilité pour la reprise et la résilience</w:t>
            </w:r>
          </w:p>
        </w:tc>
        <w:tc>
          <w:tcPr>
            <w:tcW w:w="846" w:type="dxa"/>
            <w:tcBorders>
              <w:top w:val="nil"/>
              <w:left w:val="nil"/>
              <w:bottom w:val="nil"/>
              <w:right w:val="nil"/>
              <w:tl2br w:val="nil"/>
              <w:tr2bl w:val="nil"/>
            </w:tcBorders>
            <w:tcMar>
              <w:left w:w="60" w:type="dxa"/>
              <w:right w:w="60" w:type="dxa"/>
            </w:tcMar>
            <w:vAlign w:val="bottom"/>
          </w:tcPr>
          <w:p>
            <w:pPr>
              <w:pStyle w:val="DMETW36757BIPSOFP"/>
              <w:jc w:val="center"/>
              <w:rPr>
                <w:rFonts w:ascii="Verdana" w:eastAsia="Verdana" w:hAnsi="Verdana" w:cs="Verdana"/>
                <w:i/>
                <w:noProof/>
                <w:color w:val="000000"/>
                <w:sz w:val="18"/>
              </w:rPr>
            </w:pPr>
          </w:p>
        </w:tc>
        <w:tc>
          <w:tcPr>
            <w:tcW w:w="1743"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(46 815)</w:t>
            </w:r>
          </w:p>
        </w:tc>
        <w:tc>
          <w:tcPr>
            <w:tcW w:w="1444"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(65 787)</w:t>
            </w:r>
          </w:p>
        </w:tc>
      </w:tr>
      <w:tr>
        <w:trPr>
          <w:trHeight w:val="255"/>
        </w:trPr>
        <w:tc>
          <w:tcPr>
            <w:tcW w:w="5725" w:type="dxa"/>
            <w:tcBorders>
              <w:top w:val="nil"/>
              <w:left w:val="nil"/>
              <w:bottom w:val="nil"/>
              <w:right w:val="nil"/>
              <w:tl2br w:val="nil"/>
              <w:tr2bl w:val="nil"/>
            </w:tcBorders>
            <w:tcMar>
              <w:left w:w="60" w:type="dxa"/>
              <w:right w:w="60" w:type="dxa"/>
            </w:tcMar>
            <w:vAlign w:val="center"/>
          </w:tcPr>
          <w:p>
            <w:pPr>
              <w:pStyle w:val="DMETW36757BIPSOFP"/>
              <w:rPr>
                <w:rFonts w:ascii="Verdana" w:eastAsia="Verdana" w:hAnsi="Verdana" w:cs="Verdana"/>
                <w:i/>
                <w:noProof/>
                <w:color w:val="000000"/>
                <w:sz w:val="18"/>
              </w:rPr>
            </w:pPr>
            <w:r>
              <w:rPr>
                <w:rFonts w:ascii="Verdana" w:hAnsi="Verdana"/>
                <w:i/>
                <w:noProof/>
                <w:color w:val="000000"/>
                <w:sz w:val="18"/>
              </w:rPr>
              <w:t xml:space="preserve">     Autres</w:t>
            </w:r>
          </w:p>
        </w:tc>
        <w:tc>
          <w:tcPr>
            <w:tcW w:w="846" w:type="dxa"/>
            <w:tcBorders>
              <w:top w:val="nil"/>
              <w:left w:val="nil"/>
              <w:bottom w:val="nil"/>
              <w:right w:val="nil"/>
              <w:tl2br w:val="nil"/>
              <w:tr2bl w:val="nil"/>
            </w:tcBorders>
            <w:tcMar>
              <w:left w:w="60" w:type="dxa"/>
              <w:right w:w="60" w:type="dxa"/>
            </w:tcMar>
            <w:vAlign w:val="bottom"/>
          </w:tcPr>
          <w:p>
            <w:pPr>
              <w:pStyle w:val="DMETW36757BIPSOFP"/>
              <w:jc w:val="center"/>
              <w:rPr>
                <w:rFonts w:ascii="Verdana" w:eastAsia="Verdana" w:hAnsi="Verdana" w:cs="Verdana"/>
                <w:i/>
                <w:noProof/>
                <w:color w:val="000000"/>
                <w:sz w:val="18"/>
              </w:rPr>
            </w:pPr>
          </w:p>
        </w:tc>
        <w:tc>
          <w:tcPr>
            <w:tcW w:w="1743"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(32 025)</w:t>
            </w:r>
          </w:p>
        </w:tc>
        <w:tc>
          <w:tcPr>
            <w:tcW w:w="1444"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(32 992)</w:t>
            </w:r>
          </w:p>
        </w:tc>
      </w:tr>
      <w:tr>
        <w:trPr>
          <w:trHeight w:val="255"/>
        </w:trPr>
        <w:tc>
          <w:tcPr>
            <w:tcW w:w="5725" w:type="dxa"/>
            <w:tcBorders>
              <w:top w:val="nil"/>
              <w:left w:val="nil"/>
              <w:bottom w:val="nil"/>
              <w:right w:val="nil"/>
              <w:tl2br w:val="nil"/>
              <w:tr2bl w:val="nil"/>
            </w:tcBorders>
            <w:tcMar>
              <w:left w:w="60" w:type="dxa"/>
              <w:right w:w="60" w:type="dxa"/>
            </w:tcMar>
            <w:vAlign w:val="center"/>
          </w:tcPr>
          <w:p>
            <w:pPr>
              <w:pStyle w:val="DMETW36757BIPSOFP"/>
              <w:rPr>
                <w:rFonts w:ascii="Verdana" w:eastAsia="Verdana" w:hAnsi="Verdana" w:cs="Verdana"/>
                <w:i/>
                <w:noProof/>
                <w:color w:val="000000"/>
                <w:sz w:val="18"/>
              </w:rPr>
            </w:pPr>
            <w:r>
              <w:rPr>
                <w:rFonts w:ascii="Verdana" w:hAnsi="Verdana"/>
                <w:i/>
                <w:noProof/>
                <w:color w:val="000000"/>
                <w:sz w:val="18"/>
              </w:rPr>
              <w:t>Conventions de contribution, y compris les organes de l’UE</w:t>
            </w:r>
          </w:p>
        </w:tc>
        <w:tc>
          <w:tcPr>
            <w:tcW w:w="846" w:type="dxa"/>
            <w:tcBorders>
              <w:top w:val="nil"/>
              <w:left w:val="nil"/>
              <w:bottom w:val="nil"/>
              <w:right w:val="nil"/>
              <w:tl2br w:val="nil"/>
              <w:tr2bl w:val="nil"/>
            </w:tcBorders>
            <w:tcMar>
              <w:left w:w="60" w:type="dxa"/>
              <w:right w:w="60" w:type="dxa"/>
            </w:tcMar>
            <w:vAlign w:val="bottom"/>
          </w:tcPr>
          <w:p>
            <w:pPr>
              <w:pStyle w:val="DMETW36757BIPSOFP"/>
              <w:jc w:val="center"/>
              <w:rPr>
                <w:rFonts w:ascii="Verdana" w:eastAsia="Verdana" w:hAnsi="Verdana" w:cs="Verdana"/>
                <w:i/>
                <w:noProof/>
                <w:color w:val="000000"/>
                <w:sz w:val="18"/>
              </w:rPr>
            </w:pPr>
            <w:r>
              <w:rPr>
                <w:rFonts w:ascii="Verdana" w:hAnsi="Verdana"/>
                <w:i/>
                <w:noProof/>
                <w:color w:val="000000"/>
                <w:sz w:val="18"/>
              </w:rPr>
              <w:t>3.13</w:t>
            </w:r>
          </w:p>
        </w:tc>
        <w:tc>
          <w:tcPr>
            <w:tcW w:w="1743"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(13 200)</w:t>
            </w:r>
          </w:p>
        </w:tc>
        <w:tc>
          <w:tcPr>
            <w:tcW w:w="1444"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(16 820)</w:t>
            </w:r>
          </w:p>
        </w:tc>
      </w:tr>
      <w:tr>
        <w:trPr>
          <w:trHeight w:val="255"/>
        </w:trPr>
        <w:tc>
          <w:tcPr>
            <w:tcW w:w="5725" w:type="dxa"/>
            <w:tcBorders>
              <w:top w:val="nil"/>
              <w:left w:val="nil"/>
              <w:bottom w:val="nil"/>
              <w:right w:val="nil"/>
              <w:tl2br w:val="nil"/>
              <w:tr2bl w:val="nil"/>
            </w:tcBorders>
            <w:tcMar>
              <w:left w:w="60" w:type="dxa"/>
              <w:right w:w="60" w:type="dxa"/>
            </w:tcMar>
            <w:vAlign w:val="center"/>
          </w:tcPr>
          <w:p>
            <w:pPr>
              <w:pStyle w:val="DMETW36757BIPSOFP"/>
              <w:rPr>
                <w:rFonts w:ascii="Verdana" w:eastAsia="Verdana" w:hAnsi="Verdana" w:cs="Verdana"/>
                <w:i/>
                <w:noProof/>
                <w:color w:val="000000"/>
                <w:sz w:val="18"/>
              </w:rPr>
            </w:pPr>
            <w:r>
              <w:rPr>
                <w:rFonts w:ascii="Verdana" w:hAnsi="Verdana"/>
                <w:i/>
                <w:noProof/>
                <w:color w:val="000000"/>
                <w:sz w:val="18"/>
              </w:rPr>
              <w:t>Coûts du personnel et des pensions</w:t>
            </w:r>
          </w:p>
        </w:tc>
        <w:tc>
          <w:tcPr>
            <w:tcW w:w="846" w:type="dxa"/>
            <w:tcBorders>
              <w:top w:val="nil"/>
              <w:left w:val="nil"/>
              <w:bottom w:val="nil"/>
              <w:right w:val="nil"/>
              <w:tl2br w:val="nil"/>
              <w:tr2bl w:val="nil"/>
            </w:tcBorders>
            <w:tcMar>
              <w:left w:w="60" w:type="dxa"/>
              <w:right w:w="60" w:type="dxa"/>
            </w:tcMar>
            <w:vAlign w:val="bottom"/>
          </w:tcPr>
          <w:p>
            <w:pPr>
              <w:pStyle w:val="DMETW36757BIPSOFP"/>
              <w:jc w:val="center"/>
              <w:rPr>
                <w:rFonts w:ascii="Verdana" w:eastAsia="Verdana" w:hAnsi="Verdana" w:cs="Verdana"/>
                <w:i/>
                <w:noProof/>
                <w:color w:val="000000"/>
                <w:sz w:val="18"/>
              </w:rPr>
            </w:pPr>
            <w:r>
              <w:rPr>
                <w:rFonts w:ascii="Verdana" w:hAnsi="Verdana"/>
                <w:i/>
                <w:noProof/>
                <w:color w:val="000000"/>
                <w:sz w:val="18"/>
              </w:rPr>
              <w:t>3.14</w:t>
            </w:r>
          </w:p>
        </w:tc>
        <w:tc>
          <w:tcPr>
            <w:tcW w:w="1743"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(15 954)</w:t>
            </w:r>
          </w:p>
        </w:tc>
        <w:tc>
          <w:tcPr>
            <w:tcW w:w="1444"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(14 966)</w:t>
            </w:r>
          </w:p>
        </w:tc>
      </w:tr>
      <w:tr>
        <w:trPr>
          <w:trHeight w:val="255"/>
        </w:trPr>
        <w:tc>
          <w:tcPr>
            <w:tcW w:w="5725" w:type="dxa"/>
            <w:tcBorders>
              <w:top w:val="nil"/>
              <w:left w:val="nil"/>
              <w:bottom w:val="nil"/>
              <w:right w:val="nil"/>
              <w:tl2br w:val="nil"/>
              <w:tr2bl w:val="nil"/>
            </w:tcBorders>
            <w:tcMar>
              <w:left w:w="60" w:type="dxa"/>
              <w:right w:w="60" w:type="dxa"/>
            </w:tcMar>
            <w:vAlign w:val="center"/>
          </w:tcPr>
          <w:p>
            <w:pPr>
              <w:pStyle w:val="DMETW36757BIPSOFP"/>
              <w:rPr>
                <w:rFonts w:ascii="Verdana" w:eastAsia="Verdana" w:hAnsi="Verdana" w:cs="Verdana"/>
                <w:i/>
                <w:noProof/>
                <w:color w:val="000000"/>
                <w:sz w:val="18"/>
              </w:rPr>
            </w:pPr>
            <w:r>
              <w:rPr>
                <w:rFonts w:ascii="Verdana" w:hAnsi="Verdana"/>
                <w:i/>
                <w:noProof/>
                <w:color w:val="000000"/>
                <w:sz w:val="18"/>
              </w:rPr>
              <w:t>Charges financières</w:t>
            </w:r>
          </w:p>
        </w:tc>
        <w:tc>
          <w:tcPr>
            <w:tcW w:w="846" w:type="dxa"/>
            <w:tcBorders>
              <w:top w:val="nil"/>
              <w:left w:val="nil"/>
              <w:bottom w:val="nil"/>
              <w:right w:val="nil"/>
              <w:tl2br w:val="nil"/>
              <w:tr2bl w:val="nil"/>
            </w:tcBorders>
            <w:tcMar>
              <w:left w:w="60" w:type="dxa"/>
              <w:right w:w="60" w:type="dxa"/>
            </w:tcMar>
            <w:vAlign w:val="bottom"/>
          </w:tcPr>
          <w:p>
            <w:pPr>
              <w:pStyle w:val="DMETW36757BIPSOFP"/>
              <w:jc w:val="center"/>
              <w:rPr>
                <w:rFonts w:ascii="Verdana" w:eastAsia="Verdana" w:hAnsi="Verdana" w:cs="Verdana"/>
                <w:i/>
                <w:noProof/>
                <w:color w:val="000000"/>
                <w:sz w:val="18"/>
              </w:rPr>
            </w:pPr>
            <w:r>
              <w:rPr>
                <w:rFonts w:ascii="Verdana" w:hAnsi="Verdana"/>
                <w:i/>
                <w:noProof/>
                <w:color w:val="000000"/>
                <w:sz w:val="18"/>
              </w:rPr>
              <w:t>3.15</w:t>
            </w:r>
          </w:p>
        </w:tc>
        <w:tc>
          <w:tcPr>
            <w:tcW w:w="1743"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(27 156)</w:t>
            </w:r>
          </w:p>
        </w:tc>
        <w:tc>
          <w:tcPr>
            <w:tcW w:w="1444"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(27 226)</w:t>
            </w:r>
          </w:p>
        </w:tc>
      </w:tr>
      <w:tr>
        <w:trPr>
          <w:trHeight w:val="255"/>
        </w:trPr>
        <w:tc>
          <w:tcPr>
            <w:tcW w:w="5725" w:type="dxa"/>
            <w:tcBorders>
              <w:top w:val="nil"/>
              <w:left w:val="nil"/>
              <w:bottom w:val="nil"/>
              <w:right w:val="nil"/>
              <w:tl2br w:val="nil"/>
              <w:tr2bl w:val="nil"/>
            </w:tcBorders>
            <w:tcMar>
              <w:left w:w="60" w:type="dxa"/>
              <w:right w:w="60" w:type="dxa"/>
            </w:tcMar>
            <w:vAlign w:val="center"/>
          </w:tcPr>
          <w:p>
            <w:pPr>
              <w:pStyle w:val="DMETW36757BIPSOFP"/>
              <w:rPr>
                <w:rFonts w:ascii="Verdana" w:eastAsia="Verdana" w:hAnsi="Verdana" w:cs="Verdana"/>
                <w:i/>
                <w:noProof/>
                <w:color w:val="000000"/>
                <w:sz w:val="18"/>
              </w:rPr>
            </w:pPr>
            <w:r>
              <w:rPr>
                <w:rFonts w:ascii="Verdana" w:hAnsi="Verdana"/>
                <w:i/>
                <w:noProof/>
                <w:color w:val="000000"/>
                <w:sz w:val="18"/>
              </w:rPr>
              <w:t>Accord de retrait du Royaume-Uni</w:t>
            </w:r>
          </w:p>
        </w:tc>
        <w:tc>
          <w:tcPr>
            <w:tcW w:w="846" w:type="dxa"/>
            <w:tcBorders>
              <w:top w:val="nil"/>
              <w:left w:val="nil"/>
              <w:bottom w:val="nil"/>
              <w:right w:val="nil"/>
              <w:tl2br w:val="nil"/>
              <w:tr2bl w:val="nil"/>
            </w:tcBorders>
            <w:tcMar>
              <w:left w:w="60" w:type="dxa"/>
              <w:right w:w="60" w:type="dxa"/>
            </w:tcMar>
            <w:vAlign w:val="bottom"/>
          </w:tcPr>
          <w:p>
            <w:pPr>
              <w:pStyle w:val="DMETW36757BIPSOFP"/>
              <w:jc w:val="center"/>
              <w:rPr>
                <w:rFonts w:ascii="Verdana" w:eastAsia="Verdana" w:hAnsi="Verdana" w:cs="Verdana"/>
                <w:i/>
                <w:noProof/>
                <w:color w:val="000000"/>
                <w:sz w:val="18"/>
              </w:rPr>
            </w:pPr>
            <w:r>
              <w:rPr>
                <w:rFonts w:ascii="Verdana" w:hAnsi="Verdana"/>
                <w:i/>
                <w:noProof/>
                <w:color w:val="000000"/>
                <w:sz w:val="18"/>
              </w:rPr>
              <w:t>3.7</w:t>
            </w:r>
          </w:p>
        </w:tc>
        <w:tc>
          <w:tcPr>
            <w:tcW w:w="1743"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 xml:space="preserve"> (465)</w:t>
            </w:r>
          </w:p>
        </w:tc>
        <w:tc>
          <w:tcPr>
            <w:tcW w:w="1444"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 xml:space="preserve"> (315)</w:t>
            </w:r>
          </w:p>
        </w:tc>
      </w:tr>
      <w:tr>
        <w:trPr>
          <w:trHeight w:val="255"/>
        </w:trPr>
        <w:tc>
          <w:tcPr>
            <w:tcW w:w="5725" w:type="dxa"/>
            <w:tcBorders>
              <w:top w:val="nil"/>
              <w:left w:val="nil"/>
              <w:bottom w:val="single" w:sz="4" w:space="0" w:color="016794"/>
              <w:right w:val="nil"/>
              <w:tl2br w:val="nil"/>
              <w:tr2bl w:val="nil"/>
            </w:tcBorders>
            <w:tcMar>
              <w:left w:w="60" w:type="dxa"/>
              <w:right w:w="60" w:type="dxa"/>
            </w:tcMar>
            <w:vAlign w:val="center"/>
          </w:tcPr>
          <w:p>
            <w:pPr>
              <w:pStyle w:val="DMETW36757BIPSOFP"/>
              <w:rPr>
                <w:rFonts w:ascii="Verdana" w:eastAsia="Verdana" w:hAnsi="Verdana" w:cs="Verdana"/>
                <w:i/>
                <w:noProof/>
                <w:color w:val="000000"/>
                <w:sz w:val="18"/>
              </w:rPr>
            </w:pPr>
            <w:r>
              <w:rPr>
                <w:rFonts w:ascii="Verdana" w:hAnsi="Verdana"/>
                <w:i/>
                <w:noProof/>
                <w:color w:val="000000"/>
                <w:sz w:val="18"/>
              </w:rPr>
              <w:t>Marchés publics, dépenses administratives et autres dépenses</w:t>
            </w:r>
          </w:p>
        </w:tc>
        <w:tc>
          <w:tcPr>
            <w:tcW w:w="846" w:type="dxa"/>
            <w:tcBorders>
              <w:top w:val="nil"/>
              <w:left w:val="nil"/>
              <w:bottom w:val="single" w:sz="4" w:space="0" w:color="016794"/>
              <w:right w:val="nil"/>
              <w:tl2br w:val="nil"/>
              <w:tr2bl w:val="nil"/>
            </w:tcBorders>
            <w:tcMar>
              <w:left w:w="60" w:type="dxa"/>
              <w:right w:w="60" w:type="dxa"/>
            </w:tcMar>
            <w:vAlign w:val="bottom"/>
          </w:tcPr>
          <w:p>
            <w:pPr>
              <w:pStyle w:val="DMETW36757BIPSOFP"/>
              <w:jc w:val="center"/>
              <w:rPr>
                <w:rFonts w:ascii="Verdana" w:eastAsia="Verdana" w:hAnsi="Verdana" w:cs="Verdana"/>
                <w:i/>
                <w:noProof/>
                <w:color w:val="000000"/>
                <w:sz w:val="18"/>
              </w:rPr>
            </w:pPr>
            <w:r>
              <w:rPr>
                <w:rFonts w:ascii="Verdana" w:hAnsi="Verdana"/>
                <w:i/>
                <w:noProof/>
                <w:color w:val="000000"/>
                <w:sz w:val="18"/>
              </w:rPr>
              <w:t>3.16</w:t>
            </w:r>
          </w:p>
        </w:tc>
        <w:tc>
          <w:tcPr>
            <w:tcW w:w="1743" w:type="dxa"/>
            <w:tcBorders>
              <w:top w:val="nil"/>
              <w:left w:val="nil"/>
              <w:bottom w:val="single" w:sz="4" w:space="0" w:color="016794"/>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(10 733)</w:t>
            </w:r>
          </w:p>
        </w:tc>
        <w:tc>
          <w:tcPr>
            <w:tcW w:w="1444" w:type="dxa"/>
            <w:tcBorders>
              <w:top w:val="nil"/>
              <w:left w:val="nil"/>
              <w:bottom w:val="single" w:sz="4" w:space="0" w:color="016794"/>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(8 997)</w:t>
            </w:r>
          </w:p>
        </w:tc>
      </w:tr>
      <w:tr>
        <w:trPr>
          <w:trHeight w:val="255"/>
        </w:trPr>
        <w:tc>
          <w:tcPr>
            <w:tcW w:w="5725" w:type="dxa"/>
            <w:tcBorders>
              <w:top w:val="single" w:sz="4" w:space="0" w:color="016794"/>
              <w:left w:val="nil"/>
              <w:bottom w:val="nil"/>
              <w:right w:val="nil"/>
              <w:tl2br w:val="nil"/>
              <w:tr2bl w:val="nil"/>
            </w:tcBorders>
            <w:tcMar>
              <w:left w:w="60" w:type="dxa"/>
              <w:right w:w="60" w:type="dxa"/>
            </w:tcMar>
            <w:vAlign w:val="center"/>
          </w:tcPr>
          <w:p>
            <w:pPr>
              <w:pStyle w:val="DMETW36757BIPSOFP"/>
              <w:rPr>
                <w:rFonts w:ascii="Verdana" w:eastAsia="Verdana" w:hAnsi="Verdana" w:cs="Verdana"/>
                <w:b/>
                <w:noProof/>
                <w:color w:val="000000"/>
                <w:sz w:val="18"/>
              </w:rPr>
            </w:pPr>
            <w:r>
              <w:rPr>
                <w:rFonts w:ascii="Verdana" w:hAnsi="Verdana"/>
                <w:b/>
                <w:noProof/>
                <w:color w:val="000000"/>
                <w:sz w:val="18"/>
              </w:rPr>
              <w:t>Dépenses totales</w:t>
            </w:r>
          </w:p>
        </w:tc>
        <w:tc>
          <w:tcPr>
            <w:tcW w:w="846" w:type="dxa"/>
            <w:tcBorders>
              <w:top w:val="single" w:sz="4" w:space="0" w:color="016794"/>
              <w:left w:val="nil"/>
              <w:bottom w:val="nil"/>
              <w:right w:val="nil"/>
              <w:tl2br w:val="nil"/>
              <w:tr2bl w:val="nil"/>
            </w:tcBorders>
            <w:tcMar>
              <w:left w:w="60" w:type="dxa"/>
              <w:right w:w="60" w:type="dxa"/>
            </w:tcMar>
            <w:vAlign w:val="bottom"/>
          </w:tcPr>
          <w:p>
            <w:pPr>
              <w:pStyle w:val="DMETW36757BIPSOFP"/>
              <w:jc w:val="center"/>
              <w:rPr>
                <w:rFonts w:ascii="Verdana" w:eastAsia="Verdana" w:hAnsi="Verdana" w:cs="Verdana"/>
                <w:noProof/>
                <w:color w:val="000000"/>
                <w:sz w:val="18"/>
              </w:rPr>
            </w:pPr>
          </w:p>
        </w:tc>
        <w:tc>
          <w:tcPr>
            <w:tcW w:w="1743" w:type="dxa"/>
            <w:tcBorders>
              <w:top w:val="single" w:sz="4" w:space="0" w:color="016794"/>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b/>
                <w:noProof/>
                <w:color w:val="000000"/>
                <w:sz w:val="18"/>
              </w:rPr>
            </w:pPr>
            <w:r>
              <w:rPr>
                <w:rFonts w:ascii="Verdana" w:hAnsi="Verdana"/>
                <w:b/>
                <w:noProof/>
                <w:color w:val="000000"/>
                <w:sz w:val="18"/>
              </w:rPr>
              <w:t>(257 134)</w:t>
            </w:r>
          </w:p>
        </w:tc>
        <w:tc>
          <w:tcPr>
            <w:tcW w:w="1444" w:type="dxa"/>
            <w:tcBorders>
              <w:top w:val="single" w:sz="4" w:space="0" w:color="016794"/>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b/>
                <w:noProof/>
                <w:color w:val="000000"/>
                <w:sz w:val="18"/>
              </w:rPr>
            </w:pPr>
            <w:r>
              <w:rPr>
                <w:rFonts w:ascii="Verdana" w:hAnsi="Verdana"/>
                <w:b/>
                <w:noProof/>
                <w:color w:val="000000"/>
                <w:sz w:val="18"/>
              </w:rPr>
              <w:t>(272 873)</w:t>
            </w:r>
          </w:p>
        </w:tc>
      </w:tr>
      <w:tr>
        <w:trPr>
          <w:trHeight w:val="255"/>
        </w:trPr>
        <w:tc>
          <w:tcPr>
            <w:tcW w:w="5725" w:type="dxa"/>
            <w:tcBorders>
              <w:top w:val="nil"/>
              <w:left w:val="nil"/>
              <w:bottom w:val="nil"/>
              <w:right w:val="nil"/>
              <w:tl2br w:val="nil"/>
              <w:tr2bl w:val="nil"/>
            </w:tcBorders>
            <w:shd w:val="solid" w:color="CCE1EA" w:fill="FFFFFF"/>
            <w:tcMar>
              <w:left w:w="60" w:type="dxa"/>
              <w:right w:w="60" w:type="dxa"/>
            </w:tcMar>
            <w:vAlign w:val="center"/>
          </w:tcPr>
          <w:p>
            <w:pPr>
              <w:pStyle w:val="DMETW36757BIPSOFP"/>
              <w:rPr>
                <w:rFonts w:ascii="Verdana" w:eastAsia="Verdana" w:hAnsi="Verdana" w:cs="Verdana"/>
                <w:b/>
                <w:noProof/>
                <w:color w:val="000000"/>
                <w:sz w:val="18"/>
              </w:rPr>
            </w:pPr>
            <w:r>
              <w:rPr>
                <w:rFonts w:ascii="Verdana" w:hAnsi="Verdana"/>
                <w:b/>
                <w:noProof/>
                <w:color w:val="000000"/>
                <w:sz w:val="18"/>
              </w:rPr>
              <w:t>RÉSULTAT ÉCONOMIQUE DE L’EXERCICE</w:t>
            </w:r>
          </w:p>
        </w:tc>
        <w:tc>
          <w:tcPr>
            <w:tcW w:w="846" w:type="dxa"/>
            <w:tcBorders>
              <w:top w:val="nil"/>
              <w:left w:val="nil"/>
              <w:bottom w:val="nil"/>
              <w:right w:val="nil"/>
              <w:tl2br w:val="nil"/>
              <w:tr2bl w:val="nil"/>
            </w:tcBorders>
            <w:shd w:val="solid" w:color="CCE1EA" w:fill="FFFFFF"/>
            <w:tcMar>
              <w:left w:w="60" w:type="dxa"/>
              <w:right w:w="60" w:type="dxa"/>
            </w:tcMar>
            <w:vAlign w:val="bottom"/>
          </w:tcPr>
          <w:p>
            <w:pPr>
              <w:pStyle w:val="DMETW36757BIPSOFP"/>
              <w:jc w:val="center"/>
              <w:rPr>
                <w:rFonts w:ascii="Verdana" w:eastAsia="Verdana" w:hAnsi="Verdana" w:cs="Verdana"/>
                <w:noProof/>
                <w:color w:val="000000"/>
                <w:sz w:val="18"/>
              </w:rPr>
            </w:pPr>
          </w:p>
        </w:tc>
        <w:tc>
          <w:tcPr>
            <w:tcW w:w="1743" w:type="dxa"/>
            <w:tcBorders>
              <w:top w:val="nil"/>
              <w:left w:val="nil"/>
              <w:bottom w:val="nil"/>
              <w:right w:val="nil"/>
              <w:tl2br w:val="nil"/>
              <w:tr2bl w:val="nil"/>
            </w:tcBorders>
            <w:shd w:val="solid" w:color="CCE1EA" w:fill="FFFFFF"/>
            <w:tcMar>
              <w:left w:w="60" w:type="dxa"/>
              <w:right w:w="60" w:type="dxa"/>
            </w:tcMar>
            <w:vAlign w:val="bottom"/>
          </w:tcPr>
          <w:p>
            <w:pPr>
              <w:pStyle w:val="DMETW36757BIPSOFP"/>
              <w:jc w:val="right"/>
              <w:rPr>
                <w:rFonts w:ascii="Verdana" w:eastAsia="Verdana" w:hAnsi="Verdana" w:cs="Verdana"/>
                <w:b/>
                <w:noProof/>
                <w:color w:val="000000"/>
                <w:sz w:val="18"/>
              </w:rPr>
            </w:pPr>
            <w:r>
              <w:rPr>
                <w:rFonts w:ascii="Verdana" w:hAnsi="Verdana"/>
                <w:b/>
                <w:noProof/>
                <w:color w:val="000000"/>
                <w:sz w:val="18"/>
              </w:rPr>
              <w:t>(54 639)</w:t>
            </w:r>
          </w:p>
        </w:tc>
        <w:tc>
          <w:tcPr>
            <w:tcW w:w="1444" w:type="dxa"/>
            <w:tcBorders>
              <w:top w:val="nil"/>
              <w:left w:val="nil"/>
              <w:bottom w:val="nil"/>
              <w:right w:val="nil"/>
              <w:tl2br w:val="nil"/>
              <w:tr2bl w:val="nil"/>
            </w:tcBorders>
            <w:shd w:val="solid" w:color="CCE1EA" w:fill="FFFFFF"/>
            <w:tcMar>
              <w:left w:w="60" w:type="dxa"/>
              <w:right w:w="60" w:type="dxa"/>
            </w:tcMar>
            <w:vAlign w:val="bottom"/>
          </w:tcPr>
          <w:p>
            <w:pPr>
              <w:pStyle w:val="DMETW36757BIPSOFP"/>
              <w:jc w:val="right"/>
              <w:rPr>
                <w:rFonts w:ascii="Verdana" w:eastAsia="Verdana" w:hAnsi="Verdana" w:cs="Verdana"/>
                <w:b/>
                <w:noProof/>
                <w:color w:val="000000"/>
                <w:sz w:val="18"/>
              </w:rPr>
            </w:pPr>
            <w:r>
              <w:rPr>
                <w:rFonts w:ascii="Verdana" w:hAnsi="Verdana"/>
                <w:b/>
                <w:noProof/>
                <w:color w:val="000000"/>
                <w:sz w:val="18"/>
              </w:rPr>
              <w:t>(97 208)</w:t>
            </w:r>
          </w:p>
        </w:tc>
      </w:tr>
    </w:tbl>
    <w:p>
      <w:pPr>
        <w:pStyle w:val="Textstand-alone"/>
        <w:rPr>
          <w:lang w:bidi="en-GB"/>
        </w:rPr>
      </w:pPr>
    </w:p>
    <w:p>
      <w:pPr>
        <w:pStyle w:val="Text9pItalicLeft3p"/>
        <w:sectPr>
          <w:headerReference w:type="default" r:id="rId53"/>
          <w:footerReference w:type="default" r:id="rId54"/>
          <w:pgSz w:w="11906" w:h="16838"/>
          <w:pgMar w:top="1134" w:right="1134" w:bottom="1134" w:left="1134" w:header="709" w:footer="709" w:gutter="0"/>
          <w:cols w:space="708"/>
          <w:docGrid w:linePitch="360"/>
        </w:sectPr>
      </w:pPr>
      <w:r>
        <w:t xml:space="preserve"> </w:t>
      </w:r>
      <w:bookmarkEnd w:id="60"/>
    </w:p>
    <w:p>
      <w:pPr>
        <w:pStyle w:val="HEADERTITLE1"/>
        <w:spacing w:after="0"/>
      </w:pPr>
      <w:bookmarkStart w:id="62" w:name="_Toc237348409"/>
      <w:bookmarkStart w:id="63" w:name="_Toc237350930"/>
      <w:bookmarkStart w:id="64" w:name="_DMBM_36717"/>
      <w:r>
        <w:lastRenderedPageBreak/>
        <w:t>TABLEAU DES FLUX DE TRÉSORERIE</w:t>
      </w:r>
      <w:bookmarkEnd w:id="62"/>
      <w:bookmarkEnd w:id="63"/>
    </w:p>
    <w:p>
      <w:pPr>
        <w:pStyle w:val="DGTextstand-alone"/>
        <w:spacing w:after="0"/>
        <w:rPr>
          <w:lang w:val="fr-B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86"/>
        <w:gridCol w:w="1536"/>
        <w:gridCol w:w="1536"/>
      </w:tblGrid>
      <w:tr>
        <w:trPr>
          <w:trHeight w:val="369"/>
        </w:trPr>
        <w:tc>
          <w:tcPr>
            <w:tcW w:w="6686" w:type="dxa"/>
            <w:tcBorders>
              <w:top w:val="nil"/>
              <w:left w:val="nil"/>
              <w:bottom w:val="nil"/>
              <w:right w:val="nil"/>
              <w:tl2br w:val="nil"/>
              <w:tr2bl w:val="nil"/>
            </w:tcBorders>
            <w:tcMar>
              <w:left w:w="60" w:type="dxa"/>
              <w:right w:w="60" w:type="dxa"/>
            </w:tcMar>
            <w:vAlign w:val="center"/>
          </w:tcPr>
          <w:p>
            <w:pPr>
              <w:pStyle w:val="DMETW36758BIPCF"/>
              <w:rPr>
                <w:rFonts w:ascii="Verdana" w:eastAsia="Verdana" w:hAnsi="Verdana" w:cs="Verdana"/>
                <w:i/>
                <w:noProof/>
                <w:color w:val="FFFFFF"/>
                <w:sz w:val="16"/>
              </w:rPr>
            </w:pPr>
            <w:bookmarkStart w:id="65" w:name="DOC_TBL00003_1_1"/>
            <w:bookmarkEnd w:id="65"/>
          </w:p>
        </w:tc>
        <w:tc>
          <w:tcPr>
            <w:tcW w:w="1536" w:type="dxa"/>
            <w:tcBorders>
              <w:top w:val="nil"/>
              <w:left w:val="nil"/>
              <w:bottom w:val="nil"/>
              <w:right w:val="nil"/>
              <w:tl2br w:val="nil"/>
              <w:tr2bl w:val="nil"/>
            </w:tcBorders>
            <w:tcMar>
              <w:left w:w="60" w:type="dxa"/>
              <w:right w:w="60" w:type="dxa"/>
            </w:tcMar>
            <w:vAlign w:val="bottom"/>
          </w:tcPr>
          <w:p>
            <w:pPr>
              <w:pStyle w:val="DMETW36758BIPCF"/>
              <w:rPr>
                <w:rFonts w:ascii="Arial" w:eastAsia="Arial" w:hAnsi="Arial" w:cs="Arial"/>
                <w:noProof/>
                <w:color w:val="000000"/>
              </w:rPr>
            </w:pPr>
          </w:p>
        </w:tc>
        <w:tc>
          <w:tcPr>
            <w:tcW w:w="1536" w:type="dxa"/>
            <w:tcBorders>
              <w:top w:val="nil"/>
              <w:left w:val="nil"/>
              <w:bottom w:val="nil"/>
              <w:right w:val="nil"/>
              <w:tl2br w:val="nil"/>
              <w:tr2bl w:val="nil"/>
            </w:tcBorders>
            <w:tcMar>
              <w:left w:w="60" w:type="dxa"/>
              <w:right w:w="60" w:type="dxa"/>
            </w:tcMar>
            <w:vAlign w:val="bottom"/>
          </w:tcPr>
          <w:p>
            <w:pPr>
              <w:pStyle w:val="DMETW36758BIPCF"/>
              <w:jc w:val="right"/>
              <w:rPr>
                <w:rFonts w:ascii="Verdana" w:eastAsia="Verdana" w:hAnsi="Verdana" w:cs="Verdana"/>
                <w:i/>
                <w:noProof/>
                <w:color w:val="000000"/>
                <w:sz w:val="16"/>
              </w:rPr>
            </w:pPr>
            <w:r>
              <w:rPr>
                <w:rFonts w:ascii="Verdana" w:hAnsi="Verdana"/>
                <w:i/>
                <w:noProof/>
                <w:color w:val="000000"/>
                <w:sz w:val="16"/>
              </w:rPr>
              <w:t>en Mio EUR</w:t>
            </w:r>
          </w:p>
        </w:tc>
      </w:tr>
      <w:tr>
        <w:trPr>
          <w:trHeight w:val="369"/>
        </w:trPr>
        <w:tc>
          <w:tcPr>
            <w:tcW w:w="6686" w:type="dxa"/>
            <w:tcBorders>
              <w:top w:val="nil"/>
              <w:left w:val="nil"/>
              <w:bottom w:val="nil"/>
              <w:right w:val="nil"/>
              <w:tl2br w:val="nil"/>
              <w:tr2bl w:val="nil"/>
            </w:tcBorders>
            <w:shd w:val="solid" w:color="016794" w:fill="FFFFFF"/>
            <w:tcMar>
              <w:left w:w="60" w:type="dxa"/>
              <w:right w:w="60" w:type="dxa"/>
            </w:tcMar>
            <w:vAlign w:val="center"/>
          </w:tcPr>
          <w:p>
            <w:pPr>
              <w:pStyle w:val="DMETW36758BIPCF"/>
              <w:rPr>
                <w:rFonts w:ascii="Verdana" w:eastAsia="Verdana" w:hAnsi="Verdana" w:cs="Verdana"/>
                <w:noProof/>
                <w:color w:val="FFFFFF"/>
              </w:rPr>
            </w:pPr>
          </w:p>
        </w:tc>
        <w:tc>
          <w:tcPr>
            <w:tcW w:w="1536" w:type="dxa"/>
            <w:tcBorders>
              <w:top w:val="nil"/>
              <w:left w:val="nil"/>
              <w:bottom w:val="nil"/>
              <w:right w:val="nil"/>
              <w:tl2br w:val="nil"/>
              <w:tr2bl w:val="nil"/>
            </w:tcBorders>
            <w:shd w:val="solid" w:color="016794" w:fill="FFFFFF"/>
            <w:tcMar>
              <w:left w:w="60" w:type="dxa"/>
              <w:right w:w="60" w:type="dxa"/>
            </w:tcMar>
            <w:vAlign w:val="center"/>
          </w:tcPr>
          <w:p>
            <w:pPr>
              <w:pStyle w:val="DMETW36758BIPCF"/>
              <w:jc w:val="right"/>
              <w:rPr>
                <w:rFonts w:ascii="Verdana" w:eastAsia="Verdana" w:hAnsi="Verdana" w:cs="Verdana"/>
                <w:noProof/>
                <w:color w:val="FFFFFF"/>
              </w:rPr>
            </w:pPr>
            <w:r>
              <w:rPr>
                <w:rFonts w:ascii="Verdana" w:hAnsi="Verdana"/>
                <w:noProof/>
                <w:color w:val="FFFFFF"/>
              </w:rPr>
              <w:t>2025</w:t>
            </w:r>
          </w:p>
        </w:tc>
        <w:tc>
          <w:tcPr>
            <w:tcW w:w="1536" w:type="dxa"/>
            <w:tcBorders>
              <w:top w:val="nil"/>
              <w:left w:val="nil"/>
              <w:bottom w:val="nil"/>
              <w:right w:val="nil"/>
              <w:tl2br w:val="nil"/>
              <w:tr2bl w:val="nil"/>
            </w:tcBorders>
            <w:shd w:val="solid" w:color="016794" w:fill="FFFFFF"/>
            <w:tcMar>
              <w:left w:w="60" w:type="dxa"/>
              <w:right w:w="60" w:type="dxa"/>
            </w:tcMar>
            <w:vAlign w:val="center"/>
          </w:tcPr>
          <w:p>
            <w:pPr>
              <w:pStyle w:val="DMETW36758BIPCF"/>
              <w:jc w:val="right"/>
              <w:rPr>
                <w:rFonts w:ascii="Verdana" w:eastAsia="Verdana" w:hAnsi="Verdana" w:cs="Verdana"/>
                <w:noProof/>
                <w:color w:val="FFFFFF"/>
              </w:rPr>
            </w:pPr>
            <w:r>
              <w:rPr>
                <w:rFonts w:ascii="Verdana" w:hAnsi="Verdana"/>
                <w:noProof/>
                <w:color w:val="FFFFFF"/>
              </w:rPr>
              <w:t>2024</w:t>
            </w:r>
          </w:p>
        </w:tc>
      </w:tr>
      <w:tr>
        <w:trPr>
          <w:trHeight w:val="369"/>
        </w:trPr>
        <w:tc>
          <w:tcPr>
            <w:tcW w:w="6686" w:type="dxa"/>
            <w:tcBorders>
              <w:top w:val="nil"/>
              <w:left w:val="nil"/>
              <w:bottom w:val="nil"/>
              <w:right w:val="nil"/>
              <w:tl2br w:val="nil"/>
              <w:tr2bl w:val="nil"/>
            </w:tcBorders>
            <w:tcMar>
              <w:left w:w="60" w:type="dxa"/>
              <w:right w:w="60" w:type="dxa"/>
            </w:tcMar>
            <w:vAlign w:val="center"/>
          </w:tcPr>
          <w:p>
            <w:pPr>
              <w:pStyle w:val="DMETW36758BIPCF"/>
              <w:rPr>
                <w:rFonts w:ascii="Verdana" w:eastAsia="Verdana" w:hAnsi="Verdana" w:cs="Verdana"/>
                <w:i/>
                <w:noProof/>
                <w:color w:val="000000"/>
                <w:sz w:val="18"/>
              </w:rPr>
            </w:pPr>
            <w:r>
              <w:rPr>
                <w:rFonts w:ascii="Verdana" w:hAnsi="Verdana"/>
                <w:i/>
                <w:noProof/>
                <w:color w:val="000000"/>
                <w:sz w:val="18"/>
              </w:rPr>
              <w:t>Résultat économique de l’exercice</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(54 639)</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(97 208)</w:t>
            </w:r>
          </w:p>
        </w:tc>
      </w:tr>
      <w:tr>
        <w:trPr>
          <w:trHeight w:val="369"/>
        </w:trPr>
        <w:tc>
          <w:tcPr>
            <w:tcW w:w="6686" w:type="dxa"/>
            <w:tcBorders>
              <w:top w:val="nil"/>
              <w:left w:val="nil"/>
              <w:bottom w:val="nil"/>
              <w:right w:val="nil"/>
              <w:tl2br w:val="nil"/>
              <w:tr2bl w:val="nil"/>
            </w:tcBorders>
            <w:tcMar>
              <w:left w:w="60" w:type="dxa"/>
              <w:right w:w="60" w:type="dxa"/>
            </w:tcMar>
            <w:vAlign w:val="center"/>
          </w:tcPr>
          <w:p>
            <w:pPr>
              <w:pStyle w:val="DMETW36758BIPCF"/>
              <w:rPr>
                <w:rFonts w:ascii="Verdana" w:eastAsia="Verdana" w:hAnsi="Verdana" w:cs="Verdana"/>
                <w:b/>
                <w:noProof/>
                <w:color w:val="000000"/>
                <w:sz w:val="18"/>
              </w:rPr>
            </w:pPr>
            <w:r>
              <w:rPr>
                <w:rFonts w:ascii="Verdana" w:hAnsi="Verdana"/>
                <w:b/>
                <w:noProof/>
                <w:color w:val="000000"/>
                <w:sz w:val="18"/>
              </w:rPr>
              <w:t>Activités d’exploitation</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lang w:bidi="en-GB"/>
              </w:rPr>
            </w:pPr>
          </w:p>
        </w:tc>
      </w:tr>
      <w:tr>
        <w:trPr>
          <w:trHeight w:val="369"/>
        </w:trPr>
        <w:tc>
          <w:tcPr>
            <w:tcW w:w="6686" w:type="dxa"/>
            <w:tcBorders>
              <w:top w:val="nil"/>
              <w:left w:val="nil"/>
              <w:bottom w:val="nil"/>
              <w:right w:val="nil"/>
              <w:tl2br w:val="nil"/>
              <w:tr2bl w:val="nil"/>
            </w:tcBorders>
            <w:tcMar>
              <w:left w:w="60" w:type="dxa"/>
              <w:right w:w="60" w:type="dxa"/>
            </w:tcMar>
            <w:vAlign w:val="center"/>
          </w:tcPr>
          <w:p>
            <w:pPr>
              <w:pStyle w:val="DMETW36758BIPCF"/>
              <w:rPr>
                <w:rFonts w:ascii="Verdana" w:eastAsia="Verdana" w:hAnsi="Verdana" w:cs="Verdana"/>
                <w:i/>
                <w:noProof/>
                <w:color w:val="000000"/>
                <w:sz w:val="18"/>
              </w:rPr>
            </w:pPr>
            <w:r>
              <w:rPr>
                <w:rFonts w:ascii="Verdana" w:hAnsi="Verdana"/>
                <w:i/>
                <w:noProof/>
                <w:color w:val="000000"/>
                <w:sz w:val="18"/>
              </w:rPr>
              <w:t>Amortissements</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 xml:space="preserve"> 212</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 xml:space="preserve"> 191</w:t>
            </w:r>
          </w:p>
        </w:tc>
      </w:tr>
      <w:tr>
        <w:trPr>
          <w:trHeight w:val="369"/>
        </w:trPr>
        <w:tc>
          <w:tcPr>
            <w:tcW w:w="6686" w:type="dxa"/>
            <w:tcBorders>
              <w:top w:val="nil"/>
              <w:left w:val="nil"/>
              <w:bottom w:val="nil"/>
              <w:right w:val="nil"/>
              <w:tl2br w:val="nil"/>
              <w:tr2bl w:val="nil"/>
            </w:tcBorders>
            <w:tcMar>
              <w:left w:w="60" w:type="dxa"/>
              <w:right w:w="60" w:type="dxa"/>
            </w:tcMar>
            <w:vAlign w:val="center"/>
          </w:tcPr>
          <w:p>
            <w:pPr>
              <w:pStyle w:val="DMETW36758BIPCF"/>
              <w:rPr>
                <w:rFonts w:ascii="Verdana" w:eastAsia="Verdana" w:hAnsi="Verdana" w:cs="Verdana"/>
                <w:i/>
                <w:noProof/>
                <w:color w:val="000000"/>
                <w:sz w:val="18"/>
              </w:rPr>
            </w:pPr>
            <w:r>
              <w:rPr>
                <w:rFonts w:ascii="Verdana" w:hAnsi="Verdana"/>
                <w:i/>
                <w:noProof/>
                <w:color w:val="000000"/>
                <w:sz w:val="18"/>
              </w:rPr>
              <w:t>Dépréciations</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1 123</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1 194</w:t>
            </w:r>
          </w:p>
        </w:tc>
      </w:tr>
      <w:tr>
        <w:trPr>
          <w:trHeight w:val="369"/>
        </w:trPr>
        <w:tc>
          <w:tcPr>
            <w:tcW w:w="6686" w:type="dxa"/>
            <w:tcBorders>
              <w:top w:val="nil"/>
              <w:left w:val="nil"/>
              <w:bottom w:val="nil"/>
              <w:right w:val="nil"/>
              <w:tl2br w:val="nil"/>
              <w:tr2bl w:val="nil"/>
            </w:tcBorders>
            <w:tcMar>
              <w:left w:w="60" w:type="dxa"/>
              <w:right w:w="60" w:type="dxa"/>
            </w:tcMar>
            <w:vAlign w:val="center"/>
          </w:tcPr>
          <w:p>
            <w:pPr>
              <w:pStyle w:val="DMETW36758BIPCF"/>
              <w:rPr>
                <w:rFonts w:ascii="Verdana" w:eastAsia="Verdana" w:hAnsi="Verdana" w:cs="Verdana"/>
                <w:i/>
                <w:noProof/>
                <w:color w:val="000000"/>
                <w:sz w:val="18"/>
              </w:rPr>
            </w:pPr>
            <w:r>
              <w:rPr>
                <w:rFonts w:ascii="Verdana" w:hAnsi="Verdana"/>
                <w:i/>
                <w:noProof/>
                <w:color w:val="000000"/>
                <w:sz w:val="18"/>
              </w:rPr>
              <w:t>(Augmentation)/diminution des prêts</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(49 852)</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(36 703)</w:t>
            </w:r>
          </w:p>
        </w:tc>
      </w:tr>
      <w:tr>
        <w:trPr>
          <w:trHeight w:val="369"/>
        </w:trPr>
        <w:tc>
          <w:tcPr>
            <w:tcW w:w="6686" w:type="dxa"/>
            <w:tcBorders>
              <w:top w:val="nil"/>
              <w:left w:val="nil"/>
              <w:bottom w:val="nil"/>
              <w:right w:val="nil"/>
              <w:tl2br w:val="nil"/>
              <w:tr2bl w:val="nil"/>
            </w:tcBorders>
            <w:tcMar>
              <w:left w:w="60" w:type="dxa"/>
              <w:right w:w="60" w:type="dxa"/>
            </w:tcMar>
            <w:vAlign w:val="center"/>
          </w:tcPr>
          <w:p>
            <w:pPr>
              <w:pStyle w:val="DMETW36758BIPCF"/>
              <w:rPr>
                <w:rFonts w:ascii="Verdana" w:eastAsia="Verdana" w:hAnsi="Verdana" w:cs="Verdana"/>
                <w:i/>
                <w:noProof/>
                <w:color w:val="000000"/>
                <w:sz w:val="18"/>
              </w:rPr>
            </w:pPr>
            <w:r>
              <w:rPr>
                <w:rFonts w:ascii="Verdana" w:hAnsi="Verdana"/>
                <w:i/>
                <w:noProof/>
                <w:color w:val="000000"/>
                <w:sz w:val="18"/>
              </w:rPr>
              <w:t>(Augmentation)/diminution des préfinancements</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2 173</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12 756</w:t>
            </w:r>
          </w:p>
        </w:tc>
      </w:tr>
      <w:tr>
        <w:trPr>
          <w:trHeight w:val="369"/>
        </w:trPr>
        <w:tc>
          <w:tcPr>
            <w:tcW w:w="6686" w:type="dxa"/>
            <w:tcBorders>
              <w:top w:val="nil"/>
              <w:left w:val="nil"/>
              <w:bottom w:val="nil"/>
              <w:right w:val="nil"/>
              <w:tl2br w:val="nil"/>
              <w:tr2bl w:val="nil"/>
            </w:tcBorders>
            <w:tcMar>
              <w:left w:w="60" w:type="dxa"/>
              <w:right w:w="60" w:type="dxa"/>
            </w:tcMar>
            <w:vAlign w:val="center"/>
          </w:tcPr>
          <w:p>
            <w:pPr>
              <w:pStyle w:val="DMETW36758BIPCF"/>
              <w:rPr>
                <w:rFonts w:ascii="Verdana" w:eastAsia="Verdana" w:hAnsi="Verdana" w:cs="Verdana"/>
                <w:i/>
                <w:noProof/>
                <w:color w:val="000000"/>
                <w:sz w:val="18"/>
              </w:rPr>
            </w:pPr>
            <w:r>
              <w:rPr>
                <w:rFonts w:ascii="Verdana" w:hAnsi="Verdana"/>
                <w:i/>
                <w:noProof/>
                <w:color w:val="000000"/>
                <w:sz w:val="18"/>
              </w:rPr>
              <w:t>(Augmentation)/diminution des créances à recevoir avec contrepartie directe et des créances à recouvrer sans contrepartie directe</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(2 332)</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3 463</w:t>
            </w:r>
          </w:p>
        </w:tc>
      </w:tr>
      <w:tr>
        <w:trPr>
          <w:trHeight w:val="369"/>
        </w:trPr>
        <w:tc>
          <w:tcPr>
            <w:tcW w:w="6686" w:type="dxa"/>
            <w:tcBorders>
              <w:top w:val="nil"/>
              <w:left w:val="nil"/>
              <w:bottom w:val="nil"/>
              <w:right w:val="nil"/>
              <w:tl2br w:val="nil"/>
              <w:tr2bl w:val="nil"/>
            </w:tcBorders>
            <w:tcMar>
              <w:left w:w="60" w:type="dxa"/>
              <w:right w:w="60" w:type="dxa"/>
            </w:tcMar>
            <w:vAlign w:val="center"/>
          </w:tcPr>
          <w:p>
            <w:pPr>
              <w:pStyle w:val="DMETW36758BIPCF"/>
              <w:rPr>
                <w:rFonts w:ascii="Verdana" w:eastAsia="Verdana" w:hAnsi="Verdana" w:cs="Verdana"/>
                <w:i/>
                <w:noProof/>
                <w:color w:val="000000"/>
                <w:sz w:val="18"/>
              </w:rPr>
            </w:pPr>
            <w:r>
              <w:rPr>
                <w:rFonts w:ascii="Verdana" w:hAnsi="Verdana"/>
                <w:i/>
                <w:noProof/>
                <w:color w:val="000000"/>
                <w:sz w:val="18"/>
              </w:rPr>
              <w:t>(Augmentation)/diminution des stocks</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 xml:space="preserve"> 6</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 xml:space="preserve"> (7)</w:t>
            </w:r>
          </w:p>
        </w:tc>
      </w:tr>
      <w:tr>
        <w:trPr>
          <w:trHeight w:val="369"/>
        </w:trPr>
        <w:tc>
          <w:tcPr>
            <w:tcW w:w="6686" w:type="dxa"/>
            <w:tcBorders>
              <w:top w:val="nil"/>
              <w:left w:val="nil"/>
              <w:bottom w:val="nil"/>
              <w:right w:val="nil"/>
              <w:tl2br w:val="nil"/>
              <w:tr2bl w:val="nil"/>
            </w:tcBorders>
            <w:tcMar>
              <w:left w:w="60" w:type="dxa"/>
              <w:right w:w="60" w:type="dxa"/>
            </w:tcMar>
            <w:vAlign w:val="center"/>
          </w:tcPr>
          <w:p>
            <w:pPr>
              <w:pStyle w:val="DMETW36758BIPCF"/>
              <w:rPr>
                <w:rFonts w:ascii="Verdana" w:eastAsia="Verdana" w:hAnsi="Verdana" w:cs="Verdana"/>
                <w:i/>
                <w:noProof/>
                <w:color w:val="000000"/>
                <w:sz w:val="18"/>
              </w:rPr>
            </w:pPr>
            <w:r>
              <w:rPr>
                <w:rFonts w:ascii="Verdana" w:hAnsi="Verdana"/>
                <w:i/>
                <w:noProof/>
                <w:color w:val="000000"/>
                <w:sz w:val="18"/>
              </w:rPr>
              <w:t>Augmentation/(diminution) des retraites et autres avantages du personnel</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(1 968)</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2 288</w:t>
            </w:r>
          </w:p>
        </w:tc>
      </w:tr>
      <w:tr>
        <w:trPr>
          <w:trHeight w:val="369"/>
        </w:trPr>
        <w:tc>
          <w:tcPr>
            <w:tcW w:w="6686" w:type="dxa"/>
            <w:tcBorders>
              <w:top w:val="nil"/>
              <w:left w:val="nil"/>
              <w:bottom w:val="nil"/>
              <w:right w:val="nil"/>
              <w:tl2br w:val="nil"/>
              <w:tr2bl w:val="nil"/>
            </w:tcBorders>
            <w:tcMar>
              <w:left w:w="60" w:type="dxa"/>
              <w:right w:w="60" w:type="dxa"/>
            </w:tcMar>
            <w:vAlign w:val="center"/>
          </w:tcPr>
          <w:p>
            <w:pPr>
              <w:pStyle w:val="DMETW36758BIPCF"/>
              <w:rPr>
                <w:rFonts w:ascii="Verdana" w:eastAsia="Verdana" w:hAnsi="Verdana" w:cs="Verdana"/>
                <w:i/>
                <w:noProof/>
                <w:color w:val="000000"/>
                <w:sz w:val="18"/>
              </w:rPr>
            </w:pPr>
            <w:r>
              <w:rPr>
                <w:rFonts w:ascii="Verdana" w:hAnsi="Verdana"/>
                <w:i/>
                <w:noProof/>
                <w:color w:val="000000"/>
                <w:sz w:val="18"/>
              </w:rPr>
              <w:t>Augmentation/(diminution) des provisions</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(7 202)</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6 481</w:t>
            </w:r>
          </w:p>
        </w:tc>
      </w:tr>
      <w:tr>
        <w:trPr>
          <w:trHeight w:val="369"/>
        </w:trPr>
        <w:tc>
          <w:tcPr>
            <w:tcW w:w="6686" w:type="dxa"/>
            <w:tcBorders>
              <w:top w:val="nil"/>
              <w:left w:val="nil"/>
              <w:bottom w:val="nil"/>
              <w:right w:val="nil"/>
              <w:tl2br w:val="nil"/>
              <w:tr2bl w:val="nil"/>
            </w:tcBorders>
            <w:tcMar>
              <w:left w:w="60" w:type="dxa"/>
              <w:right w:w="60" w:type="dxa"/>
            </w:tcMar>
            <w:vAlign w:val="center"/>
          </w:tcPr>
          <w:p>
            <w:pPr>
              <w:pStyle w:val="DMETW36758BIPCF"/>
              <w:rPr>
                <w:rFonts w:ascii="Verdana" w:eastAsia="Verdana" w:hAnsi="Verdana" w:cs="Verdana"/>
                <w:i/>
                <w:noProof/>
                <w:color w:val="000000"/>
                <w:sz w:val="18"/>
              </w:rPr>
            </w:pPr>
            <w:r>
              <w:rPr>
                <w:rFonts w:ascii="Verdana" w:hAnsi="Verdana"/>
                <w:i/>
                <w:noProof/>
                <w:color w:val="000000"/>
                <w:sz w:val="18"/>
              </w:rPr>
              <w:t>Augmentation/(diminution) des passifs financiers (autres que dans le cadre de l’approche unifiée en matière de financement)</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(11 575)</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(1 382)</w:t>
            </w:r>
          </w:p>
        </w:tc>
      </w:tr>
      <w:tr>
        <w:trPr>
          <w:trHeight w:val="369"/>
        </w:trPr>
        <w:tc>
          <w:tcPr>
            <w:tcW w:w="6686" w:type="dxa"/>
            <w:tcBorders>
              <w:top w:val="nil"/>
              <w:left w:val="nil"/>
              <w:bottom w:val="nil"/>
              <w:right w:val="nil"/>
              <w:tl2br w:val="nil"/>
              <w:tr2bl w:val="nil"/>
            </w:tcBorders>
            <w:tcMar>
              <w:left w:w="60" w:type="dxa"/>
              <w:right w:w="60" w:type="dxa"/>
            </w:tcMar>
            <w:vAlign w:val="center"/>
          </w:tcPr>
          <w:p>
            <w:pPr>
              <w:pStyle w:val="DMETW36758BIPCF"/>
              <w:rPr>
                <w:rFonts w:ascii="Verdana" w:eastAsia="Verdana" w:hAnsi="Verdana" w:cs="Verdana"/>
                <w:i/>
                <w:noProof/>
                <w:color w:val="000000"/>
                <w:sz w:val="18"/>
              </w:rPr>
            </w:pPr>
            <w:r>
              <w:rPr>
                <w:rFonts w:ascii="Verdana" w:hAnsi="Verdana"/>
                <w:i/>
                <w:noProof/>
                <w:color w:val="000000"/>
                <w:sz w:val="18"/>
              </w:rPr>
              <w:t>Augmentation/(diminution) des sommes à payer</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9 623</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4 898</w:t>
            </w:r>
          </w:p>
        </w:tc>
      </w:tr>
      <w:tr>
        <w:trPr>
          <w:trHeight w:val="369"/>
        </w:trPr>
        <w:tc>
          <w:tcPr>
            <w:tcW w:w="6686" w:type="dxa"/>
            <w:tcBorders>
              <w:top w:val="nil"/>
              <w:left w:val="nil"/>
              <w:bottom w:val="nil"/>
              <w:right w:val="nil"/>
              <w:tl2br w:val="nil"/>
              <w:tr2bl w:val="nil"/>
            </w:tcBorders>
            <w:tcMar>
              <w:left w:w="60" w:type="dxa"/>
              <w:right w:w="60" w:type="dxa"/>
            </w:tcMar>
            <w:vAlign w:val="center"/>
          </w:tcPr>
          <w:p>
            <w:pPr>
              <w:pStyle w:val="DMETW36758BIPCF"/>
              <w:rPr>
                <w:rFonts w:ascii="Verdana" w:eastAsia="Verdana" w:hAnsi="Verdana" w:cs="Verdana"/>
                <w:i/>
                <w:noProof/>
                <w:color w:val="000000"/>
                <w:sz w:val="18"/>
              </w:rPr>
            </w:pPr>
            <w:r>
              <w:rPr>
                <w:rFonts w:ascii="Verdana" w:hAnsi="Verdana"/>
                <w:i/>
                <w:noProof/>
                <w:color w:val="000000"/>
                <w:sz w:val="18"/>
              </w:rPr>
              <w:t>Augmentation/(diminution) des charges à payer et produits à reporter</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9 958</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(9 714)</w:t>
            </w:r>
          </w:p>
        </w:tc>
      </w:tr>
      <w:tr>
        <w:trPr>
          <w:trHeight w:val="369"/>
        </w:trPr>
        <w:tc>
          <w:tcPr>
            <w:tcW w:w="6686" w:type="dxa"/>
            <w:tcBorders>
              <w:top w:val="nil"/>
              <w:left w:val="nil"/>
              <w:bottom w:val="nil"/>
              <w:right w:val="nil"/>
              <w:tl2br w:val="nil"/>
              <w:tr2bl w:val="nil"/>
            </w:tcBorders>
            <w:tcMar>
              <w:left w:w="60" w:type="dxa"/>
              <w:right w:w="60" w:type="dxa"/>
            </w:tcMar>
            <w:vAlign w:val="center"/>
          </w:tcPr>
          <w:p>
            <w:pPr>
              <w:pStyle w:val="DMETW36758BIPCF"/>
              <w:rPr>
                <w:rFonts w:ascii="Verdana" w:eastAsia="Verdana" w:hAnsi="Verdana" w:cs="Verdana"/>
                <w:i/>
                <w:noProof/>
                <w:color w:val="000000"/>
                <w:sz w:val="18"/>
              </w:rPr>
            </w:pPr>
            <w:r>
              <w:rPr>
                <w:rFonts w:ascii="Verdana" w:hAnsi="Verdana"/>
                <w:i/>
                <w:noProof/>
                <w:color w:val="000000"/>
                <w:sz w:val="18"/>
              </w:rPr>
              <w:t>Excédent budgétaire de l’exercice précédent comptabilisé comme produit hors trésorerie</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(1 348)</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 xml:space="preserve"> (633)</w:t>
            </w:r>
          </w:p>
        </w:tc>
      </w:tr>
      <w:tr>
        <w:trPr>
          <w:trHeight w:val="369"/>
        </w:trPr>
        <w:tc>
          <w:tcPr>
            <w:tcW w:w="6686" w:type="dxa"/>
            <w:tcBorders>
              <w:top w:val="nil"/>
              <w:left w:val="nil"/>
              <w:bottom w:val="nil"/>
              <w:right w:val="nil"/>
              <w:tl2br w:val="nil"/>
              <w:tr2bl w:val="nil"/>
            </w:tcBorders>
            <w:tcMar>
              <w:left w:w="60" w:type="dxa"/>
              <w:right w:w="60" w:type="dxa"/>
            </w:tcMar>
            <w:vAlign w:val="center"/>
          </w:tcPr>
          <w:p>
            <w:pPr>
              <w:pStyle w:val="DMETW36758BIPCF"/>
              <w:rPr>
                <w:rFonts w:ascii="Verdana" w:eastAsia="Verdana" w:hAnsi="Verdana" w:cs="Verdana"/>
                <w:i/>
                <w:noProof/>
                <w:color w:val="000000"/>
                <w:sz w:val="18"/>
              </w:rPr>
            </w:pPr>
            <w:r>
              <w:rPr>
                <w:rFonts w:ascii="Verdana" w:hAnsi="Verdana"/>
                <w:i/>
                <w:noProof/>
                <w:color w:val="000000"/>
                <w:sz w:val="18"/>
              </w:rPr>
              <w:t>Réévaluations des passifs liés aux avantages du personnel (mouvement hors trésorerie ne figurant pas dans le compte de résultat économique)</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5 603</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1 159</w:t>
            </w:r>
          </w:p>
        </w:tc>
      </w:tr>
      <w:tr>
        <w:trPr>
          <w:trHeight w:val="369"/>
        </w:trPr>
        <w:tc>
          <w:tcPr>
            <w:tcW w:w="6686" w:type="dxa"/>
            <w:tcBorders>
              <w:top w:val="nil"/>
              <w:left w:val="nil"/>
              <w:bottom w:val="nil"/>
              <w:right w:val="nil"/>
              <w:tl2br w:val="nil"/>
              <w:tr2bl w:val="nil"/>
            </w:tcBorders>
            <w:tcMar>
              <w:left w:w="60" w:type="dxa"/>
              <w:right w:w="60" w:type="dxa"/>
            </w:tcMar>
            <w:vAlign w:val="center"/>
          </w:tcPr>
          <w:p>
            <w:pPr>
              <w:pStyle w:val="DMETW36758BIPCF"/>
              <w:rPr>
                <w:rFonts w:ascii="Verdana" w:eastAsia="Verdana" w:hAnsi="Verdana" w:cs="Verdana"/>
                <w:i/>
                <w:noProof/>
                <w:color w:val="000000"/>
                <w:sz w:val="18"/>
              </w:rPr>
            </w:pPr>
            <w:r>
              <w:rPr>
                <w:rFonts w:ascii="Verdana" w:hAnsi="Verdana"/>
                <w:i/>
                <w:noProof/>
                <w:color w:val="000000"/>
                <w:sz w:val="18"/>
              </w:rPr>
              <w:t>Autres mouvements hors trésorerie</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 xml:space="preserve"> 40</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 xml:space="preserve"> 27</w:t>
            </w:r>
          </w:p>
        </w:tc>
      </w:tr>
      <w:tr>
        <w:trPr>
          <w:trHeight w:val="369"/>
        </w:trPr>
        <w:tc>
          <w:tcPr>
            <w:tcW w:w="6686" w:type="dxa"/>
            <w:tcBorders>
              <w:top w:val="nil"/>
              <w:left w:val="nil"/>
              <w:bottom w:val="nil"/>
              <w:right w:val="nil"/>
              <w:tl2br w:val="nil"/>
              <w:tr2bl w:val="nil"/>
            </w:tcBorders>
            <w:tcMar>
              <w:left w:w="60" w:type="dxa"/>
              <w:right w:w="60" w:type="dxa"/>
            </w:tcMar>
            <w:vAlign w:val="center"/>
          </w:tcPr>
          <w:p>
            <w:pPr>
              <w:pStyle w:val="DMETW36758BIPCF"/>
              <w:rPr>
                <w:rFonts w:ascii="Verdana" w:eastAsia="Verdana" w:hAnsi="Verdana" w:cs="Verdana"/>
                <w:b/>
                <w:noProof/>
                <w:color w:val="000000"/>
                <w:sz w:val="18"/>
              </w:rPr>
            </w:pPr>
            <w:r>
              <w:rPr>
                <w:rFonts w:ascii="Verdana" w:hAnsi="Verdana"/>
                <w:b/>
                <w:noProof/>
                <w:color w:val="000000"/>
                <w:sz w:val="18"/>
              </w:rPr>
              <w:t>Activités d’investissement</w:t>
            </w:r>
          </w:p>
        </w:tc>
        <w:tc>
          <w:tcPr>
            <w:tcW w:w="1536" w:type="dxa"/>
            <w:tcBorders>
              <w:top w:val="nil"/>
              <w:left w:val="nil"/>
              <w:bottom w:val="nil"/>
              <w:right w:val="nil"/>
              <w:tl2br w:val="nil"/>
              <w:tr2bl w:val="nil"/>
            </w:tcBorders>
            <w:tcMar>
              <w:left w:w="60" w:type="dxa"/>
              <w:right w:w="60" w:type="dxa"/>
            </w:tcMar>
            <w:vAlign w:val="bottom"/>
          </w:tcPr>
          <w:p>
            <w:pPr>
              <w:pStyle w:val="DMETW36758BIPCF"/>
              <w:jc w:val="right"/>
              <w:rPr>
                <w:rFonts w:cs="Calibri"/>
                <w:noProof/>
                <w:color w:val="000000"/>
              </w:rPr>
            </w:pP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lang w:bidi="en-GB"/>
              </w:rPr>
            </w:pPr>
          </w:p>
        </w:tc>
      </w:tr>
      <w:tr>
        <w:trPr>
          <w:trHeight w:val="369"/>
        </w:trPr>
        <w:tc>
          <w:tcPr>
            <w:tcW w:w="6686" w:type="dxa"/>
            <w:tcBorders>
              <w:top w:val="nil"/>
              <w:left w:val="nil"/>
              <w:bottom w:val="nil"/>
              <w:right w:val="nil"/>
              <w:tl2br w:val="nil"/>
              <w:tr2bl w:val="nil"/>
            </w:tcBorders>
            <w:tcMar>
              <w:left w:w="60" w:type="dxa"/>
              <w:right w:w="60" w:type="dxa"/>
            </w:tcMar>
            <w:vAlign w:val="center"/>
          </w:tcPr>
          <w:p>
            <w:pPr>
              <w:pStyle w:val="DMETW36758BIPCF"/>
              <w:rPr>
                <w:rFonts w:ascii="Verdana" w:eastAsia="Verdana" w:hAnsi="Verdana" w:cs="Verdana"/>
                <w:i/>
                <w:noProof/>
                <w:color w:val="000000"/>
                <w:sz w:val="18"/>
              </w:rPr>
            </w:pPr>
            <w:r>
              <w:rPr>
                <w:rFonts w:ascii="Verdana" w:hAnsi="Verdana"/>
                <w:i/>
                <w:noProof/>
                <w:color w:val="000000"/>
                <w:sz w:val="18"/>
              </w:rPr>
              <w:t xml:space="preserve">(Augmentation)/diminution des immobilisations incorporelles et corporelles </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(2 418)</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(1 817)</w:t>
            </w:r>
          </w:p>
        </w:tc>
      </w:tr>
      <w:tr>
        <w:trPr>
          <w:trHeight w:val="369"/>
        </w:trPr>
        <w:tc>
          <w:tcPr>
            <w:tcW w:w="6686" w:type="dxa"/>
            <w:tcBorders>
              <w:top w:val="nil"/>
              <w:left w:val="nil"/>
              <w:bottom w:val="nil"/>
              <w:right w:val="nil"/>
              <w:tl2br w:val="nil"/>
              <w:tr2bl w:val="nil"/>
            </w:tcBorders>
            <w:tcMar>
              <w:left w:w="60" w:type="dxa"/>
              <w:right w:w="60" w:type="dxa"/>
            </w:tcMar>
            <w:vAlign w:val="center"/>
          </w:tcPr>
          <w:p>
            <w:pPr>
              <w:pStyle w:val="DMETW36758BIPCF"/>
              <w:rPr>
                <w:rFonts w:ascii="Verdana" w:eastAsia="Verdana" w:hAnsi="Verdana" w:cs="Verdana"/>
                <w:i/>
                <w:noProof/>
                <w:color w:val="000000"/>
                <w:sz w:val="18"/>
              </w:rPr>
            </w:pPr>
            <w:r>
              <w:rPr>
                <w:rFonts w:ascii="Verdana" w:hAnsi="Verdana"/>
                <w:i/>
                <w:noProof/>
                <w:color w:val="000000"/>
                <w:sz w:val="18"/>
              </w:rPr>
              <w:t>(Augmentation)/diminution des investissements comptabilisés selon la méthode de la mise en équivalence</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 xml:space="preserve"> (78)</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 xml:space="preserve"> (80)</w:t>
            </w:r>
          </w:p>
        </w:tc>
      </w:tr>
      <w:tr>
        <w:trPr>
          <w:trHeight w:val="369"/>
        </w:trPr>
        <w:tc>
          <w:tcPr>
            <w:tcW w:w="6686" w:type="dxa"/>
            <w:tcBorders>
              <w:top w:val="nil"/>
              <w:left w:val="nil"/>
              <w:bottom w:val="nil"/>
              <w:right w:val="nil"/>
              <w:tl2br w:val="nil"/>
              <w:tr2bl w:val="nil"/>
            </w:tcBorders>
            <w:tcMar>
              <w:left w:w="60" w:type="dxa"/>
              <w:right w:w="60" w:type="dxa"/>
            </w:tcMar>
            <w:vAlign w:val="center"/>
          </w:tcPr>
          <w:p>
            <w:pPr>
              <w:pStyle w:val="DMETW36758BIPCF"/>
              <w:rPr>
                <w:rFonts w:ascii="Verdana" w:eastAsia="Verdana" w:hAnsi="Verdana" w:cs="Verdana"/>
                <w:i/>
                <w:noProof/>
                <w:color w:val="000000"/>
                <w:sz w:val="18"/>
              </w:rPr>
            </w:pPr>
            <w:r>
              <w:rPr>
                <w:rFonts w:ascii="Verdana" w:hAnsi="Verdana"/>
                <w:i/>
                <w:noProof/>
                <w:color w:val="000000"/>
                <w:sz w:val="18"/>
              </w:rPr>
              <w:t>(Augmentation)/diminution des actifs financiers non dérivés à la juste valeur par le biais du compte de résultat</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(7 432)</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(6 246)</w:t>
            </w:r>
          </w:p>
        </w:tc>
      </w:tr>
      <w:tr>
        <w:trPr>
          <w:trHeight w:val="369"/>
        </w:trPr>
        <w:tc>
          <w:tcPr>
            <w:tcW w:w="6686" w:type="dxa"/>
            <w:tcBorders>
              <w:top w:val="nil"/>
              <w:left w:val="nil"/>
              <w:bottom w:val="nil"/>
              <w:right w:val="nil"/>
              <w:tl2br w:val="nil"/>
              <w:tr2bl w:val="nil"/>
            </w:tcBorders>
            <w:tcMar>
              <w:left w:w="60" w:type="dxa"/>
              <w:right w:w="60" w:type="dxa"/>
            </w:tcMar>
            <w:vAlign w:val="center"/>
          </w:tcPr>
          <w:p>
            <w:pPr>
              <w:pStyle w:val="DMETW36758BIPCF"/>
              <w:rPr>
                <w:rFonts w:ascii="Verdana" w:eastAsia="Verdana" w:hAnsi="Verdana" w:cs="Verdana"/>
                <w:i/>
                <w:noProof/>
                <w:color w:val="000000"/>
                <w:sz w:val="18"/>
              </w:rPr>
            </w:pPr>
            <w:r>
              <w:rPr>
                <w:rFonts w:ascii="Verdana" w:hAnsi="Verdana"/>
                <w:i/>
                <w:noProof/>
                <w:color w:val="000000"/>
                <w:sz w:val="18"/>
              </w:rPr>
              <w:t>(Augmentation)/diminution des actifs financiers dérivés à la juste valeur par le biais du compte de résultat</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 xml:space="preserve"> (475)</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 xml:space="preserve"> (19)</w:t>
            </w:r>
          </w:p>
        </w:tc>
      </w:tr>
      <w:tr>
        <w:trPr>
          <w:trHeight w:val="369"/>
        </w:trPr>
        <w:tc>
          <w:tcPr>
            <w:tcW w:w="6686" w:type="dxa"/>
            <w:tcBorders>
              <w:top w:val="nil"/>
              <w:left w:val="nil"/>
              <w:bottom w:val="nil"/>
              <w:right w:val="nil"/>
              <w:tl2br w:val="nil"/>
              <w:tr2bl w:val="nil"/>
            </w:tcBorders>
            <w:tcMar>
              <w:left w:w="60" w:type="dxa"/>
              <w:right w:w="60" w:type="dxa"/>
            </w:tcMar>
            <w:vAlign w:val="center"/>
          </w:tcPr>
          <w:p>
            <w:pPr>
              <w:pStyle w:val="DMETW36758BIPCF"/>
              <w:rPr>
                <w:rFonts w:ascii="Verdana" w:eastAsia="Verdana" w:hAnsi="Verdana" w:cs="Verdana"/>
                <w:b/>
                <w:noProof/>
                <w:color w:val="000000"/>
                <w:sz w:val="18"/>
              </w:rPr>
            </w:pPr>
            <w:r>
              <w:rPr>
                <w:rFonts w:ascii="Verdana" w:hAnsi="Verdana"/>
                <w:b/>
                <w:noProof/>
                <w:color w:val="000000"/>
                <w:sz w:val="18"/>
              </w:rPr>
              <w:t>Activités de financement</w:t>
            </w:r>
          </w:p>
        </w:tc>
        <w:tc>
          <w:tcPr>
            <w:tcW w:w="1536" w:type="dxa"/>
            <w:tcBorders>
              <w:top w:val="nil"/>
              <w:left w:val="nil"/>
              <w:bottom w:val="nil"/>
              <w:right w:val="nil"/>
              <w:tl2br w:val="nil"/>
              <w:tr2bl w:val="nil"/>
            </w:tcBorders>
            <w:tcMar>
              <w:left w:w="60" w:type="dxa"/>
              <w:right w:w="60" w:type="dxa"/>
            </w:tcMar>
            <w:vAlign w:val="center"/>
          </w:tcPr>
          <w:p>
            <w:pPr>
              <w:pStyle w:val="DMETW36758BIPCF"/>
              <w:jc w:val="center"/>
              <w:rPr>
                <w:rFonts w:ascii="Verdana" w:eastAsia="Verdana" w:hAnsi="Verdana" w:cs="Verdana"/>
                <w:i/>
                <w:noProof/>
                <w:color w:val="000000"/>
                <w:sz w:val="18"/>
              </w:rPr>
            </w:pPr>
          </w:p>
        </w:tc>
        <w:tc>
          <w:tcPr>
            <w:tcW w:w="1536" w:type="dxa"/>
            <w:tcBorders>
              <w:top w:val="nil"/>
              <w:left w:val="nil"/>
              <w:bottom w:val="nil"/>
              <w:right w:val="nil"/>
              <w:tl2br w:val="nil"/>
              <w:tr2bl w:val="nil"/>
            </w:tcBorders>
            <w:tcMar>
              <w:left w:w="60" w:type="dxa"/>
              <w:right w:w="60" w:type="dxa"/>
            </w:tcMar>
            <w:vAlign w:val="center"/>
          </w:tcPr>
          <w:p>
            <w:pPr>
              <w:pStyle w:val="DMETW36758BIPCF"/>
              <w:rPr>
                <w:rFonts w:ascii="Verdana" w:eastAsia="Verdana" w:hAnsi="Verdana" w:cs="Verdana"/>
                <w:i/>
                <w:noProof/>
                <w:color w:val="000000"/>
                <w:sz w:val="18"/>
                <w:lang w:bidi="en-GB"/>
              </w:rPr>
            </w:pPr>
          </w:p>
        </w:tc>
      </w:tr>
      <w:tr>
        <w:trPr>
          <w:trHeight w:val="369"/>
        </w:trPr>
        <w:tc>
          <w:tcPr>
            <w:tcW w:w="6686" w:type="dxa"/>
            <w:tcBorders>
              <w:top w:val="nil"/>
              <w:left w:val="nil"/>
              <w:bottom w:val="nil"/>
              <w:right w:val="nil"/>
              <w:tl2br w:val="nil"/>
              <w:tr2bl w:val="nil"/>
            </w:tcBorders>
            <w:tcMar>
              <w:left w:w="60" w:type="dxa"/>
              <w:right w:w="60" w:type="dxa"/>
            </w:tcMar>
            <w:vAlign w:val="center"/>
          </w:tcPr>
          <w:p>
            <w:pPr>
              <w:pStyle w:val="DMETW36758BIPCF"/>
              <w:rPr>
                <w:rFonts w:ascii="Verdana" w:eastAsia="Verdana" w:hAnsi="Verdana" w:cs="Verdana"/>
                <w:i/>
                <w:noProof/>
                <w:color w:val="000000"/>
                <w:sz w:val="18"/>
              </w:rPr>
            </w:pPr>
            <w:r>
              <w:rPr>
                <w:rFonts w:ascii="Verdana" w:hAnsi="Verdana"/>
                <w:i/>
                <w:noProof/>
                <w:color w:val="000000"/>
                <w:sz w:val="18"/>
              </w:rPr>
              <w:t>Augmentation (diminution) des emprunts dans le cadre de l’approche unifiée en matière de financement</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150 460</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144 900</w:t>
            </w:r>
          </w:p>
        </w:tc>
      </w:tr>
      <w:tr>
        <w:trPr>
          <w:trHeight w:val="369"/>
        </w:trPr>
        <w:tc>
          <w:tcPr>
            <w:tcW w:w="6686" w:type="dxa"/>
            <w:tcBorders>
              <w:top w:val="nil"/>
              <w:left w:val="nil"/>
              <w:bottom w:val="nil"/>
              <w:right w:val="nil"/>
              <w:tl2br w:val="nil"/>
              <w:tr2bl w:val="nil"/>
            </w:tcBorders>
            <w:shd w:val="solid" w:color="CCE1EA" w:fill="FFFFFF"/>
            <w:tcMar>
              <w:left w:w="60" w:type="dxa"/>
              <w:right w:w="60" w:type="dxa"/>
            </w:tcMar>
            <w:vAlign w:val="center"/>
          </w:tcPr>
          <w:p>
            <w:pPr>
              <w:pStyle w:val="DMETW36758BIPCF"/>
              <w:rPr>
                <w:rFonts w:ascii="Verdana" w:eastAsia="Verdana" w:hAnsi="Verdana" w:cs="Verdana"/>
                <w:b/>
                <w:noProof/>
                <w:color w:val="000000"/>
                <w:sz w:val="18"/>
              </w:rPr>
            </w:pPr>
            <w:r>
              <w:rPr>
                <w:rFonts w:ascii="Verdana" w:hAnsi="Verdana"/>
                <w:b/>
                <w:noProof/>
                <w:color w:val="000000"/>
                <w:sz w:val="18"/>
              </w:rPr>
              <w:t>FLUX DE TRÉSORERIE NETS</w:t>
            </w:r>
          </w:p>
        </w:tc>
        <w:tc>
          <w:tcPr>
            <w:tcW w:w="1536" w:type="dxa"/>
            <w:tcBorders>
              <w:top w:val="nil"/>
              <w:left w:val="nil"/>
              <w:bottom w:val="nil"/>
              <w:right w:val="nil"/>
              <w:tl2br w:val="nil"/>
              <w:tr2bl w:val="nil"/>
            </w:tcBorders>
            <w:shd w:val="solid" w:color="CCE1EA" w:fill="FFFFFF"/>
            <w:tcMar>
              <w:left w:w="60" w:type="dxa"/>
              <w:right w:w="60" w:type="dxa"/>
            </w:tcMar>
            <w:vAlign w:val="center"/>
          </w:tcPr>
          <w:p>
            <w:pPr>
              <w:pStyle w:val="DMETW36758BIPCF"/>
              <w:jc w:val="right"/>
              <w:rPr>
                <w:rFonts w:ascii="Verdana" w:eastAsia="Verdana" w:hAnsi="Verdana" w:cs="Verdana"/>
                <w:b/>
                <w:noProof/>
                <w:color w:val="000000"/>
                <w:sz w:val="18"/>
              </w:rPr>
            </w:pPr>
            <w:r>
              <w:rPr>
                <w:rFonts w:ascii="Verdana" w:hAnsi="Verdana"/>
                <w:b/>
                <w:noProof/>
                <w:color w:val="000000"/>
                <w:sz w:val="18"/>
              </w:rPr>
              <w:t>39 878</w:t>
            </w:r>
          </w:p>
        </w:tc>
        <w:tc>
          <w:tcPr>
            <w:tcW w:w="1536" w:type="dxa"/>
            <w:tcBorders>
              <w:top w:val="nil"/>
              <w:left w:val="nil"/>
              <w:bottom w:val="nil"/>
              <w:right w:val="nil"/>
              <w:tl2br w:val="nil"/>
              <w:tr2bl w:val="nil"/>
            </w:tcBorders>
            <w:shd w:val="solid" w:color="CCE1EA" w:fill="FFFFFF"/>
            <w:tcMar>
              <w:left w:w="60" w:type="dxa"/>
              <w:right w:w="60" w:type="dxa"/>
            </w:tcMar>
            <w:vAlign w:val="center"/>
          </w:tcPr>
          <w:p>
            <w:pPr>
              <w:pStyle w:val="DMETW36758BIPCF"/>
              <w:jc w:val="right"/>
              <w:rPr>
                <w:rFonts w:ascii="Verdana" w:eastAsia="Verdana" w:hAnsi="Verdana" w:cs="Verdana"/>
                <w:b/>
                <w:noProof/>
                <w:color w:val="000000"/>
                <w:sz w:val="18"/>
              </w:rPr>
            </w:pPr>
            <w:r>
              <w:rPr>
                <w:rFonts w:ascii="Verdana" w:hAnsi="Verdana"/>
                <w:b/>
                <w:noProof/>
                <w:color w:val="000000"/>
                <w:sz w:val="18"/>
              </w:rPr>
              <w:t>23 547</w:t>
            </w:r>
          </w:p>
        </w:tc>
      </w:tr>
      <w:tr>
        <w:trPr>
          <w:trHeight w:val="369"/>
        </w:trPr>
        <w:tc>
          <w:tcPr>
            <w:tcW w:w="6686" w:type="dxa"/>
            <w:tcBorders>
              <w:top w:val="nil"/>
              <w:left w:val="nil"/>
              <w:bottom w:val="nil"/>
              <w:right w:val="nil"/>
              <w:tl2br w:val="nil"/>
              <w:tr2bl w:val="nil"/>
            </w:tcBorders>
            <w:tcMar>
              <w:left w:w="60" w:type="dxa"/>
              <w:right w:w="60" w:type="dxa"/>
            </w:tcMar>
            <w:vAlign w:val="center"/>
          </w:tcPr>
          <w:p>
            <w:pPr>
              <w:pStyle w:val="DMETW36758BIPCF"/>
              <w:rPr>
                <w:rFonts w:ascii="Arial" w:eastAsia="Arial" w:hAnsi="Arial" w:cs="Arial"/>
                <w:noProof/>
                <w:color w:val="000000"/>
              </w:rPr>
            </w:pPr>
          </w:p>
        </w:tc>
        <w:tc>
          <w:tcPr>
            <w:tcW w:w="1536" w:type="dxa"/>
            <w:tcBorders>
              <w:top w:val="nil"/>
              <w:left w:val="nil"/>
              <w:bottom w:val="nil"/>
              <w:right w:val="nil"/>
              <w:tl2br w:val="nil"/>
              <w:tr2bl w:val="nil"/>
            </w:tcBorders>
            <w:tcMar>
              <w:left w:w="60" w:type="dxa"/>
              <w:right w:w="60" w:type="dxa"/>
            </w:tcMar>
            <w:vAlign w:val="center"/>
          </w:tcPr>
          <w:p>
            <w:pPr>
              <w:pStyle w:val="DMETW36758BIPCF"/>
              <w:rPr>
                <w:rFonts w:ascii="Arial" w:eastAsia="Arial" w:hAnsi="Arial" w:cs="Arial"/>
                <w:noProof/>
                <w:color w:val="000000"/>
              </w:rPr>
            </w:pPr>
          </w:p>
        </w:tc>
        <w:tc>
          <w:tcPr>
            <w:tcW w:w="1536" w:type="dxa"/>
            <w:tcBorders>
              <w:top w:val="nil"/>
              <w:left w:val="nil"/>
              <w:bottom w:val="nil"/>
              <w:right w:val="nil"/>
              <w:tl2br w:val="nil"/>
              <w:tr2bl w:val="nil"/>
            </w:tcBorders>
            <w:tcMar>
              <w:left w:w="60" w:type="dxa"/>
              <w:right w:w="60" w:type="dxa"/>
            </w:tcMar>
            <w:vAlign w:val="center"/>
          </w:tcPr>
          <w:p>
            <w:pPr>
              <w:pStyle w:val="DMETW36758BIPCF"/>
              <w:rPr>
                <w:rFonts w:ascii="Arial" w:eastAsia="Arial" w:hAnsi="Arial" w:cs="Arial"/>
                <w:noProof/>
                <w:color w:val="000000"/>
                <w:lang w:bidi="en-GB"/>
              </w:rPr>
            </w:pPr>
          </w:p>
        </w:tc>
      </w:tr>
      <w:tr>
        <w:trPr>
          <w:trHeight w:val="369"/>
        </w:trPr>
        <w:tc>
          <w:tcPr>
            <w:tcW w:w="6686" w:type="dxa"/>
            <w:tcBorders>
              <w:top w:val="nil"/>
              <w:left w:val="nil"/>
              <w:bottom w:val="nil"/>
              <w:right w:val="nil"/>
              <w:tl2br w:val="nil"/>
              <w:tr2bl w:val="nil"/>
            </w:tcBorders>
            <w:tcMar>
              <w:left w:w="60" w:type="dxa"/>
              <w:right w:w="60" w:type="dxa"/>
            </w:tcMar>
            <w:vAlign w:val="center"/>
          </w:tcPr>
          <w:p>
            <w:pPr>
              <w:pStyle w:val="DMETW36758BIPCF"/>
              <w:rPr>
                <w:rFonts w:ascii="Verdana" w:eastAsia="Verdana" w:hAnsi="Verdana" w:cs="Verdana"/>
                <w:i/>
                <w:noProof/>
                <w:color w:val="000000"/>
                <w:sz w:val="18"/>
              </w:rPr>
            </w:pPr>
            <w:r>
              <w:rPr>
                <w:rFonts w:ascii="Verdana" w:hAnsi="Verdana"/>
                <w:i/>
                <w:noProof/>
                <w:color w:val="000000"/>
                <w:sz w:val="18"/>
              </w:rPr>
              <w:t>Augmentation/(diminution) nette de la trésorerie et des équivalents de trésorerie</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39 878</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23 547</w:t>
            </w:r>
          </w:p>
        </w:tc>
      </w:tr>
      <w:tr>
        <w:trPr>
          <w:trHeight w:val="369"/>
        </w:trPr>
        <w:tc>
          <w:tcPr>
            <w:tcW w:w="6686" w:type="dxa"/>
            <w:tcBorders>
              <w:top w:val="nil"/>
              <w:left w:val="nil"/>
              <w:bottom w:val="nil"/>
              <w:right w:val="nil"/>
              <w:tl2br w:val="nil"/>
              <w:tr2bl w:val="nil"/>
            </w:tcBorders>
            <w:tcMar>
              <w:left w:w="60" w:type="dxa"/>
              <w:right w:w="60" w:type="dxa"/>
            </w:tcMar>
            <w:vAlign w:val="center"/>
          </w:tcPr>
          <w:p>
            <w:pPr>
              <w:pStyle w:val="DMETW36758BIPCF"/>
              <w:rPr>
                <w:rFonts w:ascii="Verdana" w:eastAsia="Verdana" w:hAnsi="Verdana" w:cs="Verdana"/>
                <w:i/>
                <w:noProof/>
                <w:color w:val="000000"/>
                <w:sz w:val="18"/>
              </w:rPr>
            </w:pPr>
            <w:r>
              <w:rPr>
                <w:rFonts w:ascii="Verdana" w:hAnsi="Verdana"/>
                <w:i/>
                <w:noProof/>
                <w:color w:val="000000"/>
                <w:sz w:val="18"/>
              </w:rPr>
              <w:t>Trésorerie et équivalents de trésorerie en début d’exercice</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63 163</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39 616</w:t>
            </w:r>
          </w:p>
        </w:tc>
      </w:tr>
      <w:tr>
        <w:trPr>
          <w:trHeight w:val="369"/>
        </w:trPr>
        <w:tc>
          <w:tcPr>
            <w:tcW w:w="6686" w:type="dxa"/>
            <w:tcBorders>
              <w:top w:val="nil"/>
              <w:left w:val="nil"/>
              <w:bottom w:val="nil"/>
              <w:right w:val="nil"/>
              <w:tl2br w:val="nil"/>
              <w:tr2bl w:val="nil"/>
            </w:tcBorders>
            <w:tcMar>
              <w:left w:w="60" w:type="dxa"/>
              <w:right w:w="60" w:type="dxa"/>
            </w:tcMar>
            <w:vAlign w:val="center"/>
          </w:tcPr>
          <w:p>
            <w:pPr>
              <w:pStyle w:val="DMETW36758BIPCF"/>
              <w:rPr>
                <w:rFonts w:ascii="Verdana" w:eastAsia="Verdana" w:hAnsi="Verdana" w:cs="Verdana"/>
                <w:i/>
                <w:noProof/>
                <w:color w:val="000000"/>
                <w:sz w:val="18"/>
              </w:rPr>
            </w:pPr>
            <w:r>
              <w:rPr>
                <w:rFonts w:ascii="Verdana" w:hAnsi="Verdana"/>
                <w:i/>
                <w:noProof/>
                <w:color w:val="000000"/>
                <w:sz w:val="18"/>
              </w:rPr>
              <w:t>Trésorerie et équivalents de trésorerie en fin d’exercice</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103 041</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63 163</w:t>
            </w:r>
          </w:p>
        </w:tc>
      </w:tr>
      <w:bookmarkEnd w:id="64"/>
    </w:tbl>
    <w:p>
      <w:pPr>
        <w:pStyle w:val="DGTextstand-alone"/>
        <w:rPr>
          <w:i/>
          <w:sz w:val="14"/>
          <w:szCs w:val="14"/>
          <w:lang w:bidi="en-GB"/>
        </w:rPr>
        <w:sectPr>
          <w:headerReference w:type="default" r:id="rId55"/>
          <w:footerReference w:type="default" r:id="rId56"/>
          <w:pgSz w:w="11906" w:h="16838"/>
          <w:pgMar w:top="1134" w:right="1134" w:bottom="1134" w:left="1134" w:header="709" w:footer="709" w:gutter="0"/>
          <w:cols w:space="708"/>
          <w:docGrid w:linePitch="360"/>
        </w:sectPr>
      </w:pPr>
    </w:p>
    <w:p>
      <w:pPr>
        <w:pStyle w:val="HEADERTITLE1"/>
        <w:spacing w:after="0"/>
      </w:pPr>
      <w:bookmarkStart w:id="66" w:name="_Toc237348410"/>
      <w:bookmarkStart w:id="67" w:name="_Toc237350931"/>
      <w:bookmarkStart w:id="68" w:name="_DMBM_36688"/>
      <w:r>
        <w:lastRenderedPageBreak/>
        <w:t>ÉTAT DES VARIATIONS DE L’ACTIF NET</w:t>
      </w:r>
      <w:bookmarkEnd w:id="66"/>
      <w:bookmarkEnd w:id="67"/>
    </w:p>
    <w:p>
      <w:pPr>
        <w:pStyle w:val="HEADERTITLE1"/>
        <w:spacing w:after="0"/>
      </w:pPr>
    </w:p>
    <w:tbl>
      <w:tblPr>
        <w:tblW w:w="48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64"/>
        <w:gridCol w:w="4690"/>
        <w:gridCol w:w="2074"/>
        <w:gridCol w:w="2074"/>
      </w:tblGrid>
      <w:tr>
        <w:trPr>
          <w:trHeight w:val="255"/>
        </w:trPr>
        <w:tc>
          <w:tcPr>
            <w:tcW w:w="5320" w:type="dxa"/>
            <w:tcBorders>
              <w:top w:val="nil"/>
              <w:left w:val="nil"/>
              <w:bottom w:val="nil"/>
              <w:right w:val="nil"/>
              <w:tl2br w:val="nil"/>
              <w:tr2bl w:val="nil"/>
            </w:tcBorders>
            <w:tcMar>
              <w:left w:w="60" w:type="dxa"/>
              <w:right w:w="60" w:type="dxa"/>
            </w:tcMar>
            <w:vAlign w:val="center"/>
          </w:tcPr>
          <w:p>
            <w:pPr>
              <w:pStyle w:val="DMETW36734BIPSCNA"/>
              <w:rPr>
                <w:rFonts w:ascii="Arial" w:eastAsia="Arial" w:hAnsi="Arial" w:cs="Arial"/>
                <w:noProof/>
                <w:color w:val="000000"/>
              </w:rPr>
            </w:pPr>
            <w:bookmarkStart w:id="69" w:name="DOC_TBL00004_1_1"/>
            <w:bookmarkEnd w:id="69"/>
          </w:p>
        </w:tc>
        <w:tc>
          <w:tcPr>
            <w:tcW w:w="4739" w:type="dxa"/>
            <w:tcBorders>
              <w:top w:val="nil"/>
              <w:left w:val="nil"/>
              <w:bottom w:val="nil"/>
              <w:right w:val="nil"/>
              <w:tl2br w:val="nil"/>
              <w:tr2bl w:val="nil"/>
            </w:tcBorders>
            <w:tcMar>
              <w:left w:w="60" w:type="dxa"/>
              <w:right w:w="60" w:type="dxa"/>
            </w:tcMar>
            <w:vAlign w:val="center"/>
          </w:tcPr>
          <w:p>
            <w:pPr>
              <w:pStyle w:val="DMETW36734BIPSCNA"/>
              <w:rPr>
                <w:rFonts w:ascii="Arial" w:eastAsia="Arial" w:hAnsi="Arial" w:cs="Arial"/>
                <w:noProof/>
                <w:color w:val="000000"/>
              </w:rPr>
            </w:pPr>
          </w:p>
        </w:tc>
        <w:tc>
          <w:tcPr>
            <w:tcW w:w="2095" w:type="dxa"/>
            <w:tcBorders>
              <w:top w:val="nil"/>
              <w:left w:val="nil"/>
              <w:bottom w:val="nil"/>
              <w:right w:val="nil"/>
              <w:tl2br w:val="nil"/>
              <w:tr2bl w:val="nil"/>
            </w:tcBorders>
            <w:tcMar>
              <w:left w:w="60" w:type="dxa"/>
              <w:right w:w="60" w:type="dxa"/>
            </w:tcMar>
            <w:vAlign w:val="center"/>
          </w:tcPr>
          <w:p>
            <w:pPr>
              <w:pStyle w:val="DMETW36734BIPSCNA"/>
              <w:rPr>
                <w:rFonts w:ascii="Arial" w:eastAsia="Arial" w:hAnsi="Arial" w:cs="Arial"/>
                <w:noProof/>
                <w:color w:val="000000"/>
              </w:rPr>
            </w:pPr>
          </w:p>
        </w:tc>
        <w:tc>
          <w:tcPr>
            <w:tcW w:w="2095" w:type="dxa"/>
            <w:tcBorders>
              <w:top w:val="nil"/>
              <w:left w:val="nil"/>
              <w:bottom w:val="nil"/>
              <w:right w:val="nil"/>
              <w:tl2br w:val="nil"/>
              <w:tr2bl w:val="nil"/>
            </w:tcBorders>
            <w:tcMar>
              <w:left w:w="60" w:type="dxa"/>
              <w:right w:w="60" w:type="dxa"/>
            </w:tcMar>
            <w:vAlign w:val="center"/>
          </w:tcPr>
          <w:p>
            <w:pPr>
              <w:pStyle w:val="DMETW36734BIPSCNA"/>
              <w:jc w:val="right"/>
              <w:rPr>
                <w:rFonts w:ascii="Verdana" w:eastAsia="Verdana" w:hAnsi="Verdana" w:cs="Verdana"/>
                <w:i/>
                <w:noProof/>
                <w:color w:val="000000"/>
                <w:sz w:val="16"/>
              </w:rPr>
            </w:pPr>
            <w:r>
              <w:rPr>
                <w:rFonts w:ascii="Verdana" w:hAnsi="Verdana"/>
                <w:i/>
                <w:noProof/>
                <w:color w:val="000000"/>
                <w:sz w:val="16"/>
              </w:rPr>
              <w:t>en Mio EUR</w:t>
            </w:r>
          </w:p>
        </w:tc>
      </w:tr>
      <w:tr>
        <w:trPr>
          <w:trHeight w:val="255"/>
        </w:trPr>
        <w:tc>
          <w:tcPr>
            <w:tcW w:w="5320" w:type="dxa"/>
            <w:tcBorders>
              <w:top w:val="nil"/>
              <w:left w:val="nil"/>
              <w:bottom w:val="nil"/>
              <w:right w:val="nil"/>
              <w:tl2br w:val="nil"/>
              <w:tr2bl w:val="nil"/>
            </w:tcBorders>
            <w:shd w:val="solid" w:color="016794" w:fill="FFFFFF"/>
            <w:tcMar>
              <w:left w:w="60" w:type="dxa"/>
              <w:right w:w="60" w:type="dxa"/>
            </w:tcMar>
            <w:vAlign w:val="center"/>
          </w:tcPr>
          <w:p>
            <w:pPr>
              <w:pStyle w:val="DMETW36734BIPSCNA"/>
              <w:jc w:val="center"/>
              <w:rPr>
                <w:rFonts w:ascii="Verdana" w:eastAsia="Verdana" w:hAnsi="Verdana" w:cs="Verdana"/>
                <w:noProof/>
                <w:color w:val="FFFFFF"/>
                <w:sz w:val="18"/>
              </w:rPr>
            </w:pPr>
          </w:p>
        </w:tc>
        <w:tc>
          <w:tcPr>
            <w:tcW w:w="4739" w:type="dxa"/>
            <w:tcBorders>
              <w:top w:val="nil"/>
              <w:left w:val="nil"/>
              <w:bottom w:val="nil"/>
              <w:right w:val="nil"/>
              <w:tl2br w:val="nil"/>
              <w:tr2bl w:val="nil"/>
            </w:tcBorders>
            <w:shd w:val="solid" w:color="016794" w:fill="FFFFFF"/>
            <w:tcMar>
              <w:left w:w="60" w:type="dxa"/>
              <w:right w:w="60" w:type="dxa"/>
            </w:tcMar>
            <w:vAlign w:val="center"/>
          </w:tcPr>
          <w:p>
            <w:pPr>
              <w:pStyle w:val="DMETW36734BIPSCNA"/>
              <w:jc w:val="right"/>
              <w:rPr>
                <w:rFonts w:ascii="Verdana" w:eastAsia="Verdana" w:hAnsi="Verdana" w:cs="Verdana"/>
                <w:noProof/>
                <w:color w:val="FFFFFF"/>
                <w:sz w:val="18"/>
              </w:rPr>
            </w:pPr>
            <w:r>
              <w:rPr>
                <w:rFonts w:ascii="Verdana" w:hAnsi="Verdana"/>
                <w:noProof/>
                <w:color w:val="FFFFFF"/>
                <w:sz w:val="18"/>
              </w:rPr>
              <w:t>Montants à appeler auprès des États membres  Excédent/(déficit) cumulé</w:t>
            </w:r>
          </w:p>
        </w:tc>
        <w:tc>
          <w:tcPr>
            <w:tcW w:w="2095" w:type="dxa"/>
            <w:tcBorders>
              <w:top w:val="nil"/>
              <w:left w:val="nil"/>
              <w:bottom w:val="nil"/>
              <w:right w:val="nil"/>
              <w:tl2br w:val="nil"/>
              <w:tr2bl w:val="nil"/>
            </w:tcBorders>
            <w:shd w:val="solid" w:color="016794" w:fill="FFFFFF"/>
            <w:tcMar>
              <w:left w:w="60" w:type="dxa"/>
              <w:right w:w="60" w:type="dxa"/>
            </w:tcMar>
            <w:vAlign w:val="center"/>
          </w:tcPr>
          <w:p>
            <w:pPr>
              <w:pStyle w:val="DMETW36734BIPSCNA"/>
              <w:jc w:val="right"/>
              <w:rPr>
                <w:rFonts w:ascii="Verdana" w:eastAsia="Verdana" w:hAnsi="Verdana" w:cs="Verdana"/>
                <w:noProof/>
                <w:color w:val="FFFFFF"/>
                <w:sz w:val="18"/>
              </w:rPr>
            </w:pPr>
            <w:r>
              <w:rPr>
                <w:rFonts w:ascii="Verdana" w:hAnsi="Verdana"/>
                <w:noProof/>
                <w:color w:val="FFFFFF"/>
                <w:sz w:val="18"/>
              </w:rPr>
              <w:t>Autres réserves</w:t>
            </w:r>
          </w:p>
        </w:tc>
        <w:tc>
          <w:tcPr>
            <w:tcW w:w="2095" w:type="dxa"/>
            <w:tcBorders>
              <w:top w:val="nil"/>
              <w:left w:val="nil"/>
              <w:bottom w:val="nil"/>
              <w:right w:val="nil"/>
              <w:tl2br w:val="nil"/>
              <w:tr2bl w:val="nil"/>
            </w:tcBorders>
            <w:shd w:val="solid" w:color="016794" w:fill="FFFFFF"/>
            <w:tcMar>
              <w:left w:w="60" w:type="dxa"/>
              <w:right w:w="60" w:type="dxa"/>
            </w:tcMar>
            <w:vAlign w:val="center"/>
          </w:tcPr>
          <w:p>
            <w:pPr>
              <w:pStyle w:val="DMETW36734BIPSCNA"/>
              <w:jc w:val="right"/>
              <w:rPr>
                <w:rFonts w:ascii="Verdana" w:eastAsia="Verdana" w:hAnsi="Verdana" w:cs="Verdana"/>
                <w:noProof/>
                <w:color w:val="FFFFFF"/>
                <w:sz w:val="18"/>
              </w:rPr>
            </w:pPr>
            <w:r>
              <w:rPr>
                <w:rFonts w:ascii="Verdana" w:hAnsi="Verdana"/>
                <w:noProof/>
                <w:color w:val="FFFFFF"/>
                <w:sz w:val="18"/>
              </w:rPr>
              <w:t xml:space="preserve">Actif net </w:t>
            </w:r>
          </w:p>
        </w:tc>
      </w:tr>
      <w:tr>
        <w:trPr>
          <w:trHeight w:val="255"/>
        </w:trPr>
        <w:tc>
          <w:tcPr>
            <w:tcW w:w="5320" w:type="dxa"/>
            <w:tcBorders>
              <w:top w:val="nil"/>
              <w:left w:val="nil"/>
              <w:bottom w:val="nil"/>
              <w:right w:val="nil"/>
              <w:tl2br w:val="nil"/>
              <w:tr2bl w:val="nil"/>
            </w:tcBorders>
            <w:shd w:val="solid" w:color="CCE1EA" w:fill="FFFFFF"/>
            <w:tcMar>
              <w:left w:w="60" w:type="dxa"/>
              <w:right w:w="60" w:type="dxa"/>
            </w:tcMar>
            <w:vAlign w:val="center"/>
          </w:tcPr>
          <w:p>
            <w:pPr>
              <w:pStyle w:val="DMETW36734BIPSCNA"/>
              <w:rPr>
                <w:rFonts w:ascii="Verdana" w:eastAsia="Verdana" w:hAnsi="Verdana" w:cs="Verdana"/>
                <w:b/>
                <w:noProof/>
                <w:color w:val="000000"/>
                <w:sz w:val="18"/>
              </w:rPr>
            </w:pPr>
            <w:r>
              <w:rPr>
                <w:rFonts w:ascii="Verdana" w:hAnsi="Verdana"/>
                <w:b/>
                <w:noProof/>
                <w:color w:val="000000"/>
                <w:sz w:val="18"/>
              </w:rPr>
              <w:t>SOLDE AU 31.12.2023</w:t>
            </w:r>
          </w:p>
        </w:tc>
        <w:tc>
          <w:tcPr>
            <w:tcW w:w="4739" w:type="dxa"/>
            <w:tcBorders>
              <w:top w:val="nil"/>
              <w:left w:val="nil"/>
              <w:bottom w:val="nil"/>
              <w:right w:val="nil"/>
              <w:tl2br w:val="nil"/>
              <w:tr2bl w:val="nil"/>
            </w:tcBorders>
            <w:shd w:val="solid" w:color="CCE1EA" w:fill="FFFFFF"/>
            <w:tcMar>
              <w:left w:w="60" w:type="dxa"/>
              <w:right w:w="60" w:type="dxa"/>
            </w:tcMar>
            <w:vAlign w:val="center"/>
          </w:tcPr>
          <w:p>
            <w:pPr>
              <w:pStyle w:val="DMETW36734BIPSCNA"/>
              <w:jc w:val="right"/>
              <w:rPr>
                <w:rFonts w:ascii="Verdana" w:eastAsia="Verdana" w:hAnsi="Verdana" w:cs="Verdana"/>
                <w:b/>
                <w:noProof/>
                <w:color w:val="000000"/>
                <w:sz w:val="18"/>
              </w:rPr>
            </w:pPr>
            <w:r>
              <w:rPr>
                <w:rFonts w:ascii="Verdana" w:hAnsi="Verdana"/>
                <w:b/>
                <w:noProof/>
                <w:color w:val="000000"/>
                <w:sz w:val="18"/>
              </w:rPr>
              <w:t>(213 221)</w:t>
            </w:r>
          </w:p>
        </w:tc>
        <w:tc>
          <w:tcPr>
            <w:tcW w:w="2095" w:type="dxa"/>
            <w:tcBorders>
              <w:top w:val="nil"/>
              <w:left w:val="nil"/>
              <w:bottom w:val="nil"/>
              <w:right w:val="nil"/>
              <w:tl2br w:val="nil"/>
              <w:tr2bl w:val="nil"/>
            </w:tcBorders>
            <w:shd w:val="solid" w:color="CCE1EA" w:fill="FFFFFF"/>
            <w:tcMar>
              <w:left w:w="60" w:type="dxa"/>
              <w:right w:w="60" w:type="dxa"/>
            </w:tcMar>
            <w:vAlign w:val="center"/>
          </w:tcPr>
          <w:p>
            <w:pPr>
              <w:pStyle w:val="DMETW36734BIPSCNA"/>
              <w:jc w:val="right"/>
              <w:rPr>
                <w:rFonts w:ascii="Verdana" w:eastAsia="Verdana" w:hAnsi="Verdana" w:cs="Verdana"/>
                <w:b/>
                <w:noProof/>
                <w:color w:val="000000"/>
                <w:sz w:val="18"/>
              </w:rPr>
            </w:pPr>
            <w:r>
              <w:rPr>
                <w:rFonts w:ascii="Verdana" w:hAnsi="Verdana"/>
                <w:b/>
                <w:noProof/>
                <w:color w:val="000000"/>
                <w:sz w:val="18"/>
              </w:rPr>
              <w:t>1 052</w:t>
            </w:r>
          </w:p>
        </w:tc>
        <w:tc>
          <w:tcPr>
            <w:tcW w:w="2095" w:type="dxa"/>
            <w:tcBorders>
              <w:top w:val="nil"/>
              <w:left w:val="nil"/>
              <w:bottom w:val="nil"/>
              <w:right w:val="nil"/>
              <w:tl2br w:val="nil"/>
              <w:tr2bl w:val="nil"/>
            </w:tcBorders>
            <w:shd w:val="solid" w:color="CCE1EA" w:fill="FFFFFF"/>
            <w:tcMar>
              <w:left w:w="60" w:type="dxa"/>
              <w:right w:w="60" w:type="dxa"/>
            </w:tcMar>
            <w:vAlign w:val="center"/>
          </w:tcPr>
          <w:p>
            <w:pPr>
              <w:pStyle w:val="DMETW36734BIPSCNA"/>
              <w:jc w:val="right"/>
              <w:rPr>
                <w:rFonts w:ascii="Verdana" w:eastAsia="Verdana" w:hAnsi="Verdana" w:cs="Verdana"/>
                <w:b/>
                <w:noProof/>
                <w:color w:val="000000"/>
                <w:sz w:val="18"/>
              </w:rPr>
            </w:pPr>
            <w:r>
              <w:rPr>
                <w:rFonts w:ascii="Verdana" w:hAnsi="Verdana"/>
                <w:b/>
                <w:noProof/>
                <w:color w:val="000000"/>
                <w:sz w:val="18"/>
              </w:rPr>
              <w:t>(212 169)</w:t>
            </w:r>
          </w:p>
        </w:tc>
      </w:tr>
      <w:tr>
        <w:trPr>
          <w:trHeight w:val="255"/>
        </w:trPr>
        <w:tc>
          <w:tcPr>
            <w:tcW w:w="5320" w:type="dxa"/>
            <w:tcBorders>
              <w:top w:val="nil"/>
              <w:left w:val="nil"/>
              <w:bottom w:val="nil"/>
              <w:right w:val="nil"/>
              <w:tl2br w:val="nil"/>
              <w:tr2bl w:val="nil"/>
            </w:tcBorders>
            <w:tcMar>
              <w:left w:w="60" w:type="dxa"/>
              <w:right w:w="60" w:type="dxa"/>
            </w:tcMar>
            <w:vAlign w:val="center"/>
          </w:tcPr>
          <w:p>
            <w:pPr>
              <w:pStyle w:val="DMETW36734BIPSCNA"/>
              <w:rPr>
                <w:rFonts w:ascii="Verdana" w:eastAsia="Verdana" w:hAnsi="Verdana" w:cs="Verdana"/>
                <w:i/>
                <w:noProof/>
                <w:color w:val="000000"/>
                <w:sz w:val="18"/>
              </w:rPr>
            </w:pPr>
            <w:r>
              <w:rPr>
                <w:rFonts w:ascii="Verdana" w:hAnsi="Verdana"/>
                <w:i/>
                <w:noProof/>
                <w:color w:val="000000"/>
                <w:sz w:val="18"/>
              </w:rPr>
              <w:t>Réévaluations des passifs liés aux avantages du personnel</w:t>
            </w:r>
          </w:p>
        </w:tc>
        <w:tc>
          <w:tcPr>
            <w:tcW w:w="4739" w:type="dxa"/>
            <w:tcBorders>
              <w:top w:val="nil"/>
              <w:left w:val="nil"/>
              <w:bottom w:val="nil"/>
              <w:right w:val="nil"/>
              <w:tl2br w:val="nil"/>
              <w:tr2bl w:val="nil"/>
            </w:tcBorders>
            <w:tcMar>
              <w:left w:w="60" w:type="dxa"/>
              <w:right w:w="60" w:type="dxa"/>
            </w:tcMar>
            <w:vAlign w:val="center"/>
          </w:tcPr>
          <w:p>
            <w:pPr>
              <w:pStyle w:val="DMETW36734BIPSCNA"/>
              <w:jc w:val="right"/>
              <w:rPr>
                <w:rFonts w:ascii="Verdana" w:eastAsia="Verdana" w:hAnsi="Verdana" w:cs="Verdana"/>
                <w:i/>
                <w:noProof/>
                <w:color w:val="000000"/>
                <w:sz w:val="18"/>
              </w:rPr>
            </w:pPr>
            <w:r>
              <w:rPr>
                <w:rFonts w:ascii="Verdana" w:hAnsi="Verdana"/>
                <w:i/>
                <w:noProof/>
                <w:color w:val="000000"/>
                <w:sz w:val="18"/>
              </w:rPr>
              <w:t>1 159</w:t>
            </w:r>
          </w:p>
        </w:tc>
        <w:tc>
          <w:tcPr>
            <w:tcW w:w="2095" w:type="dxa"/>
            <w:tcBorders>
              <w:top w:val="nil"/>
              <w:left w:val="nil"/>
              <w:bottom w:val="nil"/>
              <w:right w:val="nil"/>
              <w:tl2br w:val="nil"/>
              <w:tr2bl w:val="nil"/>
            </w:tcBorders>
            <w:tcMar>
              <w:left w:w="60" w:type="dxa"/>
              <w:right w:w="60" w:type="dxa"/>
            </w:tcMar>
            <w:vAlign w:val="center"/>
          </w:tcPr>
          <w:p>
            <w:pPr>
              <w:pStyle w:val="DMETW36734BIPSCNA"/>
              <w:jc w:val="right"/>
              <w:rPr>
                <w:rFonts w:ascii="Verdana" w:eastAsia="Verdana" w:hAnsi="Verdana" w:cs="Verdana"/>
                <w:i/>
                <w:noProof/>
                <w:color w:val="000000"/>
                <w:sz w:val="18"/>
              </w:rPr>
            </w:pPr>
            <w:r>
              <w:rPr>
                <w:rFonts w:ascii="Verdana" w:hAnsi="Verdana"/>
                <w:i/>
                <w:noProof/>
                <w:color w:val="000000"/>
                <w:sz w:val="18"/>
              </w:rPr>
              <w:t>–</w:t>
            </w:r>
          </w:p>
        </w:tc>
        <w:tc>
          <w:tcPr>
            <w:tcW w:w="2095" w:type="dxa"/>
            <w:tcBorders>
              <w:top w:val="nil"/>
              <w:left w:val="nil"/>
              <w:bottom w:val="nil"/>
              <w:right w:val="nil"/>
              <w:tl2br w:val="nil"/>
              <w:tr2bl w:val="nil"/>
            </w:tcBorders>
            <w:tcMar>
              <w:left w:w="60" w:type="dxa"/>
              <w:right w:w="60" w:type="dxa"/>
            </w:tcMar>
            <w:vAlign w:val="center"/>
          </w:tcPr>
          <w:p>
            <w:pPr>
              <w:pStyle w:val="DMETW36734BIPSCNA"/>
              <w:jc w:val="right"/>
              <w:rPr>
                <w:rFonts w:ascii="Verdana" w:eastAsia="Verdana" w:hAnsi="Verdana" w:cs="Verdana"/>
                <w:i/>
                <w:noProof/>
                <w:color w:val="000000"/>
                <w:sz w:val="18"/>
              </w:rPr>
            </w:pPr>
            <w:r>
              <w:rPr>
                <w:rFonts w:ascii="Verdana" w:hAnsi="Verdana"/>
                <w:i/>
                <w:noProof/>
                <w:color w:val="000000"/>
                <w:sz w:val="18"/>
              </w:rPr>
              <w:t>1 159</w:t>
            </w:r>
          </w:p>
        </w:tc>
      </w:tr>
      <w:tr>
        <w:trPr>
          <w:trHeight w:val="255"/>
        </w:trPr>
        <w:tc>
          <w:tcPr>
            <w:tcW w:w="5320" w:type="dxa"/>
            <w:tcBorders>
              <w:top w:val="nil"/>
              <w:left w:val="nil"/>
              <w:bottom w:val="nil"/>
              <w:right w:val="nil"/>
              <w:tl2br w:val="nil"/>
              <w:tr2bl w:val="nil"/>
            </w:tcBorders>
            <w:tcMar>
              <w:left w:w="60" w:type="dxa"/>
              <w:right w:w="60" w:type="dxa"/>
            </w:tcMar>
            <w:vAlign w:val="center"/>
          </w:tcPr>
          <w:p>
            <w:pPr>
              <w:pStyle w:val="DMETW36734BIPSCNA"/>
              <w:rPr>
                <w:rFonts w:ascii="Verdana" w:eastAsia="Verdana" w:hAnsi="Verdana" w:cs="Verdana"/>
                <w:i/>
                <w:noProof/>
                <w:color w:val="000000"/>
                <w:sz w:val="18"/>
              </w:rPr>
            </w:pPr>
            <w:r>
              <w:rPr>
                <w:rFonts w:ascii="Verdana" w:hAnsi="Verdana"/>
                <w:i/>
                <w:noProof/>
                <w:color w:val="000000"/>
                <w:sz w:val="18"/>
              </w:rPr>
              <w:t>Autres</w:t>
            </w:r>
          </w:p>
        </w:tc>
        <w:tc>
          <w:tcPr>
            <w:tcW w:w="4739" w:type="dxa"/>
            <w:tcBorders>
              <w:top w:val="nil"/>
              <w:left w:val="nil"/>
              <w:bottom w:val="nil"/>
              <w:right w:val="nil"/>
              <w:tl2br w:val="nil"/>
              <w:tr2bl w:val="nil"/>
            </w:tcBorders>
            <w:tcMar>
              <w:left w:w="60" w:type="dxa"/>
              <w:right w:w="60" w:type="dxa"/>
            </w:tcMar>
            <w:vAlign w:val="center"/>
          </w:tcPr>
          <w:p>
            <w:pPr>
              <w:pStyle w:val="DMETW36734BIPSCNA"/>
              <w:jc w:val="right"/>
              <w:rPr>
                <w:rFonts w:ascii="Verdana" w:eastAsia="Verdana" w:hAnsi="Verdana" w:cs="Verdana"/>
                <w:i/>
                <w:noProof/>
                <w:color w:val="000000"/>
                <w:sz w:val="18"/>
              </w:rPr>
            </w:pPr>
            <w:r>
              <w:rPr>
                <w:rFonts w:ascii="Verdana" w:hAnsi="Verdana"/>
                <w:i/>
                <w:noProof/>
                <w:color w:val="000000"/>
                <w:sz w:val="18"/>
              </w:rPr>
              <w:t xml:space="preserve"> 94</w:t>
            </w:r>
          </w:p>
        </w:tc>
        <w:tc>
          <w:tcPr>
            <w:tcW w:w="2095" w:type="dxa"/>
            <w:tcBorders>
              <w:top w:val="nil"/>
              <w:left w:val="nil"/>
              <w:bottom w:val="nil"/>
              <w:right w:val="nil"/>
              <w:tl2br w:val="nil"/>
              <w:tr2bl w:val="nil"/>
            </w:tcBorders>
            <w:tcMar>
              <w:left w:w="60" w:type="dxa"/>
              <w:right w:w="60" w:type="dxa"/>
            </w:tcMar>
            <w:vAlign w:val="center"/>
          </w:tcPr>
          <w:p>
            <w:pPr>
              <w:pStyle w:val="DMETW36734BIPSCNA"/>
              <w:jc w:val="right"/>
              <w:rPr>
                <w:rFonts w:ascii="Verdana" w:eastAsia="Verdana" w:hAnsi="Verdana" w:cs="Verdana"/>
                <w:i/>
                <w:noProof/>
                <w:color w:val="000000"/>
                <w:sz w:val="18"/>
              </w:rPr>
            </w:pPr>
            <w:r>
              <w:rPr>
                <w:rFonts w:ascii="Verdana" w:hAnsi="Verdana"/>
                <w:i/>
                <w:noProof/>
                <w:color w:val="000000"/>
                <w:sz w:val="18"/>
              </w:rPr>
              <w:t xml:space="preserve"> (66)</w:t>
            </w:r>
          </w:p>
        </w:tc>
        <w:tc>
          <w:tcPr>
            <w:tcW w:w="2095" w:type="dxa"/>
            <w:tcBorders>
              <w:top w:val="nil"/>
              <w:left w:val="nil"/>
              <w:bottom w:val="nil"/>
              <w:right w:val="nil"/>
              <w:tl2br w:val="nil"/>
              <w:tr2bl w:val="nil"/>
            </w:tcBorders>
            <w:tcMar>
              <w:left w:w="60" w:type="dxa"/>
              <w:right w:w="60" w:type="dxa"/>
            </w:tcMar>
            <w:vAlign w:val="center"/>
          </w:tcPr>
          <w:p>
            <w:pPr>
              <w:pStyle w:val="DMETW36734BIPSCNA"/>
              <w:jc w:val="right"/>
              <w:rPr>
                <w:rFonts w:ascii="Verdana" w:eastAsia="Verdana" w:hAnsi="Verdana" w:cs="Verdana"/>
                <w:i/>
                <w:noProof/>
                <w:color w:val="000000"/>
                <w:sz w:val="18"/>
              </w:rPr>
            </w:pPr>
            <w:r>
              <w:rPr>
                <w:rFonts w:ascii="Verdana" w:hAnsi="Verdana"/>
                <w:i/>
                <w:noProof/>
                <w:color w:val="000000"/>
                <w:sz w:val="18"/>
              </w:rPr>
              <w:t xml:space="preserve"> 27</w:t>
            </w:r>
          </w:p>
        </w:tc>
      </w:tr>
      <w:tr>
        <w:trPr>
          <w:trHeight w:val="255"/>
        </w:trPr>
        <w:tc>
          <w:tcPr>
            <w:tcW w:w="5320" w:type="dxa"/>
            <w:tcBorders>
              <w:top w:val="nil"/>
              <w:left w:val="nil"/>
              <w:bottom w:val="nil"/>
              <w:right w:val="nil"/>
              <w:tl2br w:val="nil"/>
              <w:tr2bl w:val="nil"/>
            </w:tcBorders>
            <w:tcMar>
              <w:left w:w="60" w:type="dxa"/>
              <w:right w:w="60" w:type="dxa"/>
            </w:tcMar>
            <w:vAlign w:val="center"/>
          </w:tcPr>
          <w:p>
            <w:pPr>
              <w:pStyle w:val="DMETW36734BIPSCNA"/>
              <w:rPr>
                <w:rFonts w:ascii="Verdana" w:eastAsia="Verdana" w:hAnsi="Verdana" w:cs="Verdana"/>
                <w:i/>
                <w:noProof/>
                <w:color w:val="000000"/>
                <w:sz w:val="18"/>
              </w:rPr>
            </w:pPr>
            <w:r>
              <w:rPr>
                <w:rFonts w:ascii="Verdana" w:hAnsi="Verdana"/>
                <w:i/>
                <w:noProof/>
                <w:color w:val="000000"/>
                <w:sz w:val="18"/>
              </w:rPr>
              <w:t>Résultat de l’exécution budgétaire 2023 crédité aux États membres</w:t>
            </w:r>
          </w:p>
        </w:tc>
        <w:tc>
          <w:tcPr>
            <w:tcW w:w="4739" w:type="dxa"/>
            <w:tcBorders>
              <w:top w:val="nil"/>
              <w:left w:val="nil"/>
              <w:bottom w:val="nil"/>
              <w:right w:val="nil"/>
              <w:tl2br w:val="nil"/>
              <w:tr2bl w:val="nil"/>
            </w:tcBorders>
            <w:tcMar>
              <w:left w:w="60" w:type="dxa"/>
              <w:right w:w="60" w:type="dxa"/>
            </w:tcMar>
            <w:vAlign w:val="center"/>
          </w:tcPr>
          <w:p>
            <w:pPr>
              <w:pStyle w:val="DMETW36734BIPSCNA"/>
              <w:jc w:val="right"/>
              <w:rPr>
                <w:rFonts w:ascii="Verdana" w:eastAsia="Verdana" w:hAnsi="Verdana" w:cs="Verdana"/>
                <w:i/>
                <w:noProof/>
                <w:color w:val="000000"/>
                <w:sz w:val="18"/>
              </w:rPr>
            </w:pPr>
            <w:r>
              <w:rPr>
                <w:rFonts w:ascii="Verdana" w:hAnsi="Verdana"/>
                <w:i/>
                <w:noProof/>
                <w:color w:val="000000"/>
                <w:sz w:val="18"/>
              </w:rPr>
              <w:t xml:space="preserve"> (633)</w:t>
            </w:r>
          </w:p>
        </w:tc>
        <w:tc>
          <w:tcPr>
            <w:tcW w:w="2095" w:type="dxa"/>
            <w:tcBorders>
              <w:top w:val="nil"/>
              <w:left w:val="nil"/>
              <w:bottom w:val="nil"/>
              <w:right w:val="nil"/>
              <w:tl2br w:val="nil"/>
              <w:tr2bl w:val="nil"/>
            </w:tcBorders>
            <w:tcMar>
              <w:left w:w="60" w:type="dxa"/>
              <w:right w:w="60" w:type="dxa"/>
            </w:tcMar>
            <w:vAlign w:val="center"/>
          </w:tcPr>
          <w:p>
            <w:pPr>
              <w:pStyle w:val="DMETW36734BIPSCNA"/>
              <w:jc w:val="right"/>
              <w:rPr>
                <w:rFonts w:ascii="Verdana" w:eastAsia="Verdana" w:hAnsi="Verdana" w:cs="Verdana"/>
                <w:i/>
                <w:noProof/>
                <w:color w:val="000000"/>
                <w:sz w:val="18"/>
              </w:rPr>
            </w:pPr>
            <w:r>
              <w:rPr>
                <w:rFonts w:ascii="Verdana" w:hAnsi="Verdana"/>
                <w:i/>
                <w:noProof/>
                <w:color w:val="000000"/>
                <w:sz w:val="18"/>
              </w:rPr>
              <w:t>–</w:t>
            </w:r>
          </w:p>
        </w:tc>
        <w:tc>
          <w:tcPr>
            <w:tcW w:w="2095" w:type="dxa"/>
            <w:tcBorders>
              <w:top w:val="nil"/>
              <w:left w:val="nil"/>
              <w:bottom w:val="nil"/>
              <w:right w:val="nil"/>
              <w:tl2br w:val="nil"/>
              <w:tr2bl w:val="nil"/>
            </w:tcBorders>
            <w:tcMar>
              <w:left w:w="60" w:type="dxa"/>
              <w:right w:w="60" w:type="dxa"/>
            </w:tcMar>
            <w:vAlign w:val="center"/>
          </w:tcPr>
          <w:p>
            <w:pPr>
              <w:pStyle w:val="DMETW36734BIPSCNA"/>
              <w:jc w:val="right"/>
              <w:rPr>
                <w:rFonts w:ascii="Verdana" w:eastAsia="Verdana" w:hAnsi="Verdana" w:cs="Verdana"/>
                <w:i/>
                <w:noProof/>
                <w:color w:val="000000"/>
                <w:sz w:val="18"/>
              </w:rPr>
            </w:pPr>
            <w:r>
              <w:rPr>
                <w:rFonts w:ascii="Verdana" w:hAnsi="Verdana"/>
                <w:i/>
                <w:noProof/>
                <w:color w:val="000000"/>
                <w:sz w:val="18"/>
              </w:rPr>
              <w:t xml:space="preserve"> (633)</w:t>
            </w:r>
          </w:p>
        </w:tc>
      </w:tr>
      <w:tr>
        <w:trPr>
          <w:trHeight w:val="255"/>
        </w:trPr>
        <w:tc>
          <w:tcPr>
            <w:tcW w:w="5320" w:type="dxa"/>
            <w:tcBorders>
              <w:top w:val="nil"/>
              <w:left w:val="nil"/>
              <w:bottom w:val="nil"/>
              <w:right w:val="nil"/>
              <w:tl2br w:val="nil"/>
              <w:tr2bl w:val="nil"/>
            </w:tcBorders>
            <w:tcMar>
              <w:left w:w="60" w:type="dxa"/>
              <w:right w:w="60" w:type="dxa"/>
            </w:tcMar>
            <w:vAlign w:val="center"/>
          </w:tcPr>
          <w:p>
            <w:pPr>
              <w:pStyle w:val="DMETW36734BIPSCNA"/>
              <w:rPr>
                <w:rFonts w:ascii="Verdana" w:eastAsia="Verdana" w:hAnsi="Verdana" w:cs="Verdana"/>
                <w:i/>
                <w:noProof/>
                <w:color w:val="000000"/>
                <w:sz w:val="18"/>
              </w:rPr>
            </w:pPr>
            <w:r>
              <w:rPr>
                <w:rFonts w:ascii="Verdana" w:hAnsi="Verdana"/>
                <w:i/>
                <w:noProof/>
                <w:color w:val="000000"/>
                <w:sz w:val="18"/>
              </w:rPr>
              <w:t>Résultat économique de l’exercice</w:t>
            </w:r>
          </w:p>
        </w:tc>
        <w:tc>
          <w:tcPr>
            <w:tcW w:w="4739" w:type="dxa"/>
            <w:tcBorders>
              <w:top w:val="nil"/>
              <w:left w:val="nil"/>
              <w:bottom w:val="nil"/>
              <w:right w:val="nil"/>
              <w:tl2br w:val="nil"/>
              <w:tr2bl w:val="nil"/>
            </w:tcBorders>
            <w:tcMar>
              <w:left w:w="60" w:type="dxa"/>
              <w:right w:w="60" w:type="dxa"/>
            </w:tcMar>
            <w:vAlign w:val="center"/>
          </w:tcPr>
          <w:p>
            <w:pPr>
              <w:pStyle w:val="DMETW36734BIPSCNA"/>
              <w:jc w:val="right"/>
              <w:rPr>
                <w:rFonts w:ascii="Verdana" w:eastAsia="Verdana" w:hAnsi="Verdana" w:cs="Verdana"/>
                <w:i/>
                <w:noProof/>
                <w:color w:val="000000"/>
                <w:sz w:val="18"/>
              </w:rPr>
            </w:pPr>
            <w:r>
              <w:rPr>
                <w:rFonts w:ascii="Verdana" w:hAnsi="Verdana"/>
                <w:i/>
                <w:noProof/>
                <w:color w:val="000000"/>
                <w:sz w:val="18"/>
              </w:rPr>
              <w:t>(97 208)</w:t>
            </w:r>
          </w:p>
        </w:tc>
        <w:tc>
          <w:tcPr>
            <w:tcW w:w="2095" w:type="dxa"/>
            <w:tcBorders>
              <w:top w:val="nil"/>
              <w:left w:val="nil"/>
              <w:bottom w:val="nil"/>
              <w:right w:val="nil"/>
              <w:tl2br w:val="nil"/>
              <w:tr2bl w:val="nil"/>
            </w:tcBorders>
            <w:tcMar>
              <w:left w:w="60" w:type="dxa"/>
              <w:right w:w="60" w:type="dxa"/>
            </w:tcMar>
            <w:vAlign w:val="center"/>
          </w:tcPr>
          <w:p>
            <w:pPr>
              <w:pStyle w:val="DMETW36734BIPSCNA"/>
              <w:jc w:val="right"/>
              <w:rPr>
                <w:rFonts w:ascii="Verdana" w:eastAsia="Verdana" w:hAnsi="Verdana" w:cs="Verdana"/>
                <w:i/>
                <w:noProof/>
                <w:color w:val="000000"/>
                <w:sz w:val="18"/>
              </w:rPr>
            </w:pPr>
            <w:r>
              <w:rPr>
                <w:rFonts w:ascii="Verdana" w:hAnsi="Verdana"/>
                <w:i/>
                <w:noProof/>
                <w:color w:val="000000"/>
                <w:sz w:val="18"/>
              </w:rPr>
              <w:t>–</w:t>
            </w:r>
          </w:p>
        </w:tc>
        <w:tc>
          <w:tcPr>
            <w:tcW w:w="2095" w:type="dxa"/>
            <w:tcBorders>
              <w:top w:val="nil"/>
              <w:left w:val="nil"/>
              <w:bottom w:val="nil"/>
              <w:right w:val="nil"/>
              <w:tl2br w:val="nil"/>
              <w:tr2bl w:val="nil"/>
            </w:tcBorders>
            <w:tcMar>
              <w:left w:w="60" w:type="dxa"/>
              <w:right w:w="60" w:type="dxa"/>
            </w:tcMar>
            <w:vAlign w:val="center"/>
          </w:tcPr>
          <w:p>
            <w:pPr>
              <w:pStyle w:val="DMETW36734BIPSCNA"/>
              <w:jc w:val="right"/>
              <w:rPr>
                <w:rFonts w:ascii="Verdana" w:eastAsia="Verdana" w:hAnsi="Verdana" w:cs="Verdana"/>
                <w:i/>
                <w:noProof/>
                <w:color w:val="000000"/>
                <w:sz w:val="18"/>
              </w:rPr>
            </w:pPr>
            <w:r>
              <w:rPr>
                <w:rFonts w:ascii="Verdana" w:hAnsi="Verdana"/>
                <w:i/>
                <w:noProof/>
                <w:color w:val="000000"/>
                <w:sz w:val="18"/>
              </w:rPr>
              <w:t>(97 208)</w:t>
            </w:r>
          </w:p>
        </w:tc>
      </w:tr>
      <w:tr>
        <w:trPr>
          <w:trHeight w:val="255"/>
        </w:trPr>
        <w:tc>
          <w:tcPr>
            <w:tcW w:w="5320" w:type="dxa"/>
            <w:tcBorders>
              <w:top w:val="nil"/>
              <w:left w:val="nil"/>
              <w:bottom w:val="nil"/>
              <w:right w:val="nil"/>
              <w:tl2br w:val="nil"/>
              <w:tr2bl w:val="nil"/>
            </w:tcBorders>
            <w:shd w:val="solid" w:color="CCE1EA" w:fill="FFFFFF"/>
            <w:tcMar>
              <w:left w:w="60" w:type="dxa"/>
              <w:right w:w="60" w:type="dxa"/>
            </w:tcMar>
            <w:vAlign w:val="center"/>
          </w:tcPr>
          <w:p>
            <w:pPr>
              <w:pStyle w:val="DMETW36734BIPSCNA"/>
              <w:rPr>
                <w:rFonts w:ascii="Verdana" w:eastAsia="Verdana" w:hAnsi="Verdana" w:cs="Verdana"/>
                <w:b/>
                <w:noProof/>
                <w:color w:val="000000"/>
                <w:sz w:val="18"/>
              </w:rPr>
            </w:pPr>
            <w:r>
              <w:rPr>
                <w:rFonts w:ascii="Verdana" w:hAnsi="Verdana"/>
                <w:b/>
                <w:noProof/>
                <w:color w:val="000000"/>
                <w:sz w:val="18"/>
              </w:rPr>
              <w:t>SOLDE AU 31.12.2024</w:t>
            </w:r>
          </w:p>
        </w:tc>
        <w:tc>
          <w:tcPr>
            <w:tcW w:w="4739" w:type="dxa"/>
            <w:tcBorders>
              <w:top w:val="nil"/>
              <w:left w:val="nil"/>
              <w:bottom w:val="nil"/>
              <w:right w:val="nil"/>
              <w:tl2br w:val="nil"/>
              <w:tr2bl w:val="nil"/>
            </w:tcBorders>
            <w:shd w:val="solid" w:color="CCE1EA" w:fill="FFFFFF"/>
            <w:tcMar>
              <w:left w:w="60" w:type="dxa"/>
              <w:right w:w="60" w:type="dxa"/>
            </w:tcMar>
            <w:vAlign w:val="center"/>
          </w:tcPr>
          <w:p>
            <w:pPr>
              <w:pStyle w:val="DMETW36734BIPSCNA"/>
              <w:jc w:val="right"/>
              <w:rPr>
                <w:rFonts w:ascii="Verdana" w:eastAsia="Verdana" w:hAnsi="Verdana" w:cs="Verdana"/>
                <w:b/>
                <w:noProof/>
                <w:color w:val="000000"/>
                <w:sz w:val="18"/>
              </w:rPr>
            </w:pPr>
            <w:r>
              <w:rPr>
                <w:rFonts w:ascii="Verdana" w:hAnsi="Verdana"/>
                <w:b/>
                <w:noProof/>
                <w:color w:val="000000"/>
                <w:sz w:val="18"/>
              </w:rPr>
              <w:t>(309 810)</w:t>
            </w:r>
          </w:p>
        </w:tc>
        <w:tc>
          <w:tcPr>
            <w:tcW w:w="2095" w:type="dxa"/>
            <w:tcBorders>
              <w:top w:val="nil"/>
              <w:left w:val="nil"/>
              <w:bottom w:val="nil"/>
              <w:right w:val="nil"/>
              <w:tl2br w:val="nil"/>
              <w:tr2bl w:val="nil"/>
            </w:tcBorders>
            <w:shd w:val="solid" w:color="CCE1EA" w:fill="FFFFFF"/>
            <w:tcMar>
              <w:left w:w="60" w:type="dxa"/>
              <w:right w:w="60" w:type="dxa"/>
            </w:tcMar>
            <w:vAlign w:val="center"/>
          </w:tcPr>
          <w:p>
            <w:pPr>
              <w:pStyle w:val="DMETW36734BIPSCNA"/>
              <w:jc w:val="right"/>
              <w:rPr>
                <w:rFonts w:ascii="Verdana" w:eastAsia="Verdana" w:hAnsi="Verdana" w:cs="Verdana"/>
                <w:b/>
                <w:noProof/>
                <w:color w:val="000000"/>
                <w:sz w:val="18"/>
              </w:rPr>
            </w:pPr>
            <w:r>
              <w:rPr>
                <w:rFonts w:ascii="Verdana" w:hAnsi="Verdana"/>
                <w:b/>
                <w:noProof/>
                <w:color w:val="000000"/>
                <w:sz w:val="18"/>
              </w:rPr>
              <w:t xml:space="preserve"> 986</w:t>
            </w:r>
          </w:p>
        </w:tc>
        <w:tc>
          <w:tcPr>
            <w:tcW w:w="2095" w:type="dxa"/>
            <w:tcBorders>
              <w:top w:val="nil"/>
              <w:left w:val="nil"/>
              <w:bottom w:val="nil"/>
              <w:right w:val="nil"/>
              <w:tl2br w:val="nil"/>
              <w:tr2bl w:val="nil"/>
            </w:tcBorders>
            <w:shd w:val="solid" w:color="CCE1EA" w:fill="FFFFFF"/>
            <w:tcMar>
              <w:left w:w="60" w:type="dxa"/>
              <w:right w:w="60" w:type="dxa"/>
            </w:tcMar>
            <w:vAlign w:val="center"/>
          </w:tcPr>
          <w:p>
            <w:pPr>
              <w:pStyle w:val="DMETW36734BIPSCNA"/>
              <w:jc w:val="right"/>
              <w:rPr>
                <w:rFonts w:ascii="Verdana" w:eastAsia="Verdana" w:hAnsi="Verdana" w:cs="Verdana"/>
                <w:b/>
                <w:noProof/>
                <w:color w:val="000000"/>
                <w:sz w:val="18"/>
              </w:rPr>
            </w:pPr>
            <w:r>
              <w:rPr>
                <w:rFonts w:ascii="Verdana" w:hAnsi="Verdana"/>
                <w:b/>
                <w:noProof/>
                <w:color w:val="000000"/>
                <w:sz w:val="18"/>
              </w:rPr>
              <w:t>(308 824)</w:t>
            </w:r>
          </w:p>
        </w:tc>
      </w:tr>
      <w:tr>
        <w:trPr>
          <w:trHeight w:val="255"/>
        </w:trPr>
        <w:tc>
          <w:tcPr>
            <w:tcW w:w="5320" w:type="dxa"/>
            <w:tcBorders>
              <w:top w:val="nil"/>
              <w:left w:val="nil"/>
              <w:bottom w:val="nil"/>
              <w:right w:val="nil"/>
              <w:tl2br w:val="nil"/>
              <w:tr2bl w:val="nil"/>
            </w:tcBorders>
            <w:tcMar>
              <w:left w:w="60" w:type="dxa"/>
              <w:right w:w="60" w:type="dxa"/>
            </w:tcMar>
            <w:vAlign w:val="center"/>
          </w:tcPr>
          <w:p>
            <w:pPr>
              <w:pStyle w:val="DMETW36734BIPSCNA"/>
              <w:rPr>
                <w:rFonts w:ascii="Verdana" w:eastAsia="Verdana" w:hAnsi="Verdana" w:cs="Verdana"/>
                <w:i/>
                <w:noProof/>
                <w:color w:val="000000"/>
                <w:sz w:val="18"/>
              </w:rPr>
            </w:pPr>
            <w:r>
              <w:rPr>
                <w:rFonts w:ascii="Verdana" w:hAnsi="Verdana"/>
                <w:i/>
                <w:noProof/>
                <w:color w:val="000000"/>
                <w:sz w:val="18"/>
              </w:rPr>
              <w:t>Réévaluations des passifs liés aux avantages du personnel</w:t>
            </w:r>
          </w:p>
        </w:tc>
        <w:tc>
          <w:tcPr>
            <w:tcW w:w="4739" w:type="dxa"/>
            <w:tcBorders>
              <w:top w:val="nil"/>
              <w:left w:val="nil"/>
              <w:bottom w:val="nil"/>
              <w:right w:val="nil"/>
              <w:tl2br w:val="nil"/>
              <w:tr2bl w:val="nil"/>
            </w:tcBorders>
            <w:tcMar>
              <w:left w:w="60" w:type="dxa"/>
              <w:right w:w="60" w:type="dxa"/>
            </w:tcMar>
            <w:vAlign w:val="center"/>
          </w:tcPr>
          <w:p>
            <w:pPr>
              <w:pStyle w:val="DMETW36734BIPSCNA"/>
              <w:jc w:val="right"/>
              <w:rPr>
                <w:rFonts w:ascii="Verdana" w:eastAsia="Verdana" w:hAnsi="Verdana" w:cs="Verdana"/>
                <w:i/>
                <w:noProof/>
                <w:color w:val="000000"/>
                <w:sz w:val="18"/>
              </w:rPr>
            </w:pPr>
            <w:r>
              <w:rPr>
                <w:rFonts w:ascii="Verdana" w:hAnsi="Verdana"/>
                <w:i/>
                <w:noProof/>
                <w:color w:val="000000"/>
                <w:sz w:val="18"/>
              </w:rPr>
              <w:t>5 603</w:t>
            </w:r>
          </w:p>
        </w:tc>
        <w:tc>
          <w:tcPr>
            <w:tcW w:w="2095" w:type="dxa"/>
            <w:tcBorders>
              <w:top w:val="nil"/>
              <w:left w:val="nil"/>
              <w:bottom w:val="nil"/>
              <w:right w:val="nil"/>
              <w:tl2br w:val="nil"/>
              <w:tr2bl w:val="nil"/>
            </w:tcBorders>
            <w:tcMar>
              <w:left w:w="60" w:type="dxa"/>
              <w:right w:w="60" w:type="dxa"/>
            </w:tcMar>
            <w:vAlign w:val="center"/>
          </w:tcPr>
          <w:p>
            <w:pPr>
              <w:pStyle w:val="DMETW36734BIPSCNA"/>
              <w:jc w:val="right"/>
              <w:rPr>
                <w:rFonts w:ascii="Verdana" w:eastAsia="Verdana" w:hAnsi="Verdana" w:cs="Verdana"/>
                <w:i/>
                <w:noProof/>
                <w:color w:val="000000"/>
                <w:sz w:val="18"/>
              </w:rPr>
            </w:pPr>
            <w:r>
              <w:rPr>
                <w:rFonts w:ascii="Verdana" w:hAnsi="Verdana"/>
                <w:i/>
                <w:noProof/>
                <w:color w:val="000000"/>
                <w:sz w:val="18"/>
              </w:rPr>
              <w:t>-</w:t>
            </w:r>
          </w:p>
        </w:tc>
        <w:tc>
          <w:tcPr>
            <w:tcW w:w="2095" w:type="dxa"/>
            <w:tcBorders>
              <w:top w:val="nil"/>
              <w:left w:val="nil"/>
              <w:bottom w:val="nil"/>
              <w:right w:val="nil"/>
              <w:tl2br w:val="nil"/>
              <w:tr2bl w:val="nil"/>
            </w:tcBorders>
            <w:tcMar>
              <w:left w:w="60" w:type="dxa"/>
              <w:right w:w="60" w:type="dxa"/>
            </w:tcMar>
            <w:vAlign w:val="center"/>
          </w:tcPr>
          <w:p>
            <w:pPr>
              <w:pStyle w:val="DMETW36734BIPSCNA"/>
              <w:jc w:val="right"/>
              <w:rPr>
                <w:rFonts w:ascii="Verdana" w:eastAsia="Verdana" w:hAnsi="Verdana" w:cs="Verdana"/>
                <w:i/>
                <w:noProof/>
                <w:color w:val="000000"/>
                <w:sz w:val="18"/>
              </w:rPr>
            </w:pPr>
            <w:r>
              <w:rPr>
                <w:rFonts w:ascii="Verdana" w:hAnsi="Verdana"/>
                <w:i/>
                <w:noProof/>
                <w:color w:val="000000"/>
                <w:sz w:val="18"/>
              </w:rPr>
              <w:t>5 603</w:t>
            </w:r>
          </w:p>
        </w:tc>
      </w:tr>
      <w:tr>
        <w:trPr>
          <w:trHeight w:val="255"/>
        </w:trPr>
        <w:tc>
          <w:tcPr>
            <w:tcW w:w="5320" w:type="dxa"/>
            <w:tcBorders>
              <w:top w:val="nil"/>
              <w:left w:val="nil"/>
              <w:bottom w:val="nil"/>
              <w:right w:val="nil"/>
              <w:tl2br w:val="nil"/>
              <w:tr2bl w:val="nil"/>
            </w:tcBorders>
            <w:tcMar>
              <w:left w:w="60" w:type="dxa"/>
              <w:right w:w="60" w:type="dxa"/>
            </w:tcMar>
            <w:vAlign w:val="center"/>
          </w:tcPr>
          <w:p>
            <w:pPr>
              <w:pStyle w:val="DMETW36734BIPSCNA"/>
              <w:rPr>
                <w:rFonts w:ascii="Verdana" w:eastAsia="Verdana" w:hAnsi="Verdana" w:cs="Verdana"/>
                <w:i/>
                <w:noProof/>
                <w:color w:val="000000"/>
                <w:sz w:val="18"/>
              </w:rPr>
            </w:pPr>
            <w:r>
              <w:rPr>
                <w:rFonts w:ascii="Verdana" w:hAnsi="Verdana"/>
                <w:i/>
                <w:noProof/>
                <w:color w:val="000000"/>
                <w:sz w:val="18"/>
              </w:rPr>
              <w:t>Autres</w:t>
            </w:r>
          </w:p>
        </w:tc>
        <w:tc>
          <w:tcPr>
            <w:tcW w:w="4739" w:type="dxa"/>
            <w:tcBorders>
              <w:top w:val="nil"/>
              <w:left w:val="nil"/>
              <w:bottom w:val="nil"/>
              <w:right w:val="nil"/>
              <w:tl2br w:val="nil"/>
              <w:tr2bl w:val="nil"/>
            </w:tcBorders>
            <w:tcMar>
              <w:left w:w="60" w:type="dxa"/>
              <w:right w:w="60" w:type="dxa"/>
            </w:tcMar>
            <w:vAlign w:val="center"/>
          </w:tcPr>
          <w:p>
            <w:pPr>
              <w:pStyle w:val="DMETW36734BIPSCNA"/>
              <w:jc w:val="right"/>
              <w:rPr>
                <w:rFonts w:ascii="Verdana" w:eastAsia="Verdana" w:hAnsi="Verdana" w:cs="Verdana"/>
                <w:i/>
                <w:noProof/>
                <w:color w:val="000000"/>
                <w:sz w:val="18"/>
              </w:rPr>
            </w:pPr>
            <w:r>
              <w:rPr>
                <w:rFonts w:ascii="Verdana" w:hAnsi="Verdana"/>
                <w:i/>
                <w:noProof/>
                <w:color w:val="000000"/>
                <w:sz w:val="18"/>
              </w:rPr>
              <w:t xml:space="preserve"> 85</w:t>
            </w:r>
          </w:p>
        </w:tc>
        <w:tc>
          <w:tcPr>
            <w:tcW w:w="2095" w:type="dxa"/>
            <w:tcBorders>
              <w:top w:val="nil"/>
              <w:left w:val="nil"/>
              <w:bottom w:val="nil"/>
              <w:right w:val="nil"/>
              <w:tl2br w:val="nil"/>
              <w:tr2bl w:val="nil"/>
            </w:tcBorders>
            <w:tcMar>
              <w:left w:w="60" w:type="dxa"/>
              <w:right w:w="60" w:type="dxa"/>
            </w:tcMar>
            <w:vAlign w:val="center"/>
          </w:tcPr>
          <w:p>
            <w:pPr>
              <w:pStyle w:val="DMETW36734BIPSCNA"/>
              <w:jc w:val="right"/>
              <w:rPr>
                <w:rFonts w:ascii="Verdana" w:eastAsia="Verdana" w:hAnsi="Verdana" w:cs="Verdana"/>
                <w:i/>
                <w:noProof/>
                <w:color w:val="000000"/>
                <w:sz w:val="18"/>
              </w:rPr>
            </w:pPr>
            <w:r>
              <w:rPr>
                <w:rFonts w:ascii="Verdana" w:hAnsi="Verdana"/>
                <w:i/>
                <w:noProof/>
                <w:color w:val="000000"/>
                <w:sz w:val="18"/>
              </w:rPr>
              <w:t xml:space="preserve"> (45)</w:t>
            </w:r>
          </w:p>
        </w:tc>
        <w:tc>
          <w:tcPr>
            <w:tcW w:w="2095" w:type="dxa"/>
            <w:tcBorders>
              <w:top w:val="nil"/>
              <w:left w:val="nil"/>
              <w:bottom w:val="nil"/>
              <w:right w:val="nil"/>
              <w:tl2br w:val="nil"/>
              <w:tr2bl w:val="nil"/>
            </w:tcBorders>
            <w:tcMar>
              <w:left w:w="60" w:type="dxa"/>
              <w:right w:w="60" w:type="dxa"/>
            </w:tcMar>
            <w:vAlign w:val="center"/>
          </w:tcPr>
          <w:p>
            <w:pPr>
              <w:pStyle w:val="DMETW36734BIPSCNA"/>
              <w:jc w:val="right"/>
              <w:rPr>
                <w:rFonts w:ascii="Verdana" w:eastAsia="Verdana" w:hAnsi="Verdana" w:cs="Verdana"/>
                <w:i/>
                <w:noProof/>
                <w:color w:val="000000"/>
                <w:sz w:val="18"/>
              </w:rPr>
            </w:pPr>
            <w:r>
              <w:rPr>
                <w:rFonts w:ascii="Verdana" w:hAnsi="Verdana"/>
                <w:i/>
                <w:noProof/>
                <w:color w:val="000000"/>
                <w:sz w:val="18"/>
              </w:rPr>
              <w:t xml:space="preserve"> 40</w:t>
            </w:r>
          </w:p>
        </w:tc>
      </w:tr>
      <w:tr>
        <w:trPr>
          <w:trHeight w:val="255"/>
        </w:trPr>
        <w:tc>
          <w:tcPr>
            <w:tcW w:w="5320" w:type="dxa"/>
            <w:tcBorders>
              <w:top w:val="nil"/>
              <w:left w:val="nil"/>
              <w:bottom w:val="nil"/>
              <w:right w:val="nil"/>
              <w:tl2br w:val="nil"/>
              <w:tr2bl w:val="nil"/>
            </w:tcBorders>
            <w:tcMar>
              <w:left w:w="60" w:type="dxa"/>
              <w:right w:w="60" w:type="dxa"/>
            </w:tcMar>
            <w:vAlign w:val="center"/>
          </w:tcPr>
          <w:p>
            <w:pPr>
              <w:pStyle w:val="DMETW36734BIPSCNA"/>
              <w:rPr>
                <w:rFonts w:ascii="Verdana" w:eastAsia="Verdana" w:hAnsi="Verdana" w:cs="Verdana"/>
                <w:i/>
                <w:noProof/>
                <w:color w:val="000000"/>
                <w:sz w:val="18"/>
              </w:rPr>
            </w:pPr>
            <w:r>
              <w:rPr>
                <w:rFonts w:ascii="Verdana" w:hAnsi="Verdana"/>
                <w:i/>
                <w:noProof/>
                <w:color w:val="000000"/>
                <w:sz w:val="18"/>
              </w:rPr>
              <w:t>Résultat de l’exécution budgétaire 2024 crédité aux États membres</w:t>
            </w:r>
          </w:p>
        </w:tc>
        <w:tc>
          <w:tcPr>
            <w:tcW w:w="4739" w:type="dxa"/>
            <w:tcBorders>
              <w:top w:val="nil"/>
              <w:left w:val="nil"/>
              <w:bottom w:val="nil"/>
              <w:right w:val="nil"/>
              <w:tl2br w:val="nil"/>
              <w:tr2bl w:val="nil"/>
            </w:tcBorders>
            <w:tcMar>
              <w:left w:w="60" w:type="dxa"/>
              <w:right w:w="60" w:type="dxa"/>
            </w:tcMar>
            <w:vAlign w:val="center"/>
          </w:tcPr>
          <w:p>
            <w:pPr>
              <w:pStyle w:val="DMETW36734BIPSCNA"/>
              <w:jc w:val="right"/>
              <w:rPr>
                <w:rFonts w:ascii="Verdana" w:eastAsia="Verdana" w:hAnsi="Verdana" w:cs="Verdana"/>
                <w:i/>
                <w:noProof/>
                <w:color w:val="000000"/>
                <w:sz w:val="18"/>
              </w:rPr>
            </w:pPr>
            <w:r>
              <w:rPr>
                <w:rFonts w:ascii="Verdana" w:hAnsi="Verdana"/>
                <w:i/>
                <w:noProof/>
                <w:color w:val="000000"/>
                <w:sz w:val="18"/>
              </w:rPr>
              <w:t>(1 348)</w:t>
            </w:r>
          </w:p>
        </w:tc>
        <w:tc>
          <w:tcPr>
            <w:tcW w:w="2095" w:type="dxa"/>
            <w:tcBorders>
              <w:top w:val="nil"/>
              <w:left w:val="nil"/>
              <w:bottom w:val="nil"/>
              <w:right w:val="nil"/>
              <w:tl2br w:val="nil"/>
              <w:tr2bl w:val="nil"/>
            </w:tcBorders>
            <w:tcMar>
              <w:left w:w="60" w:type="dxa"/>
              <w:right w:w="60" w:type="dxa"/>
            </w:tcMar>
            <w:vAlign w:val="center"/>
          </w:tcPr>
          <w:p>
            <w:pPr>
              <w:pStyle w:val="DMETW36734BIPSCNA"/>
              <w:jc w:val="right"/>
              <w:rPr>
                <w:rFonts w:ascii="Verdana" w:eastAsia="Verdana" w:hAnsi="Verdana" w:cs="Verdana"/>
                <w:i/>
                <w:noProof/>
                <w:color w:val="000000"/>
                <w:sz w:val="18"/>
              </w:rPr>
            </w:pPr>
            <w:r>
              <w:rPr>
                <w:rFonts w:ascii="Verdana" w:hAnsi="Verdana"/>
                <w:i/>
                <w:noProof/>
                <w:color w:val="000000"/>
                <w:sz w:val="18"/>
              </w:rPr>
              <w:t>-</w:t>
            </w:r>
          </w:p>
        </w:tc>
        <w:tc>
          <w:tcPr>
            <w:tcW w:w="2095" w:type="dxa"/>
            <w:tcBorders>
              <w:top w:val="nil"/>
              <w:left w:val="nil"/>
              <w:bottom w:val="nil"/>
              <w:right w:val="nil"/>
              <w:tl2br w:val="nil"/>
              <w:tr2bl w:val="nil"/>
            </w:tcBorders>
            <w:tcMar>
              <w:left w:w="60" w:type="dxa"/>
              <w:right w:w="60" w:type="dxa"/>
            </w:tcMar>
            <w:vAlign w:val="center"/>
          </w:tcPr>
          <w:p>
            <w:pPr>
              <w:pStyle w:val="DMETW36734BIPSCNA"/>
              <w:jc w:val="right"/>
              <w:rPr>
                <w:rFonts w:ascii="Verdana" w:eastAsia="Verdana" w:hAnsi="Verdana" w:cs="Verdana"/>
                <w:i/>
                <w:noProof/>
                <w:color w:val="000000"/>
                <w:sz w:val="18"/>
              </w:rPr>
            </w:pPr>
            <w:r>
              <w:rPr>
                <w:rFonts w:ascii="Verdana" w:hAnsi="Verdana"/>
                <w:i/>
                <w:noProof/>
                <w:color w:val="000000"/>
                <w:sz w:val="18"/>
              </w:rPr>
              <w:t>(1 348)</w:t>
            </w:r>
          </w:p>
        </w:tc>
      </w:tr>
      <w:tr>
        <w:trPr>
          <w:trHeight w:val="255"/>
        </w:trPr>
        <w:tc>
          <w:tcPr>
            <w:tcW w:w="5320" w:type="dxa"/>
            <w:tcBorders>
              <w:top w:val="nil"/>
              <w:left w:val="nil"/>
              <w:bottom w:val="nil"/>
              <w:right w:val="nil"/>
              <w:tl2br w:val="nil"/>
              <w:tr2bl w:val="nil"/>
            </w:tcBorders>
            <w:tcMar>
              <w:left w:w="60" w:type="dxa"/>
              <w:right w:w="60" w:type="dxa"/>
            </w:tcMar>
            <w:vAlign w:val="center"/>
          </w:tcPr>
          <w:p>
            <w:pPr>
              <w:pStyle w:val="DMETW36734BIPSCNA"/>
              <w:rPr>
                <w:rFonts w:ascii="Verdana" w:eastAsia="Verdana" w:hAnsi="Verdana" w:cs="Verdana"/>
                <w:i/>
                <w:noProof/>
                <w:color w:val="000000"/>
                <w:sz w:val="18"/>
              </w:rPr>
            </w:pPr>
            <w:r>
              <w:rPr>
                <w:rFonts w:ascii="Verdana" w:hAnsi="Verdana"/>
                <w:i/>
                <w:noProof/>
                <w:color w:val="000000"/>
                <w:sz w:val="18"/>
              </w:rPr>
              <w:t>Résultat économique de l’exercice</w:t>
            </w:r>
          </w:p>
        </w:tc>
        <w:tc>
          <w:tcPr>
            <w:tcW w:w="4739" w:type="dxa"/>
            <w:tcBorders>
              <w:top w:val="nil"/>
              <w:left w:val="nil"/>
              <w:bottom w:val="nil"/>
              <w:right w:val="nil"/>
              <w:tl2br w:val="nil"/>
              <w:tr2bl w:val="nil"/>
            </w:tcBorders>
            <w:tcMar>
              <w:left w:w="60" w:type="dxa"/>
              <w:right w:w="60" w:type="dxa"/>
            </w:tcMar>
            <w:vAlign w:val="center"/>
          </w:tcPr>
          <w:p>
            <w:pPr>
              <w:pStyle w:val="DMETW36734BIPSCNA"/>
              <w:jc w:val="right"/>
              <w:rPr>
                <w:rFonts w:ascii="Verdana" w:eastAsia="Verdana" w:hAnsi="Verdana" w:cs="Verdana"/>
                <w:i/>
                <w:noProof/>
                <w:color w:val="000000"/>
                <w:sz w:val="18"/>
              </w:rPr>
            </w:pPr>
            <w:r>
              <w:rPr>
                <w:rFonts w:ascii="Verdana" w:hAnsi="Verdana"/>
                <w:i/>
                <w:noProof/>
                <w:color w:val="000000"/>
                <w:sz w:val="18"/>
              </w:rPr>
              <w:t>(54 639)</w:t>
            </w:r>
          </w:p>
        </w:tc>
        <w:tc>
          <w:tcPr>
            <w:tcW w:w="2095" w:type="dxa"/>
            <w:tcBorders>
              <w:top w:val="nil"/>
              <w:left w:val="nil"/>
              <w:bottom w:val="nil"/>
              <w:right w:val="nil"/>
              <w:tl2br w:val="nil"/>
              <w:tr2bl w:val="nil"/>
            </w:tcBorders>
            <w:tcMar>
              <w:left w:w="60" w:type="dxa"/>
              <w:right w:w="60" w:type="dxa"/>
            </w:tcMar>
            <w:vAlign w:val="center"/>
          </w:tcPr>
          <w:p>
            <w:pPr>
              <w:pStyle w:val="DMETW36734BIPSCNA"/>
              <w:jc w:val="right"/>
              <w:rPr>
                <w:rFonts w:ascii="Verdana" w:eastAsia="Verdana" w:hAnsi="Verdana" w:cs="Verdana"/>
                <w:i/>
                <w:noProof/>
                <w:color w:val="000000"/>
                <w:sz w:val="18"/>
              </w:rPr>
            </w:pPr>
            <w:r>
              <w:rPr>
                <w:rFonts w:ascii="Verdana" w:hAnsi="Verdana"/>
                <w:i/>
                <w:noProof/>
                <w:color w:val="000000"/>
                <w:sz w:val="18"/>
              </w:rPr>
              <w:t>-</w:t>
            </w:r>
          </w:p>
        </w:tc>
        <w:tc>
          <w:tcPr>
            <w:tcW w:w="2095" w:type="dxa"/>
            <w:tcBorders>
              <w:top w:val="nil"/>
              <w:left w:val="nil"/>
              <w:bottom w:val="nil"/>
              <w:right w:val="nil"/>
              <w:tl2br w:val="nil"/>
              <w:tr2bl w:val="nil"/>
            </w:tcBorders>
            <w:tcMar>
              <w:left w:w="60" w:type="dxa"/>
              <w:right w:w="60" w:type="dxa"/>
            </w:tcMar>
            <w:vAlign w:val="center"/>
          </w:tcPr>
          <w:p>
            <w:pPr>
              <w:pStyle w:val="DMETW36734BIPSCNA"/>
              <w:jc w:val="right"/>
              <w:rPr>
                <w:rFonts w:ascii="Verdana" w:eastAsia="Verdana" w:hAnsi="Verdana" w:cs="Verdana"/>
                <w:i/>
                <w:noProof/>
                <w:color w:val="000000"/>
                <w:sz w:val="18"/>
              </w:rPr>
            </w:pPr>
            <w:r>
              <w:rPr>
                <w:rFonts w:ascii="Verdana" w:hAnsi="Verdana"/>
                <w:i/>
                <w:noProof/>
                <w:color w:val="000000"/>
                <w:sz w:val="18"/>
              </w:rPr>
              <w:t>(54 639)</w:t>
            </w:r>
          </w:p>
        </w:tc>
      </w:tr>
      <w:tr>
        <w:trPr>
          <w:trHeight w:val="255"/>
        </w:trPr>
        <w:tc>
          <w:tcPr>
            <w:tcW w:w="5320" w:type="dxa"/>
            <w:tcBorders>
              <w:top w:val="nil"/>
              <w:left w:val="nil"/>
              <w:bottom w:val="nil"/>
              <w:right w:val="nil"/>
              <w:tl2br w:val="nil"/>
              <w:tr2bl w:val="nil"/>
            </w:tcBorders>
            <w:shd w:val="solid" w:color="CCE1EA" w:fill="FFFFFF"/>
            <w:tcMar>
              <w:left w:w="60" w:type="dxa"/>
              <w:right w:w="60" w:type="dxa"/>
            </w:tcMar>
            <w:vAlign w:val="center"/>
          </w:tcPr>
          <w:p>
            <w:pPr>
              <w:pStyle w:val="DMETW36734BIPSCNA"/>
              <w:rPr>
                <w:rFonts w:ascii="Verdana" w:eastAsia="Verdana" w:hAnsi="Verdana" w:cs="Verdana"/>
                <w:b/>
                <w:noProof/>
                <w:color w:val="000000"/>
                <w:sz w:val="18"/>
              </w:rPr>
            </w:pPr>
            <w:r>
              <w:rPr>
                <w:rFonts w:ascii="Verdana" w:hAnsi="Verdana"/>
                <w:b/>
                <w:noProof/>
                <w:color w:val="000000"/>
                <w:sz w:val="18"/>
              </w:rPr>
              <w:t>SOLDE AU 31.12.2025</w:t>
            </w:r>
          </w:p>
        </w:tc>
        <w:tc>
          <w:tcPr>
            <w:tcW w:w="4739" w:type="dxa"/>
            <w:tcBorders>
              <w:top w:val="nil"/>
              <w:left w:val="nil"/>
              <w:bottom w:val="nil"/>
              <w:right w:val="nil"/>
              <w:tl2br w:val="nil"/>
              <w:tr2bl w:val="nil"/>
            </w:tcBorders>
            <w:shd w:val="solid" w:color="CCE1EA" w:fill="FFFFFF"/>
            <w:tcMar>
              <w:left w:w="60" w:type="dxa"/>
              <w:right w:w="60" w:type="dxa"/>
            </w:tcMar>
            <w:vAlign w:val="center"/>
          </w:tcPr>
          <w:p>
            <w:pPr>
              <w:pStyle w:val="DMETW36734BIPSCNA"/>
              <w:jc w:val="right"/>
              <w:rPr>
                <w:rFonts w:ascii="Verdana" w:eastAsia="Verdana" w:hAnsi="Verdana" w:cs="Verdana"/>
                <w:b/>
                <w:noProof/>
                <w:color w:val="000000"/>
                <w:sz w:val="18"/>
              </w:rPr>
            </w:pPr>
            <w:r>
              <w:rPr>
                <w:rFonts w:ascii="Verdana" w:hAnsi="Verdana"/>
                <w:b/>
                <w:noProof/>
                <w:color w:val="000000"/>
                <w:sz w:val="18"/>
              </w:rPr>
              <w:t>(360 108)</w:t>
            </w:r>
          </w:p>
        </w:tc>
        <w:tc>
          <w:tcPr>
            <w:tcW w:w="2095" w:type="dxa"/>
            <w:tcBorders>
              <w:top w:val="nil"/>
              <w:left w:val="nil"/>
              <w:bottom w:val="nil"/>
              <w:right w:val="nil"/>
              <w:tl2br w:val="nil"/>
              <w:tr2bl w:val="nil"/>
            </w:tcBorders>
            <w:shd w:val="solid" w:color="CCE1EA" w:fill="FFFFFF"/>
            <w:tcMar>
              <w:left w:w="60" w:type="dxa"/>
              <w:right w:w="60" w:type="dxa"/>
            </w:tcMar>
            <w:vAlign w:val="center"/>
          </w:tcPr>
          <w:p>
            <w:pPr>
              <w:pStyle w:val="DMETW36734BIPSCNA"/>
              <w:jc w:val="right"/>
              <w:rPr>
                <w:rFonts w:ascii="Verdana" w:eastAsia="Verdana" w:hAnsi="Verdana" w:cs="Verdana"/>
                <w:b/>
                <w:noProof/>
                <w:color w:val="000000"/>
                <w:sz w:val="18"/>
              </w:rPr>
            </w:pPr>
            <w:r>
              <w:rPr>
                <w:rFonts w:ascii="Verdana" w:hAnsi="Verdana"/>
                <w:b/>
                <w:noProof/>
                <w:color w:val="000000"/>
                <w:sz w:val="18"/>
              </w:rPr>
              <w:t xml:space="preserve"> 941</w:t>
            </w:r>
          </w:p>
        </w:tc>
        <w:tc>
          <w:tcPr>
            <w:tcW w:w="2095" w:type="dxa"/>
            <w:tcBorders>
              <w:top w:val="nil"/>
              <w:left w:val="nil"/>
              <w:bottom w:val="nil"/>
              <w:right w:val="nil"/>
              <w:tl2br w:val="nil"/>
              <w:tr2bl w:val="nil"/>
            </w:tcBorders>
            <w:shd w:val="solid" w:color="CCE1EA" w:fill="FFFFFF"/>
            <w:tcMar>
              <w:left w:w="60" w:type="dxa"/>
              <w:right w:w="60" w:type="dxa"/>
            </w:tcMar>
            <w:vAlign w:val="center"/>
          </w:tcPr>
          <w:p>
            <w:pPr>
              <w:pStyle w:val="DMETW36734BIPSCNA"/>
              <w:jc w:val="right"/>
              <w:rPr>
                <w:rFonts w:ascii="Verdana" w:eastAsia="Verdana" w:hAnsi="Verdana" w:cs="Verdana"/>
                <w:b/>
                <w:noProof/>
                <w:color w:val="000000"/>
                <w:sz w:val="18"/>
              </w:rPr>
            </w:pPr>
            <w:r>
              <w:rPr>
                <w:rFonts w:ascii="Verdana" w:hAnsi="Verdana"/>
                <w:b/>
                <w:noProof/>
                <w:color w:val="000000"/>
                <w:sz w:val="18"/>
              </w:rPr>
              <w:t>(359 167)</w:t>
            </w:r>
          </w:p>
        </w:tc>
      </w:tr>
    </w:tbl>
    <w:p>
      <w:pPr>
        <w:pStyle w:val="HEADERTITLE1"/>
        <w:spacing w:after="0"/>
        <w:rPr>
          <w:lang w:bidi="en-GB"/>
        </w:rPr>
      </w:pPr>
    </w:p>
    <w:p>
      <w:pPr>
        <w:pStyle w:val="DGTextstand-alone"/>
      </w:pPr>
      <w:r>
        <w:t xml:space="preserve"> </w:t>
      </w:r>
    </w:p>
    <w:p>
      <w:pPr>
        <w:pStyle w:val="DGTextstand-alone"/>
      </w:pPr>
      <w:r>
        <w:t xml:space="preserve"> </w:t>
      </w:r>
    </w:p>
    <w:bookmarkEnd w:id="68"/>
    <w:p>
      <w:pPr>
        <w:pStyle w:val="DGTextstand-alone"/>
        <w:sectPr>
          <w:headerReference w:type="even" r:id="rId57"/>
          <w:headerReference w:type="default" r:id="rId58"/>
          <w:footerReference w:type="even" r:id="rId59"/>
          <w:footerReference w:type="default" r:id="rId60"/>
          <w:headerReference w:type="first" r:id="rId61"/>
          <w:footerReference w:type="first" r:id="rId62"/>
          <w:pgSz w:w="16838" w:h="11906" w:orient="landscape"/>
          <w:pgMar w:top="1134" w:right="1134" w:bottom="1134" w:left="1134" w:header="708" w:footer="708" w:gutter="0"/>
          <w:cols w:space="708"/>
          <w:docGrid w:linePitch="360"/>
        </w:sectPr>
      </w:pPr>
    </w:p>
    <w:p>
      <w:pPr>
        <w:pStyle w:val="DGTextstand-alone"/>
      </w:pPr>
      <w:bookmarkStart w:id="70" w:name="_DMBM_36686"/>
    </w:p>
    <w:p>
      <w:pPr>
        <w:pStyle w:val="DGTextstand-alone"/>
        <w:rPr>
          <w:lang w:val="fr-BE"/>
        </w:rPr>
      </w:pPr>
    </w:p>
    <w:p>
      <w:pPr>
        <w:pStyle w:val="DGTextstand-alone"/>
        <w:rPr>
          <w:lang w:val="fr-BE"/>
        </w:rPr>
      </w:pPr>
    </w:p>
    <w:p>
      <w:pPr>
        <w:pStyle w:val="DGTextstand-alone"/>
        <w:rPr>
          <w:lang w:val="fr-BE"/>
        </w:rPr>
      </w:pPr>
    </w:p>
    <w:p>
      <w:pPr>
        <w:pStyle w:val="DGTextstand-alone"/>
        <w:rPr>
          <w:lang w:val="fr-BE"/>
        </w:rPr>
      </w:pPr>
    </w:p>
    <w:p>
      <w:pPr>
        <w:pStyle w:val="DGTextstand-alone"/>
        <w:rPr>
          <w:lang w:val="fr-BE"/>
        </w:rPr>
      </w:pPr>
    </w:p>
    <w:p>
      <w:pPr>
        <w:pStyle w:val="DGTextstand-alone"/>
        <w:rPr>
          <w:lang w:val="fr-BE"/>
        </w:rPr>
      </w:pPr>
    </w:p>
    <w:p>
      <w:pPr>
        <w:pStyle w:val="DGTextstand-alone"/>
        <w:rPr>
          <w:lang w:val="fr-BE"/>
        </w:rPr>
      </w:pPr>
    </w:p>
    <w:p>
      <w:pPr>
        <w:pStyle w:val="DGTextstand-alone"/>
        <w:rPr>
          <w:lang w:val="fr-BE"/>
        </w:rPr>
      </w:pPr>
    </w:p>
    <w:p>
      <w:pPr>
        <w:pStyle w:val="DGTextstand-alone"/>
        <w:rPr>
          <w:lang w:val="fr-BE"/>
        </w:rPr>
      </w:pPr>
    </w:p>
    <w:p>
      <w:pPr>
        <w:pStyle w:val="DGTextstand-alone"/>
        <w:rPr>
          <w:lang w:val="fr-BE"/>
        </w:rPr>
      </w:pPr>
    </w:p>
    <w:p>
      <w:pPr>
        <w:pStyle w:val="DGTextstand-alone"/>
        <w:rPr>
          <w:lang w:val="fr-BE"/>
        </w:rPr>
      </w:pPr>
    </w:p>
    <w:p>
      <w:pPr>
        <w:pStyle w:val="DGTextstand-alone"/>
        <w:rPr>
          <w:lang w:val="fr-BE"/>
        </w:rPr>
      </w:pPr>
    </w:p>
    <w:p>
      <w:pPr>
        <w:pStyle w:val="DGTextstand-alone"/>
        <w:rPr>
          <w:lang w:val="fr-BE"/>
        </w:rPr>
      </w:pPr>
    </w:p>
    <w:p>
      <w:pPr>
        <w:pStyle w:val="HEADERTITLE1"/>
        <w:rPr>
          <w:rFonts w:eastAsia="Calibri"/>
          <w:sz w:val="40"/>
          <w:szCs w:val="40"/>
        </w:rPr>
      </w:pPr>
      <w:bookmarkStart w:id="71" w:name="_Toc237348411"/>
      <w:bookmarkStart w:id="72" w:name="_Toc237350932"/>
      <w:r>
        <w:rPr>
          <w:sz w:val="40"/>
        </w:rPr>
        <w:t>ANNEXES AUX ÉTATS FINANCIERS</w:t>
      </w:r>
      <w:bookmarkEnd w:id="71"/>
      <w:bookmarkEnd w:id="72"/>
    </w:p>
    <w:p>
      <w:pPr>
        <w:pStyle w:val="DGTextstand-alone"/>
        <w:rPr>
          <w:lang w:val="en-IE"/>
        </w:rPr>
      </w:pPr>
    </w:p>
    <w:p>
      <w:pPr>
        <w:pStyle w:val="DGTextstand-alone"/>
        <w:rPr>
          <w:lang w:val="en-IE"/>
        </w:rPr>
      </w:pPr>
    </w:p>
    <w:p>
      <w:pPr>
        <w:pStyle w:val="DGTextstand-alone"/>
        <w:rPr>
          <w:lang w:val="en-IE"/>
        </w:rPr>
      </w:pPr>
    </w:p>
    <w:p>
      <w:pPr>
        <w:pStyle w:val="TOPHEADERNOTE"/>
        <w:jc w:val="both"/>
        <w:rPr>
          <w:noProof/>
        </w:rPr>
      </w:pPr>
    </w:p>
    <w:p>
      <w:pPr>
        <w:pStyle w:val="TOPHEADERNOTE"/>
        <w:jc w:val="both"/>
        <w:rPr>
          <w:noProof/>
        </w:rPr>
      </w:pPr>
    </w:p>
    <w:p>
      <w:pPr>
        <w:pStyle w:val="TOPHEADERNOTE"/>
        <w:jc w:val="both"/>
        <w:rPr>
          <w:noProof/>
        </w:rPr>
      </w:pPr>
    </w:p>
    <w:p>
      <w:pPr>
        <w:pStyle w:val="TOPHEADERNOTE"/>
        <w:jc w:val="both"/>
        <w:rPr>
          <w:noProof/>
        </w:rPr>
      </w:pPr>
    </w:p>
    <w:p>
      <w:pPr>
        <w:pStyle w:val="TOPHEADERNOTE"/>
        <w:jc w:val="both"/>
        <w:rPr>
          <w:noProof/>
        </w:rPr>
      </w:pPr>
    </w:p>
    <w:p>
      <w:pPr>
        <w:pStyle w:val="TOPHEADERNOTE"/>
        <w:jc w:val="both"/>
        <w:rPr>
          <w:noProof/>
        </w:rPr>
      </w:pPr>
    </w:p>
    <w:p>
      <w:pPr>
        <w:pStyle w:val="TOPHEADERNOTE"/>
        <w:jc w:val="both"/>
        <w:rPr>
          <w:noProof/>
        </w:rPr>
      </w:pPr>
    </w:p>
    <w:p>
      <w:pPr>
        <w:pStyle w:val="TOPHEADERNOTE"/>
        <w:jc w:val="both"/>
        <w:rPr>
          <w:noProof/>
        </w:rPr>
      </w:pPr>
    </w:p>
    <w:p>
      <w:pPr>
        <w:pStyle w:val="TOPHEADERNOTE"/>
        <w:jc w:val="both"/>
        <w:rPr>
          <w:noProof/>
        </w:rPr>
      </w:pPr>
    </w:p>
    <w:p>
      <w:pPr>
        <w:pStyle w:val="TOPHEADERNOTE"/>
        <w:jc w:val="both"/>
        <w:rPr>
          <w:noProof/>
        </w:rPr>
      </w:pPr>
    </w:p>
    <w:p>
      <w:pPr>
        <w:pStyle w:val="TOPHEADERNOTE"/>
        <w:jc w:val="both"/>
        <w:rPr>
          <w:noProof/>
        </w:rPr>
      </w:pPr>
    </w:p>
    <w:p>
      <w:pPr>
        <w:pStyle w:val="TOPHEADERNOTE"/>
        <w:jc w:val="both"/>
        <w:rPr>
          <w:noProof/>
        </w:rPr>
      </w:pPr>
    </w:p>
    <w:p>
      <w:pPr>
        <w:pStyle w:val="TOPHEADERNOTE"/>
        <w:jc w:val="both"/>
        <w:rPr>
          <w:noProof/>
        </w:rPr>
      </w:pPr>
    </w:p>
    <w:p>
      <w:pPr>
        <w:pStyle w:val="TOPHEADERNOTE"/>
        <w:jc w:val="both"/>
        <w:rPr>
          <w:noProof/>
        </w:rPr>
      </w:pPr>
    </w:p>
    <w:p>
      <w:pPr>
        <w:pStyle w:val="TOPHEADERNOTE"/>
        <w:jc w:val="both"/>
        <w:rPr>
          <w:noProof/>
        </w:rPr>
      </w:pPr>
    </w:p>
    <w:p>
      <w:pPr>
        <w:pStyle w:val="TOPHEADERNOTE"/>
        <w:jc w:val="both"/>
        <w:rPr>
          <w:noProof/>
        </w:rPr>
      </w:pPr>
    </w:p>
    <w:p>
      <w:pPr>
        <w:pStyle w:val="TOPHEADERNOTE"/>
        <w:jc w:val="both"/>
        <w:rPr>
          <w:noProof/>
        </w:rPr>
      </w:pPr>
    </w:p>
    <w:p>
      <w:pPr>
        <w:pStyle w:val="TOPHEADERNOTE"/>
        <w:jc w:val="both"/>
        <w:rPr>
          <w:noProof/>
        </w:rPr>
      </w:pPr>
    </w:p>
    <w:p>
      <w:pPr>
        <w:pStyle w:val="TOPHEADERNOTE"/>
        <w:jc w:val="both"/>
        <w:rPr>
          <w:noProof/>
        </w:rPr>
      </w:pPr>
    </w:p>
    <w:p>
      <w:pPr>
        <w:pStyle w:val="TOPHEADERNOTE"/>
        <w:jc w:val="both"/>
        <w:rPr>
          <w:noProof/>
        </w:rPr>
      </w:pPr>
    </w:p>
    <w:p>
      <w:pPr>
        <w:pStyle w:val="TOPHEADERNOTE"/>
        <w:jc w:val="both"/>
        <w:rPr>
          <w:noProof/>
        </w:rPr>
      </w:pPr>
    </w:p>
    <w:p>
      <w:pPr>
        <w:pStyle w:val="TOPHEADERNOTE"/>
        <w:jc w:val="both"/>
        <w:rPr>
          <w:noProof/>
        </w:rPr>
      </w:pPr>
      <w:r>
        <w:rPr>
          <w:noProof/>
        </w:rPr>
        <w:t>Il convient de noter que, dans les tableaux suivants, les montants concernant le Royaume-Uni pour les CFP jusqu’à la fin de 2020 figurent toujours dans la rubrique «États membres». En effet, bien que le Royaume-Uni se soit retiré de l’Union le 1</w:t>
      </w:r>
      <w:r>
        <w:rPr>
          <w:noProof/>
          <w:vertAlign w:val="superscript"/>
        </w:rPr>
        <w:t>er</w:t>
      </w:r>
      <w:r>
        <w:rPr>
          <w:noProof/>
        </w:rPr>
        <w:t> février 2020, conformément à l’accord de retrait, il a continué à entretenir avec l’Union une relation financière équivalente à celle d’un État membre pour ces périodes.</w:t>
      </w:r>
    </w:p>
    <w:bookmarkEnd w:id="70"/>
    <w:p>
      <w:pPr>
        <w:pStyle w:val="TOPHEADERNOTE"/>
        <w:jc w:val="both"/>
        <w:rPr>
          <w:noProof/>
        </w:rPr>
        <w:sectPr>
          <w:headerReference w:type="default" r:id="rId63"/>
          <w:footerReference w:type="default" r:id="rId64"/>
          <w:pgSz w:w="11906" w:h="16838"/>
          <w:pgMar w:top="1134" w:right="1134" w:bottom="1134" w:left="1134" w:header="709" w:footer="709" w:gutter="0"/>
          <w:cols w:space="708"/>
          <w:docGrid w:linePitch="360"/>
        </w:sectPr>
      </w:pPr>
    </w:p>
    <w:p>
      <w:pPr>
        <w:pStyle w:val="HEADER1NOTES"/>
        <w:tabs>
          <w:tab w:val="clear" w:pos="907"/>
        </w:tabs>
        <w:rPr>
          <w:noProof/>
        </w:rPr>
      </w:pPr>
      <w:bookmarkStart w:id="73" w:name="_Toc237350933"/>
      <w:bookmarkStart w:id="74" w:name="_DMBM_36782"/>
      <w:r>
        <w:rPr>
          <w:noProof/>
        </w:rPr>
        <w:lastRenderedPageBreak/>
        <w:t>PRINCIPES COMPTABLES ESSENTIELS</w:t>
      </w:r>
      <w:bookmarkEnd w:id="73"/>
    </w:p>
    <w:p>
      <w:pPr>
        <w:pStyle w:val="HEADER2NOTES"/>
        <w:jc w:val="both"/>
        <w:rPr>
          <w:noProof/>
        </w:rPr>
      </w:pPr>
      <w:r>
        <w:rPr>
          <w:noProof/>
        </w:rPr>
        <w:t>BASE LÉGALE ET RÈGLES COMPTABLES</w:t>
      </w:r>
    </w:p>
    <w:p>
      <w:pPr>
        <w:pStyle w:val="DGTextstand-alone"/>
      </w:pPr>
      <w:r>
        <w:t>Les comptes de l’UE sont tenus conformément au règlement (UE, Euratom) 2024/2509 du Parlement européen et du Conseil du 23 septembre 2024 relatif aux règles financières applicables au budget général de l’Union (refonte) [JO L, 2024/2509, 26.9.2024, ci-après désigné le «règlement financier» (RF)].</w:t>
      </w:r>
    </w:p>
    <w:p>
      <w:pPr>
        <w:pStyle w:val="DGTextstand-alone"/>
      </w:pPr>
      <w:r>
        <w:t>En vertu de l’article 80 du règlement financier, l’Union européenne prépare ses états financiers selon les règles de comptabilité d’exercice inspirées des normes comptables admises au niveau international pour le secteur public (IPSAS). Ces règles comptables, arrêtées par le comptable de la Commission, doivent être appliquées par l’ensemble des institutions et organes de l’UE relevant du périmètre de consolidation afin d’assurer la cohérence interne des comptes consolidés de l’UE.</w:t>
      </w:r>
    </w:p>
    <w:p>
      <w:pPr>
        <w:pStyle w:val="HEADER5"/>
        <w:spacing w:before="240"/>
        <w:rPr>
          <w:noProof/>
        </w:rPr>
      </w:pPr>
      <w:r>
        <w:rPr>
          <w:noProof/>
        </w:rPr>
        <w:t>Application des règles comptables nouvelles et modifiées de l’Union européenne</w:t>
      </w:r>
    </w:p>
    <w:p>
      <w:pPr>
        <w:pStyle w:val="DGTextstand-alone"/>
      </w:pPr>
      <w:r>
        <w:rPr>
          <w:u w:val="single"/>
        </w:rPr>
        <w:t>Nouvelle version des règles comptables de l’UE en vigueur pour les périodes annuelles ouvertes à partir du 1</w:t>
      </w:r>
      <w:r>
        <w:rPr>
          <w:u w:val="single"/>
          <w:vertAlign w:val="superscript"/>
        </w:rPr>
        <w:t>er</w:t>
      </w:r>
      <w:r>
        <w:rPr>
          <w:u w:val="single"/>
        </w:rPr>
        <w:t> janvier 2025</w:t>
      </w:r>
    </w:p>
    <w:p>
      <w:pPr>
        <w:pStyle w:val="DGTextstand-alone"/>
        <w:spacing w:before="0"/>
        <w:rPr>
          <w:iCs/>
        </w:rPr>
      </w:pPr>
      <w:r>
        <w:t>Règle comptable nº 1 de l’UE «États financiers»</w:t>
      </w:r>
    </w:p>
    <w:p>
      <w:pPr>
        <w:pStyle w:val="DGTextstand-alone"/>
        <w:spacing w:before="0"/>
        <w:rPr>
          <w:iCs/>
        </w:rPr>
      </w:pPr>
      <w:r>
        <w:t>Le 12 décembre 2025, le comptable de la Commission européenne a adopté une modification ciblée de la règle comptable nº 1 de l’UE «Financial Statements» (États financiers), qui est en vigueur pour les périodes de référence ouvertes à partir du 1</w:t>
      </w:r>
      <w:r>
        <w:rPr>
          <w:vertAlign w:val="superscript"/>
        </w:rPr>
        <w:t>er</w:t>
      </w:r>
      <w:r>
        <w:t> janvier 2025. La modification a introduit une approche fondée sur des principes en ce qui concerne la définition des secteurs à présenter dans le rapport sectoriel, qui est une composante obligatoire des comptes annuels consolidés de l’UE et des comptes annuels individuels de la Commission européenne. Dans le cadre de la précédente règle comptable nº 1 de l’UE, la définition des secteurs était liée aux catégories du cadre financier pluriannuel (CFP) de l’UE. La modification ciblée a supprimé ce lien et définit les secteurs de manière générique conformément à l’IPSAS 18 «Information sectorielle». À la suite de l’adoption de la modification ciblée, la structure du rapport sectoriel a été révisée afin de se concentrer sur la destination des fonds plutôt que sur les origines des fonds (voir note </w:t>
      </w:r>
      <w:r>
        <w:rPr>
          <w:b/>
        </w:rPr>
        <w:t>3.17</w:t>
      </w:r>
      <w:r>
        <w:t>).</w:t>
      </w:r>
    </w:p>
    <w:p>
      <w:pPr>
        <w:pStyle w:val="DGTextstand-alone"/>
        <w:rPr>
          <w:u w:val="single"/>
        </w:rPr>
      </w:pPr>
      <w:r>
        <w:rPr>
          <w:u w:val="single"/>
        </w:rPr>
        <w:t>Nouvelles règles comptables de l’UE adoptées, mais qui n’étaient pas encore en vigueur au 31 décembre 2025</w:t>
      </w:r>
    </w:p>
    <w:p>
      <w:pPr>
        <w:pStyle w:val="DGTextstand-alone"/>
      </w:pPr>
      <w:r>
        <w:t>Règle comptable nº 8 de l’UE «Contrats de location»</w:t>
      </w:r>
    </w:p>
    <w:p>
      <w:pPr>
        <w:pStyle w:val="DGTextstand-alone"/>
      </w:pPr>
      <w:r>
        <w:t>Le 15 avril 2025, le comptable de la Commission européenne a adopté la version révisée de la règle comptable nº 8 de l’UE «Leases» (Contrats de location), qui est en vigueur pour les périodes de référence ouvertes à partir du 1</w:t>
      </w:r>
      <w:r>
        <w:rPr>
          <w:vertAlign w:val="superscript"/>
        </w:rPr>
        <w:t>er</w:t>
      </w:r>
      <w:r>
        <w:t> janvier 2027. La version révisée de la règle comptable nº 8 de l’UE a été mise à jour conformément à l’IPSAS 43 «Contrats de location» (y compris la modification «Contrats de location à des conditions préférentielles et autres accords conférant des droits au titre d’actifs»). Le principal changement par rapport à l’actuelle règle comptable nº 8 de l’UE est l’introduction d’un modèle de comptabilisation et d’évaluation du droit d’utilisation, qui impose aux preneurs de comptabiliser au bilan tous les contrats de location, y compris les contrats de location assortis de conditions préférentielles, à moins que ne s’applique l’exemption pour contrats de courte durée ou actifs de faible valeur. La distinction actuelle entre contrats de location simple ou contrats de location-financement — ces derniers étant les seuls à être comptabilisés au bilan — ne sera plus applicable. En ce qui concerne les bailleurs, la version révisée de la règle comptable nº 8 de l’UE reprend en grande partie les exigences comptables existantes, en y apportant des orientations et des clarifications supplémentaires. Par conséquent, l’application initiale de la version révisée de la règle comptable nº 8 de l’UE devrait se traduire par la comptabilisation au bilan d’un montant considérable d’anciens contrats de location simple, avec des augmentations correspondantes des actifs comptabilisés au titre du droit d’utilisation et des passifs liés aux contrats de location. L’incidence de la révision de la règle comptable nº 8 de l’UE, y compris sur les contrats de location assortis de conditions préférentielles et sur d’autres arrangements pertinents, continuera d’être évaluée au cours de l’année civile 2026 précédant la date d’entrée en vigueur du 1</w:t>
      </w:r>
      <w:r>
        <w:rPr>
          <w:vertAlign w:val="superscript"/>
        </w:rPr>
        <w:t>er</w:t>
      </w:r>
      <w:r>
        <w:t> janvier 2027.</w:t>
      </w:r>
    </w:p>
    <w:p>
      <w:pPr>
        <w:pStyle w:val="DGTextstand-alone"/>
        <w:keepNext/>
      </w:pPr>
      <w:r>
        <w:lastRenderedPageBreak/>
        <w:t>Règle comptable nº 1 de l’UE «États financiers»</w:t>
      </w:r>
    </w:p>
    <w:p>
      <w:pPr>
        <w:pStyle w:val="DGTextstand-alone"/>
      </w:pPr>
      <w:r>
        <w:t>Le 15 avril 2025, le comptable de la Commission européenne a adopté la version modifiée de la règle comptable nº 1 de l’UE «Financial Statements» (États financiers), qui est en vigueur pour les périodes de référence ouvertes à partir du 1</w:t>
      </w:r>
      <w:r>
        <w:rPr>
          <w:vertAlign w:val="superscript"/>
        </w:rPr>
        <w:t>er</w:t>
      </w:r>
      <w:r>
        <w:t> janvier 2027. L’objectif de la modification est d’assurer une classification cohérente de tous les emprunts dans le cadre des activités de financement. En vertu de l’actuelle règle comptable nº 1 de l’UE, les emprunts liés à des contrats de location, à l’acquisition d’immobilisations corporelles et à des opérations de type «back-to-back» sont classés dans les activités d’exploitation. Seuls les emprunts liés à l’approche unifiée en matière de financement (voir note </w:t>
      </w:r>
      <w:r>
        <w:rPr>
          <w:b/>
        </w:rPr>
        <w:t>2.11.1.1</w:t>
      </w:r>
      <w:r>
        <w:t>) sont classés dans les activités de financement. En vertu de la version révisée de la règle comptable nº 1 de l’UE, les activités de financement comprendront toutes les activités entraînant une modification de la taille et de la composition des emprunts, sous réserve des exceptions susmentionnées. Par conséquent, l’application initiale de la version révisée de la règle comptable nº 1 de l’UE devrait entraîner un transfert des flux de trésorerie provenant des activités d’exploitation vers les flux de trésorerie provenant des activités de financement. L’incidence de la révision de la règle comptable nº 1 de l’UE continuera d’être évaluée au cours de l’année civile 2026, avant son entrée en vigueur le 1</w:t>
      </w:r>
      <w:r>
        <w:rPr>
          <w:vertAlign w:val="superscript"/>
        </w:rPr>
        <w:t>er</w:t>
      </w:r>
      <w:r>
        <w:t> janvier 2027.</w:t>
      </w:r>
    </w:p>
    <w:p>
      <w:pPr>
        <w:pStyle w:val="HEADER2NOTES"/>
        <w:keepNext/>
        <w:jc w:val="both"/>
        <w:rPr>
          <w:noProof/>
        </w:rPr>
      </w:pPr>
      <w:r>
        <w:rPr>
          <w:noProof/>
        </w:rPr>
        <w:t>PRINCIPES COMPTABLES</w:t>
      </w:r>
    </w:p>
    <w:p>
      <w:pPr>
        <w:pStyle w:val="DGTextstand-alone"/>
      </w:pPr>
      <w:r>
        <w:t>Les états financiers ont pour objectif de fournir des informations sur la situation financière, le résultat et les flux de trésorerie d’une entité utiles à tout un éventail d’utilisateurs. Pour l’UE en tant que secteur public, les objectifs sont plus spécifiquement de procurer des informations servant à la prise de décisions et de permettre à l’entité de rendre des comptes quant à l’utilisation des ressources placées sous sa responsabilité. C’est dans ce cadre qu’est établi le présent document.</w:t>
      </w:r>
    </w:p>
    <w:p>
      <w:pPr>
        <w:pStyle w:val="DGTextstand-alone"/>
      </w:pPr>
      <w:r>
        <w:t>Les considérations générales (principes comptables) à suivre lors de l’élaboration des états financiers sont exposées dans la règle comptable nº 1 de l’UE «Financial Statements» (États financiers) et sont identiques à celles décrites dans IPSAS 1: image fidèle, comptabilité d’exercice, continuité d’activité, cohérence de la présentation, importance relative, regroupement, compensation et comparabilité des informations.</w:t>
      </w:r>
    </w:p>
    <w:p>
      <w:pPr>
        <w:pStyle w:val="DGTextstand-alone"/>
      </w:pPr>
      <w:r>
        <w:t>Les caractéristiques qualitatives des rapports financiers sont les suivantes: pertinence, image fidèle (fiabilité), intelligibilité, diffusion en temps opportun, comparabilité et vérifiabilité.</w:t>
      </w:r>
    </w:p>
    <w:p>
      <w:pPr>
        <w:pStyle w:val="HEADER2NOTES"/>
        <w:jc w:val="both"/>
        <w:rPr>
          <w:noProof/>
        </w:rPr>
      </w:pPr>
      <w:r>
        <w:rPr>
          <w:noProof/>
        </w:rPr>
        <w:t>CONSOLIDATION</w:t>
      </w:r>
    </w:p>
    <w:p>
      <w:pPr>
        <w:pStyle w:val="HEADER5"/>
        <w:rPr>
          <w:b/>
          <w:noProof/>
        </w:rPr>
      </w:pPr>
      <w:r>
        <w:rPr>
          <w:noProof/>
        </w:rPr>
        <w:t>Périmètre de consolidation</w:t>
      </w:r>
    </w:p>
    <w:p>
      <w:pPr>
        <w:pStyle w:val="DGTextstand-alone"/>
      </w:pPr>
      <w:r>
        <w:t>Les états financiers consolidés de l’UE englobent l’ensemble des entités contrôlées, partenariats et entités associées d’importance. La liste exhaustive des entités relevant du périmètre de consolidation, qui comprend désormais 54 entités contrôlées et une associée (nombre inchangé par rapport à 2024), se trouve à la note </w:t>
      </w:r>
      <w:r>
        <w:rPr>
          <w:b/>
        </w:rPr>
        <w:t>9</w:t>
      </w:r>
      <w:r>
        <w:t>. Parmi les entités contrôlées figurent les institutions de l’UE (dont la Commission, mais pas la Banque centrale européenne) et les agences de l’UE (sauf celles agissant dans le domaine de la politique étrangère et de sécurité commune). La Communauté européenne du charbon et de l’acier en liquidation (CECA en liq.) est également considérée comme une entité contrôlée. La seule entité associée à l’UE est le Fonds européen d’investissement (FEI).</w:t>
      </w:r>
    </w:p>
    <w:p>
      <w:pPr>
        <w:pStyle w:val="DGTextstand-alone"/>
      </w:pPr>
      <w:r>
        <w:t>Les entités qui relèvent du périmètre de consolidation mais qui ne sont pas significatives pour les états financiers consolidés de l’UE dans leur ensemble ne doivent être ni consolidées ni comptabilisées au moyen de la méthode de la mise en équivalence lorsque cela entraînerait une perte excessive de temps ou d’argent pour l’UE. Ces entités sont désignées sous le nom d’«entités mineures» et sont répertoriées séparément à la note </w:t>
      </w:r>
      <w:r>
        <w:rPr>
          <w:b/>
        </w:rPr>
        <w:t>9</w:t>
      </w:r>
      <w:r>
        <w:t>. En 2025, 11 entités ont été classées comme entités mineures (11 entités en 2024).</w:t>
      </w:r>
    </w:p>
    <w:p>
      <w:pPr>
        <w:pStyle w:val="HEADER5"/>
        <w:rPr>
          <w:b/>
          <w:noProof/>
        </w:rPr>
      </w:pPr>
      <w:r>
        <w:rPr>
          <w:noProof/>
        </w:rPr>
        <w:t>Entités contrôlées</w:t>
      </w:r>
    </w:p>
    <w:p>
      <w:pPr>
        <w:pStyle w:val="DGTextstand-alone"/>
        <w:spacing w:after="0"/>
      </w:pPr>
      <w:r>
        <w:t xml:space="preserve">Afin de déterminer le périmètre de consolidation, le concept du contrôle est appliqué. Les entités contrôlées sont des entités pour lesquelles l’Union européenne est confrontée ou peut prétendre à des avantages variables de son engagement et a la faculté de modifier la nature ou la quantité de ces avantages grâce au pouvoir dont elle dispose sur l’autre entité. Ce pouvoir doit être actuellement exerçable et porter sur les activités pertinentes de cette entité. Les entités contrôlées sont pleinement </w:t>
      </w:r>
      <w:r>
        <w:lastRenderedPageBreak/>
        <w:t>consolidées. La consolidation débute à la date du premier contrôle et s’achève au terme desdits contrôles.</w:t>
      </w:r>
    </w:p>
    <w:p>
      <w:pPr>
        <w:pStyle w:val="DGTextstand-alone"/>
      </w:pPr>
      <w:r>
        <w:t>Les indicateurs de contrôle les plus communs au sein de l’UE sont: la création de l’entité par des traités constitutifs ou actes de droit dérivé, le financement de l’entité par le budget de l’UE, l’existence de droits de vote au sein des organes directeurs, la vérification des comptes par la Cour des comptes européenne et la décharge par le Parlement européen. Une évaluation individuelle est effectuée au niveau de chaque entité afin de déterminer si un ou tous les critères susmentionnés suffisent à donner lieu au contrôle.</w:t>
      </w:r>
    </w:p>
    <w:p>
      <w:pPr>
        <w:pStyle w:val="DGTextstand-alone"/>
      </w:pPr>
      <w:r>
        <w:t>Tous les soldes et transactions réciproques significatifs entre entités contrôlées de l’UE sont éliminés, tandis que les gains et pertes non réalisés liés à de telles transactions, étant non significatifs, n’ont pas été éliminés.</w:t>
      </w:r>
    </w:p>
    <w:p>
      <w:pPr>
        <w:pStyle w:val="HEADER5"/>
        <w:rPr>
          <w:b/>
          <w:noProof/>
        </w:rPr>
      </w:pPr>
      <w:r>
        <w:rPr>
          <w:noProof/>
        </w:rPr>
        <w:t>Partenariats</w:t>
      </w:r>
    </w:p>
    <w:p>
      <w:pPr>
        <w:pStyle w:val="DGTextstand-alone"/>
      </w:pPr>
      <w:r>
        <w:t>Un partenariat est un accord par lequel l’UE et deux parties ou plus exercent un contrôle conjoint. Le contrôle conjoint est le partage convenu du contrôle exercé sur une opération au moyen d’un accord contraignant, qui n’existe que dans le cas où les décisions concernant les activités pertinentes requièrent le consentement unanime des parties partageant le contrôle. Un partenariat est soit une coentreprise, soit une activité conjointe. Une coentreprise est un partenariat qui est structuré sous forme de véhicule distinct et dans lequel les parties qui exercent un contrôle conjoint sur l’opération ont des droits sur l’actif net de celle-ci. Les participations dans les coentreprises sont comptabilisées selon la méthode de la mise en équivalence (voir note </w:t>
      </w:r>
      <w:r>
        <w:rPr>
          <w:b/>
        </w:rPr>
        <w:t>1.5.4</w:t>
      </w:r>
      <w:r>
        <w:t>). Une activité conjointe est un partenariat dans lequel les parties qui exercent un contrôle conjoint sur les opérations ont des droits sur les actifs, et des obligations au titre des passifs, relatifs à l’opération. Les participations aux activités conjointes sont comptabilisées par la prise en compte dans les états financiers de l’UE de ses actifs et passifs, recettes et dépenses, ainsi que sa part des actifs, passifs, recettes et dépenses détenus ou encourus conjointement.</w:t>
      </w:r>
    </w:p>
    <w:p>
      <w:pPr>
        <w:pStyle w:val="HEADER5"/>
        <w:rPr>
          <w:b/>
          <w:noProof/>
        </w:rPr>
      </w:pPr>
      <w:r>
        <w:rPr>
          <w:noProof/>
        </w:rPr>
        <w:t>Entités associées</w:t>
      </w:r>
    </w:p>
    <w:p>
      <w:pPr>
        <w:pStyle w:val="DGTextstand-alone"/>
      </w:pPr>
      <w:r>
        <w:t>Les entités associées sont des entités sur lesquelles l’UE détient directement ou indirectement une influence notable, mais pas un pouvoir de contrôle exclusif ou conjoint. On parle d’influence notable lorsque l’UE détient, directement ou indirectement, au moins 20 % des droits de vote. Les participations dans les entités associées sont comptabilisées selon la méthode de la mise en équivalence (voir note </w:t>
      </w:r>
      <w:r>
        <w:rPr>
          <w:b/>
        </w:rPr>
        <w:t>1.5.4</w:t>
      </w:r>
      <w:r>
        <w:t>).</w:t>
      </w:r>
    </w:p>
    <w:p>
      <w:pPr>
        <w:pStyle w:val="HEADER5"/>
        <w:rPr>
          <w:b/>
          <w:noProof/>
        </w:rPr>
      </w:pPr>
      <w:r>
        <w:rPr>
          <w:noProof/>
        </w:rPr>
        <w:t>Entités non consolidées dont les fonds sont gérés par la Commission</w:t>
      </w:r>
    </w:p>
    <w:p>
      <w:pPr>
        <w:pStyle w:val="DGTextstand-alone"/>
      </w:pPr>
      <w:r>
        <w:t>Le fonds du régime commun d’assurance maladie pour le personnel de l’UE, le Fonds européen de développement, ainsi que le mécanisme d’assurance mutuelle, anciennement connu sous le nom Fonds de garantie des participants, sont gérés par la Commission au nom de ces entités. Cependant, puisque ces entités ne sont pas contrôlées par l’UE, elles ne sont pas consolidées dans ses états financiers.</w:t>
      </w:r>
    </w:p>
    <w:p>
      <w:pPr>
        <w:pStyle w:val="HEADER2NOTES"/>
        <w:jc w:val="both"/>
        <w:rPr>
          <w:noProof/>
        </w:rPr>
      </w:pPr>
      <w:r>
        <w:rPr>
          <w:noProof/>
        </w:rPr>
        <w:t>BASE DE PRÉPARATION</w:t>
      </w:r>
    </w:p>
    <w:p>
      <w:pPr>
        <w:pStyle w:val="DGTextstand-alone"/>
      </w:pPr>
      <w:r>
        <w:t>Les états financiers sont présentés chaque année conformément à l’article 249 du règlement financier. L’exercice financier débute le 1</w:t>
      </w:r>
      <w:r>
        <w:rPr>
          <w:vertAlign w:val="superscript"/>
        </w:rPr>
        <w:t>er</w:t>
      </w:r>
      <w:r>
        <w:t> janvier et se termine le 31 décembre.</w:t>
      </w:r>
    </w:p>
    <w:p>
      <w:pPr>
        <w:pStyle w:val="HEADER3NOTES"/>
        <w:jc w:val="both"/>
        <w:rPr>
          <w:noProof/>
        </w:rPr>
      </w:pPr>
      <w:r>
        <w:rPr>
          <w:noProof/>
        </w:rPr>
        <w:t>Monnaies et base de conversion</w:t>
      </w:r>
    </w:p>
    <w:p>
      <w:pPr>
        <w:pStyle w:val="HEADER5"/>
        <w:rPr>
          <w:b/>
          <w:noProof/>
        </w:rPr>
      </w:pPr>
      <w:r>
        <w:rPr>
          <w:noProof/>
        </w:rPr>
        <w:t>Monnaie fonctionnelle et de présentation</w:t>
      </w:r>
    </w:p>
    <w:p>
      <w:pPr>
        <w:pStyle w:val="DGTextstand-alone"/>
      </w:pPr>
      <w:r>
        <w:t>Sauf indication contraire, les états financiers sont présentés en millions d’euros, l’euro étant la monnaie fonctionnelle de l’UE.</w:t>
      </w:r>
    </w:p>
    <w:p>
      <w:pPr>
        <w:pStyle w:val="HEADER5"/>
        <w:rPr>
          <w:b/>
          <w:noProof/>
        </w:rPr>
      </w:pPr>
      <w:r>
        <w:rPr>
          <w:noProof/>
        </w:rPr>
        <w:t>Transactions et soldes</w:t>
      </w:r>
    </w:p>
    <w:p>
      <w:pPr>
        <w:pStyle w:val="DGTextstand-alone"/>
        <w:spacing w:after="0"/>
      </w:pPr>
      <w:r>
        <w:t>Les transactions en devises sont converties en euros sur la base des taux de change applicables à la date à laquelle elles sont réalisées. Les gains et pertes de change liés au règlement de transactions en devises et à la reconversion, aux taux de change de fin d’exercice, des actifs et passifs monétaires libellés en devises sont portés au compte de résultat économique.</w:t>
      </w:r>
    </w:p>
    <w:p>
      <w:pPr>
        <w:pStyle w:val="DGTextstand-alone"/>
      </w:pPr>
      <w:r>
        <w:lastRenderedPageBreak/>
        <w:t>Des méthodes de conversion différentes s’appliquent aux immobilisations corporelles et incorporelles, qui conservent leur valeur en euros au cours en vigueur à la date de leur acquisition.</w:t>
      </w:r>
    </w:p>
    <w:p>
      <w:pPr>
        <w:pStyle w:val="DGTextstand-alone"/>
      </w:pPr>
      <w:r>
        <w:t>Les soldes de fin d’exercice des actifs et passifs monétaires libellés en devises étrangères sont convertis en euros sur la base des taux de change de la Banque centrale européenne (BCE) en vigueur au 31 décembre:</w:t>
      </w:r>
    </w:p>
    <w:p>
      <w:pPr>
        <w:pStyle w:val="HEADER5"/>
        <w:spacing w:after="60"/>
        <w:rPr>
          <w:noProof/>
        </w:rPr>
      </w:pPr>
      <w:r>
        <w:rPr>
          <w:noProof/>
        </w:rPr>
        <w:t>Taux de change de l’euro</w:t>
      </w: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0"/>
        <w:gridCol w:w="1705"/>
        <w:gridCol w:w="1705"/>
        <w:gridCol w:w="1420"/>
        <w:gridCol w:w="1705"/>
        <w:gridCol w:w="1705"/>
      </w:tblGrid>
      <w:tr>
        <w:trPr>
          <w:trHeight w:val="255"/>
        </w:trPr>
        <w:tc>
          <w:tcPr>
            <w:tcW w:w="1420" w:type="dxa"/>
            <w:tcBorders>
              <w:top w:val="nil"/>
              <w:left w:val="nil"/>
              <w:bottom w:val="nil"/>
              <w:right w:val="nil"/>
              <w:tl2br w:val="nil"/>
              <w:tr2bl w:val="nil"/>
            </w:tcBorders>
            <w:shd w:val="solid" w:color="016794" w:fill="FFFFFF"/>
            <w:tcMar>
              <w:left w:w="60" w:type="dxa"/>
              <w:right w:w="60" w:type="dxa"/>
            </w:tcMar>
            <w:vAlign w:val="center"/>
          </w:tcPr>
          <w:p>
            <w:pPr>
              <w:pStyle w:val="DMETW36718BIPCURR"/>
              <w:keepNext/>
              <w:rPr>
                <w:rFonts w:ascii="Verdana" w:eastAsia="Verdana" w:hAnsi="Verdana" w:cs="Verdana"/>
                <w:noProof/>
                <w:color w:val="FFFFFF"/>
              </w:rPr>
            </w:pPr>
            <w:bookmarkStart w:id="75" w:name="DOC_TBL00005_1_1"/>
            <w:bookmarkEnd w:id="75"/>
            <w:r>
              <w:rPr>
                <w:rFonts w:ascii="Verdana" w:hAnsi="Verdana"/>
                <w:noProof/>
                <w:color w:val="FFFFFF"/>
              </w:rPr>
              <w:t>Monnaie</w:t>
            </w:r>
          </w:p>
        </w:tc>
        <w:tc>
          <w:tcPr>
            <w:tcW w:w="1705" w:type="dxa"/>
            <w:tcBorders>
              <w:top w:val="nil"/>
              <w:left w:val="nil"/>
              <w:bottom w:val="nil"/>
              <w:right w:val="nil"/>
              <w:tl2br w:val="nil"/>
              <w:tr2bl w:val="nil"/>
            </w:tcBorders>
            <w:shd w:val="solid" w:color="016794" w:fill="FFFFFF"/>
            <w:tcMar>
              <w:left w:w="60" w:type="dxa"/>
              <w:right w:w="60" w:type="dxa"/>
            </w:tcMar>
            <w:vAlign w:val="center"/>
          </w:tcPr>
          <w:p>
            <w:pPr>
              <w:pStyle w:val="DMETW36718BIPCURR"/>
              <w:keepNext/>
              <w:jc w:val="right"/>
              <w:rPr>
                <w:rFonts w:ascii="Verdana" w:eastAsia="Verdana" w:hAnsi="Verdana" w:cs="Verdana"/>
                <w:noProof/>
                <w:color w:val="FFFFFF"/>
              </w:rPr>
            </w:pPr>
            <w:r>
              <w:rPr>
                <w:rFonts w:ascii="Verdana" w:hAnsi="Verdana"/>
                <w:noProof/>
                <w:color w:val="FFFFFF"/>
              </w:rPr>
              <w:t>31.12.2025</w:t>
            </w:r>
          </w:p>
        </w:tc>
        <w:tc>
          <w:tcPr>
            <w:tcW w:w="1705" w:type="dxa"/>
            <w:tcBorders>
              <w:top w:val="nil"/>
              <w:left w:val="nil"/>
              <w:bottom w:val="nil"/>
              <w:right w:val="nil"/>
              <w:tl2br w:val="nil"/>
              <w:tr2bl w:val="nil"/>
            </w:tcBorders>
            <w:shd w:val="solid" w:color="016794" w:fill="FFFFFF"/>
            <w:tcMar>
              <w:left w:w="60" w:type="dxa"/>
              <w:right w:w="60" w:type="dxa"/>
            </w:tcMar>
            <w:vAlign w:val="center"/>
          </w:tcPr>
          <w:p>
            <w:pPr>
              <w:pStyle w:val="DMETW36718BIPCURR"/>
              <w:keepNext/>
              <w:jc w:val="right"/>
              <w:rPr>
                <w:rFonts w:ascii="Verdana" w:eastAsia="Verdana" w:hAnsi="Verdana" w:cs="Verdana"/>
                <w:noProof/>
                <w:color w:val="FFFFFF"/>
              </w:rPr>
            </w:pPr>
            <w:r>
              <w:rPr>
                <w:rFonts w:ascii="Verdana" w:hAnsi="Verdana"/>
                <w:noProof/>
                <w:color w:val="FFFFFF"/>
              </w:rPr>
              <w:t>31.12.2024</w:t>
            </w:r>
          </w:p>
        </w:tc>
        <w:tc>
          <w:tcPr>
            <w:tcW w:w="1420" w:type="dxa"/>
            <w:tcBorders>
              <w:top w:val="nil"/>
              <w:left w:val="nil"/>
              <w:bottom w:val="nil"/>
              <w:right w:val="nil"/>
              <w:tl2br w:val="nil"/>
              <w:tr2bl w:val="nil"/>
            </w:tcBorders>
            <w:shd w:val="solid" w:color="016794" w:fill="FFFFFF"/>
            <w:tcMar>
              <w:left w:w="60" w:type="dxa"/>
              <w:right w:w="60" w:type="dxa"/>
            </w:tcMar>
            <w:vAlign w:val="center"/>
          </w:tcPr>
          <w:p>
            <w:pPr>
              <w:pStyle w:val="DMETW36718BIPCURR"/>
              <w:keepNext/>
              <w:rPr>
                <w:rFonts w:ascii="Verdana" w:eastAsia="Verdana" w:hAnsi="Verdana" w:cs="Verdana"/>
                <w:noProof/>
                <w:color w:val="FFFFFF"/>
              </w:rPr>
            </w:pPr>
            <w:r>
              <w:rPr>
                <w:rFonts w:ascii="Verdana" w:hAnsi="Verdana"/>
                <w:noProof/>
                <w:color w:val="FFFFFF"/>
              </w:rPr>
              <w:t>Monnaie</w:t>
            </w:r>
          </w:p>
        </w:tc>
        <w:tc>
          <w:tcPr>
            <w:tcW w:w="1705" w:type="dxa"/>
            <w:tcBorders>
              <w:top w:val="nil"/>
              <w:left w:val="nil"/>
              <w:bottom w:val="nil"/>
              <w:right w:val="nil"/>
              <w:tl2br w:val="nil"/>
              <w:tr2bl w:val="nil"/>
            </w:tcBorders>
            <w:shd w:val="solid" w:color="016794" w:fill="FFFFFF"/>
            <w:tcMar>
              <w:left w:w="60" w:type="dxa"/>
              <w:right w:w="60" w:type="dxa"/>
            </w:tcMar>
            <w:vAlign w:val="center"/>
          </w:tcPr>
          <w:p>
            <w:pPr>
              <w:pStyle w:val="DMETW36718BIPCURR"/>
              <w:keepNext/>
              <w:jc w:val="right"/>
              <w:rPr>
                <w:rFonts w:ascii="Verdana" w:eastAsia="Verdana" w:hAnsi="Verdana" w:cs="Verdana"/>
                <w:noProof/>
                <w:color w:val="FFFFFF"/>
              </w:rPr>
            </w:pPr>
            <w:r>
              <w:rPr>
                <w:rFonts w:ascii="Verdana" w:hAnsi="Verdana"/>
                <w:noProof/>
                <w:color w:val="FFFFFF"/>
              </w:rPr>
              <w:t>31.12.2025</w:t>
            </w:r>
          </w:p>
        </w:tc>
        <w:tc>
          <w:tcPr>
            <w:tcW w:w="1705" w:type="dxa"/>
            <w:tcBorders>
              <w:top w:val="nil"/>
              <w:left w:val="nil"/>
              <w:bottom w:val="nil"/>
              <w:right w:val="nil"/>
              <w:tl2br w:val="nil"/>
              <w:tr2bl w:val="nil"/>
            </w:tcBorders>
            <w:shd w:val="solid" w:color="016794" w:fill="FFFFFF"/>
            <w:tcMar>
              <w:left w:w="60" w:type="dxa"/>
              <w:right w:w="60" w:type="dxa"/>
            </w:tcMar>
            <w:vAlign w:val="center"/>
          </w:tcPr>
          <w:p>
            <w:pPr>
              <w:pStyle w:val="DMETW36718BIPCURR"/>
              <w:keepNext/>
              <w:jc w:val="right"/>
              <w:rPr>
                <w:rFonts w:ascii="Verdana" w:eastAsia="Verdana" w:hAnsi="Verdana" w:cs="Verdana"/>
                <w:noProof/>
                <w:color w:val="FFFFFF"/>
              </w:rPr>
            </w:pPr>
            <w:r>
              <w:rPr>
                <w:rFonts w:ascii="Verdana" w:hAnsi="Verdana"/>
                <w:noProof/>
                <w:color w:val="FFFFFF"/>
              </w:rPr>
              <w:t>31.12.2024</w:t>
            </w:r>
          </w:p>
        </w:tc>
      </w:tr>
      <w:tr>
        <w:trPr>
          <w:trHeight w:val="255"/>
        </w:trPr>
        <w:tc>
          <w:tcPr>
            <w:tcW w:w="1420" w:type="dxa"/>
            <w:tcBorders>
              <w:top w:val="nil"/>
              <w:left w:val="nil"/>
              <w:bottom w:val="single" w:sz="4" w:space="0" w:color="016794"/>
              <w:right w:val="nil"/>
              <w:tl2br w:val="nil"/>
              <w:tr2bl w:val="nil"/>
            </w:tcBorders>
            <w:shd w:val="solid" w:color="FFFFFF" w:fill="FFFFFF"/>
            <w:tcMar>
              <w:left w:w="60" w:type="dxa"/>
              <w:right w:w="60" w:type="dxa"/>
            </w:tcMar>
            <w:vAlign w:val="center"/>
          </w:tcPr>
          <w:p>
            <w:pPr>
              <w:pStyle w:val="DMETW36718BIPCURR"/>
              <w:keepNext/>
              <w:rPr>
                <w:rFonts w:ascii="Verdana" w:eastAsia="Verdana" w:hAnsi="Verdana" w:cs="Verdana"/>
                <w:b/>
                <w:noProof/>
                <w:color w:val="000000"/>
                <w:sz w:val="18"/>
              </w:rPr>
            </w:pPr>
            <w:r>
              <w:rPr>
                <w:rFonts w:ascii="Verdana" w:hAnsi="Verdana"/>
                <w:b/>
                <w:noProof/>
                <w:color w:val="000000"/>
                <w:sz w:val="18"/>
              </w:rPr>
              <w:t>BGN</w:t>
            </w:r>
          </w:p>
        </w:tc>
        <w:tc>
          <w:tcPr>
            <w:tcW w:w="1705" w:type="dxa"/>
            <w:tcBorders>
              <w:top w:val="nil"/>
              <w:left w:val="nil"/>
              <w:bottom w:val="single" w:sz="4" w:space="0" w:color="016794"/>
              <w:right w:val="nil"/>
              <w:tl2br w:val="nil"/>
              <w:tr2bl w:val="nil"/>
            </w:tcBorders>
            <w:shd w:val="solid" w:color="FFFFFF" w:fill="FFFFFF"/>
            <w:tcMar>
              <w:left w:w="60" w:type="dxa"/>
              <w:right w:w="60" w:type="dxa"/>
            </w:tcMar>
            <w:vAlign w:val="bottom"/>
          </w:tcPr>
          <w:p>
            <w:pPr>
              <w:pStyle w:val="DMETW36718BIPCURR"/>
              <w:keepNext/>
              <w:jc w:val="right"/>
              <w:rPr>
                <w:rFonts w:ascii="Verdana" w:eastAsia="Verdana" w:hAnsi="Verdana" w:cs="Verdana"/>
                <w:b/>
                <w:noProof/>
                <w:color w:val="000000"/>
                <w:sz w:val="18"/>
              </w:rPr>
            </w:pPr>
            <w:r>
              <w:rPr>
                <w:rFonts w:ascii="Verdana" w:hAnsi="Verdana"/>
                <w:b/>
                <w:noProof/>
                <w:color w:val="000000"/>
                <w:sz w:val="18"/>
              </w:rPr>
              <w:t>1,9558</w:t>
            </w:r>
          </w:p>
        </w:tc>
        <w:tc>
          <w:tcPr>
            <w:tcW w:w="1705" w:type="dxa"/>
            <w:tcBorders>
              <w:top w:val="nil"/>
              <w:left w:val="nil"/>
              <w:bottom w:val="single" w:sz="4" w:space="0" w:color="016794"/>
              <w:right w:val="nil"/>
              <w:tl2br w:val="nil"/>
              <w:tr2bl w:val="nil"/>
            </w:tcBorders>
            <w:shd w:val="solid" w:color="FFFFFF" w:fill="FFFFFF"/>
            <w:tcMar>
              <w:left w:w="60" w:type="dxa"/>
              <w:right w:w="60" w:type="dxa"/>
            </w:tcMar>
            <w:vAlign w:val="bottom"/>
          </w:tcPr>
          <w:p>
            <w:pPr>
              <w:pStyle w:val="DMETW36718BIPCURR"/>
              <w:keepNext/>
              <w:jc w:val="right"/>
              <w:rPr>
                <w:rFonts w:ascii="Verdana" w:eastAsia="Verdana" w:hAnsi="Verdana" w:cs="Verdana"/>
                <w:i/>
                <w:noProof/>
                <w:color w:val="000000"/>
                <w:sz w:val="18"/>
              </w:rPr>
            </w:pPr>
            <w:r>
              <w:rPr>
                <w:rFonts w:ascii="Verdana" w:hAnsi="Verdana"/>
                <w:i/>
                <w:noProof/>
                <w:color w:val="000000"/>
                <w:sz w:val="18"/>
              </w:rPr>
              <w:t>1,9558</w:t>
            </w:r>
          </w:p>
        </w:tc>
        <w:tc>
          <w:tcPr>
            <w:tcW w:w="1420" w:type="dxa"/>
            <w:tcBorders>
              <w:top w:val="nil"/>
              <w:left w:val="nil"/>
              <w:bottom w:val="single" w:sz="4" w:space="0" w:color="016794"/>
              <w:right w:val="nil"/>
              <w:tl2br w:val="nil"/>
              <w:tr2bl w:val="nil"/>
            </w:tcBorders>
            <w:shd w:val="solid" w:color="FFFFFF" w:fill="FFFFFF"/>
            <w:tcMar>
              <w:left w:w="60" w:type="dxa"/>
              <w:right w:w="60" w:type="dxa"/>
            </w:tcMar>
            <w:vAlign w:val="center"/>
          </w:tcPr>
          <w:p>
            <w:pPr>
              <w:pStyle w:val="DMETW36718BIPCURR"/>
              <w:keepNext/>
              <w:rPr>
                <w:rFonts w:ascii="Verdana" w:eastAsia="Verdana" w:hAnsi="Verdana" w:cs="Verdana"/>
                <w:b/>
                <w:noProof/>
                <w:color w:val="000000"/>
                <w:sz w:val="18"/>
              </w:rPr>
            </w:pPr>
            <w:r>
              <w:rPr>
                <w:rFonts w:ascii="Verdana" w:hAnsi="Verdana"/>
                <w:b/>
                <w:noProof/>
                <w:color w:val="000000"/>
                <w:sz w:val="18"/>
              </w:rPr>
              <w:t>RON</w:t>
            </w:r>
          </w:p>
        </w:tc>
        <w:tc>
          <w:tcPr>
            <w:tcW w:w="1705" w:type="dxa"/>
            <w:tcBorders>
              <w:top w:val="nil"/>
              <w:left w:val="nil"/>
              <w:bottom w:val="single" w:sz="4" w:space="0" w:color="016794"/>
              <w:right w:val="nil"/>
              <w:tl2br w:val="nil"/>
              <w:tr2bl w:val="nil"/>
            </w:tcBorders>
            <w:shd w:val="solid" w:color="FFFFFF" w:fill="FFFFFF"/>
            <w:tcMar>
              <w:left w:w="60" w:type="dxa"/>
              <w:right w:w="60" w:type="dxa"/>
            </w:tcMar>
            <w:vAlign w:val="bottom"/>
          </w:tcPr>
          <w:p>
            <w:pPr>
              <w:pStyle w:val="DMETW36718BIPCURR"/>
              <w:keepNext/>
              <w:jc w:val="right"/>
              <w:rPr>
                <w:rFonts w:ascii="Verdana" w:eastAsia="Verdana" w:hAnsi="Verdana" w:cs="Verdana"/>
                <w:b/>
                <w:noProof/>
                <w:color w:val="000000"/>
                <w:sz w:val="18"/>
              </w:rPr>
            </w:pPr>
            <w:r>
              <w:rPr>
                <w:rFonts w:ascii="Verdana" w:hAnsi="Verdana"/>
                <w:b/>
                <w:noProof/>
                <w:color w:val="000000"/>
                <w:sz w:val="18"/>
              </w:rPr>
              <w:t>5,0968</w:t>
            </w:r>
          </w:p>
        </w:tc>
        <w:tc>
          <w:tcPr>
            <w:tcW w:w="1705" w:type="dxa"/>
            <w:tcBorders>
              <w:top w:val="nil"/>
              <w:left w:val="nil"/>
              <w:bottom w:val="single" w:sz="4" w:space="0" w:color="016794"/>
              <w:right w:val="nil"/>
              <w:tl2br w:val="nil"/>
              <w:tr2bl w:val="nil"/>
            </w:tcBorders>
            <w:shd w:val="solid" w:color="FFFFFF" w:fill="FFFFFF"/>
            <w:tcMar>
              <w:left w:w="60" w:type="dxa"/>
              <w:right w:w="60" w:type="dxa"/>
            </w:tcMar>
            <w:vAlign w:val="bottom"/>
          </w:tcPr>
          <w:p>
            <w:pPr>
              <w:pStyle w:val="DMETW36718BIPCURR"/>
              <w:keepNext/>
              <w:jc w:val="right"/>
              <w:rPr>
                <w:rFonts w:ascii="Verdana" w:eastAsia="Verdana" w:hAnsi="Verdana" w:cs="Verdana"/>
                <w:i/>
                <w:noProof/>
                <w:color w:val="000000"/>
                <w:sz w:val="18"/>
              </w:rPr>
            </w:pPr>
            <w:r>
              <w:rPr>
                <w:rFonts w:ascii="Verdana" w:hAnsi="Verdana"/>
                <w:i/>
                <w:noProof/>
                <w:color w:val="000000"/>
                <w:sz w:val="18"/>
              </w:rPr>
              <w:t>4,9743</w:t>
            </w:r>
          </w:p>
        </w:tc>
      </w:tr>
      <w:tr>
        <w:trPr>
          <w:trHeight w:val="255"/>
        </w:trPr>
        <w:tc>
          <w:tcPr>
            <w:tcW w:w="1420"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36718BIPCURR"/>
              <w:keepNext/>
              <w:rPr>
                <w:rFonts w:ascii="Verdana" w:eastAsia="Verdana" w:hAnsi="Verdana" w:cs="Verdana"/>
                <w:b/>
                <w:noProof/>
                <w:color w:val="000000"/>
                <w:sz w:val="18"/>
              </w:rPr>
            </w:pPr>
            <w:r>
              <w:rPr>
                <w:rFonts w:ascii="Verdana" w:hAnsi="Verdana"/>
                <w:b/>
                <w:noProof/>
                <w:color w:val="000000"/>
                <w:sz w:val="18"/>
              </w:rPr>
              <w:t>CZK</w:t>
            </w:r>
          </w:p>
        </w:tc>
        <w:tc>
          <w:tcPr>
            <w:tcW w:w="1705"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36718BIPCURR"/>
              <w:keepNext/>
              <w:jc w:val="right"/>
              <w:rPr>
                <w:rFonts w:ascii="Verdana" w:eastAsia="Verdana" w:hAnsi="Verdana" w:cs="Verdana"/>
                <w:b/>
                <w:noProof/>
                <w:color w:val="000000"/>
                <w:sz w:val="18"/>
              </w:rPr>
            </w:pPr>
            <w:r>
              <w:rPr>
                <w:rFonts w:ascii="Verdana" w:hAnsi="Verdana"/>
                <w:b/>
                <w:noProof/>
                <w:color w:val="000000"/>
                <w:sz w:val="18"/>
              </w:rPr>
              <w:t>24,2370</w:t>
            </w:r>
          </w:p>
        </w:tc>
        <w:tc>
          <w:tcPr>
            <w:tcW w:w="1705"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36718BIPCURR"/>
              <w:keepNext/>
              <w:jc w:val="right"/>
              <w:rPr>
                <w:rFonts w:ascii="Verdana" w:eastAsia="Verdana" w:hAnsi="Verdana" w:cs="Verdana"/>
                <w:i/>
                <w:noProof/>
                <w:color w:val="000000"/>
                <w:sz w:val="18"/>
              </w:rPr>
            </w:pPr>
            <w:r>
              <w:rPr>
                <w:rFonts w:ascii="Verdana" w:hAnsi="Verdana"/>
                <w:i/>
                <w:noProof/>
                <w:color w:val="000000"/>
                <w:sz w:val="18"/>
              </w:rPr>
              <w:t>25,1850</w:t>
            </w:r>
          </w:p>
        </w:tc>
        <w:tc>
          <w:tcPr>
            <w:tcW w:w="1420"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36718BIPCURR"/>
              <w:keepNext/>
              <w:rPr>
                <w:rFonts w:ascii="Verdana" w:eastAsia="Verdana" w:hAnsi="Verdana" w:cs="Verdana"/>
                <w:b/>
                <w:noProof/>
                <w:color w:val="000000"/>
                <w:sz w:val="18"/>
              </w:rPr>
            </w:pPr>
            <w:r>
              <w:rPr>
                <w:rFonts w:ascii="Verdana" w:hAnsi="Verdana"/>
                <w:b/>
                <w:noProof/>
                <w:color w:val="000000"/>
                <w:sz w:val="18"/>
              </w:rPr>
              <w:t>SEK</w:t>
            </w:r>
          </w:p>
        </w:tc>
        <w:tc>
          <w:tcPr>
            <w:tcW w:w="1705"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36718BIPCURR"/>
              <w:keepNext/>
              <w:jc w:val="right"/>
              <w:rPr>
                <w:rFonts w:ascii="Verdana" w:eastAsia="Verdana" w:hAnsi="Verdana" w:cs="Verdana"/>
                <w:b/>
                <w:noProof/>
                <w:color w:val="000000"/>
                <w:sz w:val="18"/>
              </w:rPr>
            </w:pPr>
            <w:r>
              <w:rPr>
                <w:rFonts w:ascii="Verdana" w:hAnsi="Verdana"/>
                <w:b/>
                <w:noProof/>
                <w:color w:val="000000"/>
                <w:sz w:val="18"/>
              </w:rPr>
              <w:t>10,8215</w:t>
            </w:r>
          </w:p>
        </w:tc>
        <w:tc>
          <w:tcPr>
            <w:tcW w:w="1705"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36718BIPCURR"/>
              <w:keepNext/>
              <w:jc w:val="right"/>
              <w:rPr>
                <w:rFonts w:ascii="Verdana" w:eastAsia="Verdana" w:hAnsi="Verdana" w:cs="Verdana"/>
                <w:i/>
                <w:noProof/>
                <w:color w:val="000000"/>
                <w:sz w:val="18"/>
              </w:rPr>
            </w:pPr>
            <w:r>
              <w:rPr>
                <w:rFonts w:ascii="Verdana" w:hAnsi="Verdana"/>
                <w:i/>
                <w:noProof/>
                <w:color w:val="000000"/>
                <w:sz w:val="18"/>
              </w:rPr>
              <w:t>11,459</w:t>
            </w:r>
          </w:p>
        </w:tc>
      </w:tr>
      <w:tr>
        <w:trPr>
          <w:trHeight w:val="255"/>
        </w:trPr>
        <w:tc>
          <w:tcPr>
            <w:tcW w:w="1420"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36718BIPCURR"/>
              <w:keepNext/>
              <w:rPr>
                <w:rFonts w:ascii="Verdana" w:eastAsia="Verdana" w:hAnsi="Verdana" w:cs="Verdana"/>
                <w:b/>
                <w:noProof/>
                <w:color w:val="000000"/>
                <w:sz w:val="18"/>
              </w:rPr>
            </w:pPr>
            <w:r>
              <w:rPr>
                <w:rFonts w:ascii="Verdana" w:hAnsi="Verdana"/>
                <w:b/>
                <w:noProof/>
                <w:color w:val="000000"/>
                <w:sz w:val="18"/>
              </w:rPr>
              <w:t>DKK</w:t>
            </w:r>
          </w:p>
        </w:tc>
        <w:tc>
          <w:tcPr>
            <w:tcW w:w="1705"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36718BIPCURR"/>
              <w:keepNext/>
              <w:jc w:val="right"/>
              <w:rPr>
                <w:rFonts w:ascii="Verdana" w:eastAsia="Verdana" w:hAnsi="Verdana" w:cs="Verdana"/>
                <w:b/>
                <w:noProof/>
                <w:color w:val="000000"/>
                <w:sz w:val="18"/>
              </w:rPr>
            </w:pPr>
            <w:r>
              <w:rPr>
                <w:rFonts w:ascii="Verdana" w:hAnsi="Verdana"/>
                <w:b/>
                <w:noProof/>
                <w:color w:val="000000"/>
                <w:sz w:val="18"/>
              </w:rPr>
              <w:t>7,4689</w:t>
            </w:r>
          </w:p>
        </w:tc>
        <w:tc>
          <w:tcPr>
            <w:tcW w:w="1705"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36718BIPCURR"/>
              <w:keepNext/>
              <w:jc w:val="right"/>
              <w:rPr>
                <w:rFonts w:ascii="Verdana" w:eastAsia="Verdana" w:hAnsi="Verdana" w:cs="Verdana"/>
                <w:i/>
                <w:noProof/>
                <w:color w:val="000000"/>
                <w:sz w:val="18"/>
              </w:rPr>
            </w:pPr>
            <w:r>
              <w:rPr>
                <w:rFonts w:ascii="Verdana" w:hAnsi="Verdana"/>
                <w:i/>
                <w:noProof/>
                <w:color w:val="000000"/>
                <w:sz w:val="18"/>
              </w:rPr>
              <w:t>7,4578</w:t>
            </w:r>
          </w:p>
        </w:tc>
        <w:tc>
          <w:tcPr>
            <w:tcW w:w="1420"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36718BIPCURR"/>
              <w:keepNext/>
              <w:rPr>
                <w:rFonts w:ascii="Verdana" w:eastAsia="Verdana" w:hAnsi="Verdana" w:cs="Verdana"/>
                <w:b/>
                <w:noProof/>
                <w:color w:val="000000"/>
                <w:sz w:val="18"/>
              </w:rPr>
            </w:pPr>
            <w:r>
              <w:rPr>
                <w:rFonts w:ascii="Verdana" w:hAnsi="Verdana"/>
                <w:b/>
                <w:noProof/>
                <w:color w:val="000000"/>
                <w:sz w:val="18"/>
              </w:rPr>
              <w:t>CHF</w:t>
            </w:r>
          </w:p>
        </w:tc>
        <w:tc>
          <w:tcPr>
            <w:tcW w:w="1705"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36718BIPCURR"/>
              <w:keepNext/>
              <w:jc w:val="right"/>
              <w:rPr>
                <w:rFonts w:ascii="Verdana" w:eastAsia="Verdana" w:hAnsi="Verdana" w:cs="Verdana"/>
                <w:b/>
                <w:noProof/>
                <w:color w:val="000000"/>
                <w:sz w:val="18"/>
              </w:rPr>
            </w:pPr>
            <w:r>
              <w:rPr>
                <w:rFonts w:ascii="Verdana" w:hAnsi="Verdana"/>
                <w:b/>
                <w:noProof/>
                <w:color w:val="000000"/>
                <w:sz w:val="18"/>
              </w:rPr>
              <w:t>0,9314</w:t>
            </w:r>
          </w:p>
        </w:tc>
        <w:tc>
          <w:tcPr>
            <w:tcW w:w="1705"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36718BIPCURR"/>
              <w:keepNext/>
              <w:jc w:val="right"/>
              <w:rPr>
                <w:rFonts w:ascii="Verdana" w:eastAsia="Verdana" w:hAnsi="Verdana" w:cs="Verdana"/>
                <w:i/>
                <w:noProof/>
                <w:color w:val="000000"/>
                <w:sz w:val="18"/>
              </w:rPr>
            </w:pPr>
            <w:r>
              <w:rPr>
                <w:rFonts w:ascii="Verdana" w:hAnsi="Verdana"/>
                <w:i/>
                <w:noProof/>
                <w:color w:val="000000"/>
                <w:sz w:val="18"/>
              </w:rPr>
              <w:t>0,9412</w:t>
            </w:r>
          </w:p>
        </w:tc>
      </w:tr>
      <w:tr>
        <w:trPr>
          <w:trHeight w:val="255"/>
        </w:trPr>
        <w:tc>
          <w:tcPr>
            <w:tcW w:w="1420"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36718BIPCURR"/>
              <w:keepNext/>
              <w:rPr>
                <w:rFonts w:ascii="Verdana" w:eastAsia="Verdana" w:hAnsi="Verdana" w:cs="Verdana"/>
                <w:b/>
                <w:noProof/>
                <w:color w:val="000000"/>
                <w:sz w:val="18"/>
              </w:rPr>
            </w:pPr>
            <w:r>
              <w:rPr>
                <w:rFonts w:ascii="Verdana" w:hAnsi="Verdana"/>
                <w:b/>
                <w:noProof/>
                <w:color w:val="000000"/>
                <w:sz w:val="18"/>
              </w:rPr>
              <w:t>GBP</w:t>
            </w:r>
          </w:p>
        </w:tc>
        <w:tc>
          <w:tcPr>
            <w:tcW w:w="1705"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36718BIPCURR"/>
              <w:keepNext/>
              <w:jc w:val="right"/>
              <w:rPr>
                <w:rFonts w:ascii="Verdana" w:eastAsia="Verdana" w:hAnsi="Verdana" w:cs="Verdana"/>
                <w:b/>
                <w:noProof/>
                <w:color w:val="000000"/>
                <w:sz w:val="18"/>
              </w:rPr>
            </w:pPr>
            <w:r>
              <w:rPr>
                <w:rFonts w:ascii="Verdana" w:hAnsi="Verdana"/>
                <w:b/>
                <w:noProof/>
                <w:color w:val="000000"/>
                <w:sz w:val="18"/>
              </w:rPr>
              <w:t>0,8726</w:t>
            </w:r>
          </w:p>
        </w:tc>
        <w:tc>
          <w:tcPr>
            <w:tcW w:w="1705"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36718BIPCURR"/>
              <w:keepNext/>
              <w:jc w:val="right"/>
              <w:rPr>
                <w:rFonts w:ascii="Verdana" w:eastAsia="Verdana" w:hAnsi="Verdana" w:cs="Verdana"/>
                <w:i/>
                <w:noProof/>
                <w:color w:val="000000"/>
                <w:sz w:val="18"/>
              </w:rPr>
            </w:pPr>
            <w:r>
              <w:rPr>
                <w:rFonts w:ascii="Verdana" w:hAnsi="Verdana"/>
                <w:i/>
                <w:noProof/>
                <w:color w:val="000000"/>
                <w:sz w:val="18"/>
              </w:rPr>
              <w:t>0,8292</w:t>
            </w:r>
          </w:p>
        </w:tc>
        <w:tc>
          <w:tcPr>
            <w:tcW w:w="1420"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36718BIPCURR"/>
              <w:keepNext/>
              <w:rPr>
                <w:rFonts w:ascii="Verdana" w:eastAsia="Verdana" w:hAnsi="Verdana" w:cs="Verdana"/>
                <w:b/>
                <w:noProof/>
                <w:color w:val="000000"/>
                <w:sz w:val="18"/>
              </w:rPr>
            </w:pPr>
            <w:r>
              <w:rPr>
                <w:rFonts w:ascii="Verdana" w:hAnsi="Verdana"/>
                <w:b/>
                <w:noProof/>
                <w:color w:val="000000"/>
                <w:sz w:val="18"/>
              </w:rPr>
              <w:t>JPY</w:t>
            </w:r>
          </w:p>
        </w:tc>
        <w:tc>
          <w:tcPr>
            <w:tcW w:w="1705"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36718BIPCURR"/>
              <w:keepNext/>
              <w:jc w:val="right"/>
              <w:rPr>
                <w:rFonts w:ascii="Verdana" w:eastAsia="Verdana" w:hAnsi="Verdana" w:cs="Verdana"/>
                <w:b/>
                <w:noProof/>
                <w:color w:val="000000"/>
                <w:sz w:val="18"/>
              </w:rPr>
            </w:pPr>
            <w:r>
              <w:rPr>
                <w:rFonts w:ascii="Verdana" w:hAnsi="Verdana"/>
                <w:b/>
                <w:noProof/>
                <w:color w:val="000000"/>
                <w:sz w:val="18"/>
              </w:rPr>
              <w:t>184,09</w:t>
            </w:r>
          </w:p>
        </w:tc>
        <w:tc>
          <w:tcPr>
            <w:tcW w:w="1705"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36718BIPCURR"/>
              <w:keepNext/>
              <w:jc w:val="right"/>
              <w:rPr>
                <w:rFonts w:ascii="Verdana" w:eastAsia="Verdana" w:hAnsi="Verdana" w:cs="Verdana"/>
                <w:i/>
                <w:noProof/>
                <w:color w:val="000000"/>
                <w:sz w:val="18"/>
              </w:rPr>
            </w:pPr>
            <w:r>
              <w:rPr>
                <w:rFonts w:ascii="Verdana" w:hAnsi="Verdana"/>
                <w:i/>
                <w:noProof/>
                <w:color w:val="000000"/>
                <w:sz w:val="18"/>
              </w:rPr>
              <w:t>163,06</w:t>
            </w:r>
          </w:p>
        </w:tc>
      </w:tr>
      <w:tr>
        <w:trPr>
          <w:trHeight w:val="255"/>
        </w:trPr>
        <w:tc>
          <w:tcPr>
            <w:tcW w:w="1420"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36718BIPCURR"/>
              <w:keepNext/>
              <w:rPr>
                <w:rFonts w:ascii="Verdana" w:eastAsia="Verdana" w:hAnsi="Verdana" w:cs="Verdana"/>
                <w:b/>
                <w:noProof/>
                <w:color w:val="000000"/>
                <w:sz w:val="18"/>
              </w:rPr>
            </w:pPr>
            <w:r>
              <w:rPr>
                <w:rFonts w:ascii="Verdana" w:hAnsi="Verdana"/>
                <w:b/>
                <w:noProof/>
                <w:color w:val="000000"/>
                <w:sz w:val="18"/>
              </w:rPr>
              <w:t>HUF</w:t>
            </w:r>
          </w:p>
        </w:tc>
        <w:tc>
          <w:tcPr>
            <w:tcW w:w="1705"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36718BIPCURR"/>
              <w:keepNext/>
              <w:jc w:val="right"/>
              <w:rPr>
                <w:rFonts w:ascii="Verdana" w:eastAsia="Verdana" w:hAnsi="Verdana" w:cs="Verdana"/>
                <w:b/>
                <w:noProof/>
                <w:color w:val="000000"/>
                <w:sz w:val="18"/>
              </w:rPr>
            </w:pPr>
            <w:r>
              <w:rPr>
                <w:rFonts w:ascii="Verdana" w:hAnsi="Verdana"/>
                <w:b/>
                <w:noProof/>
                <w:color w:val="000000"/>
                <w:sz w:val="18"/>
              </w:rPr>
              <w:t>385,1500</w:t>
            </w:r>
          </w:p>
        </w:tc>
        <w:tc>
          <w:tcPr>
            <w:tcW w:w="1705"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36718BIPCURR"/>
              <w:keepNext/>
              <w:jc w:val="right"/>
              <w:rPr>
                <w:rFonts w:ascii="Verdana" w:eastAsia="Verdana" w:hAnsi="Verdana" w:cs="Verdana"/>
                <w:i/>
                <w:noProof/>
                <w:color w:val="000000"/>
                <w:sz w:val="18"/>
              </w:rPr>
            </w:pPr>
            <w:r>
              <w:rPr>
                <w:rFonts w:ascii="Verdana" w:hAnsi="Verdana"/>
                <w:i/>
                <w:noProof/>
                <w:color w:val="000000"/>
                <w:sz w:val="18"/>
              </w:rPr>
              <w:t>411,3500</w:t>
            </w:r>
          </w:p>
        </w:tc>
        <w:tc>
          <w:tcPr>
            <w:tcW w:w="1420"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36718BIPCURR"/>
              <w:keepNext/>
              <w:rPr>
                <w:rFonts w:ascii="Verdana" w:eastAsia="Verdana" w:hAnsi="Verdana" w:cs="Verdana"/>
                <w:b/>
                <w:noProof/>
                <w:color w:val="000000"/>
                <w:sz w:val="18"/>
              </w:rPr>
            </w:pPr>
            <w:r>
              <w:rPr>
                <w:rFonts w:ascii="Verdana" w:hAnsi="Verdana"/>
                <w:b/>
                <w:noProof/>
                <w:color w:val="000000"/>
                <w:sz w:val="18"/>
              </w:rPr>
              <w:t>USD</w:t>
            </w:r>
          </w:p>
        </w:tc>
        <w:tc>
          <w:tcPr>
            <w:tcW w:w="1705"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36718BIPCURR"/>
              <w:keepNext/>
              <w:jc w:val="right"/>
              <w:rPr>
                <w:rFonts w:ascii="Verdana" w:eastAsia="Verdana" w:hAnsi="Verdana" w:cs="Verdana"/>
                <w:b/>
                <w:noProof/>
                <w:color w:val="000000"/>
                <w:sz w:val="18"/>
              </w:rPr>
            </w:pPr>
            <w:r>
              <w:rPr>
                <w:rFonts w:ascii="Verdana" w:hAnsi="Verdana"/>
                <w:b/>
                <w:noProof/>
                <w:color w:val="000000"/>
                <w:sz w:val="18"/>
              </w:rPr>
              <w:t>1,175</w:t>
            </w:r>
          </w:p>
        </w:tc>
        <w:tc>
          <w:tcPr>
            <w:tcW w:w="1705"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36718BIPCURR"/>
              <w:keepNext/>
              <w:jc w:val="right"/>
              <w:rPr>
                <w:rFonts w:ascii="Verdana" w:eastAsia="Verdana" w:hAnsi="Verdana" w:cs="Verdana"/>
                <w:i/>
                <w:noProof/>
                <w:color w:val="000000"/>
                <w:sz w:val="18"/>
              </w:rPr>
            </w:pPr>
            <w:r>
              <w:rPr>
                <w:rFonts w:ascii="Verdana" w:hAnsi="Verdana"/>
                <w:i/>
                <w:noProof/>
                <w:color w:val="000000"/>
                <w:sz w:val="18"/>
              </w:rPr>
              <w:t>1,0389</w:t>
            </w:r>
          </w:p>
        </w:tc>
      </w:tr>
      <w:tr>
        <w:trPr>
          <w:trHeight w:val="255"/>
        </w:trPr>
        <w:tc>
          <w:tcPr>
            <w:tcW w:w="1420"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36718BIPCURR"/>
              <w:keepNext/>
              <w:rPr>
                <w:rFonts w:ascii="Verdana" w:eastAsia="Verdana" w:hAnsi="Verdana" w:cs="Verdana"/>
                <w:b/>
                <w:noProof/>
                <w:color w:val="000000"/>
                <w:sz w:val="18"/>
              </w:rPr>
            </w:pPr>
            <w:r>
              <w:rPr>
                <w:rFonts w:ascii="Verdana" w:hAnsi="Verdana"/>
                <w:b/>
                <w:noProof/>
                <w:color w:val="000000"/>
                <w:sz w:val="18"/>
              </w:rPr>
              <w:t>PLN</w:t>
            </w:r>
          </w:p>
        </w:tc>
        <w:tc>
          <w:tcPr>
            <w:tcW w:w="1705"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36718BIPCURR"/>
              <w:keepNext/>
              <w:jc w:val="right"/>
              <w:rPr>
                <w:rFonts w:ascii="Verdana" w:eastAsia="Verdana" w:hAnsi="Verdana" w:cs="Verdana"/>
                <w:b/>
                <w:noProof/>
                <w:color w:val="000000"/>
                <w:sz w:val="18"/>
              </w:rPr>
            </w:pPr>
            <w:r>
              <w:rPr>
                <w:rFonts w:ascii="Verdana" w:hAnsi="Verdana"/>
                <w:b/>
                <w:noProof/>
                <w:color w:val="000000"/>
                <w:sz w:val="18"/>
              </w:rPr>
              <w:t>4,221</w:t>
            </w:r>
          </w:p>
        </w:tc>
        <w:tc>
          <w:tcPr>
            <w:tcW w:w="1705"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36718BIPCURR"/>
              <w:keepNext/>
              <w:jc w:val="right"/>
              <w:rPr>
                <w:rFonts w:ascii="Verdana" w:eastAsia="Verdana" w:hAnsi="Verdana" w:cs="Verdana"/>
                <w:i/>
                <w:noProof/>
                <w:color w:val="000000"/>
                <w:sz w:val="18"/>
              </w:rPr>
            </w:pPr>
            <w:r>
              <w:rPr>
                <w:rFonts w:ascii="Verdana" w:hAnsi="Verdana"/>
                <w:i/>
                <w:noProof/>
                <w:color w:val="000000"/>
                <w:sz w:val="18"/>
              </w:rPr>
              <w:t>4,275</w:t>
            </w:r>
          </w:p>
        </w:tc>
        <w:tc>
          <w:tcPr>
            <w:tcW w:w="1420"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36718BIPCURR"/>
              <w:keepNext/>
              <w:rPr>
                <w:rFonts w:ascii="Verdana" w:eastAsia="Verdana" w:hAnsi="Verdana" w:cs="Verdana"/>
                <w:b/>
                <w:noProof/>
                <w:color w:val="000000"/>
                <w:sz w:val="18"/>
              </w:rPr>
            </w:pPr>
          </w:p>
        </w:tc>
        <w:tc>
          <w:tcPr>
            <w:tcW w:w="1705"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36718BIPCURR"/>
              <w:keepNext/>
              <w:jc w:val="right"/>
              <w:rPr>
                <w:rFonts w:ascii="Verdana" w:eastAsia="Verdana" w:hAnsi="Verdana" w:cs="Verdana"/>
                <w:b/>
                <w:noProof/>
                <w:color w:val="000000"/>
                <w:sz w:val="18"/>
              </w:rPr>
            </w:pPr>
          </w:p>
        </w:tc>
        <w:tc>
          <w:tcPr>
            <w:tcW w:w="1705"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36718BIPCURR"/>
              <w:keepNext/>
              <w:jc w:val="right"/>
              <w:rPr>
                <w:rFonts w:ascii="Verdana" w:eastAsia="Verdana" w:hAnsi="Verdana" w:cs="Verdana"/>
                <w:i/>
                <w:noProof/>
                <w:color w:val="000000"/>
                <w:sz w:val="18"/>
              </w:rPr>
            </w:pPr>
          </w:p>
        </w:tc>
      </w:tr>
    </w:tbl>
    <w:p>
      <w:pPr>
        <w:pStyle w:val="HEADER3NOTES"/>
        <w:keepNext/>
        <w:jc w:val="both"/>
        <w:rPr>
          <w:noProof/>
        </w:rPr>
      </w:pPr>
      <w:r>
        <w:rPr>
          <w:noProof/>
        </w:rPr>
        <w:t>Utilisation d’estimations</w:t>
      </w:r>
    </w:p>
    <w:p>
      <w:pPr>
        <w:pStyle w:val="DGTextstand-alone"/>
      </w:pPr>
      <w:r>
        <w:t>Conformément aux IPSAS et aux principes comptables généralement admis, les états financiers incluent nécessairement des montants basés sur des estimations et des hypothèses formulées par la direction sur la base des informations les plus fiables dont elle dispose. Les principales estimations portent notamment sur les passifs liés aux avantages du personnel, le risque financier sur les créances et les montants indiqués dans les annexes relatives aux instruments financiers, les provisions pour dépréciation relatives aux actifs financiers au coût amorti et aux passifs liés aux contrats de garantie financière, les charges à payer et produits à recevoir, les provisions, le degré de dépréciation des immobilisations corporelles et incorporelles, la valeur nette de réalisation des stocks et les actifs et passifs éventuels. Les résultats réels peuvent s’écarter de ces estimations. Les changements d’estimations sont pris en compte sur l’exercice au cours duquel ils sont connus, si le changement n’affecte que cette période, ou ladite période et des périodes à venir, si le changement affecte les deux.</w:t>
      </w:r>
    </w:p>
    <w:p>
      <w:pPr>
        <w:pStyle w:val="HEADER3NOTES"/>
        <w:keepNext/>
        <w:jc w:val="both"/>
        <w:rPr>
          <w:noProof/>
        </w:rPr>
      </w:pPr>
      <w:r>
        <w:rPr>
          <w:noProof/>
        </w:rPr>
        <w:t>Transition vers un nouveau système financier et informatique institutionnel (SUMMA)</w:t>
      </w:r>
    </w:p>
    <w:p>
      <w:pPr>
        <w:pStyle w:val="DGTextstand-alone"/>
      </w:pPr>
      <w:r>
        <w:t>Les comptes annuels consolidés de 2025 sont la première série de comptes établis sur la base des informations financières déclarées dans le nouveau système informatique financier, SUMMA. Tout au long de l’élaboration des comptes annuels, des contrôles systématiques et rigoureux ont été mis en œuvre pour faire en sorte que les informations financières utilisées reflètent fidèlement les opérations sous-jacentes et soient pleinement conformes aux règles comptables applicables. Au cours du processus de clôture de l’exercice, la direction a relevé des problèmes générés par le nouveau système qui avaient une incidence significative sur les comptes, tandis que d’autres problèmes ont ensuite été relevés par l’auditeur externe. Cela a nécessité des ajustements manuels et des procédures de rapprochement. La mise en œuvre et le perfectionnement du nouveau système financier et des contrôles qui lui sont appliqués se poursuivront au cours des prochains exercices. Sur la base de ce suivi et de cet examen approfondis des informations financières, tant au niveau des entrées que des sorties, les comptes annuels présentent, avec une assurance raisonnable et dans tous leurs aspects significatifs, une image fidèle de la situation financière, des résultats des opérations et des flux de trésorerie de l’Union européenne.</w:t>
      </w:r>
    </w:p>
    <w:p>
      <w:pPr>
        <w:pStyle w:val="HEADER2NOTES"/>
        <w:jc w:val="both"/>
        <w:rPr>
          <w:noProof/>
        </w:rPr>
      </w:pPr>
      <w:r>
        <w:rPr>
          <w:noProof/>
        </w:rPr>
        <w:t>BILAN</w:t>
      </w:r>
    </w:p>
    <w:p>
      <w:pPr>
        <w:pStyle w:val="HEADER3NOTES"/>
        <w:jc w:val="both"/>
        <w:rPr>
          <w:noProof/>
        </w:rPr>
      </w:pPr>
      <w:r>
        <w:rPr>
          <w:noProof/>
        </w:rPr>
        <w:t>Immobilisations incorporelles</w:t>
      </w:r>
    </w:p>
    <w:p>
      <w:pPr>
        <w:pStyle w:val="DGTextstand-alone"/>
      </w:pPr>
      <w:r>
        <w:t>Une immobilisation incorporelle est un actif non monétaire identifiable sans substance physique. Un actif est identifiable s’il est séparable (c’est-à-dire susceptible d’être séparé ou dissocié de l’entité, par exemple en étant vendu, cédé, concédé par licence, loué ou échangé, soit individuellement, soit en même temps qu’un contrat, un actif ou un passif identifiable, peu importe si l’entité entend ou non en arriver là), ou s’il résulte d’accords contraignants (y compris de droits contractuels ou d’autres droits légaux), que ces droits soient ou non cessibles ou séparables de l’entité ou d’autres droits et obligations.</w:t>
      </w:r>
    </w:p>
    <w:p>
      <w:pPr>
        <w:pStyle w:val="DGTextstand-alone"/>
      </w:pPr>
      <w:r>
        <w:t xml:space="preserve">Les immobilisations incorporelles acquises sont comptabilisées au coût historique, diminué des amortissements et pertes de valeurs cumulés. Les immobilisations incorporelles développées au niveau </w:t>
      </w:r>
      <w:r>
        <w:lastRenderedPageBreak/>
        <w:t>interne sont capitalisées lorsque les critères pertinents des règles comptables de l’UE sont remplis et que les dépenses ne concernent que la phase de développement de l’actif. Les coûts capitalisables comprennent tous les coûts directement attribuables nécessaires pour créer, produire et préparer l’immobilisation afin qu’elle puisse être exploitée de la manière prévue par la direction. Les coûts associés aux activités de recherche, les coûts de développement non capitalisables et les coûts d’entretien sont passés en charges à mesure qu’ils sont encourus.</w:t>
      </w:r>
    </w:p>
    <w:p>
      <w:pPr>
        <w:pStyle w:val="DGTextstand-alone"/>
      </w:pPr>
      <w:r>
        <w:t>Les immobilisations incorporelles sont amorties linéairement sur leur durée de vie utile estimée (3-11 ans). Celle-ci dépend de leur durée de vie économique spécifique ou de leur durée de vie légale déterminée par un accord.</w:t>
      </w:r>
    </w:p>
    <w:p>
      <w:pPr>
        <w:pStyle w:val="HEADER3NOTES"/>
        <w:spacing w:before="0"/>
        <w:jc w:val="both"/>
        <w:rPr>
          <w:noProof/>
        </w:rPr>
      </w:pPr>
      <w:r>
        <w:rPr>
          <w:noProof/>
        </w:rPr>
        <w:t>Immobilisations corporelles</w:t>
      </w:r>
    </w:p>
    <w:p>
      <w:pPr>
        <w:pStyle w:val="DGTextstand-alone"/>
      </w:pPr>
      <w:r>
        <w:t>Toutes les immobilisations corporelles sont comptabilisées au coût historique diminué des amortissements et des pertes de valeur. Le coût comprend toute dépense directement imputable à l’acquisition, la construction ou la cession d’une immobilisation.</w:t>
      </w:r>
    </w:p>
    <w:p>
      <w:pPr>
        <w:pStyle w:val="DGTextstand-alone"/>
        <w:spacing w:after="0"/>
      </w:pPr>
      <w:r>
        <w:t>Les coûts ultérieurs sont inclus dans la valeur comptable de l’actif ou comptabilisés comme un actif distinct le cas échéant, uniquement s’il est probable que les avantages économiques ou le potentiel de service futur(s) associé(s) à cet actif iront à l’UE et si le coût de cet actif peut être évalué de façon fiable. Les coûts de réparation et d’entretien sont portés au compte de résultat économique de l’exercice au cours duquel ils sont encourus.</w:t>
      </w:r>
    </w:p>
    <w:p>
      <w:pPr>
        <w:pStyle w:val="DGTextstand-alone"/>
      </w:pPr>
      <w:r>
        <w:t>Les terrains ne sont pas amortis, leur durée de vie utile étant considérée comme indéfinie. Les immobilisations en cours ne sont pas amorties, puisqu’elles ne sont pas encore disponibles pour utilisation. L’amortissement des autres actifs est calculé selon la méthode linéaire, de manière à imputer leur coût diminué de leur valeur résiduelle sur leur durée de vie utile estimée, comme suit:</w:t>
      </w: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9"/>
        <w:gridCol w:w="4831"/>
      </w:tblGrid>
      <w:tr>
        <w:trPr>
          <w:trHeight w:val="255"/>
        </w:trPr>
        <w:tc>
          <w:tcPr>
            <w:tcW w:w="4819" w:type="dxa"/>
            <w:tcBorders>
              <w:top w:val="nil"/>
              <w:left w:val="nil"/>
              <w:bottom w:val="nil"/>
              <w:right w:val="nil"/>
              <w:tl2br w:val="nil"/>
              <w:tr2bl w:val="nil"/>
            </w:tcBorders>
            <w:shd w:val="solid" w:color="016794" w:fill="FFFFFF"/>
            <w:tcMar>
              <w:left w:w="60" w:type="dxa"/>
              <w:right w:w="60" w:type="dxa"/>
            </w:tcMar>
            <w:vAlign w:val="center"/>
          </w:tcPr>
          <w:p>
            <w:pPr>
              <w:pStyle w:val="DMETW36718BIPDR"/>
              <w:rPr>
                <w:rFonts w:ascii="Verdana" w:eastAsia="Verdana" w:hAnsi="Verdana" w:cs="Verdana"/>
                <w:noProof/>
                <w:color w:val="FFFFFF"/>
              </w:rPr>
            </w:pPr>
            <w:bookmarkStart w:id="76" w:name="DOC_TBL00006_1_1"/>
            <w:bookmarkEnd w:id="76"/>
            <w:r>
              <w:rPr>
                <w:rFonts w:ascii="Verdana" w:hAnsi="Verdana"/>
                <w:noProof/>
                <w:color w:val="FFFFFF"/>
              </w:rPr>
              <w:t>Catégorie d’actif</w:t>
            </w:r>
          </w:p>
        </w:tc>
        <w:tc>
          <w:tcPr>
            <w:tcW w:w="4820" w:type="dxa"/>
            <w:tcBorders>
              <w:top w:val="nil"/>
              <w:left w:val="nil"/>
              <w:bottom w:val="nil"/>
              <w:right w:val="nil"/>
              <w:tl2br w:val="nil"/>
              <w:tr2bl w:val="nil"/>
            </w:tcBorders>
            <w:shd w:val="solid" w:color="016794" w:fill="FFFFFF"/>
            <w:tcMar>
              <w:left w:w="60" w:type="dxa"/>
              <w:right w:w="60" w:type="dxa"/>
            </w:tcMar>
            <w:vAlign w:val="center"/>
          </w:tcPr>
          <w:p>
            <w:pPr>
              <w:pStyle w:val="DMETW36718BIPDR"/>
              <w:jc w:val="center"/>
              <w:rPr>
                <w:rFonts w:ascii="Verdana" w:eastAsia="Verdana" w:hAnsi="Verdana" w:cs="Verdana"/>
                <w:noProof/>
                <w:color w:val="FFFFFF"/>
              </w:rPr>
            </w:pPr>
            <w:r>
              <w:rPr>
                <w:rFonts w:ascii="Verdana" w:hAnsi="Verdana"/>
                <w:noProof/>
                <w:color w:val="FFFFFF"/>
              </w:rPr>
              <w:t>Taux d’amortissement linéaire</w:t>
            </w:r>
          </w:p>
        </w:tc>
      </w:tr>
      <w:tr>
        <w:trPr>
          <w:trHeight w:val="255"/>
        </w:trPr>
        <w:tc>
          <w:tcPr>
            <w:tcW w:w="4819" w:type="dxa"/>
            <w:tcBorders>
              <w:top w:val="nil"/>
              <w:left w:val="nil"/>
              <w:bottom w:val="single" w:sz="4" w:space="0" w:color="016794"/>
              <w:right w:val="nil"/>
              <w:tl2br w:val="nil"/>
              <w:tr2bl w:val="nil"/>
            </w:tcBorders>
            <w:shd w:val="solid" w:color="FFFFFF" w:fill="FFFFFF"/>
            <w:tcMar>
              <w:left w:w="60" w:type="dxa"/>
              <w:right w:w="60" w:type="dxa"/>
            </w:tcMar>
            <w:vAlign w:val="center"/>
          </w:tcPr>
          <w:p>
            <w:pPr>
              <w:pStyle w:val="DMETW36718BIPDR"/>
              <w:rPr>
                <w:rFonts w:ascii="Verdana" w:eastAsia="Verdana" w:hAnsi="Verdana" w:cs="Verdana"/>
                <w:i/>
                <w:noProof/>
                <w:color w:val="000000"/>
                <w:sz w:val="18"/>
              </w:rPr>
            </w:pPr>
            <w:r>
              <w:rPr>
                <w:rFonts w:ascii="Verdana" w:hAnsi="Verdana"/>
                <w:i/>
                <w:noProof/>
                <w:color w:val="000000"/>
                <w:sz w:val="18"/>
              </w:rPr>
              <w:t>Bâtiments</w:t>
            </w:r>
          </w:p>
        </w:tc>
        <w:tc>
          <w:tcPr>
            <w:tcW w:w="4820" w:type="dxa"/>
            <w:tcBorders>
              <w:top w:val="nil"/>
              <w:left w:val="nil"/>
              <w:bottom w:val="single" w:sz="4" w:space="0" w:color="016794"/>
              <w:right w:val="nil"/>
              <w:tl2br w:val="nil"/>
              <w:tr2bl w:val="nil"/>
            </w:tcBorders>
            <w:shd w:val="solid" w:color="FFFFFF" w:fill="FFFFFF"/>
            <w:tcMar>
              <w:left w:w="60" w:type="dxa"/>
              <w:right w:w="60" w:type="dxa"/>
            </w:tcMar>
            <w:vAlign w:val="center"/>
          </w:tcPr>
          <w:p>
            <w:pPr>
              <w:pStyle w:val="DMETW36718BIPDR"/>
              <w:jc w:val="center"/>
              <w:rPr>
                <w:rFonts w:ascii="Verdana" w:eastAsia="Verdana" w:hAnsi="Verdana" w:cs="Verdana"/>
                <w:i/>
                <w:noProof/>
                <w:color w:val="000000"/>
                <w:sz w:val="18"/>
              </w:rPr>
            </w:pPr>
            <w:r>
              <w:rPr>
                <w:rFonts w:ascii="Verdana" w:hAnsi="Verdana"/>
                <w:i/>
                <w:noProof/>
                <w:color w:val="000000"/>
                <w:sz w:val="18"/>
              </w:rPr>
              <w:t>4 % à 10 %</w:t>
            </w:r>
          </w:p>
        </w:tc>
      </w:tr>
      <w:tr>
        <w:trPr>
          <w:trHeight w:val="255"/>
        </w:trPr>
        <w:tc>
          <w:tcPr>
            <w:tcW w:w="4819"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36718BIPDR"/>
              <w:rPr>
                <w:rFonts w:ascii="Verdana" w:eastAsia="Verdana" w:hAnsi="Verdana" w:cs="Verdana"/>
                <w:i/>
                <w:noProof/>
                <w:color w:val="000000"/>
                <w:sz w:val="18"/>
              </w:rPr>
            </w:pPr>
            <w:r>
              <w:rPr>
                <w:rFonts w:ascii="Verdana" w:hAnsi="Verdana"/>
                <w:i/>
                <w:noProof/>
                <w:color w:val="000000"/>
                <w:sz w:val="18"/>
              </w:rPr>
              <w:t>Actifs spatiaux</w:t>
            </w:r>
          </w:p>
        </w:tc>
        <w:tc>
          <w:tcPr>
            <w:tcW w:w="4820"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36718BIPDR"/>
              <w:jc w:val="center"/>
              <w:rPr>
                <w:rFonts w:ascii="Verdana" w:eastAsia="Verdana" w:hAnsi="Verdana" w:cs="Verdana"/>
                <w:i/>
                <w:noProof/>
                <w:color w:val="000000"/>
                <w:sz w:val="18"/>
              </w:rPr>
            </w:pPr>
            <w:r>
              <w:rPr>
                <w:rFonts w:ascii="Verdana" w:hAnsi="Verdana"/>
                <w:i/>
                <w:noProof/>
                <w:color w:val="000000"/>
                <w:sz w:val="18"/>
              </w:rPr>
              <w:t>8 % à 25 %</w:t>
            </w:r>
          </w:p>
        </w:tc>
      </w:tr>
      <w:tr>
        <w:trPr>
          <w:trHeight w:val="255"/>
        </w:trPr>
        <w:tc>
          <w:tcPr>
            <w:tcW w:w="4819"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36718BIPDR"/>
              <w:rPr>
                <w:rFonts w:ascii="Verdana" w:eastAsia="Verdana" w:hAnsi="Verdana" w:cs="Verdana"/>
                <w:i/>
                <w:noProof/>
                <w:color w:val="000000"/>
                <w:sz w:val="18"/>
              </w:rPr>
            </w:pPr>
            <w:r>
              <w:rPr>
                <w:rFonts w:ascii="Verdana" w:hAnsi="Verdana"/>
                <w:i/>
                <w:noProof/>
                <w:color w:val="000000"/>
                <w:sz w:val="18"/>
              </w:rPr>
              <w:t>Installations de production</w:t>
            </w:r>
          </w:p>
        </w:tc>
        <w:tc>
          <w:tcPr>
            <w:tcW w:w="4820"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36718BIPDR"/>
              <w:jc w:val="center"/>
              <w:rPr>
                <w:rFonts w:ascii="Verdana" w:eastAsia="Verdana" w:hAnsi="Verdana" w:cs="Verdana"/>
                <w:i/>
                <w:noProof/>
                <w:color w:val="000000"/>
                <w:sz w:val="18"/>
              </w:rPr>
            </w:pPr>
            <w:r>
              <w:rPr>
                <w:rFonts w:ascii="Verdana" w:hAnsi="Verdana"/>
                <w:i/>
                <w:noProof/>
                <w:color w:val="000000"/>
                <w:sz w:val="18"/>
              </w:rPr>
              <w:t>10 % à 25 %</w:t>
            </w:r>
          </w:p>
        </w:tc>
      </w:tr>
      <w:tr>
        <w:trPr>
          <w:trHeight w:val="255"/>
        </w:trPr>
        <w:tc>
          <w:tcPr>
            <w:tcW w:w="4819"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36718BIPDR"/>
              <w:rPr>
                <w:rFonts w:ascii="Verdana" w:eastAsia="Verdana" w:hAnsi="Verdana" w:cs="Verdana"/>
                <w:i/>
                <w:noProof/>
                <w:color w:val="000000"/>
                <w:sz w:val="18"/>
              </w:rPr>
            </w:pPr>
            <w:r>
              <w:rPr>
                <w:rFonts w:ascii="Verdana" w:hAnsi="Verdana"/>
                <w:i/>
                <w:noProof/>
                <w:color w:val="000000"/>
                <w:sz w:val="18"/>
              </w:rPr>
              <w:t>Mobilier et véhicules</w:t>
            </w:r>
          </w:p>
        </w:tc>
        <w:tc>
          <w:tcPr>
            <w:tcW w:w="4820"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36718BIPDR"/>
              <w:jc w:val="center"/>
              <w:rPr>
                <w:rFonts w:ascii="Verdana" w:eastAsia="Verdana" w:hAnsi="Verdana" w:cs="Verdana"/>
                <w:i/>
                <w:noProof/>
                <w:color w:val="000000"/>
                <w:sz w:val="18"/>
              </w:rPr>
            </w:pPr>
            <w:r>
              <w:rPr>
                <w:rFonts w:ascii="Verdana" w:hAnsi="Verdana"/>
                <w:i/>
                <w:noProof/>
                <w:color w:val="000000"/>
                <w:sz w:val="18"/>
              </w:rPr>
              <w:t>10 % à 25 %</w:t>
            </w:r>
          </w:p>
        </w:tc>
      </w:tr>
      <w:tr>
        <w:trPr>
          <w:trHeight w:val="255"/>
        </w:trPr>
        <w:tc>
          <w:tcPr>
            <w:tcW w:w="4819" w:type="dxa"/>
            <w:tcBorders>
              <w:top w:val="nil"/>
              <w:left w:val="nil"/>
              <w:bottom w:val="single" w:sz="4" w:space="0" w:color="016794"/>
              <w:right w:val="nil"/>
              <w:tl2br w:val="nil"/>
              <w:tr2bl w:val="nil"/>
            </w:tcBorders>
            <w:shd w:val="solid" w:color="FFFFFF" w:fill="FFFFFF"/>
            <w:tcMar>
              <w:left w:w="60" w:type="dxa"/>
              <w:right w:w="60" w:type="dxa"/>
            </w:tcMar>
            <w:vAlign w:val="center"/>
          </w:tcPr>
          <w:p>
            <w:pPr>
              <w:pStyle w:val="DMETW36718BIPDR"/>
              <w:rPr>
                <w:rFonts w:ascii="Verdana" w:eastAsia="Verdana" w:hAnsi="Verdana" w:cs="Verdana"/>
                <w:i/>
                <w:noProof/>
                <w:color w:val="000000"/>
                <w:sz w:val="18"/>
              </w:rPr>
            </w:pPr>
            <w:r>
              <w:rPr>
                <w:rFonts w:ascii="Verdana" w:hAnsi="Verdana"/>
                <w:i/>
                <w:noProof/>
                <w:color w:val="000000"/>
                <w:sz w:val="18"/>
              </w:rPr>
              <w:t>Matériel informatique</w:t>
            </w:r>
          </w:p>
        </w:tc>
        <w:tc>
          <w:tcPr>
            <w:tcW w:w="4820" w:type="dxa"/>
            <w:tcBorders>
              <w:top w:val="nil"/>
              <w:left w:val="nil"/>
              <w:bottom w:val="single" w:sz="4" w:space="0" w:color="016794"/>
              <w:right w:val="nil"/>
              <w:tl2br w:val="nil"/>
              <w:tr2bl w:val="nil"/>
            </w:tcBorders>
            <w:shd w:val="solid" w:color="FFFFFF" w:fill="FFFFFF"/>
            <w:tcMar>
              <w:left w:w="60" w:type="dxa"/>
              <w:right w:w="60" w:type="dxa"/>
            </w:tcMar>
            <w:vAlign w:val="center"/>
          </w:tcPr>
          <w:p>
            <w:pPr>
              <w:pStyle w:val="DMETW36718BIPDR"/>
              <w:jc w:val="center"/>
              <w:rPr>
                <w:rFonts w:ascii="Verdana" w:eastAsia="Verdana" w:hAnsi="Verdana" w:cs="Verdana"/>
                <w:i/>
                <w:noProof/>
                <w:color w:val="000000"/>
                <w:sz w:val="18"/>
              </w:rPr>
            </w:pPr>
            <w:r>
              <w:rPr>
                <w:rFonts w:ascii="Verdana" w:hAnsi="Verdana"/>
                <w:i/>
                <w:noProof/>
                <w:color w:val="000000"/>
                <w:sz w:val="18"/>
              </w:rPr>
              <w:t>25 % à 33 %</w:t>
            </w:r>
          </w:p>
        </w:tc>
      </w:tr>
      <w:tr>
        <w:trPr>
          <w:trHeight w:val="255"/>
        </w:trPr>
        <w:tc>
          <w:tcPr>
            <w:tcW w:w="4819"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36718BIPDR"/>
              <w:rPr>
                <w:rFonts w:ascii="Verdana" w:eastAsia="Verdana" w:hAnsi="Verdana" w:cs="Verdana"/>
                <w:i/>
                <w:noProof/>
                <w:color w:val="000000"/>
                <w:sz w:val="18"/>
              </w:rPr>
            </w:pPr>
            <w:r>
              <w:rPr>
                <w:rFonts w:ascii="Verdana" w:hAnsi="Verdana"/>
                <w:i/>
                <w:noProof/>
                <w:color w:val="000000"/>
                <w:sz w:val="18"/>
              </w:rPr>
              <w:t>Autres</w:t>
            </w:r>
          </w:p>
        </w:tc>
        <w:tc>
          <w:tcPr>
            <w:tcW w:w="4820"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36718BIPDR"/>
              <w:jc w:val="center"/>
              <w:rPr>
                <w:rFonts w:ascii="Verdana" w:eastAsia="Verdana" w:hAnsi="Verdana" w:cs="Verdana"/>
                <w:i/>
                <w:noProof/>
                <w:color w:val="000000"/>
                <w:sz w:val="18"/>
              </w:rPr>
            </w:pPr>
            <w:r>
              <w:rPr>
                <w:rFonts w:ascii="Verdana" w:hAnsi="Verdana"/>
                <w:i/>
                <w:noProof/>
                <w:color w:val="000000"/>
                <w:sz w:val="18"/>
              </w:rPr>
              <w:t>10 % à 33 %</w:t>
            </w:r>
          </w:p>
        </w:tc>
      </w:tr>
    </w:tbl>
    <w:p>
      <w:pPr>
        <w:pStyle w:val="DGTextstand-alone"/>
      </w:pPr>
      <w:r>
        <w:t>Les plus-values et moins-values de cession sont déterminées en comparant le produit de la cession diminué des frais de cession à la valeur comptable du bien et sont portées au compte de résultat économique.</w:t>
      </w:r>
    </w:p>
    <w:p>
      <w:pPr>
        <w:pStyle w:val="HEADER5"/>
        <w:keepNext/>
        <w:rPr>
          <w:b/>
          <w:noProof/>
        </w:rPr>
      </w:pPr>
      <w:r>
        <w:rPr>
          <w:noProof/>
        </w:rPr>
        <w:t>Contrats de location</w:t>
      </w:r>
    </w:p>
    <w:p>
      <w:pPr>
        <w:pStyle w:val="DGTextstand-alone"/>
      </w:pPr>
      <w:r>
        <w:t>Un contrat de location est un accord par lequel le bailleur cède au preneur, pour une période déterminée, le droit d’utilisation d’un actif en échange d’un paiement ou d’une série de paiements. Les contrats de location sont classés soit comme contrats de location-financement, soit comme contrats de location simple.</w:t>
      </w:r>
    </w:p>
    <w:p>
      <w:pPr>
        <w:pStyle w:val="DGTextstand-alone"/>
      </w:pPr>
      <w:r>
        <w:t>Les contrats de location-financement sont des contrats de location pour lesquels la quasi-totalité des risques et des avantages inhérents à la propriété sont transférés au preneur. Lors de la conclusion d’un contrat de location-financement, le preneur porte à l’actif de son bilan les actifs acquis au titre du contrat et comptabilise au passif les obligations locatives y afférentes, à compter du début de la période de location. Les actifs et passifs sont comptabilisés à la juste valeur du bien loué ou, si elle est inférieure à cette dernière, à la valeur actualisée des paiements minimaux au titre de crédits-bails, déterminée chacune au commencement du contrat de location. Sur la durée du contrat de location, les actifs détenus dans le cadre de contrats de location-financement sont amortis sur la plus courte des deux durées suivantes: la durée du contrat de location ou la durée d’utilité. Les paiements minimaux au titre de crédits-bails sont répartis entre la charge financière (l’élément «intérêts») et l’amortissement du solde de la dette (l’élément «capital»). La charge financière est affectée à chaque période couverte par le contrat de location de manière à obtenir un taux d’intérêt périodique constant sur le solde restant dû au passif au titre de chaque période, qui est présenté comme courant ou non courant, selon le cas. Les loyers conditionnels sont comptabilisés comme une charge de la période au cours de laquelle ils sont encourus.</w:t>
      </w:r>
    </w:p>
    <w:p>
      <w:pPr>
        <w:pStyle w:val="DGTextstand-alone"/>
      </w:pPr>
      <w:r>
        <w:lastRenderedPageBreak/>
        <w:t>Un contrat de location simple désigne tout contrat de location autre qu’un contrat de location-financement, c’est-à-dire un contrat de location dans le cadre duquel le bailleur conserve la quasi-totalité des risques et des avantages inhérents à la propriété d’un actif. Lors de la conclusion d’un contrat de location simple, le preneur comptabilise en charges, dans le compte de résultat économique, les paiements au titre du contrat et les répartit linéairement sur toute la durée du contrat, sans présenter d’actif loué ni de passif lié au contrat de location dans le bilan.</w:t>
      </w:r>
    </w:p>
    <w:p>
      <w:pPr>
        <w:pStyle w:val="HEADER3NOTES"/>
        <w:jc w:val="both"/>
        <w:rPr>
          <w:noProof/>
        </w:rPr>
      </w:pPr>
      <w:r>
        <w:rPr>
          <w:noProof/>
        </w:rPr>
        <w:t>Dépréciation d’actifs non financiers</w:t>
      </w:r>
    </w:p>
    <w:p>
      <w:pPr>
        <w:pStyle w:val="DGTextstand-alone"/>
      </w:pPr>
      <w:r>
        <w:t>La dépréciation est une perte d’avantages économiques futurs ou de potentiel de service d’un actif, qui peut s’ajouter à la comptabilisation systématique de la perte des avantages économiques futurs de l’actif ou de son potentiel de service via l’amortissement ou la dépréciation (selon le cas). Les actifs qui ont une durée de vie utile indéfinie ne font pas l’objet d’un amortissement/une dépréciation et subissent chaque année un test de dépréciation. Les actifs faisant l’objet d’un amortissement/d’une dépréciation sont soumis à un test de dépréciation lorsqu’il existe un indice à la date de clôture qu’un actif peut avoir subi une perte de valeur. Une perte de valeur est comptabilisée à raison de l’excédent de la valeur comptable de l’actif sur sa valeur (de service) recouvrable. La valeur (de service) recouvrable d’un actif est la valeur la plus élevée entre sa juste valeur, diminuée des coûts de vente, et sa valeur d’utilité.</w:t>
      </w:r>
    </w:p>
    <w:p>
      <w:pPr>
        <w:pStyle w:val="DGTextstand-alone"/>
      </w:pPr>
      <w:r>
        <w:t xml:space="preserve">Les valeurs résiduelles des immobilisations incorporelles et des immobilisations corporelles et leur durée d’utilité sont réexaminées, et au besoin ajustées, au minimum une fois par an. Si les raisons justifiant la comptabilisation de pertes de valeur lors des précédents exercices ne s’appliquent plus, ces pertes de valeur sont alors reprises en conséquence. </w:t>
      </w:r>
    </w:p>
    <w:p>
      <w:pPr>
        <w:pStyle w:val="HEADER3NOTES"/>
        <w:jc w:val="both"/>
        <w:rPr>
          <w:noProof/>
        </w:rPr>
      </w:pPr>
      <w:r>
        <w:rPr>
          <w:noProof/>
        </w:rPr>
        <w:t>Investissements comptabilisés selon la méthode de la mise en équivalence</w:t>
      </w:r>
    </w:p>
    <w:p>
      <w:pPr>
        <w:pStyle w:val="HEADER5"/>
        <w:rPr>
          <w:b/>
          <w:noProof/>
        </w:rPr>
      </w:pPr>
      <w:r>
        <w:rPr>
          <w:noProof/>
        </w:rPr>
        <w:t>Participations dans des entités associées et coentreprises</w:t>
      </w:r>
    </w:p>
    <w:p>
      <w:pPr>
        <w:pStyle w:val="DGTextstand-alone"/>
      </w:pPr>
      <w:r>
        <w:t>Les investissements comptabilisés selon la méthode de la mise en équivalence sont initialement comptabilisés à leur coût, constituant la valeur comptable initiale ensuite augmentée ou diminuée pour comptabiliser les contributions supplémentaires, la quote-part de l’UE dans l’excédent ou le déficit de l’entité détenue, les éventuelles dépréciations et les dividendes. Le coût initial ainsi que tous les mouvements donnent la valeur comptable de l’investissement dans les états financiers à la date du bilan. La quote-part de l’UE dans l’excédent ou le déficit de l’entité détenue est portée au compte de résultat économique, et sa quote-part dans les variations des capitaux propres de l’entité détenue est comptabilisée dans les réserves en actifs nets. Les distributions reçues de l’investissement réduisent la valeur comptable de l’actif.</w:t>
      </w:r>
    </w:p>
    <w:p>
      <w:pPr>
        <w:pStyle w:val="DGTextstand-alone"/>
      </w:pPr>
      <w:r>
        <w:t>Si la quote-part de l’UE dans les déficits d’un investissement comptabilisé à l’aide de la méthode de la mise en équivalence est égale ou supérieure à sa participation dans celui-ci, l’Union cesse de comptabiliser sa quote-part dans les pertes ultérieures («pertes non comptabilisées»). Lorsque la quote-part de l’UE est ramenée à zéro, les pertes supplémentaires font l’objet d’une provision, et un passif est comptabilisé, mais seulement dans la mesure où l’UE a contracté une obligation légale ou implicite ou effectué des paiements au nom de l’entité.</w:t>
      </w:r>
    </w:p>
    <w:p>
      <w:pPr>
        <w:pStyle w:val="DGTextstand-alone"/>
      </w:pPr>
      <w:r>
        <w:t>S’il y a des indices de dépréciation, les valeurs sont, le cas échéant, réduites à la valeur recouvrable inférieure. La valeur recouvrable est définie conformément à la description fournie dans la note </w:t>
      </w:r>
      <w:r>
        <w:rPr>
          <w:b/>
        </w:rPr>
        <w:t>1.5.3</w:t>
      </w:r>
      <w:r>
        <w:t>. Si la raison expliquant les pertes de valeur cesse de s’appliquer à une date ultérieure, la perte de valeur est reprise sur la valeur comptable qui aurait été déterminée si aucune perte de valeur n’avait été comptabilisée.</w:t>
      </w:r>
    </w:p>
    <w:p>
      <w:pPr>
        <w:pStyle w:val="DGTextstand-alone"/>
      </w:pPr>
      <w:r>
        <w:t>Lorsque l’UE détient 20 % ou plus d’un fonds de capital-risque, elle ne cherche pas à exercer une influence notable. Ces fonds sont donc considérés comme des instruments financiers et classés comme actifs financiers à la juste valeur par le biais du compte de résultat («JVCR»).</w:t>
      </w:r>
    </w:p>
    <w:p>
      <w:pPr>
        <w:pStyle w:val="DGTextstand-alone"/>
      </w:pPr>
      <w:r>
        <w:t>Les entités associées et coentreprises classées comme entités mineures (voir note </w:t>
      </w:r>
      <w:r>
        <w:rPr>
          <w:b/>
        </w:rPr>
        <w:t>1.3</w:t>
      </w:r>
      <w:r>
        <w:t>) ne sont pas comptabilisées selon la méthode de la mise en équivalence. Les contributions de l’UE à ces entités sont comptabilisées en charges de l’exercice.</w:t>
      </w:r>
    </w:p>
    <w:p>
      <w:pPr>
        <w:pStyle w:val="HEADER3NOTES"/>
        <w:keepNext/>
        <w:jc w:val="both"/>
        <w:rPr>
          <w:noProof/>
        </w:rPr>
      </w:pPr>
      <w:bookmarkStart w:id="77" w:name="_Hlk160553869"/>
      <w:r>
        <w:rPr>
          <w:noProof/>
        </w:rPr>
        <w:lastRenderedPageBreak/>
        <w:t>Actifs financiers</w:t>
      </w:r>
    </w:p>
    <w:bookmarkEnd w:id="77"/>
    <w:p>
      <w:pPr>
        <w:pStyle w:val="HEADER5"/>
        <w:rPr>
          <w:b/>
          <w:noProof/>
        </w:rPr>
      </w:pPr>
      <w:r>
        <w:rPr>
          <w:noProof/>
        </w:rPr>
        <w:t>Classement lors de la comptabilisation initiale</w:t>
      </w:r>
    </w:p>
    <w:p>
      <w:pPr>
        <w:pStyle w:val="DGTextstand-alone"/>
      </w:pPr>
      <w:r>
        <w:t>Le classement dépend de deux critères:</w:t>
      </w:r>
    </w:p>
    <w:p>
      <w:pPr>
        <w:pStyle w:val="DGTextstand-alonedashesjustified"/>
      </w:pPr>
      <w:r>
        <w:t>le modèle de gestion des actifs financiers. Pour ce critère, il est nécessaire d’évaluer la manière dont l’UE gère les actifs financiers afin de générer des flux de trésorerie et d’atteindre ses objectifs, ainsi que la manière dont elle évalue la performance des actifs financiers.</w:t>
      </w:r>
    </w:p>
    <w:p>
      <w:pPr>
        <w:pStyle w:val="DGTextstand-alonedashesjustified"/>
      </w:pPr>
      <w:r>
        <w:t>les caractéristiques des flux de trésorerie contractuels de ces actifs. Il est ici nécessaire d’évaluer si les flux de trésorerie contractuels correspondent uniquement à des remboursements de principal et à des versements d’intérêts sur le principal restant dû. L’intérêt correspond à la contrepartie de la valeur temps de l’argent, du risque de crédit et des autres risques et coûts relatifs au prêt de base.</w:t>
      </w:r>
    </w:p>
    <w:p>
      <w:pPr>
        <w:pStyle w:val="DGTextstand-alone"/>
      </w:pPr>
      <w:r>
        <w:t>À la suite d’une évaluation fondée sur ces critères, les actifs financiers peuvent être classés en trois catégories: actifs financiers au coût amorti (amortised cost – AC), actifs financiers à la juste valeur par le biais de l’actif net/de la situation nette (financial assets at fair value through net assets/equity – FVNA), ou actifs financiers à la juste valeur par le biais du compte de résultat (financial assets at fair value through surplus and deficit – JVCR).</w:t>
      </w:r>
    </w:p>
    <w:p>
      <w:pPr>
        <w:pStyle w:val="DGTextstand-alone"/>
      </w:pPr>
      <w:r>
        <w:t>Les actifs financiers dont les flux de trésorerie contractuels ne représentent que le principal et les intérêts sont classés en fonction du modèle de gestion de l’entité. Si le modèle de gestion consiste à détenir les actifs financiers afin de percevoir les flux de trésorerie contractuels, les actifs financiers sont classés comme AC. Si le modèle de gestion consiste à détenir les actifs financiers à la fois pour percevoir les flux de trésorerie contractuels et pour vendre les actifs financiers, ces actifs seront classés comme FVNA. Si le modèle de gestion diffère de ces deux modèles (par exemple, les actifs financiers sont détenus à des fins de négociation ou détenus dans un portefeuille géré et évalué sur la base de la juste valeur), les actifs financiers sont classés comme JVCR.</w:t>
      </w:r>
    </w:p>
    <w:p>
      <w:pPr>
        <w:pStyle w:val="DGTextstand-alone"/>
      </w:pPr>
      <w:r>
        <w:t>Les actifs financiers dont les flux de trésorerie contractuels ne représentent pas uniquement le principal et les intérêts, mais introduisent une exposition à la volatilité et aux risques autres que ceux présents dans un accord de prêt de base (par exemple, des fluctuations dans le cours des actions), sont classés comme JVCR, quel que soit le modèle de gestion.</w:t>
      </w:r>
    </w:p>
    <w:p>
      <w:pPr>
        <w:pStyle w:val="DGTextstand-alone"/>
      </w:pPr>
      <w:r>
        <w:t>Lors de la comptabilisation initiale, l’UE classe les actifs financiers comme suit:</w:t>
      </w:r>
    </w:p>
    <w:p>
      <w:pPr>
        <w:pStyle w:val="TextSubtitlenumberingRCItalic"/>
        <w:keepNext/>
        <w:ind w:left="357" w:hanging="357"/>
        <w:rPr>
          <w:noProof/>
        </w:rPr>
      </w:pPr>
      <w:r>
        <w:rPr>
          <w:noProof/>
        </w:rPr>
        <w:t>Actifs financiers au coût amorti</w:t>
      </w:r>
    </w:p>
    <w:p>
      <w:pPr>
        <w:pStyle w:val="DGTextstand-alone"/>
      </w:pPr>
      <w:r>
        <w:t>L’UE classe dans cette catégorie:</w:t>
      </w:r>
    </w:p>
    <w:p>
      <w:pPr>
        <w:pStyle w:val="DGTextstand-alonedashesjustified"/>
      </w:pPr>
      <w:r>
        <w:t>la trésorerie et les équivalents de trésorerie (y compris les accords de prise en pension);</w:t>
      </w:r>
    </w:p>
    <w:p>
      <w:pPr>
        <w:pStyle w:val="DGTextstand-alonedashesjustified"/>
      </w:pPr>
      <w:r>
        <w:t>les prêts (y compris les dépôts à terme dont l’échéance initiale est supérieure à trois mois);</w:t>
      </w:r>
    </w:p>
    <w:p>
      <w:pPr>
        <w:pStyle w:val="DGTextstand-alonedashesjustified"/>
      </w:pPr>
      <w:r>
        <w:t>les créances à recevoir avec contrepartie directe, à l’exception de la branche receveur du contrat de garantie financière classée en tant qu’actif financier à la juste valeur par le biais du compte de résultat.</w:t>
      </w:r>
    </w:p>
    <w:p>
      <w:pPr>
        <w:pStyle w:val="DGTextstand-alone"/>
      </w:pPr>
      <w:r>
        <w:t>Ces actifs financiers non dérivés remplissent deux conditions: le modèle de gestion de l’UE consiste à les détenir afin d’en percevoir les flux de trésorerie contractuels. En outre, à des jours déterminés, certains flux de trésorerie contractuels ne représentent que le principal et les intérêts sur le principal restant dû.</w:t>
      </w:r>
    </w:p>
    <w:p>
      <w:pPr>
        <w:pStyle w:val="DGTextstand-alone"/>
      </w:pPr>
      <w:r>
        <w:t xml:space="preserve">Un accord de prise en pension est un accord par lequel une partie achète des titres à une autre partie et accepte de les revendre ultérieurement à un prix convenu. La réalité économique de cette opération s’apparente à un dépôt à terme garanti. Les risques et avantages de la garantie restent à la charge du cédant, tandis que le cessionnaire prévoit de récupérer le principal et les intérêts contractuels. En conséquence, les opérations de prise en pension sont comptabilisées au coût amorti. L’UE conclut ces opérations exclusivement dans le but de gérer les liquidités, en profitant de la possibilité de placer les excédents de liquidités détenues à des taux attractifs sur une très courte période ne dépassant pas 3 mois. Par conséquent, ces opérations sont classées en tant que trésorerie ou équivalents de trésorerie. </w:t>
      </w:r>
    </w:p>
    <w:p>
      <w:pPr>
        <w:pStyle w:val="DGTextstand-alone"/>
      </w:pPr>
      <w:r>
        <w:t>Les actifs financiers au coût amorti sont inclus dans les actifs courants, à l’exception de ceux dont l’échéance est supérieure à 12 mois à compter de la date de clôture.</w:t>
      </w:r>
    </w:p>
    <w:p>
      <w:pPr>
        <w:pStyle w:val="TextSubtitlenumberingRCItalic"/>
        <w:keepNext/>
        <w:ind w:left="357" w:hanging="357"/>
        <w:rPr>
          <w:noProof/>
        </w:rPr>
      </w:pPr>
      <w:bookmarkStart w:id="78" w:name="_Hlk160553848"/>
      <w:r>
        <w:rPr>
          <w:noProof/>
        </w:rPr>
        <w:lastRenderedPageBreak/>
        <w:t>Actifs financiers à la juste valeur par le biais de l’actif net/de la situation nette</w:t>
      </w:r>
    </w:p>
    <w:p>
      <w:pPr>
        <w:pStyle w:val="DGTextstand-alone"/>
      </w:pPr>
      <w:r>
        <w:t>Ces actifs financiers non dérivés présentent des flux de trésorerie contractuels qui ne représentent que le principal et les intérêts sur le principal restant dû. En outre, le modèle de gestion consiste à détenir les actifs financiers à la fois pour percevoir les flux de trésorerie contractuels et pour vendre les actifs financiers.</w:t>
      </w:r>
    </w:p>
    <w:p>
      <w:pPr>
        <w:pStyle w:val="DGTextstand-alone"/>
      </w:pPr>
      <w:r>
        <w:t>Les actifs de cette catégorie sont classés comme actifs courants s’ils sont destinés à être cédés dans les douze mois suivant la date de clôture.</w:t>
      </w:r>
    </w:p>
    <w:p>
      <w:pPr>
        <w:pStyle w:val="DGTextstand-alone"/>
      </w:pPr>
      <w:r>
        <w:t>L’UE ne détient pas de tels actifs à la fin de la période de reporting.</w:t>
      </w:r>
    </w:p>
    <w:bookmarkEnd w:id="78"/>
    <w:p>
      <w:pPr>
        <w:pStyle w:val="TextSubtitlenumberingRCItalic"/>
        <w:keepNext/>
        <w:ind w:left="357" w:hanging="357"/>
        <w:rPr>
          <w:noProof/>
        </w:rPr>
      </w:pPr>
      <w:r>
        <w:rPr>
          <w:noProof/>
        </w:rPr>
        <w:t>Actifs financiers à la juste valeur par le biais du compte de résultat</w:t>
      </w:r>
    </w:p>
    <w:p>
      <w:pPr>
        <w:pStyle w:val="DGTextstand-alone"/>
      </w:pPr>
      <w:r>
        <w:t>L’UE classe les actifs financiers suivants comme établis à la JVCR parce que les flux de trésorerie contractuels ne représentent pas uniquement le principal et les intérêts sur le principal:</w:t>
      </w:r>
    </w:p>
    <w:p>
      <w:pPr>
        <w:pStyle w:val="DGTextstand-alonedashesjustified"/>
      </w:pPr>
      <w:r>
        <w:t>les actifs dérivés;</w:t>
      </w:r>
    </w:p>
    <w:p>
      <w:pPr>
        <w:pStyle w:val="DGTextstand-alonedashesjustified"/>
      </w:pPr>
      <w:r>
        <w:t>les investissements en fonds propres ainsi que les investissements dans des fonds du marché monétaire ou dans des fonds de portefeuilles mis en commun;</w:t>
      </w:r>
    </w:p>
    <w:p>
      <w:pPr>
        <w:pStyle w:val="DGTextstand-alonedashesjustified"/>
      </w:pPr>
      <w:r>
        <w:t>d’autres investissements de type fonds propres (par exemple, opérations de capital-risque).</w:t>
      </w:r>
    </w:p>
    <w:p>
      <w:pPr>
        <w:pStyle w:val="DGTextstand-alone"/>
      </w:pPr>
      <w:r>
        <w:t>En outre, l’UE classe les titres de créance qu’elle détient en tant qu'actifs à la JVCR parce que les portefeuilles de titres de créance sont gérés et évalués sur la base de leur juste valeur (par exemple, le Fonds commun de provisionnement en vertu de l’article 215 du règlement financier).</w:t>
      </w:r>
    </w:p>
    <w:p>
      <w:pPr>
        <w:pStyle w:val="DGTextstand-alone"/>
      </w:pPr>
      <w:r>
        <w:t>Les actifs de cette catégorie sont classés comme actifs courants s’ils sont destinés à être cédés dans les douze mois suivant la date de clôture.</w:t>
      </w:r>
    </w:p>
    <w:p>
      <w:pPr>
        <w:pStyle w:val="HEADER5"/>
        <w:rPr>
          <w:b/>
          <w:noProof/>
        </w:rPr>
      </w:pPr>
      <w:r>
        <w:rPr>
          <w:noProof/>
        </w:rPr>
        <w:t>Comptabilisation et évaluation initiales</w:t>
      </w:r>
    </w:p>
    <w:p>
      <w:pPr>
        <w:pStyle w:val="DGTextstand-alone"/>
      </w:pPr>
      <w:r>
        <w:t>Les achats d’actifs financiers à la juste valeur par le biais de l’actif net/de la situation nette et à la juste valeur par le biais du compte de résultat sont comptabilisés à la date de transaction, à savoir la date à laquelle l’UE s’engage à acheter l’actif. Les équivalents de trésorerie et les prêts sont comptabilisés lorsque l’argent est déposé dans un établissement financier ou avancé aux emprunteurs.</w:t>
      </w:r>
    </w:p>
    <w:p>
      <w:pPr>
        <w:pStyle w:val="DGTextstand-alone"/>
      </w:pPr>
      <w:r>
        <w:t>Les actifs financiers sont initialement évalués à la juste valeur. Pour tous les actifs financiers non comptabilisés à la juste valeur par le biais du compte de résultat, les coûts de transaction sont ajoutés à la juste valeur à la date de leur comptabilisation initiale. Dans le cas d’actifs financiers comptabilisés à la juste valeur par le biais du compte de résultat, les coûts de transaction sont passés en charges au compte de résultat économique.</w:t>
      </w:r>
    </w:p>
    <w:p>
      <w:pPr>
        <w:pStyle w:val="DGTextstand-alone"/>
      </w:pPr>
      <w:r>
        <w:t>La juste valeur d’un actif financier lors de sa comptabilisation initiale correspond normalement au prix de la transaction, sauf si la transaction n’est pas conforme au principe de pleine concurrence, c’est-à-dire réalisée sans contrepartie ou pour une contrepartie symbolique à des fins de politique publique. Si tel est le cas, la différence entre la juste valeur de l’instrument financier et le prix de transaction est une composante sans contrepartie directe qui est comptabilisée en charges dans le compte de résultat économique. Dans ce cas, la juste valeur d’un actif financier est dérivée des transactions courantes sur le marché pour un instrument directement équivalent. S’il n’existe pas de marché actif pour cet instrument, la juste valeur est dérivée d’une technique d’évaluation qui utilise les données disponibles provenant de marchés observables.</w:t>
      </w:r>
    </w:p>
    <w:p>
      <w:pPr>
        <w:pStyle w:val="DGTextstand-alone"/>
      </w:pPr>
      <w:r>
        <w:t>En cas d’octroi d’un prêt à long terme à taux zéro ou à un taux inférieur aux conditions du marché, sa juste valeur peut être estimée comme la valeur actuelle de l’ensemble des entrées de trésorerie futures, actualisées au taux d’intérêt prévalant sur le marché pour un instrument similaire ayant une notation similaire.</w:t>
      </w:r>
    </w:p>
    <w:p>
      <w:pPr>
        <w:pStyle w:val="DGTextstand-alone"/>
        <w:spacing w:after="120"/>
      </w:pPr>
      <w:r>
        <w:t>Les prêts accordés au titre de la facilité pour la reprise et la résilience et au titre de l’assistance financière sont initialement évalués à leur montant nominal, le prix de la transaction étant considéré comme la juste valeur du prêt. En effet:</w:t>
      </w:r>
    </w:p>
    <w:p>
      <w:pPr>
        <w:pStyle w:val="DGTextstand-alonedashesjustified"/>
      </w:pPr>
      <w:r>
        <w:t xml:space="preserve">l’environnement dit «de marché» des activités de prêt de l’UE est très spécifique et différent du marché de capitaux utilisé pour émettre des titres d’entreprises ou d’État. Comme les prêteurs opérant sur ces marchés ont la possibilité de recourir à des investissements autres, cette </w:t>
      </w:r>
      <w:r>
        <w:lastRenderedPageBreak/>
        <w:t>possibilité est prise en compte dans les prix de marché. Cependant, cette possibilité de recourir à d’autres investissements n’est pas prévue pour l’UE, qui n’est pas autorisée à placer de l’argent sur les marchés de capitaux; elle peut uniquement emprunter des fonds à des fins de prêts. Cela signifie que l’UE ne dispose d’aucune autre option de prêt ou d’investissement pour les sommes empruntées. Il n’y a donc pas de coût d’opportunité et, de ce fait, aucune base de comparaison avec les taux du marché. En fait, l’opération de prêt de l’UE représente elle-même le marché. Foncièrement, comme l’«option» du coût d’opportunité n’entre pas en ligne de compte, le prix du marché ne reflète pas fidèlement la substance des opérations de prêt de l’UE. Par conséquent, il n’est pas approprié de déterminer la juste valeur des activités de prêt de l’UE au regard des obligations d’entreprises ou d’État;</w:t>
      </w:r>
    </w:p>
    <w:p>
      <w:pPr>
        <w:pStyle w:val="DGTextstand-alonedashesjustified"/>
      </w:pPr>
      <w:r>
        <w:t>du reste, en l’absence de comparaison possible avec un marché actif ou des opérations similaires, le taux d’intérêt devant être utilisé par l’UE aux fins d’une évaluation équitable de ses opérations de prêt devrait être le taux d’intérêt facturé;</w:t>
      </w:r>
    </w:p>
    <w:p>
      <w:pPr>
        <w:pStyle w:val="HEADER5"/>
        <w:rPr>
          <w:noProof/>
        </w:rPr>
      </w:pPr>
      <w:r>
        <w:rPr>
          <w:noProof/>
        </w:rPr>
        <w:t>Évaluation ultérieure</w:t>
      </w:r>
    </w:p>
    <w:p>
      <w:pPr>
        <w:pStyle w:val="DGTextstand-alone"/>
      </w:pPr>
      <w:r>
        <w:t>Les actifs financiers au coût amorti sont, par la suite, évalués au coût amorti selon la méthode du taux d’intérêt effectif.</w:t>
      </w:r>
    </w:p>
    <w:p>
      <w:pPr>
        <w:pStyle w:val="DGTextstand-alone"/>
      </w:pPr>
      <w:r>
        <w:t>Les actifs financiers à la juste valeur par le biais de l’actif net/de la situation nette sont, par la suite, évalués à leur juste valeur. Les gains et pertes découlant des variations de la juste valeur sont comptabilisés dans la réserve de juste valeur, à l’exception des écarts de conversion en devises sur les actifs monétaires qui sont portés au compte de résultat économique.</w:t>
      </w:r>
    </w:p>
    <w:p>
      <w:pPr>
        <w:pStyle w:val="DGTextstand-alone"/>
      </w:pPr>
      <w:r>
        <w:t>Les actifs financiers à la juste valeur par le biais du compte de résultat sont, par la suite, évalués à leur juste valeur. Les gains et pertes résultant de variations de la juste valeur (y compris celles découlant de la conversion des taux de change et des intérêts éventuellement générés) sont portés au compte de résultat économique de l’exercice au cours duquel ils se produisent.</w:t>
      </w:r>
    </w:p>
    <w:p>
      <w:pPr>
        <w:pStyle w:val="HEADER5"/>
        <w:rPr>
          <w:noProof/>
        </w:rPr>
      </w:pPr>
      <w:r>
        <w:rPr>
          <w:noProof/>
        </w:rPr>
        <w:t>Juste valeur lors de l’évaluation ultérieure</w:t>
      </w:r>
    </w:p>
    <w:p>
      <w:pPr>
        <w:pStyle w:val="DGTextstand-alone"/>
      </w:pPr>
      <w:r>
        <w:t>La juste valeur des investissements cotés sur des marchés actifs est basée sur les cours acheteurs actuels. Lorsque le marché d’un actif financier n’est pas actif (ou lorsqu’une valeur mobilière n’est pas cotée ou en cas d’instrument dérivé de gré à gré), l’UE détermine une juste valeur au moyen de techniques d’évaluation. Ces techniques incluent l’utilisation de transactions récentes réalisées dans des conditions de concurrence normale, la référence à d’autres instruments identiques en substance, une analyse des flux de trésorerie actualisés, des modèles de valorisation des options et d’autres techniques d’évaluation communément appliquées par les acteurs du marché.</w:t>
      </w:r>
    </w:p>
    <w:p>
      <w:pPr>
        <w:pStyle w:val="DGTextstand-alone"/>
      </w:pPr>
      <w:r>
        <w:t>Les investissements dans des fonds de capital-risque, qui n’ont pas de cours coté sur un marché actif, sont évalués à la valeur d’inventaire nette imputable, qui est considérée comme équivalente à la juste valeur.</w:t>
      </w:r>
    </w:p>
    <w:p>
      <w:pPr>
        <w:pStyle w:val="HEADER5"/>
        <w:rPr>
          <w:b/>
          <w:noProof/>
        </w:rPr>
      </w:pPr>
      <w:r>
        <w:rPr>
          <w:noProof/>
        </w:rPr>
        <w:t>Dépréciation d’actifs financiers</w:t>
      </w:r>
    </w:p>
    <w:p>
      <w:pPr>
        <w:pStyle w:val="DGTextstand-alone"/>
      </w:pPr>
      <w:r>
        <w:t>L’UE comptabilise et évalue la perte de valeur liée aux pertes de crédit attendues sur des actifs financiers évalués au coût amorti et à la juste valeur par le biais de l’actif net/de la situation nette.</w:t>
      </w:r>
    </w:p>
    <w:p>
      <w:pPr>
        <w:pStyle w:val="DGTextstand-alone"/>
      </w:pPr>
      <w:r>
        <w:t>Dans le cas d’actifs au coût amorti, la valeur comptable de l’actif est diminuée du montant de la perte de valeur, lequel est comptabilisé dans le compte de résultat économique. Dans le cas d’actifs à la juste valeur par le biais de l’actif net/de la situation nette, la correction de valeur pour pertes est comptabilisée dans les actifs nets/la situation nette et ne réduit pas la valeur comptable de l’actif financier figurant dans le bilan Si, au cours d’une période ultérieure, le montant de la perte de valeur diminue, la perte de valeur précédemment comptabilisée est reprise dans le compte de résultat économique.</w:t>
      </w:r>
    </w:p>
    <w:p>
      <w:pPr>
        <w:pStyle w:val="DGTextstand-alone"/>
      </w:pPr>
      <w:r>
        <w:t>La perte de crédit attendue (PCA) correspond à la valeur actuelle de la différence entre les flux de trésorerie contractuels et les flux de trésorerie que l’UE s’attend à recevoir. La PCA contient des informations raisonnables et justifiables qui sont disponibles sans coûts ni efforts excessifs à la date de clôture.</w:t>
      </w:r>
    </w:p>
    <w:p>
      <w:pPr>
        <w:pStyle w:val="TextSubtitleItalicnumberinglettera"/>
        <w:rPr>
          <w:noProof/>
        </w:rPr>
      </w:pPr>
      <w:r>
        <w:rPr>
          <w:noProof/>
        </w:rPr>
        <w:t>Principes des stades</w:t>
      </w:r>
    </w:p>
    <w:p>
      <w:pPr>
        <w:pStyle w:val="DGTextstand-alone"/>
      </w:pPr>
      <w:r>
        <w:t xml:space="preserve">Elle est évaluée à l’aide d’un modèle en trois stades qui tient compte des cas de défaillance pondérés en fonction de la probabilité pendant la durée de vie de l’actif financier ainsi que de l’évolution du risque de </w:t>
      </w:r>
      <w:r>
        <w:lastRenderedPageBreak/>
        <w:t>crédit depuis l’émission de l’actif financier. Dans le cas de prêts, l’émission correspond à la date de l’engagement de prêt irrévocable.</w:t>
      </w:r>
    </w:p>
    <w:p>
      <w:pPr>
        <w:pStyle w:val="DGTextstand-alone"/>
      </w:pPr>
      <w:r>
        <w:t xml:space="preserve">La répartition en stades dépend principalement de la notation de crédit attribuée à la contrepartie. Le modèle par stades repose sur une évaluation relative du risque de crédit: l’UE peut avoir différents prêts en cours avec une même contrepartie se trouvant à différents stades, en fonction du risque de crédit attribué à la contrepartie au moment de l’émission. L’UE, compte tenu de son statut institutionnel unique, prête de l’argent à ses États membres ou à des États en difficulté. En conséquence, elle procède aussi à une évaluation qualitative du risque de crédit fondée sur le suivi de la situation économique des emprunteurs en difficulté. </w:t>
      </w:r>
    </w:p>
    <w:p>
      <w:pPr>
        <w:pStyle w:val="DGTextstand-alone"/>
        <w:rPr>
          <w:i/>
        </w:rPr>
      </w:pPr>
      <w:r>
        <w:rPr>
          <w:i/>
        </w:rPr>
        <w:t xml:space="preserve">Stade 1 – pas d’augmentation importante du risque de crédit </w:t>
      </w:r>
    </w:p>
    <w:p>
      <w:pPr>
        <w:pStyle w:val="DGTextstand-alone"/>
      </w:pPr>
      <w:r>
        <w:t>Les prêts aux contreparties bénéficiant d’une notation de crédit de la catégorie «investissement» [c’est-à-dire entre AAA (Aaa) et BBB- (Baa3) sur l’échelle de notation S&amp;P/Fitch (Moody’s) ou une notation externe ou interne équivalente] à la date de clôture sont considérés comme des prêts à faible risque de crédit et sont donc maintenus au stade 1, à moins qu’ils ne soient échus de plus de 30 jours (voir stade 2). En outre, les prêts pour lesquels il n’y a pas eu d’augmentation importante du risque de crédit, tel que défini ci-dessous, sont classés au stade 1. Pour les prêts classés au stade 1, la provision pour dépréciation est évaluée au niveau des pertes de crédit attendues pour les 12 mois à venir.</w:t>
      </w:r>
    </w:p>
    <w:p>
      <w:pPr>
        <w:pStyle w:val="DGTextstand-alone"/>
        <w:rPr>
          <w:i/>
        </w:rPr>
      </w:pPr>
      <w:r>
        <w:rPr>
          <w:i/>
        </w:rPr>
        <w:t>Stade 2 – augmentation importante du risque de crédit</w:t>
      </w:r>
    </w:p>
    <w:p>
      <w:pPr>
        <w:pStyle w:val="DGTextstand-alone"/>
        <w:spacing w:after="120"/>
      </w:pPr>
      <w:r>
        <w:t>Afin de déterminer s’il y a eu une augmentation importante du risque de crédit depuis l’émission et, partant, s’il convient de passer au stade 2, l’UE applique une combinaison d’évaluations quantitatives et qualitatives:</w:t>
      </w:r>
    </w:p>
    <w:p>
      <w:pPr>
        <w:pStyle w:val="DGTextstand-alonedashesjustified"/>
      </w:pPr>
      <w:r>
        <w:t>tous les prêts pour lesquels les paiements contractuels sont échus de 31 à 90 jours sont transférés au stade 2;</w:t>
      </w:r>
    </w:p>
    <w:p>
      <w:pPr>
        <w:pStyle w:val="DGTextstand-alonedashesjustified"/>
      </w:pPr>
      <w:r>
        <w:t>pour les contreparties dont les notations de crédit sont comprises entre AAA (Aaa) et BB- (Ba3) à la date de comptabilisation initiale: à moins que le scénario du risque faible (ci-dessus au stade 1) ne s’applique, la détérioration est considérée comme significative si la différence entre la notation à l’émission et celle à la date de clôture est supérieure ou égale à 3 crans;</w:t>
      </w:r>
    </w:p>
    <w:p>
      <w:pPr>
        <w:pStyle w:val="DGTextstand-alonedashesjustified"/>
      </w:pPr>
      <w:r>
        <w:t>pour les contreparties dont la notation de crédit est B+ (B1) ou B (B2) à la date de comptabilisation initiale: la détérioration est considérée comme significative si la différence entre la notation initiale et la notation actuelle est supérieure ou égale à 2 crans.</w:t>
      </w:r>
    </w:p>
    <w:p>
      <w:pPr>
        <w:pStyle w:val="DGTextstand-alonedashesjustified"/>
      </w:pPr>
      <w:r>
        <w:t>pour les contreparties dont la notation de crédit est égale à B- (B3) ou en deçà (dans la fourchette CCC/Caa - C) à la date de comptabilisation initiale: la détérioration est considérée comme significative si la différence entre la notation initiale et la notation en vigueur à la date de clôture est supérieure ou égale à 1 cran; et</w:t>
      </w:r>
    </w:p>
    <w:p>
      <w:pPr>
        <w:pStyle w:val="DGTextstand-alonedashesjustified"/>
      </w:pPr>
      <w:r>
        <w:t>les prêts émis avant le passage à la version révisée de la règle comptable nº 11 de l’UE (c’est-à-dire le 1</w:t>
      </w:r>
      <w:r>
        <w:rPr>
          <w:vertAlign w:val="superscript"/>
        </w:rPr>
        <w:t>er</w:t>
      </w:r>
      <w:r>
        <w:t> janvier 2021), pour lesquels aucune information sur le risque de crédit lors de la comptabilisation initiale n’est disponible sans coûts ni efforts excessifs, sont classés au stade 2.</w:t>
      </w:r>
    </w:p>
    <w:p>
      <w:pPr>
        <w:pStyle w:val="DGTextstand-alone"/>
      </w:pPr>
      <w:r>
        <w:t>Pour les prêts classés au stade 2, la provision pour dépréciation est évaluée au niveau des pertes de crédit attendues pour la durée de vie.</w:t>
      </w:r>
    </w:p>
    <w:p>
      <w:pPr>
        <w:pStyle w:val="DGTextstand-alone"/>
        <w:rPr>
          <w:i/>
        </w:rPr>
      </w:pPr>
      <w:r>
        <w:rPr>
          <w:i/>
        </w:rPr>
        <w:t xml:space="preserve">Stade 3 – prêts dépréciés </w:t>
      </w:r>
    </w:p>
    <w:p>
      <w:pPr>
        <w:pStyle w:val="DGTextstand-alone"/>
        <w:spacing w:after="120"/>
      </w:pPr>
      <w:r>
        <w:t xml:space="preserve">Les prêts sont classés au stade 3 lorsqu’ils sont échus de 90 jours ou lorsqu’un ou plusieurs événements survenus après l’émission du prêt ont une incidence négative sur les flux de trésorerie futurs estimés de cet actif financier. Par exemple, un prêt est classé au stade 3 si: </w:t>
      </w:r>
    </w:p>
    <w:p>
      <w:pPr>
        <w:pStyle w:val="DGTextstand-alonedashesjustified"/>
      </w:pPr>
      <w:r>
        <w:t>il devient probable que l’emprunteur soit déclaré en faillite ou fasse l’objet d’une restructuration financière;</w:t>
      </w:r>
    </w:p>
    <w:p>
      <w:pPr>
        <w:pStyle w:val="DGTextstand-alonedashesjustified"/>
      </w:pPr>
      <w:r>
        <w:t>l’emprunteur bénéfice d’une notation de crédit de D publiée par une agence de notation externe; et</w:t>
      </w:r>
    </w:p>
    <w:p>
      <w:pPr>
        <w:pStyle w:val="DGTextstand-alonedashesjustified"/>
      </w:pPr>
      <w:r>
        <w:t>l’emprunteur est en défaut de paiement d’une quelconque obligation financière envers l’UE ou, dans le cas de prêts octroyés aux fins de l’assistance financière, s’il est en défaut vis-à-vis de toute autre organisation internationale finançant le programme.</w:t>
      </w:r>
    </w:p>
    <w:p>
      <w:pPr>
        <w:pStyle w:val="DGTextstand-alone"/>
        <w:rPr>
          <w:i/>
        </w:rPr>
      </w:pPr>
      <w:r>
        <w:t xml:space="preserve">Pour les prêts classés au stade 3, la provision pour dépréciation est évaluée au niveau des pertes de crédit attendues pour la durée de vie. </w:t>
      </w:r>
      <w:r>
        <w:br w:type="page"/>
      </w:r>
    </w:p>
    <w:p>
      <w:pPr>
        <w:pStyle w:val="DGTextstand-alone"/>
        <w:rPr>
          <w:i/>
        </w:rPr>
      </w:pPr>
      <w:r>
        <w:rPr>
          <w:i/>
        </w:rPr>
        <w:lastRenderedPageBreak/>
        <w:t>Prêts dépréciés dès leur acquisition ou leur création («POCI»)</w:t>
      </w:r>
    </w:p>
    <w:p>
      <w:pPr>
        <w:pStyle w:val="DGTextstand-alone"/>
      </w:pPr>
      <w:r>
        <w:t>L’UE détient également des prêts POCI. Il s’agit de prêts en défaut pour lesquels l’UE a payé un appel de garantie au partenaire chargé de la mise en œuvre. Pour ces prêts, tous les droits ont été subrogés à l’UE. L’UE les comptabilise dans son bilan à la juste valeur lors de la comptabilisation initiale. Elle les classe dans la catégorie des prêts POCI et calcule une provision pour dépréciation sur la base d’une PCA pour la durée de vie. En vertu des accords en la matière conclus par l’UE et les partenaires chargés de la mise en œuvre, des procédures de recouvrement sont engagées au nom de l’UE aux fins de récupérer toute somme due.</w:t>
      </w:r>
    </w:p>
    <w:p>
      <w:pPr>
        <w:pStyle w:val="TextSubtitleItalicnumberinglettera"/>
        <w:ind w:left="0" w:firstLine="0"/>
        <w:rPr>
          <w:noProof/>
        </w:rPr>
      </w:pPr>
      <w:r>
        <w:rPr>
          <w:noProof/>
        </w:rPr>
        <w:t>Prêts aux emprunteurs souverains</w:t>
      </w:r>
    </w:p>
    <w:p>
      <w:pPr>
        <w:pStyle w:val="DGTextstand-alone"/>
      </w:pPr>
      <w:r>
        <w:t>L’UE fonde son évaluation de la dépréciation des prêts en tenant compte de la nature du financement de l’UE et de son statut institutionnel unique.</w:t>
      </w:r>
    </w:p>
    <w:p>
      <w:pPr>
        <w:pStyle w:val="DGTextstand-alone"/>
      </w:pPr>
      <w:r>
        <w:t>En ce qui concerne la dépréciation des prêts accordés à des pays tiers, l’UE calcule les pertes de crédit attendues à l’aide de données externes sur la qualité de crédit, tout en tenant compte de son statut de créancier privilégié, ce qui réduit le risque de crédit. Pour le calcul de la valeur actuelle, le taux d’actualisation correspond au taux d’intérêt effectif initial du prêt. Si un prêt est assorti d’un taux d’intérêt variable, le taux d’actualisation correspond au taux d’intérêt effectif actuel déterminé selon le contrat.</w:t>
      </w:r>
    </w:p>
    <w:p>
      <w:pPr>
        <w:pStyle w:val="DGTextstand-alone"/>
      </w:pPr>
      <w:r>
        <w:t>Concernant les prêts accordés aux États membres, l’UE n’a jamais subi de pertes de valeur et n’a jamais été confrontée à des défauts de paiement. Dans le cadre de ces prêts, l’UE prend en considération non seulement son statut de créancier privilégié, mais aussi ses relations avec les États membres. Ces deux éléments permettent, en principe, de garantir le recouvrement intégral, à l’échéance, des prêts accordés aux États membres. Par conséquent, l’UE estime que les pertes de crédit attendues sur les prêts accordés aux États membres sont négligeables et qu’une approche statistique pour calculer les pertes de crédit attendues est inappropriée pour ces prêts. C’est pourquoi aucune perte de crédit attendue n’est comptabilisée dans le compte de résultat économique pour les prêts octroyés aux États membres.</w:t>
      </w:r>
    </w:p>
    <w:p>
      <w:pPr>
        <w:pStyle w:val="TextSubtitleItalicnumberinglettera"/>
        <w:ind w:left="0" w:firstLine="0"/>
        <w:rPr>
          <w:noProof/>
        </w:rPr>
      </w:pPr>
      <w:r>
        <w:rPr>
          <w:noProof/>
        </w:rPr>
        <w:t>Créances</w:t>
      </w:r>
    </w:p>
    <w:p>
      <w:pPr>
        <w:pStyle w:val="DGTextstand-alone"/>
      </w:pPr>
      <w:r>
        <w:t>L’UE évalue la perte de valeur au montant des PCA pour la durée de vie, en utilisant des méthodes pratiques (par exemple, une matrice des provisions).</w:t>
      </w:r>
    </w:p>
    <w:p>
      <w:pPr>
        <w:pStyle w:val="TextSubtitleItalicnumberinglettera"/>
        <w:ind w:left="0" w:firstLine="0"/>
        <w:rPr>
          <w:noProof/>
        </w:rPr>
      </w:pPr>
      <w:r>
        <w:rPr>
          <w:noProof/>
        </w:rPr>
        <w:t>Trésorerie et équivalents de trésorerie</w:t>
      </w:r>
    </w:p>
    <w:p>
      <w:pPr>
        <w:pStyle w:val="DGTextstand-alone"/>
        <w:rPr>
          <w:i/>
        </w:rPr>
      </w:pPr>
      <w:r>
        <w:t>L’UE détient de la trésorerie et des équivalents de trésorerie sur des comptes bancaires courants et des dépôts à terme dont l’échéance est inférieure ou égale à trois mois. La trésorerie est principalement détenue auprès de banques bénéficiant d’une notation très élevée (voir note </w:t>
      </w:r>
      <w:r>
        <w:rPr>
          <w:b/>
        </w:rPr>
        <w:t>6.6</w:t>
      </w:r>
      <w:r>
        <w:t>), de sorte que les probabilités de défaillance sont très faibles. Compte tenu des échéances courtes et des faibles probabilités de défaillance, les pertes de crédit attendues liées à la trésorerie et aux équivalents de trésorerie sont négligeables. En conséquence, aucune provision pour dépréciation n’est comptabilisée pour les équivalents de trésorerie.</w:t>
      </w:r>
    </w:p>
    <w:p>
      <w:pPr>
        <w:pStyle w:val="HEADER5"/>
        <w:rPr>
          <w:noProof/>
        </w:rPr>
      </w:pPr>
      <w:r>
        <w:rPr>
          <w:noProof/>
        </w:rPr>
        <w:t>Décomptabilisation</w:t>
      </w:r>
    </w:p>
    <w:p>
      <w:pPr>
        <w:pStyle w:val="DGTextstand-alone"/>
      </w:pPr>
      <w:r>
        <w:t>Les instruments financiers sont décomptabilisés lorsque les droits sur les flux de trésorerie qui découlent des investissements ont expiré ou lorsque l’UE a transféré en substance tous les risques et avantages inhérents à la propriété à une autre partie. Toute différence entre la valeur comptable lors de la décomptabilisation et le prix de la transaction est comptabilisée en tant que profit ou perte dans le compte de résultat économique. Les ventes d’actifs financiers à la juste valeur par le biais de l’actif net/de la situation nette et par le biais du compte de résultat sont comptabilisées à la date de transaction.</w:t>
      </w:r>
    </w:p>
    <w:p>
      <w:pPr>
        <w:pStyle w:val="HEADER3NOTES"/>
        <w:jc w:val="both"/>
        <w:rPr>
          <w:noProof/>
        </w:rPr>
      </w:pPr>
      <w:r>
        <w:rPr>
          <w:noProof/>
        </w:rPr>
        <w:t>Stocks</w:t>
      </w:r>
    </w:p>
    <w:p>
      <w:pPr>
        <w:pStyle w:val="DGTextstand-alone"/>
        <w:spacing w:after="0"/>
      </w:pPr>
      <w:r>
        <w:t xml:space="preserve">Les stocks sont évalués au plus faible du coût et de la valeur nette de réalisation. Le coût est déterminé selon la méthode PEPS (premier entré, premier sorti). Le coût des produits finis et des travaux en cours couvre les matières premières, la main-d’œuvre directe, les autres coûts directement imputables ainsi que les frais généraux de production connexes (sur la base d’une capacité d’exploitation normale). La valeur nette de réalisation est le prix de vente estimé dans le cours normal de l’activité, diminué des coûts pour l’achèvement et la réalisation de la vente. Lorsque les stocks sont détenus en vue d’une </w:t>
      </w:r>
      <w:r>
        <w:lastRenderedPageBreak/>
        <w:t>distribution gratuite ou quasi gratuite, ils sont évalués au plus faible du coût et du coût de remplacement actuel. Le coût de remplacement actuel correspond au coût que l’UE devrait assumer pour acquérir l’actif à la date de publication des comptes.</w:t>
      </w:r>
    </w:p>
    <w:p>
      <w:pPr>
        <w:pStyle w:val="HEADER3NOTES"/>
        <w:jc w:val="both"/>
        <w:rPr>
          <w:noProof/>
        </w:rPr>
      </w:pPr>
      <w:r>
        <w:rPr>
          <w:noProof/>
        </w:rPr>
        <w:t>Préfinancements</w:t>
      </w:r>
    </w:p>
    <w:p>
      <w:pPr>
        <w:pStyle w:val="DGTextstand-alone"/>
      </w:pPr>
      <w:r>
        <w:t>Un préfinancement est un paiement destiné à fournir une avance au bénéficiaire, par exemple un fond de trésorerie. Il peut être fractionné en plusieurs versements, conformément au principe de bonne gestion financière, sur une période définie dans le contrat, la décision, la convention ou l’acte de base spécifique. Le fond de trésorerie (ou l’avance) est soit utilisé aux fins pour lesquelles il a été fourni pendant la période définie dans la convention, soit remboursé. Si le bénéficiaire n’engage pas de dépenses éligibles, il est dans l’obligation de restituer le préfinancement à l’UE. Comme l’UE conserve le contrôle du préfinancement et a droit à un remboursement pour la partie non éligible, le montant est présenté comme un actif.</w:t>
      </w:r>
    </w:p>
    <w:p>
      <w:pPr>
        <w:pStyle w:val="DGTextstand-alone"/>
      </w:pPr>
      <w:r>
        <w:t>Les préfinancements sont initialement comptabilisés au bilan lorsque les liquidités sont transférées au bénéficiaire. Ils sont évalués au montant de la contrepartie donnée. Au cours des périodes suivantes, les préfinancements sont évalués au montant initialement comptabilisé au bilan, diminué des dépenses éligibles (comprenant si nécessaire des montants estimés) engagées au cours de la période.</w:t>
      </w:r>
    </w:p>
    <w:p>
      <w:pPr>
        <w:pStyle w:val="DGTextstand-alone"/>
      </w:pPr>
      <w:r>
        <w:t>Les intérêts sur les préfinancements sont comptabilisés à la date à laquelle ils sont acquis conformément à la convention en question. En fin d’exercice, il est procédé à une estimation des intérêts à recevoir sur la base des informations les plus fiables, laquelle est portée au bilan.</w:t>
      </w:r>
    </w:p>
    <w:p>
      <w:pPr>
        <w:pStyle w:val="DGTextstand-alone"/>
      </w:pPr>
      <w:r>
        <w:t>Les autres avances aux États membres qui proviennent du remboursement par l’Union européenne des sommes versées à titre d’avances par les États membres à leurs bénéficiaires (y compris les «instruments financiers en gestion partagée») sont comptabilisées comme actifs et présentées dans la rubrique «Préfinancements». Les autres avances aux États membres sont ensuite évaluées au montant comptabilisé initialement dans le bilan, diminué d’une meilleure estimation des dépenses éligibles encourues par les bénéficiaires finals, calculée sur la base d’hypothèses raisonnables et justifiables.</w:t>
      </w:r>
    </w:p>
    <w:p>
      <w:pPr>
        <w:pStyle w:val="DGTextstand-alone"/>
      </w:pPr>
      <w:r>
        <w:t>Les contributions aux fonds fiduciaires de l’UE (tels qu’établis en application de l’article 238 du règlement financier) qui ne sont pas consolidés auprès de la Commission européenne (à savoir le fonds fiduciaire pour l’Afrique et le fonds fiduciaire Bêkou), ou à d’autres entités non consolidées, sont classées comme préfinancements puisqu’elles ont pour but d’octroyer un fond de trésorerie au fonds fiduciaire pour lui permettre de financer des actions spécifiques déterminées par les objectifs du fonds fiduciaire. Les contributions de l’UE aux fonds fiduciaires sont évaluées au montant initial de la contribution de l’UE, diminué des dépenses éligibles, y compris des montants estimés, le cas échéant, encourues par le fonds fiduciaire au cours de la période de référence et affectées à la contribution de l’UE conformément à l’accord sous-jacent.</w:t>
      </w:r>
    </w:p>
    <w:p>
      <w:pPr>
        <w:pStyle w:val="HEADER3NOTES"/>
        <w:jc w:val="both"/>
        <w:rPr>
          <w:noProof/>
        </w:rPr>
      </w:pPr>
      <w:r>
        <w:rPr>
          <w:noProof/>
        </w:rPr>
        <w:t>Créances à recevoir avec contrepartie directe et créances à recouvrer sans contrepartie directe</w:t>
      </w:r>
    </w:p>
    <w:p>
      <w:pPr>
        <w:pStyle w:val="DGTextstand-alone"/>
      </w:pPr>
      <w:r>
        <w:t>Les règles comptables de l’UE exigent une présentation distincte des opérations avec et sans contrepartie directe. Pour faire la distinction entre les deux catégories, le terme «créances à recevoir» est réservé aux opérations avec contrepartie directe, tandis que le terme «créances à recouvrer» est utilisé pour les opérations sans contrepartie directe, c’est-à-dire lorsque l’Union reçoit une valeur d’une autre entité sans fournir directement en retour une contrepartie de valeur sensiblement équivalente (par exemple, les créances à recouvrer auprès des États membres se rapportant aux ressources propres).</w:t>
      </w:r>
    </w:p>
    <w:p>
      <w:pPr>
        <w:pStyle w:val="DGTextstand-alone"/>
      </w:pPr>
      <w:r>
        <w:t>Les créances à recevoir des opérations avec contrepartie directe sont des actifs financiers évalués au coût amorti, à l’exception de certains montants de la branche receveur du contrat de garantie financière qui sont classés comme actifs financiers à la juste valeur par le biais du compte de résultat (voir note </w:t>
      </w:r>
      <w:r>
        <w:rPr>
          <w:b/>
        </w:rPr>
        <w:t>1.5.5</w:t>
      </w:r>
      <w:r>
        <w:t>).</w:t>
      </w:r>
    </w:p>
    <w:p>
      <w:pPr>
        <w:pStyle w:val="DGTextstand-alone"/>
        <w:spacing w:after="0"/>
      </w:pPr>
      <w:r>
        <w:t xml:space="preserve">Les créances à recouvrer des opérations sans contrepartie directe sont comptabilisées à la juste valeur à la date d’acquisition diminuée des dépréciations pour perte de valeur. Une dépréciation pour perte de valeur sur créances à recouvrer des opérations sans contrepartie directe est constatée en présence d’éléments objectifs indiquant que l’UE ne sera pas en mesure de recouvrer tous les montants dus aux échéances initialement prévues des créances en question. Le montant de la dépréciation correspond à la différence entre la valeur comptable de la créance et le montant recouvrable. Le montant de la dépréciation est constaté dans le compte de résultat économique. Une dépréciation générale, reposant sur l’expérience passée, est également comptabilisée pour les ordres de recouvrement non exécutés qui </w:t>
      </w:r>
      <w:r>
        <w:lastRenderedPageBreak/>
        <w:t>ne font pas l’objet d’une dépréciation spécifique. Concernant le traitement des produits à recevoir en fin d’exercice, voir note </w:t>
      </w:r>
      <w:r>
        <w:rPr>
          <w:b/>
        </w:rPr>
        <w:t>1.5.14</w:t>
      </w:r>
      <w:r>
        <w:t>.</w:t>
      </w:r>
    </w:p>
    <w:p>
      <w:pPr>
        <w:pStyle w:val="DGTextstand-alone"/>
        <w:spacing w:after="0"/>
      </w:pPr>
      <w:r>
        <w:t>Les montants exposés et enregistrés comme créances à recouvrer des opérations sans contrepartie directe ne sont pas considérés comme des instruments financiers, car ils ne découlent pas d’un contrat qui donnerait lieu à un passif financier ou à un instrument de capitaux propres. Toutefois, dans les annexes aux états financiers, les créances à recouvrer des opérations sans contrepartie sont, s'il y a lieu, enregistrées avec les créances à recevoir des opérations avec contrepartie.</w:t>
      </w:r>
    </w:p>
    <w:p>
      <w:pPr>
        <w:pStyle w:val="HEADER3NOTES"/>
        <w:jc w:val="both"/>
        <w:rPr>
          <w:noProof/>
        </w:rPr>
      </w:pPr>
      <w:r>
        <w:rPr>
          <w:noProof/>
        </w:rPr>
        <w:t>Trésorerie et équivalents de trésorerie</w:t>
      </w:r>
    </w:p>
    <w:p>
      <w:pPr>
        <w:pStyle w:val="DGTextstand-alone"/>
      </w:pPr>
      <w:r>
        <w:t>La trésorerie et les équivalents de trésorerie sont des actifs financiers au coût amorti et comprennent l’encaisse, les dépôts bancaires à vue ou à court terme, les prises en pension et autres placements à court terme très liquides assortis d’échéances initiales inférieures ou égales à trois mois et détenus aux fins de respecter des engagements de trésorerie à court terme et de gérer des liquidités plutôt qu’à des fins d’investissement ou à d’autres fins.</w:t>
      </w:r>
    </w:p>
    <w:p>
      <w:pPr>
        <w:pStyle w:val="HEADER3NOTES"/>
        <w:jc w:val="both"/>
        <w:rPr>
          <w:noProof/>
        </w:rPr>
      </w:pPr>
      <w:r>
        <w:rPr>
          <w:noProof/>
        </w:rPr>
        <w:t>Avantages du personnel</w:t>
      </w:r>
    </w:p>
    <w:p>
      <w:pPr>
        <w:pStyle w:val="DGTextstand-alone"/>
      </w:pPr>
      <w:r>
        <w:t>L’UE procure au personnel une série d’avantages (régime pécuniaire et sécurité sociale). Aux fins de la comptabilité, ceux-ci doivent être classés en avantages à court terme et en avantages postérieurs à l’emploi.</w:t>
      </w:r>
    </w:p>
    <w:p>
      <w:pPr>
        <w:pStyle w:val="HEADER5"/>
        <w:keepNext/>
        <w:rPr>
          <w:b/>
          <w:noProof/>
        </w:rPr>
      </w:pPr>
      <w:r>
        <w:rPr>
          <w:noProof/>
        </w:rPr>
        <w:t>Avantages du personnel à court terme</w:t>
      </w:r>
    </w:p>
    <w:p>
      <w:pPr>
        <w:pStyle w:val="DGTextstand-alone"/>
      </w:pPr>
      <w:r>
        <w:t>Les avantages à court terme sont constitués par les prestations devant être réglées dans les 12 mois qui suivent la fin de la période de référence au cours de laquelle les membres du personnel ont rendu le service, comme les salaires, congés annuels et congés maladie rémunérés, et les autres indemnités à court terme. Les avantages à court terme sont comptabilisés en charges lorsque le service correspondant est fourni. Un passif est comptabilisé à hauteur du montant qu’il est prévu de verser si l’UE a une obligation actuelle, légale ou implicite de payer à la suite de services passés fournis par le personnel et que cette obligation peut être estimée de façon fiable.</w:t>
      </w:r>
    </w:p>
    <w:p>
      <w:pPr>
        <w:pStyle w:val="HEADER5"/>
        <w:rPr>
          <w:b/>
          <w:noProof/>
        </w:rPr>
      </w:pPr>
      <w:r>
        <w:rPr>
          <w:noProof/>
        </w:rPr>
        <w:t>Avantages postérieurs à l’emploi</w:t>
      </w:r>
    </w:p>
    <w:p>
      <w:pPr>
        <w:pStyle w:val="DGTextstand-alone"/>
      </w:pPr>
      <w:r>
        <w:t>L’UE accorde au personnel une série d’avantages postérieurs à l’emploi, notamment des pensions de retraite, d’invalidité et de survie au titre du régime de pension des fonctionnaires européens, ainsi qu’une couverture d’assurance maladie au titre du régime commun d’assurance maladie (voir note </w:t>
      </w:r>
      <w:r>
        <w:rPr>
          <w:b/>
        </w:rPr>
        <w:t>2.9</w:t>
      </w:r>
      <w:r>
        <w:t>). Ces prestations sont accordées dans le cadre d’un régime unique, bien que scindé en deux parties, et il convient de traiter ces prestations de manière similaire afin de présenter la situation de manière fidèle et sincère et de rendre compte de la réalité économique:</w:t>
      </w:r>
    </w:p>
    <w:p>
      <w:pPr>
        <w:pStyle w:val="DGTextstand-alonedashesjustified"/>
      </w:pPr>
      <w:r>
        <w:t>le régime de pension des fonctionnaires européens (PSEO): les prestations octroyées au titre de ce régime reposant sur un financement théorique</w:t>
      </w:r>
      <w:r>
        <w:rPr>
          <w:rStyle w:val="FootnoteReference"/>
        </w:rPr>
        <w:footnoteReference w:id="27"/>
      </w:r>
      <w:r>
        <w:t xml:space="preserve"> concernent l’ancienneté, l’invalidité et la survie, ainsi que les allocations familiales, le décès avant le départ à la retraite de membres du personnel travaillant ou ayant travaillé dans les institutions, organes et autres organismes de l’UE ou les ayants droit d’un fonctionnaire ou d’un retraité décédé. Les membres du personnel versent, sur leurs traitements, un tiers du coût attendu de ces prestations;</w:t>
      </w:r>
    </w:p>
    <w:p>
      <w:pPr>
        <w:pStyle w:val="DGTextstand-alonedashesjustified"/>
      </w:pPr>
      <w:r>
        <w:t>le régime commun d’assurance maladie (RCAM): dans le cadre de ce régime, l’UE procure une couverture de l’assurance maladie au personnel de la Commission européenne, des institutions, des agences et des autres organes de l’UE par le biais du remboursement des frais médicaux. Les prestations accordées aux «inactifs» de ce régime (retraités, orphelins, etc.) sont considérées comme des avantages postérieurs à l’emploi.</w:t>
      </w:r>
    </w:p>
    <w:p>
      <w:pPr>
        <w:pStyle w:val="DGTextstand-alone"/>
      </w:pPr>
      <w:r>
        <w:lastRenderedPageBreak/>
        <w:t>L’UE accorde également des avantages postérieurs à l’emploi aux membres et anciens membres des institutions de l’UE par l’intermédiaire de régimes de retraite distincts. Ceux-ci figurent dans la rubrique «Autres régimes de prestations de retraite». Dans le cadre de ces régimes, l’UE accorde des prestations de retraite aux membres de la Commission, de la Cour de justice, de la Cour des comptes, du Conseil, du Parlement européen, du Médiateur européen et du Contrôleur européen de la protection des données. L’UE procure aux membres des institutions de l’UE une couverture maladie par l’intermédiaire du RCAM.</w:t>
      </w:r>
    </w:p>
    <w:p>
      <w:pPr>
        <w:pStyle w:val="DGTextstand-alone"/>
      </w:pPr>
      <w:r>
        <w:t>Les avantages postérieurs à l’emploi susmentionnés, qui constituent des obligations de l’UE au titre des prestations définies, sont calculés à chaque date de clôture sur la base d’une estimation du montant des avantages accumulés par les membres du personnel pendant la période en cours et les périodes antérieures, moyennant actualisation dudit montant et déduction de la juste valeur des actifs du régime. Le calcul de l’obligation au titre des prestations définies est effectué chaque année selon la méthode des unités de crédit projetées. La valeur actuelle de l’obligation au titre des prestations définies est déterminée en actualisant les sorties de trésorerie futures estimées sur la base des taux d’intérêt d’obligations d’État libellées dans la monnaie dans laquelle les prestations doivent être versées et dont les échéances avoisinent celles du passif correspondant au titre du régime de pension.</w:t>
      </w:r>
    </w:p>
    <w:p>
      <w:pPr>
        <w:pStyle w:val="DGTextstand-alone"/>
      </w:pPr>
      <w:r>
        <w:t>Les avantages postérieurs à l’emploi procurés au personnel de l’UE sont intégrés dans un régime unique comprenant un régime de pensions (PSEO) et un régime d’assurance maladie (RCAM), le bénéfice du RCAM étant subordonné à l’acquisition du droit à la couverture dans le cadre du PSEO. En vertu de ce régime unique, comme le prévoit le statut, certains droits, comme le droit à une pension différée et réduite au titre du PSEO, sont acquis après 10 années de service. Toutefois, les droits acquis dans le cadre du régime unique pour les années de service ultérieures effectuées par le personnel sont nettement supérieurs aux droits initiaux, tels qu’ils se reflètent dans les droits à pension supplémentaires accumulés chaque année.</w:t>
      </w:r>
    </w:p>
    <w:p>
      <w:pPr>
        <w:pStyle w:val="DGTextstand-alone"/>
      </w:pPr>
      <w:r>
        <w:t>Par conséquent, afin de rendre compte de la réalité économique de l’opération sous-jacente conformément à la caractéristique qualitative «image fidèle» de l’information financière, telle qu’elle est décrite à la fois dans la règle comptable de l'UE nº 1 et dans le cadre conceptuel des IPSAS, le coût du service supporté est comptabilisé sur une base linéaire par rapport à la période de service actif estimée du membre du personnel, à savoir la période comprise entre la date à laquelle les services rendus par ledit membre ont commencé à générer des droits à prestations en vertu du régime (que ceux-ci soient ou non conditionnés par des services ultérieurs) et la date à laquelle les services supplémentaires rendus par le membre du personnel ne généreront pas un montant significatif de droits à prestations supplémentaires en vertu du régime, les futures augmentations de salaires n'étant toutefois pas comptabilisées. Cette approche est appliquée de manière cohérente aux avantages prévus dans le cadre du régime unique.</w:t>
      </w:r>
    </w:p>
    <w:p>
      <w:pPr>
        <w:pStyle w:val="DGTextstand-alone"/>
      </w:pPr>
      <w:r>
        <w:t>Les réévaluations au sein des passifs nets liés à des prestations définies comprennent les écarts actuariels et le rendement des actifs du régime, et sont immédiatement comptabilisées dans les actifs nets.</w:t>
      </w:r>
    </w:p>
    <w:p>
      <w:pPr>
        <w:pStyle w:val="DGTextstand-alone"/>
      </w:pPr>
      <w:r>
        <w:t>L’UE comptabilise les charges (produits) d’intérêts net(te)s et les autres dépenses liées aux régimes à prestations définies dans le compte de résultat économique dans la rubrique «Coûts du personnel et des pensions».</w:t>
      </w:r>
    </w:p>
    <w:p>
      <w:pPr>
        <w:pStyle w:val="DGTextstand-alone"/>
      </w:pPr>
      <w:r>
        <w:t>Lorsque les prestations fournies sont modifiées ou réduites, la variation dans les prestations qui se rapporte aux services passés ou au profit ou à la perte lié à une réduction est immédiatement portée au compte de résultat économique. Les profits et pertes sur liquidation sont comptabilisés au moment de la liquidation. Le coût des services passés est immédiatement porté au compte de résultat économique, sauf si les changements sont subordonnés au fait que les membres du personnel restent en service pendant une durée déterminée.</w:t>
      </w:r>
    </w:p>
    <w:p>
      <w:pPr>
        <w:pStyle w:val="HEADER3NOTES"/>
        <w:jc w:val="both"/>
        <w:rPr>
          <w:noProof/>
        </w:rPr>
      </w:pPr>
      <w:r>
        <w:rPr>
          <w:noProof/>
        </w:rPr>
        <w:t>Provisions</w:t>
      </w:r>
    </w:p>
    <w:p>
      <w:pPr>
        <w:pStyle w:val="DGTextstand-alone"/>
      </w:pPr>
      <w:r>
        <w:t>Des provisions sont comptabilisées lorsque l’UE supporte une obligation actuelle, juridique ou implicite, envers des tiers à la suite d’événements passés, qu’il est plus probable qu’improbable qu’une sortie de ressources sera nécessaire pour éteindre cette obligation et que le montant de celle-ci peut être estimé de façon fiable. Aucune provision n’est comptabilisée pour des pertes opérationnelles futures. Le montant de la provision correspond à la meilleure estimation des dépenses attendues que l'on pense nécessaires pour éteindre l’obligation actuelle à la date de clôture. Lorsque la provision comprend un grand nombre d’éléments, l’obligation est estimée en pondérant tous les résultats possibles en fonction de leur probabilité (méthode de la «valeur attendue»).</w:t>
      </w:r>
    </w:p>
    <w:p>
      <w:pPr>
        <w:pStyle w:val="DGTextstand-alone"/>
      </w:pPr>
      <w:r>
        <w:lastRenderedPageBreak/>
        <w:t>Les provisions pour les contrats déficitaires sont évaluées à la valeur actuelle la plus faible entre le coût escompté de la résiliation du contrat et le coût net attendu de la continuation du contrat.</w:t>
      </w:r>
    </w:p>
    <w:p>
      <w:pPr>
        <w:pStyle w:val="HEADER3NOTES"/>
        <w:jc w:val="both"/>
        <w:rPr>
          <w:noProof/>
        </w:rPr>
      </w:pPr>
      <w:r>
        <w:rPr>
          <w:noProof/>
        </w:rPr>
        <w:t>Passifs financiers</w:t>
      </w:r>
    </w:p>
    <w:p>
      <w:pPr>
        <w:pStyle w:val="DGTextstand-alone"/>
      </w:pPr>
      <w:r>
        <w:t>Les passifs financiers sont classés comme passifs financiers à la juste valeur par le biais du compte de résultat, comme passifs financiers comptabilisés au coût amorti ou comme passifs liés au contrat de garantie financière.</w:t>
      </w:r>
    </w:p>
    <w:p>
      <w:pPr>
        <w:pStyle w:val="HEADER5"/>
        <w:rPr>
          <w:noProof/>
        </w:rPr>
      </w:pPr>
      <w:r>
        <w:rPr>
          <w:noProof/>
        </w:rPr>
        <w:t xml:space="preserve">Emprunts </w:t>
      </w:r>
    </w:p>
    <w:p>
      <w:pPr>
        <w:pStyle w:val="DGTextstand-alone"/>
      </w:pPr>
      <w:r>
        <w:t>Les emprunts sont composés d’emprunts auprès d’institutions de crédit et de dettes représentées par des titres (obligations de l’UE, dépôts de l’UE et titres de créances à court terme de l’UE). Les emprunts sont initialement comptabilisés à leur juste valeur, soit le produit de leur émission (la juste valeur de la contrepartie reçue) déduction faite des coûts de transaction supportés. Ils sont ensuite comptabilisés au coût amorti selon la méthode du taux d’intérêt effectif; toute différence entre le produit des emprunts, déduction faite des coûts de transaction, et leur valeur de remboursement est portée au compte de résultat économique sur la durée de vie des emprunts selon la méthode du taux d’intérêt effectif. Les coûts de transaction supportés par l’UE et refacturés au bénéficiaire du prêt ne sont pas significatifs et sont directement portés au compte de résultat économique.</w:t>
      </w:r>
    </w:p>
    <w:p>
      <w:pPr>
        <w:pStyle w:val="DGTextstand-alone"/>
      </w:pPr>
      <w:r>
        <w:t>Les emprunts figurent au bilan parmi les passifs non courants, sauf lorsque l’échéance se situe dans les douze mois qui suivent la date de clôture.</w:t>
      </w:r>
    </w:p>
    <w:p>
      <w:pPr>
        <w:pStyle w:val="HEADER5"/>
        <w:rPr>
          <w:noProof/>
        </w:rPr>
      </w:pPr>
      <w:r>
        <w:rPr>
          <w:noProof/>
        </w:rPr>
        <w:t xml:space="preserve">Passifs financiers à la juste valeur par le biais du compte de résultat </w:t>
      </w:r>
    </w:p>
    <w:p>
      <w:pPr>
        <w:pStyle w:val="DGTextstand-alone"/>
      </w:pPr>
      <w:r>
        <w:t xml:space="preserve">Ceux-ci incluent les dérivés lorsque la juste valeur est négative. Leur traitement comptable est identique à celui des actifs financiers à la juste valeur par le biais du compte de résultat (voir note </w:t>
      </w:r>
      <w:r>
        <w:rPr>
          <w:b/>
        </w:rPr>
        <w:t>1.5.5</w:t>
      </w:r>
      <w:r>
        <w:t>).</w:t>
      </w:r>
    </w:p>
    <w:p>
      <w:pPr>
        <w:pStyle w:val="DGTextstand-alone"/>
      </w:pPr>
      <w:r>
        <w:t>Cette catégorie comprend les garanties données par l’UE aux institutions financières sur des investissements de fonds propres. Ces garanties sont classées comme instruments financiers dérivés et sont comptabilisées comme actifs financiers ou passifs financiers à la juste valeur par le biais du compte de résultat, étant donné qu’elles ne répondent pas à la définition d’un passif lié à une garantie financière. L’actif ou passif financier de l’UE est évalué sur la base de la valeur des investissements sous-jacents.</w:t>
      </w:r>
    </w:p>
    <w:p>
      <w:pPr>
        <w:pStyle w:val="HEADER5"/>
        <w:rPr>
          <w:noProof/>
        </w:rPr>
      </w:pPr>
      <w:r>
        <w:rPr>
          <w:noProof/>
        </w:rPr>
        <w:t>Passifs liés au contrat de garantie financière</w:t>
      </w:r>
    </w:p>
    <w:p>
      <w:pPr>
        <w:pStyle w:val="DGTextstand-alone"/>
      </w:pPr>
      <w:r>
        <w:t>L’UE comptabilise un passif lié à un contrat de garantie financière (CGF) lorsqu’elle conclut un contrat qui lui impose d’effectuer des paiements spécifiés pour rembourser son titulaire d’une perte qu’il encourt en raison de la défaillance d’un débiteur spécifié à effectuer un paiement à l’échéance en vertu des dispositions initiales ou modifiées de l’instrument d’emprunt. Lorsque le contrat de garantie impose à l’UE d’effectuer des paiements à la suite de variations dans le prix d’instruments financiers ou de variations des sous-jacents, le contrat de garantie est un dérivé, c’est-à-dire un passif financier à la juste valeur par le biais du compte de résultat. Tous les autres contrats de garantie sont comptabilisés en provisions financières.</w:t>
      </w:r>
    </w:p>
    <w:p>
      <w:pPr>
        <w:pStyle w:val="DGTextstand-alone"/>
      </w:pPr>
      <w:r>
        <w:t>Les passifs liés au CGF sont initialement comptabilisés à la juste valeur. Celle-ci correspond à la valeur actuelle nette de la prime à recevoir, pour autant qu’elle soit conforme aux conditions du marché. Lorsqu’aucune prime de garantie n’est appliquée ou lorsque la contrepartie n’est pas une juste valeur, la juste valeur est déterminée sur la base des prix cotés sur un marché actif pour des CGF directement équivalents à celui souscrit dans le cadre du passif lié à la garantie financière, si ces prix sont disponibles, ou à l’aide d’une technique d’évaluation. Si aucune évaluation fiable de la juste valeur ne peut être déterminée soit par l’observation directe d’un marché actif, soit par une autre technique d’évaluation, le passif lié au contrat de garantie financière est initialement évalué au montant des pertes de crédit attendues pour la durée de vie.</w:t>
      </w:r>
    </w:p>
    <w:p>
      <w:pPr>
        <w:pStyle w:val="DGTextstand-alone"/>
      </w:pPr>
      <w:r>
        <w:t>L’évaluation ultérieure dépend de l’évolution de l’exposition au risque de crédit découlant de la garantie financière, qui est suivie en attribuant des stades au CGF. L’indicateur de risque clé pour l’attribution des stades aux CGF est la notation de crédit de l’instrument de dette garanti. Le modèle par stades compare la notation de crédit à l’émission à la notation de crédit à la date de clôture.</w:t>
      </w:r>
    </w:p>
    <w:p>
      <w:pPr>
        <w:pStyle w:val="DGTextstand-alone"/>
      </w:pPr>
      <w:r>
        <w:t xml:space="preserve">S’il n’y a pas d’augmentation importante du risque de crédit («stade 1»), les passifs liés à la garantie financière sont évalués à la valeur la plus élevée des deux montants suivants: les pertes de crédit attendues pour 12 mois, ou le montant comptabilisé initialement, déduction faite, le cas échéant, de </w:t>
      </w:r>
      <w:r>
        <w:lastRenderedPageBreak/>
        <w:t>l’amortissement cumulé. En cas d’augmentation significative du risque de crédit («stade 2»), les passifs liés à des garanties financières sont évalués soit au montant des pertes de crédit attendues pour la durée de vie, soit au montant initialement comptabilisé diminué, le cas échéant, de l’amortissement cumulé, le montant le plus élevé étant retenu.</w:t>
      </w:r>
    </w:p>
    <w:p>
      <w:pPr>
        <w:pStyle w:val="DGTextstand-alone"/>
      </w:pPr>
      <w:r>
        <w:t>Les critères d’échelonnement de la dette garantie dans les contrats de garantie financière couvrant un seul instrument de dette sont les mêmes que ceux applicables aux actifs financiers au coût amorti (voir note </w:t>
      </w:r>
      <w:r>
        <w:rPr>
          <w:b/>
        </w:rPr>
        <w:t>1.5.5</w:t>
      </w:r>
      <w:r>
        <w:t xml:space="preserve">). </w:t>
      </w:r>
    </w:p>
    <w:p>
      <w:pPr>
        <w:pStyle w:val="DGTextstand-alone"/>
      </w:pPr>
      <w:r>
        <w:t>Les critères d’échelonnement de la dette garantie dans les garanties de portefeuille suivent les mêmes critères d’échelonnement que pour les actifs financiers au coût amorti, avec les exceptions suivantes:</w:t>
      </w:r>
    </w:p>
    <w:p>
      <w:pPr>
        <w:pStyle w:val="DGTextstand-alonedashesjustified"/>
      </w:pPr>
      <w:r>
        <w:t>la notation de crédit moyenne pondérée du portefeuille garanti, ou la notation de la garantie, est prise en considération pour les critères d’échelonnement, et non la notation d’instruments de dettes particuliers de manière séparée;</w:t>
      </w:r>
    </w:p>
    <w:p>
      <w:pPr>
        <w:pStyle w:val="DGTextstand-alonedashesjustified"/>
      </w:pPr>
      <w:r>
        <w:t>dans le cas de garanties dont la notation de crédit est comprise entre AAA (Aa1) et BB- (Ba3) à la date de comptabilisation initiale: la détérioration est considérée comme significative si la différence entre la notation à l’émission et celle à la date de clôture est supérieure ou égale à 2 crans;</w:t>
      </w:r>
    </w:p>
    <w:p>
      <w:pPr>
        <w:pStyle w:val="DGTextstand-alonedashesjustified"/>
      </w:pPr>
      <w:r>
        <w:t>dans le cas de garanties dont la notation de crédit est B+ (B1) ou inférieure à la date de comptabilisation initiale: la détérioration est considérée comme significative si la différence entre la notation à l’émission et celle à la date de clôture est supérieure ou égale à 1 cran.</w:t>
      </w:r>
    </w:p>
    <w:p>
      <w:pPr>
        <w:pStyle w:val="DGTextstand-alone"/>
      </w:pPr>
      <w:r>
        <w:t>En revanche, si les notations de crédit ne sont pas disponibles mais qu’il existe une estimation des créances annuelles attendues au moment de la comptabilisation initiale, le niveau réel des créances par rapport à l’estimation initiale est également considéré comme un indicateur de risque raisonnable aux fins de l’évaluation de l’augmentation importante du risque de crédit.</w:t>
      </w:r>
    </w:p>
    <w:p>
      <w:pPr>
        <w:pStyle w:val="DGTextstand-alone"/>
      </w:pPr>
      <w:r>
        <w:t>Outre les critères mentionnés ci-avant, l’UE peut procéder à une évaluation qualitative de l’augmentation importante du risque de crédit, sur la base d’informations disponibles supplémentaires, raisonnables et justifiées.</w:t>
      </w:r>
    </w:p>
    <w:p>
      <w:pPr>
        <w:pStyle w:val="DGTextstand-alone"/>
      </w:pPr>
      <w:r>
        <w:t>Les CGF émis avant le passage à la version révisée de la règle comptable nº 11 de l’UE (c’est-à-dire avant le 1</w:t>
      </w:r>
      <w:r>
        <w:rPr>
          <w:vertAlign w:val="superscript"/>
        </w:rPr>
        <w:t>er</w:t>
      </w:r>
      <w:r>
        <w:t> janvier 2021), pour lesquels aucune information sur le risque de crédit lors de la comptabilisation initiale n’est disponible sans coûts ni efforts excessifs, sont classés au stade 2.</w:t>
      </w:r>
    </w:p>
    <w:p>
      <w:pPr>
        <w:pStyle w:val="DGTextstand-alone"/>
      </w:pPr>
      <w:r>
        <w:t>La classification au stade 3 et en tant que POCI ne s’applique pas aux CGF.</w:t>
      </w:r>
    </w:p>
    <w:p>
      <w:pPr>
        <w:pStyle w:val="DGTextstand-alone"/>
      </w:pPr>
      <w:r>
        <w:t>Les contrats de garantie financière sont classés en tant que passifs courants, sauf si l’UE bénéficie du droit inconditionnel de différer le règlement du passif pendant au moins 12 mois après la date de clôture.</w:t>
      </w:r>
    </w:p>
    <w:p>
      <w:pPr>
        <w:pStyle w:val="HEADER5"/>
        <w:rPr>
          <w:noProof/>
        </w:rPr>
      </w:pPr>
      <w:r>
        <w:rPr>
          <w:noProof/>
        </w:rPr>
        <w:t>Contributions avec conditions</w:t>
      </w:r>
    </w:p>
    <w:p>
      <w:pPr>
        <w:pStyle w:val="DGTextstand-alone"/>
      </w:pPr>
      <w:r>
        <w:t>Les fonds fiduciaires de l’UE considérés comme faisant partie des activités opérationnelles de la Commission (par exemple, les fonds fiduciaires Madad et Colombie) sont comptabilisés dans les comptes de cette dernière puis consolidés dans les comptes annuels de l’UE. Les contributions d’autres donateurs à ces fonds fiduciaires répondent aux critères des recettes conditionnelles tirées d’opérations sans contrepartie directe. Elles sont présentées au passif financier jusqu’à ce que les conditions liées aux contributions transférées soient satisfaites, c’est-à-dire jusqu’à ce que les coûts admissibles soient encourus par le fonds fiduciaire. Le fonds fiduciaire est nécessaire pour financer des projets spécifiques et restituer les fonds restants au moment de la liquidation. À la date de clôture, l’encours des charges de contributions est évalué au montant des contributions reçues, diminué des dépenses encourues par le fonds fiduciaire, y compris des montants estimés, le cas échéant. Aux fins de la déclaration, les dépenses nettes sont affectées aux contributions d’autres donateurs au prorata de leurs contributions nettes au 31 décembre. Cette affectation des contributions est purement indicative. Lors de la liquidation du fonds fiduciaire, le conseil d’administration du fonds décidera de la répartition effective des ressources restantes.</w:t>
      </w:r>
    </w:p>
    <w:p>
      <w:pPr>
        <w:pStyle w:val="DGTextstand-alone"/>
      </w:pPr>
      <w:r>
        <w:t>Les mêmes principes de mesure s’appliquent aux contributions externes apportées aux programmes de l’UE, si ces contributions sont reçues à la condition d’utiliser les ressources stipulées dans les conventions de contribution ou à celle de les restituer au contributeur.</w:t>
      </w:r>
    </w:p>
    <w:p>
      <w:pPr>
        <w:pStyle w:val="HEADER3NOTES"/>
        <w:keepNext/>
        <w:jc w:val="both"/>
        <w:rPr>
          <w:noProof/>
        </w:rPr>
      </w:pPr>
      <w:r>
        <w:rPr>
          <w:noProof/>
        </w:rPr>
        <w:lastRenderedPageBreak/>
        <w:t>Sommes à payer</w:t>
      </w:r>
    </w:p>
    <w:p>
      <w:pPr>
        <w:pStyle w:val="DGTextstand-alone"/>
      </w:pPr>
      <w:r>
        <w:t>Une part importante des sommes à payer par l’UE correspond à des déclarations de dépenses soumises par les bénéficiaires de subventions ou d’autres financements de l’Union européenne, dont le montant n’a pas été acquitté par celle-ci (opérations sans contrepartie directe). Elles sont comptabilisées comme sommes à payer pour les montants réclamés à la réception de la déclaration de dépenses. Après vérification et acceptation des frais éligibles, elles sont évaluées au montant éligible.</w:t>
      </w:r>
    </w:p>
    <w:p>
      <w:pPr>
        <w:pStyle w:val="DGTextstand-alone"/>
      </w:pPr>
      <w:r>
        <w:t>Les sommes à payer à la suite de l’achat de biens ou de services sont comptabilisées à la réception de la facture pour le montant initial de celle-ci, et les dépenses éligibles correspondantes sont saisies dans les comptes lorsque les biens ou services sont livrés ou fournis à l’UE et acceptés par celle-ci.</w:t>
      </w:r>
    </w:p>
    <w:p>
      <w:pPr>
        <w:pStyle w:val="HEADER3NOTES"/>
        <w:keepNext/>
        <w:jc w:val="both"/>
        <w:rPr>
          <w:noProof/>
        </w:rPr>
      </w:pPr>
      <w:r>
        <w:rPr>
          <w:noProof/>
        </w:rPr>
        <w:t>Charges à payer/produits à recevoir et charges et produits à reporter</w:t>
      </w:r>
    </w:p>
    <w:p>
      <w:pPr>
        <w:pStyle w:val="DGTextstand-alone"/>
      </w:pPr>
      <w:r>
        <w:t>Les transactions et événements sont constatés dans les états financiers de l’exercice auquel ils se rapportent. En fin d’exercice, lorsqu’une facture n’a pas été envoyée alors que le service a été fourni ou les biens livrés par l’UE ou qu’il existe un accord contractuel (par exemple par référence à un traité), le montant correspondant est comptabilisé dans les états financiers en tant que produit à recevoir. Par ailleurs, lorsque, en fin d’exercice, une facture a été envoyée alors que le service n’a pas encore été fourni ou que les biens n’ont pas encore été livrés, le produit correspondant est reporté et sera comptabilisé lors de l’exercice comptable suivant.</w:t>
      </w:r>
    </w:p>
    <w:p>
      <w:pPr>
        <w:pStyle w:val="DGTextstand-alone"/>
      </w:pPr>
      <w:r>
        <w:t>Les charges sont également comptabilisées au cours de l’exercice auquel elles se rapportent. À la fin de la période comptable, les charges à payer sont constatées sur la base du montant estimatif des transferts dus au titre de l’exercice. Les charges à payer sont calculées conformément aux lignes directrices opérationnelles et pratiques publiées par la Commission, qui visent à faire en sorte que les états financiers fournissent une image fidèle des phénomènes économiques et autres qu’ils sont censés représenter. Par analogie, si un paiement d’avance a été effectué pour des biens ou services n’ayant pas encore été reçus, la charge correspondante sera reportée et comptabilisée lors de l’exercice comptable suivant.</w:t>
      </w:r>
    </w:p>
    <w:p>
      <w:pPr>
        <w:pStyle w:val="HEADER2NOTES"/>
        <w:jc w:val="both"/>
        <w:rPr>
          <w:noProof/>
        </w:rPr>
      </w:pPr>
      <w:r>
        <w:rPr>
          <w:noProof/>
        </w:rPr>
        <w:t>COMPTE DE RÉSULTAT ÉCONOMIQUE</w:t>
      </w:r>
    </w:p>
    <w:p>
      <w:pPr>
        <w:pStyle w:val="HEADER3NOTES"/>
        <w:jc w:val="both"/>
        <w:rPr>
          <w:noProof/>
        </w:rPr>
      </w:pPr>
      <w:r>
        <w:rPr>
          <w:noProof/>
        </w:rPr>
        <w:t>Recettes</w:t>
      </w:r>
    </w:p>
    <w:p>
      <w:pPr>
        <w:pStyle w:val="HEADER5"/>
        <w:rPr>
          <w:b/>
          <w:noProof/>
        </w:rPr>
      </w:pPr>
      <w:r>
        <w:rPr>
          <w:noProof/>
        </w:rPr>
        <w:t>PRODUITS DES OPÉRATIONS SANS CONTREPARTIE DIRECTE</w:t>
      </w:r>
    </w:p>
    <w:p>
      <w:pPr>
        <w:pStyle w:val="DGTextstand-alone"/>
      </w:pPr>
      <w:r>
        <w:t>La grande majorité des recettes de l’UE concerne des opérations sans contrepartie directe, comme indiqué ci-après.</w:t>
      </w:r>
    </w:p>
    <w:p>
      <w:pPr>
        <w:pStyle w:val="HEADER5"/>
        <w:rPr>
          <w:b/>
          <w:noProof/>
        </w:rPr>
      </w:pPr>
      <w:r>
        <w:rPr>
          <w:noProof/>
        </w:rPr>
        <w:t>Ressources propres fondées sur le RNB, la TVA et les matières plastiques</w:t>
      </w:r>
    </w:p>
    <w:p>
      <w:pPr>
        <w:pStyle w:val="DGTextstand-alone"/>
      </w:pPr>
      <w:r>
        <w:t>Les recettes sont comptabilisées au titre de la période pour laquelle la Commission lance un appel de fonds aux États membres, demandant leur contribution. Elles sont évaluées à leur «montant appelé». Étant donné que les ressources propres fondées sur la TVA, le RNB et les matières plastiques sont déterminées sur la base d’estimations des données relatives à l’exercice budgétaire concerné, elles peuvent être revues au fil des variations jusqu’à ce que les données définitives soient publiées par les États membres. L’effet d’un changement d’estimation doit être inclus dans la détermination de l’excédent ou du déficit net de la période pendant laquelle le changement s’est produit.</w:t>
      </w:r>
    </w:p>
    <w:p>
      <w:pPr>
        <w:pStyle w:val="HEADER5"/>
        <w:rPr>
          <w:b/>
          <w:noProof/>
        </w:rPr>
      </w:pPr>
      <w:r>
        <w:rPr>
          <w:noProof/>
        </w:rPr>
        <w:t>Ressources propres traditionnelles</w:t>
      </w:r>
    </w:p>
    <w:p>
      <w:pPr>
        <w:pStyle w:val="DGTextstand-alone"/>
      </w:pPr>
      <w:r>
        <w:t>Les créances à recouvrer des opérations sans contrepartie directe et produits correspondants sont comptabilisés lorsque sont reçus les relevés mensuels de la comptabilité «A» (comprenant les droits perçus et les montants dus qui sont garantis et non contestés) des États membres. À la date de clôture, les recettes perçues par les États membres au titre de l’exercice mais encore non versées à la Commission sont évaluées et comptabilisées en produits à recevoir. Les relevés trimestriels de la comptabilité «B» (comprenant les droits ni perçus ni garantis, ainsi que les montants garantis mais contestés par le débiteur) reçus des États membres sont comptabilisés en produits, diminués des frais de perception auxquels ils peuvent prétendre. De plus, une réduction de valeur est constatée pour le montant de l’écart de recouvrement estimé.</w:t>
      </w:r>
    </w:p>
    <w:p>
      <w:pPr>
        <w:pStyle w:val="HEADER5"/>
        <w:rPr>
          <w:b/>
          <w:noProof/>
        </w:rPr>
      </w:pPr>
      <w:r>
        <w:rPr>
          <w:noProof/>
        </w:rPr>
        <w:lastRenderedPageBreak/>
        <w:t>Amendes</w:t>
      </w:r>
    </w:p>
    <w:p>
      <w:pPr>
        <w:pStyle w:val="DGTextstand-alone"/>
      </w:pPr>
      <w:r>
        <w:t>Les recettes générées par les amendes sont comptabilisées une fois que la décision d’imposer une amende a été adoptée par l’UE et officiellement notifiée au destinataire. À compter de la notification de la décision d’imposer une amende, les entités sanctionnées disposent d’un délai de deux mois pour:</w:t>
      </w:r>
    </w:p>
    <w:p>
      <w:pPr>
        <w:pStyle w:val="DGTextstand-alonedashesjustified"/>
      </w:pPr>
      <w:r>
        <w:t>soit accepter la décision et par conséquent payer le montant de l’amende dans le délai imparti, et ce montant est définitivement encaissé par l’UE, ou</w:t>
      </w:r>
    </w:p>
    <w:p>
      <w:pPr>
        <w:pStyle w:val="DGTextstand-alonedashesjustified"/>
      </w:pPr>
      <w:r>
        <w:t>ne pas accepter la décision et la contester dans le respect du droit de l’UE.</w:t>
      </w:r>
    </w:p>
    <w:p>
      <w:pPr>
        <w:pStyle w:val="DGTextstand-alone"/>
      </w:pPr>
      <w:r>
        <w:t>Malgré cela, l’amende doit être payée dans le délai imparti de trois mois, le recours n’ayant pas d’effet suspensif (article 278 TFUE). Les liquidités reçues sont portées en apurement de la créance à recouvrer. Cependant, moyennant l’accord du comptable de la Commission, l’entreprise peut fournir à la place une garantie bancaire pour le montant de l’amende. Dans ce cas, l’amende reste comptabilisée comme une créance à recouvrer. Si aucune liquidité ni garantie n’est reçue et s’il existe des doutes sur la solvabilité de l’entreprise, la créance fait l’objet d’une réduction de valeur.</w:t>
      </w:r>
    </w:p>
    <w:p>
      <w:pPr>
        <w:pStyle w:val="DGTextstand-alone"/>
      </w:pPr>
      <w:bookmarkStart w:id="79" w:name="_Hlk160622670"/>
      <w:r>
        <w:t>Si l’entreprise fait appel de la décision et a déjà versé le montant de l’amende à titre provisionnel, celui-ci est enregistré comme un passif éventuel. S’il paraît probable que le Tribunal ne se prononce pas en faveur de l’UE, une provision est comptabilisée pour couvrir ce risque. Si une garantie est fournie en lieu et place du paiement, la valeur de la créance à recouvrer est réduite.</w:t>
      </w:r>
    </w:p>
    <w:bookmarkEnd w:id="79"/>
    <w:p>
      <w:pPr>
        <w:pStyle w:val="DGTextstand-alone"/>
      </w:pPr>
      <w:r>
        <w:t>Le total des intérêts reçus par la Commission sur les comptes bancaires où les paiements perçus sont déposés est comptabilisé comme un produit et tout passif éventuel est augmenté en conséquence.</w:t>
      </w:r>
    </w:p>
    <w:p>
      <w:pPr>
        <w:pStyle w:val="DGTextstand-alone"/>
      </w:pPr>
      <w:r>
        <w:t>Depuis 2010, les amendes encaissées à titre provisionnel sont gérées par la Commission dans un fonds expressément créé à cet effet (BUFI) et investies dans des instruments financiers.</w:t>
      </w:r>
    </w:p>
    <w:p>
      <w:pPr>
        <w:pStyle w:val="HEADER5"/>
        <w:rPr>
          <w:b/>
          <w:noProof/>
        </w:rPr>
      </w:pPr>
      <w:r>
        <w:rPr>
          <w:noProof/>
        </w:rPr>
        <w:t>Traitement comptable de l’excédent budgétaire de l’exercice précédent</w:t>
      </w:r>
    </w:p>
    <w:p>
      <w:pPr>
        <w:pStyle w:val="DGTextstand-alone"/>
      </w:pPr>
      <w:r>
        <w:t>L’article 18, paragraphe 1, du règlement financier dispose que l’excédent budgétaire d’un exercice donné est inscrit au budget de l’exercice suivant en recette. Dans le compte de résultat économique, ces recettes sont comptabilisées dans les «Autres produits des opérations sans contrepartie directe» (voir note </w:t>
      </w:r>
      <w:r>
        <w:rPr>
          <w:b/>
        </w:rPr>
        <w:t>3.8</w:t>
      </w:r>
      <w:r>
        <w:t>), avec une entrée correspondante dans les «Montants à appeler auprès des États membres», une composante de l’actif net (voir note </w:t>
      </w:r>
      <w:r>
        <w:rPr>
          <w:b/>
        </w:rPr>
        <w:t>2.15</w:t>
      </w:r>
      <w:r>
        <w:t>).</w:t>
      </w:r>
    </w:p>
    <w:p>
      <w:pPr>
        <w:pStyle w:val="HEADER5"/>
        <w:rPr>
          <w:b/>
          <w:noProof/>
        </w:rPr>
      </w:pPr>
      <w:r>
        <w:rPr>
          <w:noProof/>
        </w:rPr>
        <w:t>PRODUITS DES OPÉRATIONS AVEC CONTREPARTIE DIRECTE</w:t>
      </w:r>
    </w:p>
    <w:p>
      <w:pPr>
        <w:pStyle w:val="DGTextstand-alone"/>
      </w:pPr>
      <w:r>
        <w:t>Le produit de la vente de biens et de services est comptabilisé lorsque l’acheteur s’est vu transférer les risques et avantages importants inhérents à la propriété des biens. La comptabilisation du produit d’une transaction impliquant la fourniture de services se fait en fonction du degré d’avancement de la transaction à la date de clôture.</w:t>
      </w:r>
    </w:p>
    <w:p>
      <w:pPr>
        <w:pStyle w:val="HEADER5"/>
        <w:rPr>
          <w:b/>
          <w:noProof/>
        </w:rPr>
      </w:pPr>
      <w:r>
        <w:rPr>
          <w:noProof/>
        </w:rPr>
        <w:t>Produits et charges d’intérêt</w:t>
      </w:r>
    </w:p>
    <w:p>
      <w:pPr>
        <w:pStyle w:val="DGTextstand-alone"/>
      </w:pPr>
      <w:r>
        <w:t>Les produits et charges d’intérêt sont comptabilisés au compte de résultat économique selon la méthode du taux d’intérêt effectif. Cette méthode permet de calculer le coût amorti d’un actif financier ou d’un passif financier et de répartir le produit ou la charge d’intérêt sur la période voulue. Pour calculer le taux d’intérêt effectif, l’UE estime les flux de trésorerie en tenant compte de toutes les conditions contractuelles de l’instrument financier (les options de versement anticipé, par exemple), mais ne tient pas compte des pertes de crédit futures. Ce calcul inclut l’intégralité des commissions et des points de taux d’intérêt payés ou reçus entre les parties au contrat qui font partie intégrante du taux d’intérêt effectif, des coûts de transaction et de toutes les autres primes positives ou négatives.</w:t>
      </w:r>
    </w:p>
    <w:p>
      <w:pPr>
        <w:pStyle w:val="DGTextstand-alone"/>
      </w:pPr>
      <w:r>
        <w:t>Dès qu’un actif financier ou un groupe d’actifs financiers similaires est considéré comme un crédit déprécié («stade 3»), les produits d’intérêt sont comptabilisés sur la base du taux d’intérêt pour actualiser les flux de trésorerie futurs en vue d’évaluer la perte de valeur.</w:t>
      </w:r>
    </w:p>
    <w:p>
      <w:pPr>
        <w:pStyle w:val="HEADER5"/>
        <w:rPr>
          <w:b/>
          <w:noProof/>
        </w:rPr>
      </w:pPr>
      <w:r>
        <w:rPr>
          <w:noProof/>
        </w:rPr>
        <w:t>Dividendes</w:t>
      </w:r>
    </w:p>
    <w:p>
      <w:pPr>
        <w:pStyle w:val="DGTextstand-alone"/>
      </w:pPr>
      <w:r>
        <w:t>Les dividendes et distributions similaires sont comptabilisés lorsque le droit de l’actionnaire de percevoir le paiement est établi.</w:t>
      </w:r>
    </w:p>
    <w:p>
      <w:pPr>
        <w:pStyle w:val="HEADER5"/>
        <w:rPr>
          <w:noProof/>
        </w:rPr>
      </w:pPr>
      <w:r>
        <w:rPr>
          <w:noProof/>
        </w:rPr>
        <w:lastRenderedPageBreak/>
        <w:t>Produits et charges provenant d’actifs financiers évalués à la juste valeur par le biais du compte de résultat</w:t>
      </w:r>
    </w:p>
    <w:p>
      <w:pPr>
        <w:pStyle w:val="HEADER5"/>
        <w:spacing w:before="240"/>
        <w:rPr>
          <w:rFonts w:eastAsia="Calibri"/>
          <w:noProof/>
          <w:color w:val="auto"/>
        </w:rPr>
      </w:pPr>
      <w:r>
        <w:rPr>
          <w:noProof/>
          <w:color w:val="auto"/>
        </w:rPr>
        <w:t>Il s’agit des profits de juste valeur (produits) et des pertes de juste valeur (charges) provenant de ces actifs financiers, y compris ceux résultant de la conversion en devises. Pour les actifs financiers porteurs d’intérêts, cela inclut également les intérêts. Voir également la note </w:t>
      </w:r>
      <w:r>
        <w:rPr>
          <w:b/>
          <w:noProof/>
          <w:color w:val="auto"/>
        </w:rPr>
        <w:t>3.9</w:t>
      </w:r>
      <w:r>
        <w:rPr>
          <w:noProof/>
          <w:color w:val="auto"/>
        </w:rPr>
        <w:t>.</w:t>
      </w:r>
    </w:p>
    <w:p>
      <w:pPr>
        <w:pStyle w:val="HEADER5"/>
        <w:rPr>
          <w:noProof/>
        </w:rPr>
      </w:pPr>
      <w:r>
        <w:rPr>
          <w:noProof/>
        </w:rPr>
        <w:t>Produits provenant des contrats de garantie financière</w:t>
      </w:r>
    </w:p>
    <w:p>
      <w:pPr>
        <w:pStyle w:val="DGTextstand-alone"/>
      </w:pPr>
      <w:r>
        <w:t>Le produit des contrats de garantie financière (prime de garantie) est comptabilisé pendant la période au cours de laquelle l’UE est disposée à indemniser le titulaire du contrat de garantie financière pour la perte de crédit qu’il pourrait subir. Le calendrier d’amortissement appliqué tient compte de l’écoulement du temps et de l’ampleur de l’exposition garantie. Les produits des contrats de garantie financière comprennent également l’amortissement des passifs liés aux contrats de garantie financière lorsque la garantie a été fournie sans contrepartie ou pour une contrepartie symbolique.</w:t>
      </w:r>
    </w:p>
    <w:p>
      <w:pPr>
        <w:pStyle w:val="HEADER3NOTES"/>
        <w:jc w:val="both"/>
        <w:rPr>
          <w:noProof/>
        </w:rPr>
      </w:pPr>
      <w:r>
        <w:rPr>
          <w:noProof/>
        </w:rPr>
        <w:t>Dépenses</w:t>
      </w:r>
    </w:p>
    <w:p>
      <w:pPr>
        <w:pStyle w:val="DGTextstand-alone"/>
      </w:pPr>
      <w:r>
        <w:t>Les charges liées à des opérations sans contrepartie directe représentent la majeure partie des charges de l’UE. Elles concernent les transferts à des bénéficiaires et peuvent relever de trois catégories: (i) les créances, (ii) les transferts dans le cadre de contrats et de subventions discrétionnaires, ainsi que (iii) les apports et les dons.</w:t>
      </w:r>
    </w:p>
    <w:p>
      <w:pPr>
        <w:pStyle w:val="DGTextstand-alone"/>
      </w:pPr>
      <w:r>
        <w:t>Les transferts sont comptabilisés en charges de l’exercice au cours duquel les événements donnant lieu à transfert se sont produits, pour autant que la nature du transfert considéré soit autorisée par la réglementation applicable (règlement financier, statut ou autre) ou qu’un accord signé autorise le transfert, que le bénéficiaire réponde aux éventuels critères d’éligibilité et que le montant puisse être raisonnablement estimé.</w:t>
      </w:r>
    </w:p>
    <w:p>
      <w:pPr>
        <w:pStyle w:val="DGTextstand-alone"/>
      </w:pPr>
      <w:r>
        <w:t>Lorsqu’une demande de paiement ou une déclaration de dépenses satisfaisant aux critères de comptabilisation est reçue, elle est comptabilisée en charges à concurrence du montant éligible. En fin d’exercice, les dépenses éligibles encourues dues aux bénéficiaires mais non encore déclarées sont estimées et comptabilisées en charges à payer.</w:t>
      </w:r>
    </w:p>
    <w:p>
      <w:pPr>
        <w:pStyle w:val="DGTextstand-alone"/>
      </w:pPr>
      <w:r>
        <w:t>Les charges liées à des opérations avec contrepartie directe telles que des achats de biens ou de services sont comptabilisées lorsque les fournitures sont livrées et acceptées par l’UE. Elles sont valorisées au montant de leur facture d’origine. En outre, à la date de clôture, les dépenses liées aux services fournis au cours de la période pour lesquels une facture n’a pas encore été reçue ou acceptée sont estimées et portées au compte de résultat économique.</w:t>
      </w:r>
    </w:p>
    <w:p>
      <w:pPr>
        <w:pStyle w:val="HEADER2NOTES"/>
        <w:keepNext/>
        <w:jc w:val="both"/>
        <w:rPr>
          <w:noProof/>
        </w:rPr>
      </w:pPr>
      <w:r>
        <w:rPr>
          <w:noProof/>
        </w:rPr>
        <w:t>ÉLÉMENTS D’ACTIF ET DE PASSIF ÉVENTUELS</w:t>
      </w:r>
    </w:p>
    <w:p>
      <w:pPr>
        <w:pStyle w:val="HEADER3NOTES"/>
        <w:keepNext/>
        <w:jc w:val="both"/>
        <w:rPr>
          <w:noProof/>
        </w:rPr>
      </w:pPr>
      <w:r>
        <w:rPr>
          <w:noProof/>
        </w:rPr>
        <w:t>Actif éventuel</w:t>
      </w:r>
    </w:p>
    <w:p>
      <w:pPr>
        <w:pStyle w:val="DGTextstand-alone"/>
      </w:pPr>
      <w:r>
        <w:t>Un actif éventuel est un actif potentiel résultant d’événements passés et dont l’existence ne sera confirmée que par la survenance ou non d’un ou plusieurs événements futurs incertains qui ne sont pas entièrement sous le contrôle de l’UE. Un actif éventuel est enregistré lorsque l’entrée d’avantages économiques ou un potentiel de service est probable.</w:t>
      </w:r>
    </w:p>
    <w:p>
      <w:pPr>
        <w:pStyle w:val="HEADER3NOTES"/>
        <w:jc w:val="both"/>
        <w:rPr>
          <w:noProof/>
        </w:rPr>
      </w:pPr>
      <w:r>
        <w:rPr>
          <w:noProof/>
        </w:rPr>
        <w:t>Passif éventuel</w:t>
      </w:r>
    </w:p>
    <w:p>
      <w:pPr>
        <w:pStyle w:val="DGTextstand-alone"/>
      </w:pPr>
      <w:r>
        <w:t>Un passif éventuel est une obligation potentielle résultant d’événements passés et dont l’existence ne sera confirmée que par la survenance ou non d’un ou plusieurs événements futurs incertains qui ne sont pas entièrement sous le contrôle de l’UE, ou une obligation actuelle résultant d’événements passés mais non comptabilisée, soit parce qu’il est peu probable qu’une sortie de ressources représentatives d’avantages économiques ou d’un potentiel de service sera nécessaire pour régler l’obligation, soit dans le cas extrêmement rare où aucune estimation fiable ne peut être faite pour le montant de l’obligation. Un passif éventuel donne lieu à une information en annexe, à moins que la probabilité d’une sortie de ressources représentatives d’avantages économiques ou d’un potentiel de service soit faible.</w:t>
      </w:r>
    </w:p>
    <w:p>
      <w:pPr>
        <w:pStyle w:val="HEADER2NOTES"/>
        <w:jc w:val="both"/>
        <w:rPr>
          <w:noProof/>
        </w:rPr>
      </w:pPr>
      <w:r>
        <w:rPr>
          <w:noProof/>
        </w:rPr>
        <w:lastRenderedPageBreak/>
        <w:t>TABLEAU DES FLUX DE TRÉSORERIE</w:t>
      </w:r>
    </w:p>
    <w:p>
      <w:pPr>
        <w:pStyle w:val="DGTextstand-alone"/>
      </w:pPr>
      <w:r>
        <w:t>Les informations relatives aux flux de trésorerie constituent une base pour évaluer la capacité de l’UE à générer de la trésorerie et des équivalents de trésorerie ainsi que ses besoins en termes d’utilisation de ces flux de trésorerie.</w:t>
      </w:r>
    </w:p>
    <w:p>
      <w:pPr>
        <w:pStyle w:val="DGTextstand-alone"/>
      </w:pPr>
      <w:r>
        <w:t>Le tableau des flux de trésorerie est établi à l’aide de la méthode indirecte. Cela signifie que le résultat économique de l’exercice est ajusté des effets des transactions sans effet de trésorerie, des décalages ou régularisations d’entrées ou de sorties de trésorerie opérationnelle passées ou futures et des éléments de produits ou de charges liés aux flux de trésorerie concernant les investissements.</w:t>
      </w:r>
    </w:p>
    <w:p>
      <w:pPr>
        <w:pStyle w:val="DGTextstand-alone"/>
      </w:pPr>
      <w:r>
        <w:t>Les flux de trésorerie provenant de transactions en monnaie étrangère sont enregistrés dans la monnaie de présentation des états financiers de l’UE (l’euro), par application au montant en devise du taux de change entre l’euro et la devise à la date de ces flux.</w:t>
      </w:r>
    </w:p>
    <w:p>
      <w:pPr>
        <w:pStyle w:val="DGTextstand-alone"/>
      </w:pPr>
      <w:r>
        <w:t>L’état des flux de trésorerie présente les flux de trésorerie de la période classés en activités opérationnelles, d’investissement et de financement.</w:t>
      </w:r>
    </w:p>
    <w:p>
      <w:pPr>
        <w:pStyle w:val="DGTextstand-alone"/>
      </w:pPr>
      <w:bookmarkStart w:id="80" w:name="_Hlk160554125"/>
      <w:r>
        <w:t>Les activités opérationnelles correspondent aux activités de l’UE autres que des activités d’investissement ou de financement. En tant que telles, elles représentent la majorité des activités menées par l’UE.</w:t>
      </w:r>
    </w:p>
    <w:bookmarkEnd w:id="80"/>
    <w:p>
      <w:pPr>
        <w:pStyle w:val="DGTextstand-alone"/>
      </w:pPr>
      <w:r>
        <w:t>Les activités d’investissement couvrent l’acquisition et la cession d’immobilisations corporelles et incorporelles ainsi que d’autres placements qui ne sont pas inclus dans les équivalents de trésorerie. Les activités d’investissement ne comprennent pas les prêts accordés à des bénéficiaires, étant donné qu’ils font partie des objectifs généraux et donc des opérations quotidiennes de l’UE. L’objectif est de faire apparaître les véritables investissements effectués par l’UE.</w:t>
      </w:r>
    </w:p>
    <w:p>
      <w:pPr>
        <w:pStyle w:val="DGTextstand-alone"/>
      </w:pPr>
      <w:r>
        <w:t>Les activités de financement sont des activités qui entraînent des changements dans la taille et la composition des emprunts autres que ceux accordés à des bénéficiaires sur une base réciproque («back-to-back») ou pour l’acquisition d’immobilisations corporelles (ces emprunts étant inclus dans les activités opérationnelles).</w:t>
      </w:r>
    </w:p>
    <w:bookmarkEnd w:id="74"/>
    <w:p>
      <w:pPr>
        <w:pStyle w:val="DGTextstand-alone"/>
        <w:sectPr>
          <w:headerReference w:type="default" r:id="rId65"/>
          <w:footerReference w:type="default" r:id="rId66"/>
          <w:pgSz w:w="11906" w:h="16838"/>
          <w:pgMar w:top="1134" w:right="1134" w:bottom="1134" w:left="1134" w:header="709" w:footer="709" w:gutter="0"/>
          <w:cols w:space="708"/>
          <w:docGrid w:linePitch="360"/>
        </w:sectPr>
      </w:pPr>
    </w:p>
    <w:p>
      <w:pPr>
        <w:pStyle w:val="HEADER1NOTES"/>
        <w:rPr>
          <w:noProof/>
        </w:rPr>
      </w:pPr>
      <w:bookmarkStart w:id="81" w:name="_Toc237350934"/>
      <w:bookmarkStart w:id="82" w:name="_DMBM_36727"/>
      <w:r>
        <w:rPr>
          <w:noProof/>
        </w:rPr>
        <w:lastRenderedPageBreak/>
        <w:t>NOTES ANNEXES AU BILAN</w:t>
      </w:r>
      <w:bookmarkEnd w:id="81"/>
    </w:p>
    <w:bookmarkEnd w:id="82"/>
    <w:p>
      <w:pPr>
        <w:pStyle w:val="HEADER1NOTES"/>
        <w:numPr>
          <w:ilvl w:val="0"/>
          <w:numId w:val="0"/>
        </w:numPr>
        <w:spacing w:after="0"/>
        <w:rPr>
          <w:noProof/>
          <w:lang w:val="fr-BE"/>
        </w:rPr>
        <w:sectPr>
          <w:headerReference w:type="default" r:id="rId67"/>
          <w:footerReference w:type="default" r:id="rId68"/>
          <w:pgSz w:w="11906" w:h="16838"/>
          <w:pgMar w:top="1134" w:right="1134" w:bottom="1134" w:left="1134" w:header="709" w:footer="709" w:gutter="0"/>
          <w:cols w:space="708"/>
          <w:docGrid w:linePitch="360"/>
        </w:sectPr>
      </w:pPr>
    </w:p>
    <w:p>
      <w:pPr>
        <w:pStyle w:val="HEADERTABLE"/>
        <w:rPr>
          <w:noProof/>
        </w:rPr>
      </w:pPr>
      <w:bookmarkStart w:id="83" w:name="_DMBM_36682"/>
      <w:r>
        <w:rPr>
          <w:noProof/>
        </w:rPr>
        <w:t>ACTIFS</w:t>
      </w:r>
    </w:p>
    <w:p>
      <w:pPr>
        <w:pStyle w:val="Textstand-alone"/>
        <w:spacing w:before="0" w:after="0"/>
        <w:sectPr>
          <w:headerReference w:type="default" r:id="rId69"/>
          <w:footerReference w:type="default" r:id="rId70"/>
          <w:type w:val="continuous"/>
          <w:pgSz w:w="11906" w:h="16838"/>
          <w:pgMar w:top="1134" w:right="1134" w:bottom="1134" w:left="1134" w:header="709" w:footer="709" w:gutter="0"/>
          <w:cols w:space="708"/>
          <w:docGrid w:linePitch="360"/>
        </w:sectPr>
      </w:pPr>
      <w:r>
        <w:t xml:space="preserve"> </w:t>
      </w:r>
      <w:bookmarkEnd w:id="83"/>
    </w:p>
    <w:p>
      <w:pPr>
        <w:numPr>
          <w:ilvl w:val="1"/>
          <w:numId w:val="15"/>
        </w:numPr>
        <w:tabs>
          <w:tab w:val="left" w:pos="907"/>
        </w:tabs>
        <w:spacing w:before="360" w:after="360"/>
        <w:rPr>
          <w:rFonts w:ascii="Verdana" w:hAnsi="Verdana"/>
          <w:b/>
          <w:noProof/>
          <w:color w:val="016794"/>
          <w:sz w:val="28"/>
          <w:szCs w:val="28"/>
        </w:rPr>
      </w:pPr>
      <w:bookmarkStart w:id="84" w:name="_DMBM_36705"/>
      <w:r>
        <w:rPr>
          <w:rFonts w:ascii="Verdana" w:hAnsi="Verdana"/>
          <w:b/>
          <w:noProof/>
          <w:color w:val="016794"/>
          <w:sz w:val="28"/>
        </w:rPr>
        <w:t>IMMOBILISATIONS INCORPORELLES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72"/>
        <w:gridCol w:w="2686"/>
      </w:tblGrid>
      <w:tr>
        <w:trPr>
          <w:trHeight w:val="255"/>
        </w:trPr>
        <w:tc>
          <w:tcPr>
            <w:tcW w:w="4305" w:type="dxa"/>
            <w:tcBorders>
              <w:top w:val="nil"/>
              <w:left w:val="nil"/>
              <w:bottom w:val="nil"/>
              <w:right w:val="nil"/>
              <w:tl2br w:val="nil"/>
              <w:tr2bl w:val="nil"/>
            </w:tcBorders>
            <w:tcMar>
              <w:left w:w="60" w:type="dxa"/>
              <w:right w:w="60" w:type="dxa"/>
            </w:tcMar>
            <w:vAlign w:val="bottom"/>
          </w:tcPr>
          <w:p>
            <w:pPr>
              <w:pStyle w:val="DMETW36735BIPINFA"/>
              <w:rPr>
                <w:rFonts w:ascii="Arial" w:eastAsia="Arial" w:hAnsi="Arial" w:cs="Arial"/>
                <w:noProof/>
                <w:color w:val="000000"/>
                <w:sz w:val="16"/>
              </w:rPr>
            </w:pPr>
            <w:bookmarkStart w:id="85" w:name="DOC_TBL00007_1_1"/>
            <w:bookmarkEnd w:id="85"/>
          </w:p>
        </w:tc>
        <w:tc>
          <w:tcPr>
            <w:tcW w:w="1635" w:type="dxa"/>
            <w:tcBorders>
              <w:top w:val="nil"/>
              <w:left w:val="nil"/>
              <w:bottom w:val="nil"/>
              <w:right w:val="nil"/>
              <w:tl2br w:val="nil"/>
              <w:tr2bl w:val="nil"/>
            </w:tcBorders>
            <w:tcMar>
              <w:left w:w="60" w:type="dxa"/>
              <w:right w:w="60" w:type="dxa"/>
            </w:tcMar>
            <w:vAlign w:val="bottom"/>
          </w:tcPr>
          <w:p>
            <w:pPr>
              <w:pStyle w:val="DMETW36735BIPINFA"/>
              <w:jc w:val="right"/>
              <w:rPr>
                <w:rFonts w:ascii="Verdana" w:eastAsia="Verdana" w:hAnsi="Verdana" w:cs="Verdana"/>
                <w:i/>
                <w:noProof/>
                <w:color w:val="000000"/>
                <w:sz w:val="16"/>
              </w:rPr>
            </w:pPr>
            <w:r>
              <w:rPr>
                <w:rFonts w:ascii="Verdana" w:hAnsi="Verdana"/>
                <w:i/>
                <w:noProof/>
                <w:color w:val="000000"/>
                <w:sz w:val="16"/>
              </w:rPr>
              <w:t>en Mio EUR</w:t>
            </w:r>
          </w:p>
        </w:tc>
      </w:tr>
      <w:tr>
        <w:trPr>
          <w:trHeight w:val="255"/>
        </w:trPr>
        <w:tc>
          <w:tcPr>
            <w:tcW w:w="4305" w:type="dxa"/>
            <w:tcBorders>
              <w:top w:val="nil"/>
              <w:left w:val="nil"/>
              <w:bottom w:val="nil"/>
              <w:right w:val="nil"/>
              <w:tl2br w:val="nil"/>
              <w:tr2bl w:val="nil"/>
            </w:tcBorders>
            <w:shd w:val="solid" w:color="016794" w:fill="FFFFFF"/>
            <w:tcMar>
              <w:left w:w="60" w:type="dxa"/>
              <w:right w:w="60" w:type="dxa"/>
            </w:tcMar>
            <w:vAlign w:val="center"/>
          </w:tcPr>
          <w:p>
            <w:pPr>
              <w:pStyle w:val="DMETW36735BIPINFA"/>
              <w:jc w:val="right"/>
              <w:rPr>
                <w:rFonts w:ascii="Verdana" w:eastAsia="Verdana" w:hAnsi="Verdana" w:cs="Verdana"/>
                <w:noProof/>
                <w:color w:val="FFFFFF"/>
                <w:sz w:val="16"/>
              </w:rPr>
            </w:pPr>
          </w:p>
        </w:tc>
        <w:tc>
          <w:tcPr>
            <w:tcW w:w="1635" w:type="dxa"/>
            <w:tcBorders>
              <w:top w:val="nil"/>
              <w:left w:val="nil"/>
              <w:bottom w:val="nil"/>
              <w:right w:val="nil"/>
              <w:tl2br w:val="nil"/>
              <w:tr2bl w:val="nil"/>
            </w:tcBorders>
            <w:shd w:val="solid" w:color="016794" w:fill="FFFFFF"/>
            <w:tcMar>
              <w:left w:w="60" w:type="dxa"/>
              <w:right w:w="60" w:type="dxa"/>
            </w:tcMar>
            <w:vAlign w:val="center"/>
          </w:tcPr>
          <w:p>
            <w:pPr>
              <w:pStyle w:val="DMETW36735BIPINFA"/>
              <w:jc w:val="right"/>
              <w:rPr>
                <w:rFonts w:ascii="Verdana" w:eastAsia="Verdana" w:hAnsi="Verdana" w:cs="Verdana"/>
                <w:noProof/>
                <w:color w:val="FFFFFF"/>
                <w:sz w:val="16"/>
                <w:lang w:bidi="en-GB"/>
              </w:rPr>
            </w:pPr>
          </w:p>
        </w:tc>
      </w:tr>
      <w:tr>
        <w:trPr>
          <w:trHeight w:val="255"/>
        </w:trPr>
        <w:tc>
          <w:tcPr>
            <w:tcW w:w="4305" w:type="dxa"/>
            <w:tcBorders>
              <w:top w:val="nil"/>
              <w:left w:val="nil"/>
              <w:bottom w:val="nil"/>
              <w:right w:val="nil"/>
              <w:tl2br w:val="nil"/>
              <w:tr2bl w:val="nil"/>
            </w:tcBorders>
            <w:tcMar>
              <w:left w:w="60" w:type="dxa"/>
              <w:right w:w="60" w:type="dxa"/>
            </w:tcMar>
            <w:vAlign w:val="center"/>
          </w:tcPr>
          <w:p>
            <w:pPr>
              <w:pStyle w:val="DMETW36735BIPINFA"/>
              <w:rPr>
                <w:rFonts w:ascii="Verdana" w:eastAsia="Verdana" w:hAnsi="Verdana" w:cs="Verdana"/>
                <w:i/>
                <w:noProof/>
                <w:color w:val="000000"/>
                <w:sz w:val="18"/>
              </w:rPr>
            </w:pPr>
            <w:r>
              <w:rPr>
                <w:rFonts w:ascii="Verdana" w:hAnsi="Verdana"/>
                <w:i/>
                <w:noProof/>
                <w:color w:val="000000"/>
                <w:sz w:val="18"/>
              </w:rPr>
              <w:t>Valeur brute comptable au 31.12.2024</w:t>
            </w:r>
          </w:p>
        </w:tc>
        <w:tc>
          <w:tcPr>
            <w:tcW w:w="1635" w:type="dxa"/>
            <w:tcBorders>
              <w:top w:val="nil"/>
              <w:left w:val="nil"/>
              <w:bottom w:val="nil"/>
              <w:right w:val="nil"/>
              <w:tl2br w:val="nil"/>
              <w:tr2bl w:val="nil"/>
            </w:tcBorders>
            <w:tcMar>
              <w:left w:w="60" w:type="dxa"/>
              <w:right w:w="60" w:type="dxa"/>
            </w:tcMar>
            <w:vAlign w:val="center"/>
          </w:tcPr>
          <w:p>
            <w:pPr>
              <w:pStyle w:val="DMETW36735BIPINFA"/>
              <w:jc w:val="right"/>
              <w:rPr>
                <w:rFonts w:ascii="Verdana" w:eastAsia="Verdana" w:hAnsi="Verdana" w:cs="Verdana"/>
                <w:i/>
                <w:noProof/>
                <w:color w:val="000000"/>
                <w:sz w:val="18"/>
              </w:rPr>
            </w:pPr>
            <w:r>
              <w:rPr>
                <w:rFonts w:ascii="Verdana" w:hAnsi="Verdana"/>
                <w:i/>
                <w:noProof/>
                <w:color w:val="000000"/>
                <w:sz w:val="18"/>
              </w:rPr>
              <w:t>2 257</w:t>
            </w:r>
          </w:p>
        </w:tc>
      </w:tr>
      <w:tr>
        <w:trPr>
          <w:trHeight w:val="255"/>
        </w:trPr>
        <w:tc>
          <w:tcPr>
            <w:tcW w:w="4305" w:type="dxa"/>
            <w:tcBorders>
              <w:top w:val="nil"/>
              <w:left w:val="nil"/>
              <w:bottom w:val="nil"/>
              <w:right w:val="nil"/>
              <w:tl2br w:val="nil"/>
              <w:tr2bl w:val="nil"/>
            </w:tcBorders>
            <w:tcMar>
              <w:left w:w="60" w:type="dxa"/>
              <w:right w:w="60" w:type="dxa"/>
            </w:tcMar>
            <w:vAlign w:val="center"/>
          </w:tcPr>
          <w:p>
            <w:pPr>
              <w:pStyle w:val="DMETW36735BIPINFA"/>
              <w:rPr>
                <w:rFonts w:ascii="Verdana" w:eastAsia="Verdana" w:hAnsi="Verdana" w:cs="Verdana"/>
                <w:i/>
                <w:noProof/>
                <w:color w:val="000000"/>
                <w:sz w:val="18"/>
              </w:rPr>
            </w:pPr>
            <w:r>
              <w:rPr>
                <w:rFonts w:ascii="Verdana" w:hAnsi="Verdana"/>
                <w:i/>
                <w:noProof/>
                <w:color w:val="000000"/>
                <w:sz w:val="18"/>
              </w:rPr>
              <w:t>Ajouts</w:t>
            </w:r>
          </w:p>
        </w:tc>
        <w:tc>
          <w:tcPr>
            <w:tcW w:w="1635" w:type="dxa"/>
            <w:tcBorders>
              <w:top w:val="nil"/>
              <w:left w:val="nil"/>
              <w:bottom w:val="nil"/>
              <w:right w:val="nil"/>
              <w:tl2br w:val="nil"/>
              <w:tr2bl w:val="nil"/>
            </w:tcBorders>
            <w:tcMar>
              <w:left w:w="60" w:type="dxa"/>
              <w:right w:w="60" w:type="dxa"/>
            </w:tcMar>
            <w:vAlign w:val="center"/>
          </w:tcPr>
          <w:p>
            <w:pPr>
              <w:pStyle w:val="DMETW36735BIPINFA"/>
              <w:jc w:val="right"/>
              <w:rPr>
                <w:rFonts w:ascii="Verdana" w:eastAsia="Verdana" w:hAnsi="Verdana" w:cs="Verdana"/>
                <w:i/>
                <w:noProof/>
                <w:color w:val="000000"/>
                <w:sz w:val="18"/>
              </w:rPr>
            </w:pPr>
            <w:r>
              <w:rPr>
                <w:rFonts w:ascii="Verdana" w:hAnsi="Verdana"/>
                <w:i/>
                <w:noProof/>
                <w:color w:val="000000"/>
                <w:sz w:val="18"/>
              </w:rPr>
              <w:t xml:space="preserve"> 267</w:t>
            </w:r>
          </w:p>
        </w:tc>
      </w:tr>
      <w:tr>
        <w:trPr>
          <w:trHeight w:val="255"/>
        </w:trPr>
        <w:tc>
          <w:tcPr>
            <w:tcW w:w="4305" w:type="dxa"/>
            <w:tcBorders>
              <w:top w:val="nil"/>
              <w:left w:val="nil"/>
              <w:bottom w:val="nil"/>
              <w:right w:val="nil"/>
              <w:tl2br w:val="nil"/>
              <w:tr2bl w:val="nil"/>
            </w:tcBorders>
            <w:tcMar>
              <w:left w:w="60" w:type="dxa"/>
              <w:right w:w="60" w:type="dxa"/>
            </w:tcMar>
            <w:vAlign w:val="center"/>
          </w:tcPr>
          <w:p>
            <w:pPr>
              <w:pStyle w:val="DMETW36735BIPINFA"/>
              <w:rPr>
                <w:rFonts w:ascii="Verdana" w:eastAsia="Verdana" w:hAnsi="Verdana" w:cs="Verdana"/>
                <w:i/>
                <w:noProof/>
                <w:color w:val="000000"/>
                <w:sz w:val="18"/>
              </w:rPr>
            </w:pPr>
            <w:r>
              <w:rPr>
                <w:rFonts w:ascii="Verdana" w:hAnsi="Verdana"/>
                <w:i/>
                <w:noProof/>
                <w:color w:val="000000"/>
                <w:sz w:val="18"/>
              </w:rPr>
              <w:t>Produits de cessions</w:t>
            </w:r>
          </w:p>
        </w:tc>
        <w:tc>
          <w:tcPr>
            <w:tcW w:w="1635" w:type="dxa"/>
            <w:tcBorders>
              <w:top w:val="nil"/>
              <w:left w:val="nil"/>
              <w:bottom w:val="nil"/>
              <w:right w:val="nil"/>
              <w:tl2br w:val="nil"/>
              <w:tr2bl w:val="nil"/>
            </w:tcBorders>
            <w:tcMar>
              <w:left w:w="60" w:type="dxa"/>
              <w:right w:w="60" w:type="dxa"/>
            </w:tcMar>
            <w:vAlign w:val="center"/>
          </w:tcPr>
          <w:p>
            <w:pPr>
              <w:pStyle w:val="DMETW36735BIPINFA"/>
              <w:jc w:val="right"/>
              <w:rPr>
                <w:rFonts w:ascii="Verdana" w:eastAsia="Verdana" w:hAnsi="Verdana" w:cs="Verdana"/>
                <w:i/>
                <w:noProof/>
                <w:color w:val="000000"/>
                <w:sz w:val="18"/>
              </w:rPr>
            </w:pPr>
            <w:r>
              <w:rPr>
                <w:rFonts w:ascii="Verdana" w:hAnsi="Verdana"/>
                <w:i/>
                <w:noProof/>
                <w:color w:val="000000"/>
                <w:sz w:val="18"/>
              </w:rPr>
              <w:t xml:space="preserve"> (70)</w:t>
            </w:r>
          </w:p>
        </w:tc>
      </w:tr>
      <w:tr>
        <w:trPr>
          <w:trHeight w:val="255"/>
        </w:trPr>
        <w:tc>
          <w:tcPr>
            <w:tcW w:w="4305" w:type="dxa"/>
            <w:tcBorders>
              <w:top w:val="nil"/>
              <w:left w:val="nil"/>
              <w:bottom w:val="nil"/>
              <w:right w:val="nil"/>
              <w:tl2br w:val="nil"/>
              <w:tr2bl w:val="nil"/>
            </w:tcBorders>
            <w:tcMar>
              <w:left w:w="60" w:type="dxa"/>
              <w:right w:w="60" w:type="dxa"/>
            </w:tcMar>
            <w:vAlign w:val="center"/>
          </w:tcPr>
          <w:p>
            <w:pPr>
              <w:pStyle w:val="DMETW36735BIPINFA"/>
              <w:rPr>
                <w:rFonts w:ascii="Verdana" w:eastAsia="Verdana" w:hAnsi="Verdana" w:cs="Verdana"/>
                <w:i/>
                <w:noProof/>
                <w:color w:val="000000"/>
                <w:sz w:val="18"/>
              </w:rPr>
            </w:pPr>
            <w:r>
              <w:rPr>
                <w:rFonts w:ascii="Verdana" w:hAnsi="Verdana"/>
                <w:i/>
                <w:noProof/>
                <w:color w:val="000000"/>
                <w:sz w:val="18"/>
              </w:rPr>
              <w:t>Transfert entre catégories d’actifs</w:t>
            </w:r>
          </w:p>
        </w:tc>
        <w:tc>
          <w:tcPr>
            <w:tcW w:w="1635" w:type="dxa"/>
            <w:tcBorders>
              <w:top w:val="nil"/>
              <w:left w:val="nil"/>
              <w:bottom w:val="nil"/>
              <w:right w:val="nil"/>
              <w:tl2br w:val="nil"/>
              <w:tr2bl w:val="nil"/>
            </w:tcBorders>
            <w:tcMar>
              <w:left w:w="60" w:type="dxa"/>
              <w:right w:w="60" w:type="dxa"/>
            </w:tcMar>
            <w:vAlign w:val="center"/>
          </w:tcPr>
          <w:p>
            <w:pPr>
              <w:pStyle w:val="DMETW36735BIPINFA"/>
              <w:jc w:val="right"/>
              <w:rPr>
                <w:rFonts w:ascii="Verdana" w:eastAsia="Verdana" w:hAnsi="Verdana" w:cs="Verdana"/>
                <w:i/>
                <w:noProof/>
                <w:color w:val="000000"/>
                <w:sz w:val="18"/>
              </w:rPr>
            </w:pPr>
            <w:r>
              <w:rPr>
                <w:rFonts w:ascii="Verdana" w:hAnsi="Verdana"/>
                <w:i/>
                <w:noProof/>
                <w:color w:val="000000"/>
                <w:sz w:val="18"/>
              </w:rPr>
              <w:t xml:space="preserve"> 0</w:t>
            </w:r>
          </w:p>
        </w:tc>
      </w:tr>
      <w:tr>
        <w:trPr>
          <w:trHeight w:val="255"/>
        </w:trPr>
        <w:tc>
          <w:tcPr>
            <w:tcW w:w="4305" w:type="dxa"/>
            <w:tcBorders>
              <w:top w:val="nil"/>
              <w:left w:val="nil"/>
              <w:bottom w:val="single" w:sz="4" w:space="0" w:color="016794"/>
              <w:right w:val="nil"/>
              <w:tl2br w:val="nil"/>
              <w:tr2bl w:val="nil"/>
            </w:tcBorders>
            <w:tcMar>
              <w:left w:w="60" w:type="dxa"/>
              <w:right w:w="60" w:type="dxa"/>
            </w:tcMar>
            <w:vAlign w:val="center"/>
          </w:tcPr>
          <w:p>
            <w:pPr>
              <w:pStyle w:val="DMETW36735BIPINFA"/>
              <w:rPr>
                <w:rFonts w:ascii="Verdana" w:eastAsia="Verdana" w:hAnsi="Verdana" w:cs="Verdana"/>
                <w:i/>
                <w:noProof/>
                <w:color w:val="000000"/>
                <w:sz w:val="18"/>
              </w:rPr>
            </w:pPr>
            <w:r>
              <w:rPr>
                <w:rFonts w:ascii="Verdana" w:hAnsi="Verdana"/>
                <w:i/>
                <w:noProof/>
                <w:color w:val="000000"/>
                <w:sz w:val="18"/>
              </w:rPr>
              <w:t>Autres changements</w:t>
            </w:r>
          </w:p>
        </w:tc>
        <w:tc>
          <w:tcPr>
            <w:tcW w:w="1635" w:type="dxa"/>
            <w:tcBorders>
              <w:top w:val="nil"/>
              <w:left w:val="nil"/>
              <w:bottom w:val="single" w:sz="4" w:space="0" w:color="016794"/>
              <w:right w:val="nil"/>
              <w:tl2br w:val="nil"/>
              <w:tr2bl w:val="nil"/>
            </w:tcBorders>
            <w:tcMar>
              <w:left w:w="60" w:type="dxa"/>
              <w:right w:w="60" w:type="dxa"/>
            </w:tcMar>
            <w:vAlign w:val="center"/>
          </w:tcPr>
          <w:p>
            <w:pPr>
              <w:pStyle w:val="DMETW36735BIPINFA"/>
              <w:jc w:val="right"/>
              <w:rPr>
                <w:rFonts w:ascii="Verdana" w:eastAsia="Verdana" w:hAnsi="Verdana" w:cs="Verdana"/>
                <w:i/>
                <w:noProof/>
                <w:color w:val="000000"/>
                <w:sz w:val="18"/>
              </w:rPr>
            </w:pPr>
            <w:r>
              <w:rPr>
                <w:rFonts w:ascii="Verdana" w:hAnsi="Verdana"/>
                <w:i/>
                <w:noProof/>
                <w:color w:val="000000"/>
                <w:sz w:val="18"/>
              </w:rPr>
              <w:t>–</w:t>
            </w:r>
          </w:p>
        </w:tc>
      </w:tr>
      <w:tr>
        <w:trPr>
          <w:trHeight w:val="255"/>
        </w:trPr>
        <w:tc>
          <w:tcPr>
            <w:tcW w:w="430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35BIPINFA"/>
              <w:rPr>
                <w:rFonts w:ascii="Verdana" w:eastAsia="Verdana" w:hAnsi="Verdana" w:cs="Verdana"/>
                <w:b/>
                <w:noProof/>
                <w:color w:val="000000"/>
                <w:sz w:val="18"/>
              </w:rPr>
            </w:pPr>
            <w:r>
              <w:rPr>
                <w:rFonts w:ascii="Verdana" w:hAnsi="Verdana"/>
                <w:b/>
                <w:noProof/>
                <w:color w:val="000000"/>
                <w:sz w:val="18"/>
              </w:rPr>
              <w:t>Valeur brute comptable au 31.12.2025</w:t>
            </w:r>
          </w:p>
        </w:tc>
        <w:tc>
          <w:tcPr>
            <w:tcW w:w="163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35BIPINFA"/>
              <w:jc w:val="right"/>
              <w:rPr>
                <w:rFonts w:ascii="Verdana" w:eastAsia="Verdana" w:hAnsi="Verdana" w:cs="Verdana"/>
                <w:b/>
                <w:noProof/>
                <w:color w:val="000000"/>
                <w:sz w:val="18"/>
              </w:rPr>
            </w:pPr>
            <w:r>
              <w:rPr>
                <w:rFonts w:ascii="Verdana" w:hAnsi="Verdana"/>
                <w:b/>
                <w:noProof/>
                <w:color w:val="000000"/>
                <w:sz w:val="18"/>
              </w:rPr>
              <w:t>2 455</w:t>
            </w:r>
          </w:p>
        </w:tc>
      </w:tr>
      <w:tr>
        <w:trPr>
          <w:trHeight w:val="255"/>
        </w:trPr>
        <w:tc>
          <w:tcPr>
            <w:tcW w:w="4305" w:type="dxa"/>
            <w:tcBorders>
              <w:top w:val="single" w:sz="4" w:space="0" w:color="016794"/>
              <w:left w:val="nil"/>
              <w:bottom w:val="nil"/>
              <w:right w:val="nil"/>
              <w:tl2br w:val="nil"/>
              <w:tr2bl w:val="nil"/>
            </w:tcBorders>
            <w:tcMar>
              <w:left w:w="60" w:type="dxa"/>
              <w:right w:w="60" w:type="dxa"/>
            </w:tcMar>
            <w:vAlign w:val="center"/>
          </w:tcPr>
          <w:p>
            <w:pPr>
              <w:pStyle w:val="DMETW36735BIPINFA"/>
              <w:rPr>
                <w:rFonts w:ascii="Verdana" w:eastAsia="Verdana" w:hAnsi="Verdana" w:cs="Verdana"/>
                <w:i/>
                <w:noProof/>
                <w:color w:val="000000"/>
                <w:sz w:val="18"/>
              </w:rPr>
            </w:pPr>
            <w:r>
              <w:rPr>
                <w:rFonts w:ascii="Verdana" w:hAnsi="Verdana"/>
                <w:i/>
                <w:noProof/>
                <w:color w:val="000000"/>
                <w:sz w:val="18"/>
              </w:rPr>
              <w:t>Cumul des amortissements au 31.12.2024</w:t>
            </w:r>
          </w:p>
        </w:tc>
        <w:tc>
          <w:tcPr>
            <w:tcW w:w="1635" w:type="dxa"/>
            <w:tcBorders>
              <w:top w:val="single" w:sz="4" w:space="0" w:color="016794"/>
              <w:left w:val="nil"/>
              <w:bottom w:val="nil"/>
              <w:right w:val="nil"/>
              <w:tl2br w:val="nil"/>
              <w:tr2bl w:val="nil"/>
            </w:tcBorders>
            <w:tcMar>
              <w:left w:w="60" w:type="dxa"/>
              <w:right w:w="60" w:type="dxa"/>
            </w:tcMar>
            <w:vAlign w:val="center"/>
          </w:tcPr>
          <w:p>
            <w:pPr>
              <w:pStyle w:val="DMETW36735BIPINFA"/>
              <w:jc w:val="right"/>
              <w:rPr>
                <w:rFonts w:ascii="Verdana" w:eastAsia="Verdana" w:hAnsi="Verdana" w:cs="Verdana"/>
                <w:i/>
                <w:noProof/>
                <w:color w:val="000000"/>
                <w:sz w:val="18"/>
              </w:rPr>
            </w:pPr>
            <w:r>
              <w:rPr>
                <w:rFonts w:ascii="Verdana" w:hAnsi="Verdana"/>
                <w:i/>
                <w:noProof/>
                <w:color w:val="000000"/>
                <w:sz w:val="18"/>
              </w:rPr>
              <w:t>(1 162)</w:t>
            </w:r>
          </w:p>
        </w:tc>
      </w:tr>
      <w:tr>
        <w:trPr>
          <w:trHeight w:val="255"/>
        </w:trPr>
        <w:tc>
          <w:tcPr>
            <w:tcW w:w="4305" w:type="dxa"/>
            <w:tcBorders>
              <w:top w:val="nil"/>
              <w:left w:val="nil"/>
              <w:bottom w:val="nil"/>
              <w:right w:val="nil"/>
              <w:tl2br w:val="nil"/>
              <w:tr2bl w:val="nil"/>
            </w:tcBorders>
            <w:tcMar>
              <w:left w:w="60" w:type="dxa"/>
              <w:right w:w="60" w:type="dxa"/>
            </w:tcMar>
            <w:vAlign w:val="center"/>
          </w:tcPr>
          <w:p>
            <w:pPr>
              <w:pStyle w:val="DMETW36735BIPINFA"/>
              <w:rPr>
                <w:rFonts w:ascii="Verdana" w:eastAsia="Verdana" w:hAnsi="Verdana" w:cs="Verdana"/>
                <w:i/>
                <w:noProof/>
                <w:color w:val="000000"/>
                <w:sz w:val="18"/>
              </w:rPr>
            </w:pPr>
            <w:r>
              <w:rPr>
                <w:rFonts w:ascii="Verdana" w:hAnsi="Verdana"/>
                <w:i/>
                <w:noProof/>
                <w:color w:val="000000"/>
                <w:sz w:val="18"/>
              </w:rPr>
              <w:t>Dotations aux amortissements pour l’exercice</w:t>
            </w:r>
          </w:p>
        </w:tc>
        <w:tc>
          <w:tcPr>
            <w:tcW w:w="1635" w:type="dxa"/>
            <w:tcBorders>
              <w:top w:val="nil"/>
              <w:left w:val="nil"/>
              <w:bottom w:val="nil"/>
              <w:right w:val="nil"/>
              <w:tl2br w:val="nil"/>
              <w:tr2bl w:val="nil"/>
            </w:tcBorders>
            <w:tcMar>
              <w:left w:w="60" w:type="dxa"/>
              <w:right w:w="60" w:type="dxa"/>
            </w:tcMar>
            <w:vAlign w:val="center"/>
          </w:tcPr>
          <w:p>
            <w:pPr>
              <w:pStyle w:val="DMETW36735BIPINFA"/>
              <w:jc w:val="right"/>
              <w:rPr>
                <w:rFonts w:ascii="Verdana" w:eastAsia="Verdana" w:hAnsi="Verdana" w:cs="Verdana"/>
                <w:i/>
                <w:noProof/>
                <w:color w:val="000000"/>
                <w:sz w:val="18"/>
              </w:rPr>
            </w:pPr>
            <w:r>
              <w:rPr>
                <w:rFonts w:ascii="Verdana" w:hAnsi="Verdana"/>
                <w:i/>
                <w:noProof/>
                <w:color w:val="000000"/>
                <w:sz w:val="18"/>
              </w:rPr>
              <w:t xml:space="preserve"> (213)</w:t>
            </w:r>
          </w:p>
        </w:tc>
      </w:tr>
      <w:tr>
        <w:trPr>
          <w:trHeight w:val="255"/>
        </w:trPr>
        <w:tc>
          <w:tcPr>
            <w:tcW w:w="4305" w:type="dxa"/>
            <w:tcBorders>
              <w:top w:val="nil"/>
              <w:left w:val="nil"/>
              <w:bottom w:val="nil"/>
              <w:right w:val="nil"/>
              <w:tl2br w:val="nil"/>
              <w:tr2bl w:val="nil"/>
            </w:tcBorders>
            <w:tcMar>
              <w:left w:w="60" w:type="dxa"/>
              <w:right w:w="60" w:type="dxa"/>
            </w:tcMar>
            <w:vAlign w:val="center"/>
          </w:tcPr>
          <w:p>
            <w:pPr>
              <w:pStyle w:val="DMETW36735BIPINFA"/>
              <w:rPr>
                <w:rFonts w:ascii="Verdana" w:eastAsia="Verdana" w:hAnsi="Verdana" w:cs="Verdana"/>
                <w:i/>
                <w:noProof/>
                <w:color w:val="000000"/>
                <w:sz w:val="18"/>
              </w:rPr>
            </w:pPr>
            <w:r>
              <w:rPr>
                <w:rFonts w:ascii="Verdana" w:hAnsi="Verdana"/>
                <w:i/>
                <w:noProof/>
                <w:color w:val="000000"/>
                <w:sz w:val="18"/>
              </w:rPr>
              <w:t>Reprise sur amortissements</w:t>
            </w:r>
          </w:p>
        </w:tc>
        <w:tc>
          <w:tcPr>
            <w:tcW w:w="1635" w:type="dxa"/>
            <w:tcBorders>
              <w:top w:val="nil"/>
              <w:left w:val="nil"/>
              <w:bottom w:val="nil"/>
              <w:right w:val="nil"/>
              <w:tl2br w:val="nil"/>
              <w:tr2bl w:val="nil"/>
            </w:tcBorders>
            <w:tcMar>
              <w:left w:w="60" w:type="dxa"/>
              <w:right w:w="60" w:type="dxa"/>
            </w:tcMar>
            <w:vAlign w:val="center"/>
          </w:tcPr>
          <w:p>
            <w:pPr>
              <w:pStyle w:val="DMETW36735BIPINFA"/>
              <w:jc w:val="right"/>
              <w:rPr>
                <w:rFonts w:ascii="Verdana" w:eastAsia="Verdana" w:hAnsi="Verdana" w:cs="Verdana"/>
                <w:i/>
                <w:noProof/>
                <w:color w:val="000000"/>
                <w:sz w:val="18"/>
              </w:rPr>
            </w:pPr>
            <w:r>
              <w:rPr>
                <w:rFonts w:ascii="Verdana" w:hAnsi="Verdana"/>
                <w:i/>
                <w:noProof/>
                <w:color w:val="000000"/>
                <w:sz w:val="18"/>
              </w:rPr>
              <w:t xml:space="preserve"> 1</w:t>
            </w:r>
          </w:p>
        </w:tc>
      </w:tr>
      <w:tr>
        <w:trPr>
          <w:trHeight w:val="255"/>
        </w:trPr>
        <w:tc>
          <w:tcPr>
            <w:tcW w:w="4305" w:type="dxa"/>
            <w:tcBorders>
              <w:top w:val="nil"/>
              <w:left w:val="nil"/>
              <w:bottom w:val="nil"/>
              <w:right w:val="nil"/>
              <w:tl2br w:val="nil"/>
              <w:tr2bl w:val="nil"/>
            </w:tcBorders>
            <w:tcMar>
              <w:left w:w="60" w:type="dxa"/>
              <w:right w:w="60" w:type="dxa"/>
            </w:tcMar>
            <w:vAlign w:val="center"/>
          </w:tcPr>
          <w:p>
            <w:pPr>
              <w:pStyle w:val="DMETW36735BIPINFA"/>
              <w:rPr>
                <w:rFonts w:ascii="Verdana" w:eastAsia="Verdana" w:hAnsi="Verdana" w:cs="Verdana"/>
                <w:i/>
                <w:noProof/>
                <w:color w:val="000000"/>
                <w:sz w:val="18"/>
              </w:rPr>
            </w:pPr>
            <w:r>
              <w:rPr>
                <w:rFonts w:ascii="Verdana" w:hAnsi="Verdana"/>
                <w:i/>
                <w:noProof/>
                <w:color w:val="000000"/>
                <w:sz w:val="18"/>
              </w:rPr>
              <w:t>Produits de cessions</w:t>
            </w:r>
          </w:p>
        </w:tc>
        <w:tc>
          <w:tcPr>
            <w:tcW w:w="1635" w:type="dxa"/>
            <w:tcBorders>
              <w:top w:val="nil"/>
              <w:left w:val="nil"/>
              <w:bottom w:val="nil"/>
              <w:right w:val="nil"/>
              <w:tl2br w:val="nil"/>
              <w:tr2bl w:val="nil"/>
            </w:tcBorders>
            <w:tcMar>
              <w:left w:w="60" w:type="dxa"/>
              <w:right w:w="60" w:type="dxa"/>
            </w:tcMar>
            <w:vAlign w:val="center"/>
          </w:tcPr>
          <w:p>
            <w:pPr>
              <w:pStyle w:val="DMETW36735BIPINFA"/>
              <w:jc w:val="right"/>
              <w:rPr>
                <w:rFonts w:ascii="Verdana" w:eastAsia="Verdana" w:hAnsi="Verdana" w:cs="Verdana"/>
                <w:i/>
                <w:noProof/>
                <w:color w:val="000000"/>
                <w:sz w:val="18"/>
              </w:rPr>
            </w:pPr>
            <w:r>
              <w:rPr>
                <w:rFonts w:ascii="Verdana" w:hAnsi="Verdana"/>
                <w:i/>
                <w:noProof/>
                <w:color w:val="000000"/>
                <w:sz w:val="18"/>
              </w:rPr>
              <w:t xml:space="preserve"> 54</w:t>
            </w:r>
          </w:p>
        </w:tc>
      </w:tr>
      <w:tr>
        <w:trPr>
          <w:trHeight w:val="255"/>
        </w:trPr>
        <w:tc>
          <w:tcPr>
            <w:tcW w:w="4305" w:type="dxa"/>
            <w:tcBorders>
              <w:top w:val="nil"/>
              <w:left w:val="nil"/>
              <w:bottom w:val="nil"/>
              <w:right w:val="nil"/>
              <w:tl2br w:val="nil"/>
              <w:tr2bl w:val="nil"/>
            </w:tcBorders>
            <w:tcMar>
              <w:left w:w="60" w:type="dxa"/>
              <w:right w:w="60" w:type="dxa"/>
            </w:tcMar>
            <w:vAlign w:val="center"/>
          </w:tcPr>
          <w:p>
            <w:pPr>
              <w:pStyle w:val="DMETW36735BIPINFA"/>
              <w:rPr>
                <w:rFonts w:ascii="Verdana" w:eastAsia="Verdana" w:hAnsi="Verdana" w:cs="Verdana"/>
                <w:i/>
                <w:noProof/>
                <w:color w:val="000000"/>
                <w:sz w:val="18"/>
              </w:rPr>
            </w:pPr>
            <w:r>
              <w:rPr>
                <w:rFonts w:ascii="Verdana" w:hAnsi="Verdana"/>
                <w:i/>
                <w:noProof/>
                <w:color w:val="000000"/>
                <w:sz w:val="18"/>
              </w:rPr>
              <w:t>Transfert entre catégories d’actifs</w:t>
            </w:r>
          </w:p>
        </w:tc>
        <w:tc>
          <w:tcPr>
            <w:tcW w:w="1635" w:type="dxa"/>
            <w:tcBorders>
              <w:top w:val="nil"/>
              <w:left w:val="nil"/>
              <w:bottom w:val="nil"/>
              <w:right w:val="nil"/>
              <w:tl2br w:val="nil"/>
              <w:tr2bl w:val="nil"/>
            </w:tcBorders>
            <w:tcMar>
              <w:left w:w="60" w:type="dxa"/>
              <w:right w:w="60" w:type="dxa"/>
            </w:tcMar>
            <w:vAlign w:val="center"/>
          </w:tcPr>
          <w:p>
            <w:pPr>
              <w:pStyle w:val="DMETW36735BIPINFA"/>
              <w:jc w:val="right"/>
              <w:rPr>
                <w:rFonts w:ascii="Verdana" w:eastAsia="Verdana" w:hAnsi="Verdana" w:cs="Verdana"/>
                <w:i/>
                <w:noProof/>
                <w:color w:val="000000"/>
                <w:sz w:val="18"/>
              </w:rPr>
            </w:pPr>
            <w:r>
              <w:rPr>
                <w:rFonts w:ascii="Verdana" w:hAnsi="Verdana"/>
                <w:i/>
                <w:noProof/>
                <w:color w:val="000000"/>
                <w:sz w:val="18"/>
              </w:rPr>
              <w:t>0</w:t>
            </w:r>
          </w:p>
        </w:tc>
      </w:tr>
      <w:tr>
        <w:trPr>
          <w:trHeight w:val="255"/>
        </w:trPr>
        <w:tc>
          <w:tcPr>
            <w:tcW w:w="4305" w:type="dxa"/>
            <w:tcBorders>
              <w:top w:val="nil"/>
              <w:left w:val="nil"/>
              <w:bottom w:val="single" w:sz="4" w:space="0" w:color="016794"/>
              <w:right w:val="nil"/>
              <w:tl2br w:val="nil"/>
              <w:tr2bl w:val="nil"/>
            </w:tcBorders>
            <w:tcMar>
              <w:left w:w="60" w:type="dxa"/>
              <w:right w:w="60" w:type="dxa"/>
            </w:tcMar>
            <w:vAlign w:val="center"/>
          </w:tcPr>
          <w:p>
            <w:pPr>
              <w:pStyle w:val="DMETW36735BIPINFA"/>
              <w:rPr>
                <w:rFonts w:ascii="Verdana" w:eastAsia="Verdana" w:hAnsi="Verdana" w:cs="Verdana"/>
                <w:i/>
                <w:noProof/>
                <w:color w:val="000000"/>
                <w:sz w:val="18"/>
              </w:rPr>
            </w:pPr>
            <w:r>
              <w:rPr>
                <w:rFonts w:ascii="Verdana" w:hAnsi="Verdana"/>
                <w:i/>
                <w:noProof/>
                <w:color w:val="000000"/>
                <w:sz w:val="18"/>
              </w:rPr>
              <w:t>Autres changements</w:t>
            </w:r>
          </w:p>
        </w:tc>
        <w:tc>
          <w:tcPr>
            <w:tcW w:w="1635" w:type="dxa"/>
            <w:tcBorders>
              <w:top w:val="nil"/>
              <w:left w:val="nil"/>
              <w:bottom w:val="single" w:sz="4" w:space="0" w:color="016794"/>
              <w:right w:val="nil"/>
              <w:tl2br w:val="nil"/>
              <w:tr2bl w:val="nil"/>
            </w:tcBorders>
            <w:tcMar>
              <w:left w:w="60" w:type="dxa"/>
              <w:right w:w="60" w:type="dxa"/>
            </w:tcMar>
            <w:vAlign w:val="center"/>
          </w:tcPr>
          <w:p>
            <w:pPr>
              <w:pStyle w:val="DMETW36735BIPINFA"/>
              <w:jc w:val="right"/>
              <w:rPr>
                <w:rFonts w:ascii="Verdana" w:eastAsia="Verdana" w:hAnsi="Verdana" w:cs="Verdana"/>
                <w:i/>
                <w:noProof/>
                <w:color w:val="000000"/>
                <w:sz w:val="18"/>
              </w:rPr>
            </w:pPr>
            <w:r>
              <w:rPr>
                <w:rFonts w:ascii="Verdana" w:hAnsi="Verdana"/>
                <w:i/>
                <w:noProof/>
                <w:color w:val="000000"/>
                <w:sz w:val="18"/>
              </w:rPr>
              <w:t xml:space="preserve"> (1)</w:t>
            </w:r>
          </w:p>
        </w:tc>
      </w:tr>
      <w:tr>
        <w:trPr>
          <w:trHeight w:val="255"/>
        </w:trPr>
        <w:tc>
          <w:tcPr>
            <w:tcW w:w="430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35BIPINFA"/>
              <w:rPr>
                <w:rFonts w:ascii="Verdana" w:eastAsia="Verdana" w:hAnsi="Verdana" w:cs="Verdana"/>
                <w:b/>
                <w:noProof/>
                <w:color w:val="000000"/>
                <w:sz w:val="18"/>
              </w:rPr>
            </w:pPr>
            <w:r>
              <w:rPr>
                <w:rFonts w:ascii="Verdana" w:hAnsi="Verdana"/>
                <w:b/>
                <w:noProof/>
                <w:color w:val="000000"/>
                <w:sz w:val="18"/>
              </w:rPr>
              <w:t>Cumul des amortissements au 31.12.2025</w:t>
            </w:r>
          </w:p>
        </w:tc>
        <w:tc>
          <w:tcPr>
            <w:tcW w:w="163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35BIPINFA"/>
              <w:jc w:val="right"/>
              <w:rPr>
                <w:rFonts w:ascii="Verdana" w:eastAsia="Verdana" w:hAnsi="Verdana" w:cs="Verdana"/>
                <w:b/>
                <w:noProof/>
                <w:color w:val="000000"/>
                <w:sz w:val="18"/>
              </w:rPr>
            </w:pPr>
            <w:r>
              <w:rPr>
                <w:rFonts w:ascii="Verdana" w:hAnsi="Verdana"/>
                <w:b/>
                <w:noProof/>
                <w:color w:val="000000"/>
                <w:sz w:val="18"/>
              </w:rPr>
              <w:t>(1 320)</w:t>
            </w:r>
          </w:p>
        </w:tc>
      </w:tr>
      <w:tr>
        <w:trPr>
          <w:trHeight w:val="255"/>
        </w:trPr>
        <w:tc>
          <w:tcPr>
            <w:tcW w:w="4305" w:type="dxa"/>
            <w:tcBorders>
              <w:top w:val="single" w:sz="4" w:space="0" w:color="016794"/>
              <w:left w:val="nil"/>
              <w:bottom w:val="nil"/>
              <w:right w:val="nil"/>
              <w:tl2br w:val="nil"/>
              <w:tr2bl w:val="nil"/>
            </w:tcBorders>
            <w:tcMar>
              <w:left w:w="60" w:type="dxa"/>
              <w:right w:w="60" w:type="dxa"/>
            </w:tcMar>
            <w:vAlign w:val="center"/>
          </w:tcPr>
          <w:p>
            <w:pPr>
              <w:pStyle w:val="DMETW36735BIPINFA"/>
              <w:rPr>
                <w:rFonts w:ascii="Arial" w:eastAsia="Arial" w:hAnsi="Arial" w:cs="Arial"/>
                <w:noProof/>
                <w:color w:val="000000"/>
                <w:sz w:val="18"/>
              </w:rPr>
            </w:pPr>
          </w:p>
        </w:tc>
        <w:tc>
          <w:tcPr>
            <w:tcW w:w="1635" w:type="dxa"/>
            <w:tcBorders>
              <w:top w:val="single" w:sz="4" w:space="0" w:color="016794"/>
              <w:left w:val="nil"/>
              <w:bottom w:val="nil"/>
              <w:right w:val="nil"/>
              <w:tl2br w:val="nil"/>
              <w:tr2bl w:val="nil"/>
            </w:tcBorders>
            <w:tcMar>
              <w:left w:w="60" w:type="dxa"/>
              <w:right w:w="60" w:type="dxa"/>
            </w:tcMar>
            <w:vAlign w:val="center"/>
          </w:tcPr>
          <w:p>
            <w:pPr>
              <w:pStyle w:val="DMETW36735BIPINFA"/>
              <w:rPr>
                <w:rFonts w:ascii="Arial" w:eastAsia="Arial" w:hAnsi="Arial" w:cs="Arial"/>
                <w:noProof/>
                <w:color w:val="000000"/>
                <w:sz w:val="18"/>
                <w:lang w:bidi="en-GB"/>
              </w:rPr>
            </w:pPr>
          </w:p>
        </w:tc>
      </w:tr>
      <w:tr>
        <w:trPr>
          <w:trHeight w:val="255"/>
        </w:trPr>
        <w:tc>
          <w:tcPr>
            <w:tcW w:w="4305" w:type="dxa"/>
            <w:tcBorders>
              <w:top w:val="nil"/>
              <w:left w:val="nil"/>
              <w:bottom w:val="nil"/>
              <w:right w:val="nil"/>
              <w:tl2br w:val="nil"/>
              <w:tr2bl w:val="nil"/>
            </w:tcBorders>
            <w:shd w:val="solid" w:color="CCE1EA" w:fill="FFFFFF"/>
            <w:tcMar>
              <w:left w:w="60" w:type="dxa"/>
              <w:right w:w="60" w:type="dxa"/>
            </w:tcMar>
            <w:vAlign w:val="center"/>
          </w:tcPr>
          <w:p>
            <w:pPr>
              <w:pStyle w:val="DMETW36735BIPINFA"/>
              <w:rPr>
                <w:rFonts w:ascii="Verdana" w:eastAsia="Verdana" w:hAnsi="Verdana" w:cs="Verdana"/>
                <w:b/>
                <w:noProof/>
                <w:color w:val="000000"/>
                <w:sz w:val="18"/>
              </w:rPr>
            </w:pPr>
            <w:r>
              <w:rPr>
                <w:rFonts w:ascii="Verdana" w:hAnsi="Verdana"/>
                <w:b/>
                <w:noProof/>
                <w:color w:val="000000"/>
                <w:sz w:val="18"/>
              </w:rPr>
              <w:t>Valeur nette comptable au 31.12.2025</w:t>
            </w:r>
          </w:p>
        </w:tc>
        <w:tc>
          <w:tcPr>
            <w:tcW w:w="1635" w:type="dxa"/>
            <w:tcBorders>
              <w:top w:val="nil"/>
              <w:left w:val="nil"/>
              <w:bottom w:val="nil"/>
              <w:right w:val="nil"/>
              <w:tl2br w:val="nil"/>
              <w:tr2bl w:val="nil"/>
            </w:tcBorders>
            <w:shd w:val="solid" w:color="CCE1EA" w:fill="FFFFFF"/>
            <w:tcMar>
              <w:left w:w="60" w:type="dxa"/>
              <w:right w:w="60" w:type="dxa"/>
            </w:tcMar>
            <w:vAlign w:val="center"/>
          </w:tcPr>
          <w:p>
            <w:pPr>
              <w:pStyle w:val="DMETW36735BIPINFA"/>
              <w:jc w:val="right"/>
              <w:rPr>
                <w:rFonts w:ascii="Verdana" w:eastAsia="Verdana" w:hAnsi="Verdana" w:cs="Verdana"/>
                <w:b/>
                <w:noProof/>
                <w:color w:val="000000"/>
                <w:sz w:val="18"/>
              </w:rPr>
            </w:pPr>
            <w:r>
              <w:rPr>
                <w:rFonts w:ascii="Verdana" w:hAnsi="Verdana"/>
                <w:b/>
                <w:noProof/>
                <w:color w:val="000000"/>
                <w:sz w:val="18"/>
              </w:rPr>
              <w:t>1 135</w:t>
            </w:r>
          </w:p>
        </w:tc>
      </w:tr>
      <w:tr>
        <w:trPr>
          <w:trHeight w:val="255"/>
        </w:trPr>
        <w:tc>
          <w:tcPr>
            <w:tcW w:w="4305" w:type="dxa"/>
            <w:tcBorders>
              <w:top w:val="nil"/>
              <w:left w:val="nil"/>
              <w:bottom w:val="nil"/>
              <w:right w:val="nil"/>
              <w:tl2br w:val="nil"/>
              <w:tr2bl w:val="nil"/>
            </w:tcBorders>
            <w:tcMar>
              <w:left w:w="60" w:type="dxa"/>
              <w:right w:w="60" w:type="dxa"/>
            </w:tcMar>
            <w:vAlign w:val="center"/>
          </w:tcPr>
          <w:p>
            <w:pPr>
              <w:pStyle w:val="DMETW36735BIPINFA"/>
              <w:rPr>
                <w:rFonts w:ascii="Verdana" w:eastAsia="Verdana" w:hAnsi="Verdana" w:cs="Verdana"/>
                <w:i/>
                <w:noProof/>
                <w:color w:val="000000"/>
                <w:sz w:val="18"/>
              </w:rPr>
            </w:pPr>
            <w:r>
              <w:rPr>
                <w:rFonts w:ascii="Verdana" w:hAnsi="Verdana"/>
                <w:i/>
                <w:noProof/>
                <w:color w:val="000000"/>
                <w:sz w:val="18"/>
              </w:rPr>
              <w:t>Valeur nette comptable au 31.12.2024</w:t>
            </w:r>
          </w:p>
        </w:tc>
        <w:tc>
          <w:tcPr>
            <w:tcW w:w="1635" w:type="dxa"/>
            <w:tcBorders>
              <w:top w:val="nil"/>
              <w:left w:val="nil"/>
              <w:bottom w:val="nil"/>
              <w:right w:val="nil"/>
              <w:tl2br w:val="nil"/>
              <w:tr2bl w:val="nil"/>
            </w:tcBorders>
            <w:tcMar>
              <w:left w:w="60" w:type="dxa"/>
              <w:right w:w="60" w:type="dxa"/>
            </w:tcMar>
            <w:vAlign w:val="center"/>
          </w:tcPr>
          <w:p>
            <w:pPr>
              <w:pStyle w:val="DMETW36735BIPINFA"/>
              <w:jc w:val="right"/>
              <w:rPr>
                <w:rFonts w:ascii="Verdana" w:eastAsia="Verdana" w:hAnsi="Verdana" w:cs="Verdana"/>
                <w:i/>
                <w:noProof/>
                <w:color w:val="000000"/>
                <w:sz w:val="18"/>
              </w:rPr>
            </w:pPr>
            <w:r>
              <w:rPr>
                <w:rFonts w:ascii="Verdana" w:hAnsi="Verdana"/>
                <w:i/>
                <w:noProof/>
                <w:color w:val="000000"/>
                <w:sz w:val="18"/>
              </w:rPr>
              <w:t>1 095</w:t>
            </w:r>
          </w:p>
        </w:tc>
      </w:tr>
    </w:tbl>
    <w:p>
      <w:pPr>
        <w:pStyle w:val="DGTextstand-alone"/>
      </w:pPr>
      <w:r>
        <w:t>La valeur comptable nette à la fin de l’exercice 2025 de 1 135 millions d’EUR comprend principalement les logiciels générés en interne déjà opérationnels (405 millions d’EUR), les logiciels générés en interne en cours de construction (354 millions d’EUR) ainsi que les logiciels acquis (375 millions d’EUR).</w:t>
      </w:r>
    </w:p>
    <w:p>
      <w:pPr>
        <w:rPr>
          <w:noProof/>
          <w:lang w:val="fr-BE"/>
        </w:rPr>
      </w:pPr>
    </w:p>
    <w:p>
      <w:pPr>
        <w:numPr>
          <w:ilvl w:val="1"/>
          <w:numId w:val="15"/>
        </w:numPr>
        <w:tabs>
          <w:tab w:val="left" w:pos="907"/>
        </w:tabs>
        <w:spacing w:before="360" w:after="360"/>
        <w:rPr>
          <w:rFonts w:ascii="Verdana" w:hAnsi="Verdana"/>
          <w:b/>
          <w:noProof/>
          <w:color w:val="016794"/>
          <w:sz w:val="28"/>
          <w:szCs w:val="28"/>
        </w:rPr>
      </w:pPr>
      <w:r>
        <w:rPr>
          <w:rFonts w:ascii="Verdana" w:hAnsi="Verdana"/>
          <w:b/>
          <w:noProof/>
          <w:color w:val="016794"/>
          <w:sz w:val="28"/>
        </w:rPr>
        <w:t>IMMOBILISATIONS CORPORELLES</w:t>
      </w:r>
    </w:p>
    <w:p>
      <w:pPr>
        <w:pStyle w:val="DGTextstand-alone"/>
      </w:pPr>
      <w:r>
        <w:t>La catégorie des actifs spatiaux recouvre les actifs immobilisés opérationnels liés aux programmes spatiaux de l’UE: les systèmes globaux de navigation par satellite (GNSS), à savoir Galileo et le système européen de navigation par recouvrement géostationnaire (EGNOS), les télécommunications gouvernementales par satellite (Govsatcom), le programme pour une connectivité sécurisée, ainsi que le programme de l’Union pour l’observation et la surveillance de la Terre (Copernicus). Les actifs liés aux systèmes spatiaux qui ne sont pas encore opérationnels sont inscrits dans la rubrique «Immobilisations en cours». Les actifs liés aux programmes spatiaux de l’UE sont construits avec l’aide de l’Agence spatiale européenne (ESA).</w:t>
      </w:r>
    </w:p>
    <w:p>
      <w:pPr>
        <w:pStyle w:val="DGTextstand-alone"/>
      </w:pPr>
      <w:r>
        <w:t xml:space="preserve">Pour Galileo, la constellation comprend actuellement 30 satellites. Les actifs immobilisés opérationnels de Galileo, qui comptent à la fois les satellites et les installations au sol, s’élevaient à 2,630 milliards d’EUR, hors cumul d’amortissements, au 31 décembre 2025 (contre 2,987 milliards d’EUR en 2024). Le restant des immobilisations en cours s’élève à 2,592 milliards d’EUR (contre 2,145 milliards d’EUR en 2024). </w:t>
      </w:r>
    </w:p>
    <w:p>
      <w:pPr>
        <w:pStyle w:val="DGTextstand-alone"/>
      </w:pPr>
      <w:r>
        <w:t xml:space="preserve">En ce qui concerne Copernicus, dix satellites sont opérationnels et 22 satellites et instruments sont en cours de construction. La valeur totale des actifs immobilisés opérationnels de Copernicus s’établit à 845 millions d’EUR (contre 492 millions d’EUR en 2024), hors cumul d’amortissements. Un montant supplémentaire de 3,645 milliards d’EUR correspondant aux satellites Copernicus est inscrit en tant qu’immobilisations en cours (contre 3,520 milliards d’EUR en 2024). </w:t>
      </w:r>
    </w:p>
    <w:p>
      <w:pPr>
        <w:pStyle w:val="DGTextstand-alone"/>
      </w:pPr>
      <w:r>
        <w:t xml:space="preserve">Les immobilisations liées à l’infrastructure au sol d’EGNOS s’élevant à 182 millions d’EUR (contre 160 millions d’EUR en 2024) sont également incluses dans la rubrique «Actifs spatiaux». En outre, les </w:t>
      </w:r>
      <w:r>
        <w:lastRenderedPageBreak/>
        <w:t>immobilisations en cours liées à EGNOS s’élèvent à 346 millions d’EUR (contre 345 millions d’EUR en 2024).</w:t>
      </w:r>
    </w:p>
    <w:p>
      <w:pPr>
        <w:pStyle w:val="DGTextstand-alone"/>
      </w:pPr>
      <w:r>
        <w:t>Le programme de communications gouvernementales par satellite de l’Union européenne (GOVSATCOM) vise à doter de capacités de communication par satellite sûres, résilientes et économiquement efficientes les missions et opérations gouvernementales critiques en matière de sécurité qui sont gérées par l’UE et ses États membres, y compris les acteurs nationaux de la sécurité et les agences et institutions de l’UE. Les immobilisations en cours liées à GOVSATCOM s’élèvent à 9 millions d’EUR (contre 0 million d’EUR en 2024).</w:t>
      </w:r>
    </w:p>
    <w:p>
      <w:pPr>
        <w:pStyle w:val="DGTextstand-alone"/>
      </w:pPr>
      <w:r>
        <w:t>Le programme pour une connectivité sécurisée poursuit deux objectifs principaux:</w:t>
      </w:r>
    </w:p>
    <w:p>
      <w:pPr>
        <w:pStyle w:val="DGTextstand-alonedashesjustified"/>
      </w:pPr>
      <w:r>
        <w:t>garantir un accès mondial à des services gouvernementaux de télécommunications par satellite sécurisés pour la protection des infrastructures critiques, la surveillance, les actions extérieures et la gestion des crises;</w:t>
      </w:r>
    </w:p>
    <w:p>
      <w:pPr>
        <w:pStyle w:val="DGTextstand-alonedashesjustified"/>
      </w:pPr>
      <w:r>
        <w:t>permettre au secteur privé de fournir des services commerciaux, tels que la mise à disposition d’une connectivité à haut débit et sans discontinuité dans toute l’Union européenne.</w:t>
      </w:r>
    </w:p>
    <w:p>
      <w:pPr>
        <w:pStyle w:val="DGTextstand-alone"/>
      </w:pPr>
      <w:r>
        <w:t>Les immobilisations en cours liées à la connectivité sécurisée s’élèvent à 454 millions d’EUR (contre 0 million d’EUR en 2024).</w:t>
      </w:r>
      <w:bookmarkEnd w:id="84"/>
    </w:p>
    <w:p>
      <w:pPr>
        <w:pStyle w:val="DGTextstand-alone"/>
        <w:sectPr>
          <w:headerReference w:type="default" r:id="rId71"/>
          <w:footerReference w:type="default" r:id="rId72"/>
          <w:type w:val="continuous"/>
          <w:pgSz w:w="11906" w:h="16838"/>
          <w:pgMar w:top="1134" w:right="1134" w:bottom="1134" w:left="1134" w:header="709" w:footer="709" w:gutter="0"/>
          <w:cols w:space="708"/>
          <w:docGrid w:linePitch="360"/>
        </w:sectPr>
      </w:pPr>
    </w:p>
    <w:p>
      <w:pPr>
        <w:pStyle w:val="HEADERTABLE"/>
        <w:rPr>
          <w:noProof/>
        </w:rPr>
      </w:pPr>
      <w:bookmarkStart w:id="86" w:name="_DMBM_36731"/>
      <w:r>
        <w:rPr>
          <w:noProof/>
        </w:rPr>
        <w:lastRenderedPageBreak/>
        <w:t>Immobilisations corporelles</w:t>
      </w:r>
    </w:p>
    <w:tbl>
      <w:tblPr>
        <w:tblW w:w="47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13"/>
        <w:gridCol w:w="1509"/>
        <w:gridCol w:w="1066"/>
        <w:gridCol w:w="1058"/>
        <w:gridCol w:w="1288"/>
        <w:gridCol w:w="1009"/>
        <w:gridCol w:w="936"/>
        <w:gridCol w:w="936"/>
        <w:gridCol w:w="1383"/>
        <w:gridCol w:w="1058"/>
      </w:tblGrid>
      <w:tr>
        <w:trPr>
          <w:trHeight w:val="255"/>
        </w:trPr>
        <w:tc>
          <w:tcPr>
            <w:tcW w:w="3597" w:type="dxa"/>
            <w:tcBorders>
              <w:top w:val="nil"/>
              <w:left w:val="nil"/>
              <w:bottom w:val="nil"/>
              <w:right w:val="nil"/>
              <w:tl2br w:val="nil"/>
              <w:tr2bl w:val="nil"/>
            </w:tcBorders>
            <w:tcMar>
              <w:left w:w="60" w:type="dxa"/>
              <w:right w:w="60" w:type="dxa"/>
            </w:tcMar>
            <w:vAlign w:val="bottom"/>
          </w:tcPr>
          <w:p>
            <w:pPr>
              <w:pStyle w:val="DMETW36735BIPEUPPE"/>
              <w:rPr>
                <w:rFonts w:ascii="Arial" w:eastAsia="Arial" w:hAnsi="Arial" w:cs="Arial"/>
                <w:noProof/>
                <w:color w:val="000000"/>
              </w:rPr>
            </w:pPr>
            <w:bookmarkStart w:id="87" w:name="DOC_TBL00008_1_1"/>
            <w:bookmarkEnd w:id="87"/>
          </w:p>
        </w:tc>
        <w:tc>
          <w:tcPr>
            <w:tcW w:w="1461" w:type="dxa"/>
            <w:tcBorders>
              <w:top w:val="nil"/>
              <w:left w:val="nil"/>
              <w:bottom w:val="nil"/>
              <w:right w:val="nil"/>
              <w:tl2br w:val="nil"/>
              <w:tr2bl w:val="nil"/>
            </w:tcBorders>
            <w:tcMar>
              <w:left w:w="60" w:type="dxa"/>
              <w:right w:w="60" w:type="dxa"/>
            </w:tcMar>
            <w:vAlign w:val="center"/>
          </w:tcPr>
          <w:p>
            <w:pPr>
              <w:pStyle w:val="DMETW36735BIPEUPPE"/>
              <w:rPr>
                <w:rFonts w:cs="Calibri"/>
                <w:noProof/>
                <w:color w:val="000000"/>
              </w:rPr>
            </w:pPr>
          </w:p>
        </w:tc>
        <w:tc>
          <w:tcPr>
            <w:tcW w:w="1032" w:type="dxa"/>
            <w:tcBorders>
              <w:top w:val="nil"/>
              <w:left w:val="nil"/>
              <w:bottom w:val="nil"/>
              <w:right w:val="nil"/>
              <w:tl2br w:val="nil"/>
              <w:tr2bl w:val="nil"/>
            </w:tcBorders>
            <w:tcMar>
              <w:left w:w="60" w:type="dxa"/>
              <w:right w:w="60" w:type="dxa"/>
            </w:tcMar>
            <w:vAlign w:val="center"/>
          </w:tcPr>
          <w:p>
            <w:pPr>
              <w:pStyle w:val="DMETW36735BIPEUPPE"/>
              <w:rPr>
                <w:rFonts w:cs="Calibri"/>
                <w:noProof/>
                <w:color w:val="000000"/>
              </w:rPr>
            </w:pPr>
          </w:p>
        </w:tc>
        <w:tc>
          <w:tcPr>
            <w:tcW w:w="1025" w:type="dxa"/>
            <w:tcBorders>
              <w:top w:val="nil"/>
              <w:left w:val="nil"/>
              <w:bottom w:val="nil"/>
              <w:right w:val="nil"/>
              <w:tl2br w:val="nil"/>
              <w:tr2bl w:val="nil"/>
            </w:tcBorders>
            <w:tcMar>
              <w:left w:w="60" w:type="dxa"/>
              <w:right w:w="60" w:type="dxa"/>
            </w:tcMar>
            <w:vAlign w:val="center"/>
          </w:tcPr>
          <w:p>
            <w:pPr>
              <w:pStyle w:val="DMETW36735BIPEUPPE"/>
              <w:rPr>
                <w:rFonts w:cs="Calibri"/>
                <w:noProof/>
                <w:color w:val="000000"/>
              </w:rPr>
            </w:pPr>
          </w:p>
        </w:tc>
        <w:tc>
          <w:tcPr>
            <w:tcW w:w="1247" w:type="dxa"/>
            <w:tcBorders>
              <w:top w:val="nil"/>
              <w:left w:val="nil"/>
              <w:bottom w:val="nil"/>
              <w:right w:val="nil"/>
              <w:tl2br w:val="nil"/>
              <w:tr2bl w:val="nil"/>
            </w:tcBorders>
            <w:tcMar>
              <w:left w:w="60" w:type="dxa"/>
              <w:right w:w="60" w:type="dxa"/>
            </w:tcMar>
            <w:vAlign w:val="center"/>
          </w:tcPr>
          <w:p>
            <w:pPr>
              <w:pStyle w:val="DMETW36735BIPEUPPE"/>
              <w:rPr>
                <w:rFonts w:cs="Calibri"/>
                <w:noProof/>
                <w:color w:val="000000"/>
              </w:rPr>
            </w:pPr>
          </w:p>
        </w:tc>
        <w:tc>
          <w:tcPr>
            <w:tcW w:w="977" w:type="dxa"/>
            <w:tcBorders>
              <w:top w:val="nil"/>
              <w:left w:val="nil"/>
              <w:bottom w:val="nil"/>
              <w:right w:val="nil"/>
              <w:tl2br w:val="nil"/>
              <w:tr2bl w:val="nil"/>
            </w:tcBorders>
            <w:tcMar>
              <w:left w:w="60" w:type="dxa"/>
              <w:right w:w="60" w:type="dxa"/>
            </w:tcMar>
            <w:vAlign w:val="center"/>
          </w:tcPr>
          <w:p>
            <w:pPr>
              <w:pStyle w:val="DMETW36735BIPEUPPE"/>
              <w:rPr>
                <w:rFonts w:cs="Calibri"/>
                <w:noProof/>
                <w:color w:val="000000"/>
              </w:rPr>
            </w:pPr>
          </w:p>
        </w:tc>
        <w:tc>
          <w:tcPr>
            <w:tcW w:w="906" w:type="dxa"/>
            <w:tcBorders>
              <w:top w:val="nil"/>
              <w:left w:val="nil"/>
              <w:bottom w:val="nil"/>
              <w:right w:val="nil"/>
              <w:tl2br w:val="nil"/>
              <w:tr2bl w:val="nil"/>
            </w:tcBorders>
            <w:tcMar>
              <w:left w:w="60" w:type="dxa"/>
              <w:right w:w="60" w:type="dxa"/>
            </w:tcMar>
            <w:vAlign w:val="center"/>
          </w:tcPr>
          <w:p>
            <w:pPr>
              <w:pStyle w:val="DMETW36735BIPEUPPE"/>
              <w:rPr>
                <w:rFonts w:cs="Calibri"/>
                <w:noProof/>
                <w:color w:val="000000"/>
              </w:rPr>
            </w:pPr>
          </w:p>
        </w:tc>
        <w:tc>
          <w:tcPr>
            <w:tcW w:w="906" w:type="dxa"/>
            <w:tcBorders>
              <w:top w:val="nil"/>
              <w:left w:val="nil"/>
              <w:bottom w:val="nil"/>
              <w:right w:val="nil"/>
              <w:tl2br w:val="nil"/>
              <w:tr2bl w:val="nil"/>
            </w:tcBorders>
            <w:tcMar>
              <w:left w:w="60" w:type="dxa"/>
              <w:right w:w="60" w:type="dxa"/>
            </w:tcMar>
            <w:vAlign w:val="center"/>
          </w:tcPr>
          <w:p>
            <w:pPr>
              <w:pStyle w:val="DMETW36735BIPEUPPE"/>
              <w:rPr>
                <w:rFonts w:cs="Calibri"/>
                <w:noProof/>
                <w:color w:val="000000"/>
              </w:rPr>
            </w:pPr>
          </w:p>
        </w:tc>
        <w:tc>
          <w:tcPr>
            <w:tcW w:w="1339" w:type="dxa"/>
            <w:tcBorders>
              <w:top w:val="nil"/>
              <w:left w:val="nil"/>
              <w:bottom w:val="nil"/>
              <w:right w:val="nil"/>
              <w:tl2br w:val="nil"/>
              <w:tr2bl w:val="nil"/>
            </w:tcBorders>
            <w:tcMar>
              <w:left w:w="60" w:type="dxa"/>
              <w:right w:w="60" w:type="dxa"/>
            </w:tcMar>
            <w:vAlign w:val="center"/>
          </w:tcPr>
          <w:p>
            <w:pPr>
              <w:pStyle w:val="DMETW36735BIPEUPPE"/>
              <w:rPr>
                <w:rFonts w:cs="Calibri"/>
                <w:noProof/>
                <w:color w:val="000000"/>
              </w:rPr>
            </w:pPr>
          </w:p>
        </w:tc>
        <w:tc>
          <w:tcPr>
            <w:tcW w:w="1025" w:type="dxa"/>
            <w:tcBorders>
              <w:top w:val="nil"/>
              <w:left w:val="nil"/>
              <w:bottom w:val="nil"/>
              <w:right w:val="nil"/>
              <w:tl2br w:val="nil"/>
              <w:tr2bl w:val="nil"/>
            </w:tcBorders>
            <w:tcMar>
              <w:left w:w="60" w:type="dxa"/>
              <w:right w:w="60" w:type="dxa"/>
            </w:tcMar>
            <w:vAlign w:val="bottom"/>
          </w:tcPr>
          <w:p>
            <w:pPr>
              <w:pStyle w:val="DMETW36735BIPEUPPE"/>
              <w:jc w:val="right"/>
              <w:rPr>
                <w:rFonts w:ascii="Verdana" w:eastAsia="Verdana" w:hAnsi="Verdana" w:cs="Verdana"/>
                <w:i/>
                <w:noProof/>
                <w:color w:val="000000"/>
                <w:sz w:val="16"/>
              </w:rPr>
            </w:pPr>
            <w:r>
              <w:rPr>
                <w:rFonts w:ascii="Verdana" w:hAnsi="Verdana"/>
                <w:i/>
                <w:noProof/>
                <w:color w:val="000000"/>
                <w:sz w:val="16"/>
              </w:rPr>
              <w:t>en Mio EUR</w:t>
            </w:r>
          </w:p>
        </w:tc>
      </w:tr>
      <w:tr>
        <w:trPr>
          <w:trHeight w:val="255"/>
        </w:trPr>
        <w:tc>
          <w:tcPr>
            <w:tcW w:w="3597" w:type="dxa"/>
            <w:tcBorders>
              <w:top w:val="nil"/>
              <w:left w:val="nil"/>
              <w:bottom w:val="nil"/>
              <w:right w:val="nil"/>
              <w:tl2br w:val="nil"/>
              <w:tr2bl w:val="nil"/>
            </w:tcBorders>
            <w:shd w:val="solid" w:color="016794" w:fill="FFFFFF"/>
            <w:tcMar>
              <w:left w:w="60" w:type="dxa"/>
              <w:right w:w="60" w:type="dxa"/>
            </w:tcMar>
            <w:vAlign w:val="center"/>
          </w:tcPr>
          <w:p>
            <w:pPr>
              <w:pStyle w:val="DMETW36735BIPEUPPE"/>
              <w:jc w:val="right"/>
              <w:rPr>
                <w:rFonts w:ascii="Verdana" w:eastAsia="Verdana" w:hAnsi="Verdana" w:cs="Verdana"/>
                <w:noProof/>
                <w:color w:val="FFFFFF"/>
                <w:sz w:val="16"/>
              </w:rPr>
            </w:pPr>
          </w:p>
        </w:tc>
        <w:tc>
          <w:tcPr>
            <w:tcW w:w="1461" w:type="dxa"/>
            <w:tcBorders>
              <w:top w:val="nil"/>
              <w:left w:val="nil"/>
              <w:bottom w:val="nil"/>
              <w:right w:val="nil"/>
              <w:tl2br w:val="nil"/>
              <w:tr2bl w:val="nil"/>
            </w:tcBorders>
            <w:shd w:val="solid" w:color="016794" w:fill="FFFFFF"/>
            <w:tcMar>
              <w:left w:w="60" w:type="dxa"/>
              <w:right w:w="60" w:type="dxa"/>
            </w:tcMar>
            <w:vAlign w:val="center"/>
          </w:tcPr>
          <w:p>
            <w:pPr>
              <w:pStyle w:val="DMETW36735BIPEUPPE"/>
              <w:jc w:val="right"/>
              <w:rPr>
                <w:rFonts w:ascii="Verdana" w:eastAsia="Verdana" w:hAnsi="Verdana" w:cs="Verdana"/>
                <w:noProof/>
                <w:color w:val="FFFFFF"/>
                <w:sz w:val="16"/>
              </w:rPr>
            </w:pPr>
            <w:r>
              <w:rPr>
                <w:rFonts w:ascii="Verdana" w:hAnsi="Verdana"/>
                <w:noProof/>
                <w:color w:val="FFFFFF"/>
                <w:sz w:val="16"/>
              </w:rPr>
              <w:t>Terrains et bâtiments</w:t>
            </w:r>
          </w:p>
        </w:tc>
        <w:tc>
          <w:tcPr>
            <w:tcW w:w="1032" w:type="dxa"/>
            <w:tcBorders>
              <w:top w:val="nil"/>
              <w:left w:val="nil"/>
              <w:bottom w:val="nil"/>
              <w:right w:val="nil"/>
              <w:tl2br w:val="nil"/>
              <w:tr2bl w:val="nil"/>
            </w:tcBorders>
            <w:shd w:val="solid" w:color="016794" w:fill="FFFFFF"/>
            <w:tcMar>
              <w:left w:w="60" w:type="dxa"/>
              <w:right w:w="60" w:type="dxa"/>
            </w:tcMar>
            <w:vAlign w:val="center"/>
          </w:tcPr>
          <w:p>
            <w:pPr>
              <w:pStyle w:val="DMETW36735BIPEUPPE"/>
              <w:jc w:val="right"/>
              <w:rPr>
                <w:rFonts w:ascii="Verdana" w:eastAsia="Verdana" w:hAnsi="Verdana" w:cs="Verdana"/>
                <w:noProof/>
                <w:color w:val="FFFFFF"/>
                <w:sz w:val="16"/>
              </w:rPr>
            </w:pPr>
            <w:r>
              <w:rPr>
                <w:rFonts w:ascii="Verdana" w:hAnsi="Verdana"/>
                <w:noProof/>
                <w:color w:val="FFFFFF"/>
                <w:sz w:val="16"/>
              </w:rPr>
              <w:t>Actifs spatiaux</w:t>
            </w:r>
          </w:p>
        </w:tc>
        <w:tc>
          <w:tcPr>
            <w:tcW w:w="1025" w:type="dxa"/>
            <w:tcBorders>
              <w:top w:val="nil"/>
              <w:left w:val="nil"/>
              <w:bottom w:val="nil"/>
              <w:right w:val="nil"/>
              <w:tl2br w:val="nil"/>
              <w:tr2bl w:val="nil"/>
            </w:tcBorders>
            <w:shd w:val="solid" w:color="016794" w:fill="FFFFFF"/>
            <w:tcMar>
              <w:left w:w="60" w:type="dxa"/>
              <w:right w:w="60" w:type="dxa"/>
            </w:tcMar>
            <w:vAlign w:val="center"/>
          </w:tcPr>
          <w:p>
            <w:pPr>
              <w:pStyle w:val="DMETW36735BIPEUPPE"/>
              <w:jc w:val="right"/>
              <w:rPr>
                <w:rFonts w:ascii="Verdana" w:eastAsia="Verdana" w:hAnsi="Verdana" w:cs="Verdana"/>
                <w:noProof/>
                <w:color w:val="FFFFFF"/>
                <w:sz w:val="16"/>
              </w:rPr>
            </w:pPr>
            <w:r>
              <w:rPr>
                <w:rFonts w:ascii="Verdana" w:hAnsi="Verdana"/>
                <w:noProof/>
                <w:color w:val="FFFFFF"/>
                <w:sz w:val="16"/>
              </w:rPr>
              <w:t>Installations de production</w:t>
            </w:r>
          </w:p>
        </w:tc>
        <w:tc>
          <w:tcPr>
            <w:tcW w:w="1247" w:type="dxa"/>
            <w:tcBorders>
              <w:top w:val="nil"/>
              <w:left w:val="nil"/>
              <w:bottom w:val="nil"/>
              <w:right w:val="nil"/>
              <w:tl2br w:val="nil"/>
              <w:tr2bl w:val="nil"/>
            </w:tcBorders>
            <w:shd w:val="solid" w:color="016794" w:fill="FFFFFF"/>
            <w:tcMar>
              <w:left w:w="60" w:type="dxa"/>
              <w:right w:w="60" w:type="dxa"/>
            </w:tcMar>
            <w:vAlign w:val="center"/>
          </w:tcPr>
          <w:p>
            <w:pPr>
              <w:pStyle w:val="DMETW36735BIPEUPPE"/>
              <w:jc w:val="right"/>
              <w:rPr>
                <w:rFonts w:ascii="Verdana" w:eastAsia="Verdana" w:hAnsi="Verdana" w:cs="Verdana"/>
                <w:noProof/>
                <w:color w:val="FFFFFF"/>
                <w:sz w:val="16"/>
              </w:rPr>
            </w:pPr>
            <w:r>
              <w:rPr>
                <w:rFonts w:ascii="Verdana" w:hAnsi="Verdana"/>
                <w:noProof/>
                <w:color w:val="FFFFFF"/>
                <w:sz w:val="16"/>
              </w:rPr>
              <w:t>Mobilier et véhicules</w:t>
            </w:r>
          </w:p>
        </w:tc>
        <w:tc>
          <w:tcPr>
            <w:tcW w:w="977" w:type="dxa"/>
            <w:tcBorders>
              <w:top w:val="nil"/>
              <w:left w:val="nil"/>
              <w:bottom w:val="nil"/>
              <w:right w:val="nil"/>
              <w:tl2br w:val="nil"/>
              <w:tr2bl w:val="nil"/>
            </w:tcBorders>
            <w:shd w:val="solid" w:color="016794" w:fill="FFFFFF"/>
            <w:tcMar>
              <w:left w:w="60" w:type="dxa"/>
              <w:right w:w="60" w:type="dxa"/>
            </w:tcMar>
            <w:vAlign w:val="center"/>
          </w:tcPr>
          <w:p>
            <w:pPr>
              <w:pStyle w:val="DMETW36735BIPEUPPE"/>
              <w:jc w:val="right"/>
              <w:rPr>
                <w:rFonts w:ascii="Verdana" w:eastAsia="Verdana" w:hAnsi="Verdana" w:cs="Verdana"/>
                <w:noProof/>
                <w:color w:val="FFFFFF"/>
                <w:sz w:val="16"/>
              </w:rPr>
            </w:pPr>
            <w:r>
              <w:rPr>
                <w:rFonts w:ascii="Verdana" w:hAnsi="Verdana"/>
                <w:noProof/>
                <w:color w:val="FFFFFF"/>
                <w:sz w:val="16"/>
              </w:rPr>
              <w:t>Matériel informatique</w:t>
            </w:r>
          </w:p>
        </w:tc>
        <w:tc>
          <w:tcPr>
            <w:tcW w:w="906" w:type="dxa"/>
            <w:tcBorders>
              <w:top w:val="nil"/>
              <w:left w:val="nil"/>
              <w:bottom w:val="nil"/>
              <w:right w:val="nil"/>
              <w:tl2br w:val="nil"/>
              <w:tr2bl w:val="nil"/>
            </w:tcBorders>
            <w:shd w:val="solid" w:color="016794" w:fill="FFFFFF"/>
            <w:tcMar>
              <w:left w:w="60" w:type="dxa"/>
              <w:right w:w="60" w:type="dxa"/>
            </w:tcMar>
            <w:vAlign w:val="center"/>
          </w:tcPr>
          <w:p>
            <w:pPr>
              <w:pStyle w:val="DMETW36735BIPEUPPE"/>
              <w:jc w:val="right"/>
              <w:rPr>
                <w:rFonts w:ascii="Verdana" w:eastAsia="Verdana" w:hAnsi="Verdana" w:cs="Verdana"/>
                <w:noProof/>
                <w:color w:val="FFFFFF"/>
                <w:sz w:val="16"/>
              </w:rPr>
            </w:pPr>
            <w:r>
              <w:rPr>
                <w:rFonts w:ascii="Verdana" w:hAnsi="Verdana"/>
                <w:noProof/>
                <w:color w:val="FFFFFF"/>
                <w:sz w:val="16"/>
              </w:rPr>
              <w:t>Autres</w:t>
            </w:r>
          </w:p>
        </w:tc>
        <w:tc>
          <w:tcPr>
            <w:tcW w:w="906" w:type="dxa"/>
            <w:tcBorders>
              <w:top w:val="nil"/>
              <w:left w:val="nil"/>
              <w:bottom w:val="nil"/>
              <w:right w:val="nil"/>
              <w:tl2br w:val="nil"/>
              <w:tr2bl w:val="nil"/>
            </w:tcBorders>
            <w:shd w:val="solid" w:color="016794" w:fill="FFFFFF"/>
            <w:tcMar>
              <w:left w:w="60" w:type="dxa"/>
              <w:right w:w="60" w:type="dxa"/>
            </w:tcMar>
            <w:vAlign w:val="center"/>
          </w:tcPr>
          <w:p>
            <w:pPr>
              <w:pStyle w:val="DMETW36735BIPEUPPE"/>
              <w:jc w:val="right"/>
              <w:rPr>
                <w:rFonts w:ascii="Verdana" w:eastAsia="Verdana" w:hAnsi="Verdana" w:cs="Verdana"/>
                <w:noProof/>
                <w:color w:val="FFFFFF"/>
                <w:sz w:val="16"/>
              </w:rPr>
            </w:pPr>
            <w:r>
              <w:rPr>
                <w:rFonts w:ascii="Verdana" w:hAnsi="Verdana"/>
                <w:noProof/>
                <w:color w:val="FFFFFF"/>
                <w:sz w:val="16"/>
              </w:rPr>
              <w:t>Contrats de location-financement</w:t>
            </w:r>
          </w:p>
        </w:tc>
        <w:tc>
          <w:tcPr>
            <w:tcW w:w="1339" w:type="dxa"/>
            <w:tcBorders>
              <w:top w:val="nil"/>
              <w:left w:val="nil"/>
              <w:bottom w:val="nil"/>
              <w:right w:val="nil"/>
              <w:tl2br w:val="nil"/>
              <w:tr2bl w:val="nil"/>
            </w:tcBorders>
            <w:shd w:val="solid" w:color="016794" w:fill="FFFFFF"/>
            <w:tcMar>
              <w:left w:w="60" w:type="dxa"/>
              <w:right w:w="60" w:type="dxa"/>
            </w:tcMar>
            <w:vAlign w:val="center"/>
          </w:tcPr>
          <w:p>
            <w:pPr>
              <w:pStyle w:val="DMETW36735BIPEUPPE"/>
              <w:jc w:val="right"/>
              <w:rPr>
                <w:rFonts w:ascii="Verdana" w:eastAsia="Verdana" w:hAnsi="Verdana" w:cs="Verdana"/>
                <w:noProof/>
                <w:color w:val="FFFFFF"/>
                <w:sz w:val="16"/>
              </w:rPr>
            </w:pPr>
            <w:r>
              <w:rPr>
                <w:rFonts w:ascii="Verdana" w:hAnsi="Verdana"/>
                <w:noProof/>
                <w:color w:val="FFFFFF"/>
                <w:sz w:val="16"/>
              </w:rPr>
              <w:t xml:space="preserve"> Immobilisations en cours</w:t>
            </w:r>
          </w:p>
        </w:tc>
        <w:tc>
          <w:tcPr>
            <w:tcW w:w="1025" w:type="dxa"/>
            <w:tcBorders>
              <w:top w:val="nil"/>
              <w:left w:val="nil"/>
              <w:bottom w:val="nil"/>
              <w:right w:val="nil"/>
              <w:tl2br w:val="nil"/>
              <w:tr2bl w:val="nil"/>
            </w:tcBorders>
            <w:shd w:val="solid" w:color="016794" w:fill="FFFFFF"/>
            <w:tcMar>
              <w:left w:w="60" w:type="dxa"/>
              <w:right w:w="60" w:type="dxa"/>
            </w:tcMar>
            <w:vAlign w:val="center"/>
          </w:tcPr>
          <w:p>
            <w:pPr>
              <w:pStyle w:val="DMETW36735BIPEUPPE"/>
              <w:jc w:val="right"/>
              <w:rPr>
                <w:rFonts w:ascii="Verdana" w:eastAsia="Verdana" w:hAnsi="Verdana" w:cs="Verdana"/>
                <w:noProof/>
                <w:color w:val="FFFFFF"/>
                <w:sz w:val="16"/>
              </w:rPr>
            </w:pPr>
            <w:r>
              <w:rPr>
                <w:rFonts w:ascii="Verdana" w:hAnsi="Verdana"/>
                <w:noProof/>
                <w:color w:val="FFFFFF"/>
                <w:sz w:val="16"/>
              </w:rPr>
              <w:t>Total</w:t>
            </w:r>
          </w:p>
        </w:tc>
      </w:tr>
      <w:tr>
        <w:trPr>
          <w:trHeight w:val="255"/>
        </w:trPr>
        <w:tc>
          <w:tcPr>
            <w:tcW w:w="3597" w:type="dxa"/>
            <w:tcBorders>
              <w:top w:val="nil"/>
              <w:left w:val="nil"/>
              <w:bottom w:val="nil"/>
              <w:right w:val="nil"/>
              <w:tl2br w:val="nil"/>
              <w:tr2bl w:val="nil"/>
            </w:tcBorders>
            <w:tcMar>
              <w:left w:w="60" w:type="dxa"/>
              <w:right w:w="60" w:type="dxa"/>
            </w:tcMar>
            <w:vAlign w:val="center"/>
          </w:tcPr>
          <w:p>
            <w:pPr>
              <w:pStyle w:val="DMETW36735BIPEUPPE"/>
              <w:rPr>
                <w:rFonts w:ascii="Verdana" w:eastAsia="Verdana" w:hAnsi="Verdana" w:cs="Verdana"/>
                <w:i/>
                <w:noProof/>
                <w:color w:val="000000"/>
                <w:sz w:val="16"/>
              </w:rPr>
            </w:pPr>
            <w:r>
              <w:rPr>
                <w:rFonts w:ascii="Verdana" w:hAnsi="Verdana"/>
                <w:i/>
                <w:noProof/>
                <w:color w:val="000000"/>
                <w:sz w:val="16"/>
              </w:rPr>
              <w:t>Valeur brute comptable au 31.12.2024</w:t>
            </w:r>
          </w:p>
        </w:tc>
        <w:tc>
          <w:tcPr>
            <w:tcW w:w="1461"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6 528</w:t>
            </w:r>
          </w:p>
        </w:tc>
        <w:tc>
          <w:tcPr>
            <w:tcW w:w="1032"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9 056</w:t>
            </w:r>
          </w:p>
        </w:tc>
        <w:tc>
          <w:tcPr>
            <w:tcW w:w="1025"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483</w:t>
            </w:r>
          </w:p>
        </w:tc>
        <w:tc>
          <w:tcPr>
            <w:tcW w:w="1247"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255</w:t>
            </w:r>
          </w:p>
        </w:tc>
        <w:tc>
          <w:tcPr>
            <w:tcW w:w="977"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714</w:t>
            </w:r>
          </w:p>
        </w:tc>
        <w:tc>
          <w:tcPr>
            <w:tcW w:w="906"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308</w:t>
            </w:r>
          </w:p>
        </w:tc>
        <w:tc>
          <w:tcPr>
            <w:tcW w:w="906"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2 075</w:t>
            </w:r>
          </w:p>
        </w:tc>
        <w:tc>
          <w:tcPr>
            <w:tcW w:w="1339"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6 528</w:t>
            </w:r>
          </w:p>
        </w:tc>
        <w:tc>
          <w:tcPr>
            <w:tcW w:w="1025"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25 945</w:t>
            </w:r>
          </w:p>
        </w:tc>
      </w:tr>
      <w:tr>
        <w:trPr>
          <w:trHeight w:val="255"/>
        </w:trPr>
        <w:tc>
          <w:tcPr>
            <w:tcW w:w="3597" w:type="dxa"/>
            <w:tcBorders>
              <w:top w:val="nil"/>
              <w:left w:val="nil"/>
              <w:bottom w:val="nil"/>
              <w:right w:val="nil"/>
              <w:tl2br w:val="nil"/>
              <w:tr2bl w:val="nil"/>
            </w:tcBorders>
            <w:tcMar>
              <w:left w:w="60" w:type="dxa"/>
              <w:right w:w="60" w:type="dxa"/>
            </w:tcMar>
            <w:vAlign w:val="center"/>
          </w:tcPr>
          <w:p>
            <w:pPr>
              <w:pStyle w:val="DMETW36735BIPEUPPE"/>
              <w:rPr>
                <w:rFonts w:ascii="Verdana" w:eastAsia="Verdana" w:hAnsi="Verdana" w:cs="Verdana"/>
                <w:i/>
                <w:noProof/>
                <w:color w:val="000000"/>
                <w:sz w:val="16"/>
              </w:rPr>
            </w:pPr>
            <w:r>
              <w:rPr>
                <w:rFonts w:ascii="Verdana" w:hAnsi="Verdana"/>
                <w:i/>
                <w:noProof/>
                <w:color w:val="000000"/>
                <w:sz w:val="16"/>
              </w:rPr>
              <w:t>Ajouts</w:t>
            </w:r>
          </w:p>
        </w:tc>
        <w:tc>
          <w:tcPr>
            <w:tcW w:w="1461"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44</w:t>
            </w:r>
          </w:p>
        </w:tc>
        <w:tc>
          <w:tcPr>
            <w:tcW w:w="1032"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1</w:t>
            </w:r>
          </w:p>
        </w:tc>
        <w:tc>
          <w:tcPr>
            <w:tcW w:w="1025"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23</w:t>
            </w:r>
          </w:p>
        </w:tc>
        <w:tc>
          <w:tcPr>
            <w:tcW w:w="1247"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13</w:t>
            </w:r>
          </w:p>
        </w:tc>
        <w:tc>
          <w:tcPr>
            <w:tcW w:w="977"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76</w:t>
            </w:r>
          </w:p>
        </w:tc>
        <w:tc>
          <w:tcPr>
            <w:tcW w:w="906"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14</w:t>
            </w:r>
          </w:p>
        </w:tc>
        <w:tc>
          <w:tcPr>
            <w:tcW w:w="906"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5</w:t>
            </w:r>
          </w:p>
        </w:tc>
        <w:tc>
          <w:tcPr>
            <w:tcW w:w="1339"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2 029</w:t>
            </w:r>
          </w:p>
        </w:tc>
        <w:tc>
          <w:tcPr>
            <w:tcW w:w="1025"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2 205</w:t>
            </w:r>
          </w:p>
        </w:tc>
      </w:tr>
      <w:tr>
        <w:trPr>
          <w:trHeight w:val="255"/>
        </w:trPr>
        <w:tc>
          <w:tcPr>
            <w:tcW w:w="3597" w:type="dxa"/>
            <w:tcBorders>
              <w:top w:val="nil"/>
              <w:left w:val="nil"/>
              <w:bottom w:val="nil"/>
              <w:right w:val="nil"/>
              <w:tl2br w:val="nil"/>
              <w:tr2bl w:val="nil"/>
            </w:tcBorders>
            <w:tcMar>
              <w:left w:w="60" w:type="dxa"/>
              <w:right w:w="60" w:type="dxa"/>
            </w:tcMar>
            <w:vAlign w:val="center"/>
          </w:tcPr>
          <w:p>
            <w:pPr>
              <w:pStyle w:val="DMETW36735BIPEUPPE"/>
              <w:rPr>
                <w:rFonts w:ascii="Verdana" w:eastAsia="Verdana" w:hAnsi="Verdana" w:cs="Verdana"/>
                <w:i/>
                <w:noProof/>
                <w:color w:val="000000"/>
                <w:sz w:val="16"/>
              </w:rPr>
            </w:pPr>
            <w:r>
              <w:rPr>
                <w:rFonts w:ascii="Verdana" w:hAnsi="Verdana"/>
                <w:i/>
                <w:noProof/>
                <w:color w:val="000000"/>
                <w:sz w:val="16"/>
              </w:rPr>
              <w:t>Produits de cessions</w:t>
            </w:r>
          </w:p>
        </w:tc>
        <w:tc>
          <w:tcPr>
            <w:tcW w:w="1461"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(9)</w:t>
            </w:r>
          </w:p>
        </w:tc>
        <w:tc>
          <w:tcPr>
            <w:tcW w:w="1032"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(113)</w:t>
            </w:r>
          </w:p>
        </w:tc>
        <w:tc>
          <w:tcPr>
            <w:tcW w:w="1025"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(24)</w:t>
            </w:r>
          </w:p>
        </w:tc>
        <w:tc>
          <w:tcPr>
            <w:tcW w:w="1247"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(37)</w:t>
            </w:r>
          </w:p>
        </w:tc>
        <w:tc>
          <w:tcPr>
            <w:tcW w:w="977"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(87)</w:t>
            </w:r>
          </w:p>
        </w:tc>
        <w:tc>
          <w:tcPr>
            <w:tcW w:w="906"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(35)</w:t>
            </w:r>
          </w:p>
        </w:tc>
        <w:tc>
          <w:tcPr>
            <w:tcW w:w="906"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(2)</w:t>
            </w:r>
          </w:p>
        </w:tc>
        <w:tc>
          <w:tcPr>
            <w:tcW w:w="1339"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(0)</w:t>
            </w:r>
          </w:p>
        </w:tc>
        <w:tc>
          <w:tcPr>
            <w:tcW w:w="1025"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(306)</w:t>
            </w:r>
          </w:p>
        </w:tc>
      </w:tr>
      <w:tr>
        <w:trPr>
          <w:trHeight w:val="255"/>
        </w:trPr>
        <w:tc>
          <w:tcPr>
            <w:tcW w:w="3597" w:type="dxa"/>
            <w:tcBorders>
              <w:top w:val="nil"/>
              <w:left w:val="nil"/>
              <w:bottom w:val="nil"/>
              <w:right w:val="nil"/>
              <w:tl2br w:val="nil"/>
              <w:tr2bl w:val="nil"/>
            </w:tcBorders>
            <w:tcMar>
              <w:left w:w="60" w:type="dxa"/>
              <w:right w:w="60" w:type="dxa"/>
            </w:tcMar>
            <w:vAlign w:val="center"/>
          </w:tcPr>
          <w:p>
            <w:pPr>
              <w:pStyle w:val="DMETW36735BIPEUPPE"/>
              <w:rPr>
                <w:rFonts w:ascii="Verdana" w:eastAsia="Verdana" w:hAnsi="Verdana" w:cs="Verdana"/>
                <w:i/>
                <w:noProof/>
                <w:color w:val="000000"/>
                <w:sz w:val="16"/>
              </w:rPr>
            </w:pPr>
            <w:r>
              <w:rPr>
                <w:rFonts w:ascii="Verdana" w:hAnsi="Verdana"/>
                <w:i/>
                <w:noProof/>
                <w:color w:val="000000"/>
                <w:sz w:val="16"/>
              </w:rPr>
              <w:t>Transfert entre catégories d’actifs</w:t>
            </w:r>
          </w:p>
        </w:tc>
        <w:tc>
          <w:tcPr>
            <w:tcW w:w="1461"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73</w:t>
            </w:r>
          </w:p>
        </w:tc>
        <w:tc>
          <w:tcPr>
            <w:tcW w:w="1032"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811</w:t>
            </w:r>
          </w:p>
        </w:tc>
        <w:tc>
          <w:tcPr>
            <w:tcW w:w="1025"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0</w:t>
            </w:r>
          </w:p>
        </w:tc>
        <w:tc>
          <w:tcPr>
            <w:tcW w:w="1247"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(0)</w:t>
            </w:r>
          </w:p>
        </w:tc>
        <w:tc>
          <w:tcPr>
            <w:tcW w:w="977"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0</w:t>
            </w:r>
          </w:p>
        </w:tc>
        <w:tc>
          <w:tcPr>
            <w:tcW w:w="906"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2</w:t>
            </w:r>
          </w:p>
        </w:tc>
        <w:tc>
          <w:tcPr>
            <w:tcW w:w="906"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w:t>
            </w:r>
          </w:p>
        </w:tc>
        <w:tc>
          <w:tcPr>
            <w:tcW w:w="1339"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(886)</w:t>
            </w:r>
          </w:p>
        </w:tc>
        <w:tc>
          <w:tcPr>
            <w:tcW w:w="1025"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(0)</w:t>
            </w:r>
          </w:p>
        </w:tc>
      </w:tr>
      <w:tr>
        <w:trPr>
          <w:trHeight w:val="255"/>
        </w:trPr>
        <w:tc>
          <w:tcPr>
            <w:tcW w:w="3597" w:type="dxa"/>
            <w:tcBorders>
              <w:top w:val="nil"/>
              <w:left w:val="nil"/>
              <w:bottom w:val="single" w:sz="4" w:space="0" w:color="016794"/>
              <w:right w:val="nil"/>
              <w:tl2br w:val="nil"/>
              <w:tr2bl w:val="nil"/>
            </w:tcBorders>
            <w:tcMar>
              <w:left w:w="60" w:type="dxa"/>
              <w:right w:w="60" w:type="dxa"/>
            </w:tcMar>
            <w:vAlign w:val="center"/>
          </w:tcPr>
          <w:p>
            <w:pPr>
              <w:pStyle w:val="DMETW36735BIPEUPPE"/>
              <w:rPr>
                <w:rFonts w:ascii="Verdana" w:eastAsia="Verdana" w:hAnsi="Verdana" w:cs="Verdana"/>
                <w:i/>
                <w:noProof/>
                <w:color w:val="000000"/>
                <w:sz w:val="16"/>
              </w:rPr>
            </w:pPr>
            <w:r>
              <w:rPr>
                <w:rFonts w:ascii="Verdana" w:hAnsi="Verdana"/>
                <w:i/>
                <w:noProof/>
                <w:color w:val="000000"/>
                <w:sz w:val="16"/>
              </w:rPr>
              <w:t>Autres changements</w:t>
            </w:r>
          </w:p>
        </w:tc>
        <w:tc>
          <w:tcPr>
            <w:tcW w:w="1461" w:type="dxa"/>
            <w:tcBorders>
              <w:top w:val="nil"/>
              <w:left w:val="nil"/>
              <w:bottom w:val="single" w:sz="4" w:space="0" w:color="016794"/>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(3)</w:t>
            </w:r>
          </w:p>
        </w:tc>
        <w:tc>
          <w:tcPr>
            <w:tcW w:w="1032" w:type="dxa"/>
            <w:tcBorders>
              <w:top w:val="nil"/>
              <w:left w:val="nil"/>
              <w:bottom w:val="single" w:sz="4" w:space="0" w:color="016794"/>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w:t>
            </w:r>
          </w:p>
        </w:tc>
        <w:tc>
          <w:tcPr>
            <w:tcW w:w="1025" w:type="dxa"/>
            <w:tcBorders>
              <w:top w:val="nil"/>
              <w:left w:val="nil"/>
              <w:bottom w:val="single" w:sz="4" w:space="0" w:color="016794"/>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0</w:t>
            </w:r>
          </w:p>
        </w:tc>
        <w:tc>
          <w:tcPr>
            <w:tcW w:w="1247" w:type="dxa"/>
            <w:tcBorders>
              <w:top w:val="nil"/>
              <w:left w:val="nil"/>
              <w:bottom w:val="single" w:sz="4" w:space="0" w:color="016794"/>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0</w:t>
            </w:r>
          </w:p>
        </w:tc>
        <w:tc>
          <w:tcPr>
            <w:tcW w:w="977" w:type="dxa"/>
            <w:tcBorders>
              <w:top w:val="nil"/>
              <w:left w:val="nil"/>
              <w:bottom w:val="single" w:sz="4" w:space="0" w:color="016794"/>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1</w:t>
            </w:r>
          </w:p>
        </w:tc>
        <w:tc>
          <w:tcPr>
            <w:tcW w:w="906" w:type="dxa"/>
            <w:tcBorders>
              <w:top w:val="nil"/>
              <w:left w:val="nil"/>
              <w:bottom w:val="single" w:sz="4" w:space="0" w:color="016794"/>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0</w:t>
            </w:r>
          </w:p>
        </w:tc>
        <w:tc>
          <w:tcPr>
            <w:tcW w:w="906" w:type="dxa"/>
            <w:tcBorders>
              <w:top w:val="nil"/>
              <w:left w:val="nil"/>
              <w:bottom w:val="single" w:sz="4" w:space="0" w:color="016794"/>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w:t>
            </w:r>
          </w:p>
        </w:tc>
        <w:tc>
          <w:tcPr>
            <w:tcW w:w="1339" w:type="dxa"/>
            <w:tcBorders>
              <w:top w:val="nil"/>
              <w:left w:val="nil"/>
              <w:bottom w:val="single" w:sz="4" w:space="0" w:color="016794"/>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w:t>
            </w:r>
          </w:p>
        </w:tc>
        <w:tc>
          <w:tcPr>
            <w:tcW w:w="1025" w:type="dxa"/>
            <w:tcBorders>
              <w:top w:val="nil"/>
              <w:left w:val="nil"/>
              <w:bottom w:val="single" w:sz="4" w:space="0" w:color="016794"/>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(2)</w:t>
            </w:r>
          </w:p>
        </w:tc>
      </w:tr>
      <w:tr>
        <w:trPr>
          <w:trHeight w:val="255"/>
        </w:trPr>
        <w:tc>
          <w:tcPr>
            <w:tcW w:w="3597"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35BIPEUPPE"/>
              <w:rPr>
                <w:rFonts w:ascii="Verdana" w:eastAsia="Verdana" w:hAnsi="Verdana" w:cs="Verdana"/>
                <w:b/>
                <w:noProof/>
                <w:color w:val="000000"/>
                <w:sz w:val="16"/>
              </w:rPr>
            </w:pPr>
            <w:r>
              <w:rPr>
                <w:rFonts w:ascii="Verdana" w:hAnsi="Verdana"/>
                <w:b/>
                <w:noProof/>
                <w:color w:val="000000"/>
                <w:sz w:val="16"/>
              </w:rPr>
              <w:t>Valeur brute comptable au 31.12.2025</w:t>
            </w:r>
          </w:p>
        </w:tc>
        <w:tc>
          <w:tcPr>
            <w:tcW w:w="146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35BIPEUPPE"/>
              <w:jc w:val="right"/>
              <w:rPr>
                <w:rFonts w:ascii="Verdana" w:eastAsia="Verdana" w:hAnsi="Verdana" w:cs="Verdana"/>
                <w:b/>
                <w:noProof/>
                <w:color w:val="000000"/>
                <w:sz w:val="16"/>
              </w:rPr>
            </w:pPr>
            <w:r>
              <w:rPr>
                <w:rFonts w:ascii="Verdana" w:hAnsi="Verdana"/>
                <w:b/>
                <w:noProof/>
                <w:color w:val="000000"/>
                <w:sz w:val="16"/>
              </w:rPr>
              <w:t>6 630</w:t>
            </w:r>
          </w:p>
        </w:tc>
        <w:tc>
          <w:tcPr>
            <w:tcW w:w="103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35BIPEUPPE"/>
              <w:jc w:val="right"/>
              <w:rPr>
                <w:rFonts w:ascii="Verdana" w:eastAsia="Verdana" w:hAnsi="Verdana" w:cs="Verdana"/>
                <w:b/>
                <w:noProof/>
                <w:color w:val="000000"/>
                <w:sz w:val="16"/>
              </w:rPr>
            </w:pPr>
            <w:r>
              <w:rPr>
                <w:rFonts w:ascii="Verdana" w:hAnsi="Verdana"/>
                <w:b/>
                <w:noProof/>
                <w:color w:val="000000"/>
                <w:sz w:val="16"/>
              </w:rPr>
              <w:t>9 755</w:t>
            </w:r>
          </w:p>
        </w:tc>
        <w:tc>
          <w:tcPr>
            <w:tcW w:w="102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35BIPEUPPE"/>
              <w:jc w:val="right"/>
              <w:rPr>
                <w:rFonts w:ascii="Verdana" w:eastAsia="Verdana" w:hAnsi="Verdana" w:cs="Verdana"/>
                <w:b/>
                <w:noProof/>
                <w:color w:val="000000"/>
                <w:sz w:val="16"/>
              </w:rPr>
            </w:pPr>
            <w:r>
              <w:rPr>
                <w:rFonts w:ascii="Verdana" w:hAnsi="Verdana"/>
                <w:b/>
                <w:noProof/>
                <w:color w:val="000000"/>
                <w:sz w:val="16"/>
              </w:rPr>
              <w:t xml:space="preserve"> 482</w:t>
            </w:r>
          </w:p>
        </w:tc>
        <w:tc>
          <w:tcPr>
            <w:tcW w:w="1247"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35BIPEUPPE"/>
              <w:jc w:val="right"/>
              <w:rPr>
                <w:rFonts w:ascii="Verdana" w:eastAsia="Verdana" w:hAnsi="Verdana" w:cs="Verdana"/>
                <w:b/>
                <w:noProof/>
                <w:color w:val="000000"/>
                <w:sz w:val="16"/>
              </w:rPr>
            </w:pPr>
            <w:r>
              <w:rPr>
                <w:rFonts w:ascii="Verdana" w:hAnsi="Verdana"/>
                <w:b/>
                <w:noProof/>
                <w:color w:val="000000"/>
                <w:sz w:val="16"/>
              </w:rPr>
              <w:t xml:space="preserve"> 231</w:t>
            </w:r>
          </w:p>
        </w:tc>
        <w:tc>
          <w:tcPr>
            <w:tcW w:w="977"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35BIPEUPPE"/>
              <w:jc w:val="right"/>
              <w:rPr>
                <w:rFonts w:ascii="Verdana" w:eastAsia="Verdana" w:hAnsi="Verdana" w:cs="Verdana"/>
                <w:b/>
                <w:noProof/>
                <w:color w:val="000000"/>
                <w:sz w:val="16"/>
              </w:rPr>
            </w:pPr>
            <w:r>
              <w:rPr>
                <w:rFonts w:ascii="Verdana" w:hAnsi="Verdana"/>
                <w:b/>
                <w:noProof/>
                <w:color w:val="000000"/>
                <w:sz w:val="16"/>
              </w:rPr>
              <w:t xml:space="preserve"> 705</w:t>
            </w:r>
          </w:p>
        </w:tc>
        <w:tc>
          <w:tcPr>
            <w:tcW w:w="90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35BIPEUPPE"/>
              <w:jc w:val="right"/>
              <w:rPr>
                <w:rFonts w:ascii="Verdana" w:eastAsia="Verdana" w:hAnsi="Verdana" w:cs="Verdana"/>
                <w:b/>
                <w:noProof/>
                <w:color w:val="000000"/>
                <w:sz w:val="16"/>
              </w:rPr>
            </w:pPr>
            <w:r>
              <w:rPr>
                <w:rFonts w:ascii="Verdana" w:hAnsi="Verdana"/>
                <w:b/>
                <w:noProof/>
                <w:color w:val="000000"/>
                <w:sz w:val="16"/>
              </w:rPr>
              <w:t xml:space="preserve"> 292</w:t>
            </w:r>
          </w:p>
        </w:tc>
        <w:tc>
          <w:tcPr>
            <w:tcW w:w="90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35BIPEUPPE"/>
              <w:jc w:val="right"/>
              <w:rPr>
                <w:rFonts w:ascii="Verdana" w:eastAsia="Verdana" w:hAnsi="Verdana" w:cs="Verdana"/>
                <w:b/>
                <w:noProof/>
                <w:color w:val="000000"/>
                <w:sz w:val="16"/>
              </w:rPr>
            </w:pPr>
            <w:r>
              <w:rPr>
                <w:rFonts w:ascii="Verdana" w:hAnsi="Verdana"/>
                <w:b/>
                <w:noProof/>
                <w:color w:val="000000"/>
                <w:sz w:val="16"/>
              </w:rPr>
              <w:t>2 079</w:t>
            </w:r>
          </w:p>
        </w:tc>
        <w:tc>
          <w:tcPr>
            <w:tcW w:w="133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35BIPEUPPE"/>
              <w:jc w:val="right"/>
              <w:rPr>
                <w:rFonts w:ascii="Verdana" w:eastAsia="Verdana" w:hAnsi="Verdana" w:cs="Verdana"/>
                <w:b/>
                <w:noProof/>
                <w:color w:val="000000"/>
                <w:sz w:val="16"/>
              </w:rPr>
            </w:pPr>
            <w:r>
              <w:rPr>
                <w:rFonts w:ascii="Verdana" w:hAnsi="Verdana"/>
                <w:b/>
                <w:noProof/>
                <w:color w:val="000000"/>
                <w:sz w:val="16"/>
              </w:rPr>
              <w:t>7 671</w:t>
            </w:r>
          </w:p>
        </w:tc>
        <w:tc>
          <w:tcPr>
            <w:tcW w:w="102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35BIPEUPPE"/>
              <w:jc w:val="right"/>
              <w:rPr>
                <w:rFonts w:ascii="Verdana" w:eastAsia="Verdana" w:hAnsi="Verdana" w:cs="Verdana"/>
                <w:b/>
                <w:noProof/>
                <w:color w:val="000000"/>
                <w:sz w:val="16"/>
              </w:rPr>
            </w:pPr>
            <w:r>
              <w:rPr>
                <w:rFonts w:ascii="Verdana" w:hAnsi="Verdana"/>
                <w:b/>
                <w:noProof/>
                <w:color w:val="000000"/>
                <w:sz w:val="16"/>
              </w:rPr>
              <w:t>27 843</w:t>
            </w:r>
          </w:p>
        </w:tc>
      </w:tr>
      <w:tr>
        <w:trPr>
          <w:trHeight w:val="255"/>
        </w:trPr>
        <w:tc>
          <w:tcPr>
            <w:tcW w:w="3597" w:type="dxa"/>
            <w:tcBorders>
              <w:top w:val="single" w:sz="4" w:space="0" w:color="016794"/>
              <w:left w:val="nil"/>
              <w:bottom w:val="nil"/>
              <w:right w:val="nil"/>
              <w:tl2br w:val="nil"/>
              <w:tr2bl w:val="nil"/>
            </w:tcBorders>
            <w:tcMar>
              <w:left w:w="60" w:type="dxa"/>
              <w:right w:w="60" w:type="dxa"/>
            </w:tcMar>
            <w:vAlign w:val="center"/>
          </w:tcPr>
          <w:p>
            <w:pPr>
              <w:pStyle w:val="DMETW36735BIPEUPPE"/>
              <w:rPr>
                <w:rFonts w:ascii="Verdana" w:eastAsia="Verdana" w:hAnsi="Verdana" w:cs="Verdana"/>
                <w:i/>
                <w:noProof/>
                <w:color w:val="000000"/>
                <w:sz w:val="16"/>
              </w:rPr>
            </w:pPr>
            <w:r>
              <w:rPr>
                <w:rFonts w:ascii="Verdana" w:hAnsi="Verdana"/>
                <w:i/>
                <w:noProof/>
                <w:color w:val="000000"/>
                <w:sz w:val="16"/>
              </w:rPr>
              <w:t>Cumul des amortissements au 31.12.2024</w:t>
            </w:r>
          </w:p>
        </w:tc>
        <w:tc>
          <w:tcPr>
            <w:tcW w:w="1461" w:type="dxa"/>
            <w:tcBorders>
              <w:top w:val="single" w:sz="4" w:space="0" w:color="016794"/>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(4 106)</w:t>
            </w:r>
          </w:p>
        </w:tc>
        <w:tc>
          <w:tcPr>
            <w:tcW w:w="1032" w:type="dxa"/>
            <w:tcBorders>
              <w:top w:val="single" w:sz="4" w:space="0" w:color="016794"/>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(5 417)</w:t>
            </w:r>
          </w:p>
        </w:tc>
        <w:tc>
          <w:tcPr>
            <w:tcW w:w="1025" w:type="dxa"/>
            <w:tcBorders>
              <w:top w:val="single" w:sz="4" w:space="0" w:color="016794"/>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(423)</w:t>
            </w:r>
          </w:p>
        </w:tc>
        <w:tc>
          <w:tcPr>
            <w:tcW w:w="1247" w:type="dxa"/>
            <w:tcBorders>
              <w:top w:val="single" w:sz="4" w:space="0" w:color="016794"/>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(177)</w:t>
            </w:r>
          </w:p>
        </w:tc>
        <w:tc>
          <w:tcPr>
            <w:tcW w:w="977" w:type="dxa"/>
            <w:tcBorders>
              <w:top w:val="single" w:sz="4" w:space="0" w:color="016794"/>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(575)</w:t>
            </w:r>
          </w:p>
        </w:tc>
        <w:tc>
          <w:tcPr>
            <w:tcW w:w="906" w:type="dxa"/>
            <w:tcBorders>
              <w:top w:val="single" w:sz="4" w:space="0" w:color="016794"/>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(225)</w:t>
            </w:r>
          </w:p>
        </w:tc>
        <w:tc>
          <w:tcPr>
            <w:tcW w:w="906" w:type="dxa"/>
            <w:tcBorders>
              <w:top w:val="single" w:sz="4" w:space="0" w:color="016794"/>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(1 309)</w:t>
            </w:r>
          </w:p>
        </w:tc>
        <w:tc>
          <w:tcPr>
            <w:tcW w:w="1339" w:type="dxa"/>
            <w:tcBorders>
              <w:top w:val="single" w:sz="4" w:space="0" w:color="016794"/>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p>
        </w:tc>
        <w:tc>
          <w:tcPr>
            <w:tcW w:w="1025" w:type="dxa"/>
            <w:tcBorders>
              <w:top w:val="single" w:sz="4" w:space="0" w:color="016794"/>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(12 232)</w:t>
            </w:r>
          </w:p>
        </w:tc>
      </w:tr>
      <w:tr>
        <w:trPr>
          <w:trHeight w:val="255"/>
        </w:trPr>
        <w:tc>
          <w:tcPr>
            <w:tcW w:w="3597" w:type="dxa"/>
            <w:tcBorders>
              <w:top w:val="nil"/>
              <w:left w:val="nil"/>
              <w:bottom w:val="nil"/>
              <w:right w:val="nil"/>
              <w:tl2br w:val="nil"/>
              <w:tr2bl w:val="nil"/>
            </w:tcBorders>
            <w:tcMar>
              <w:left w:w="60" w:type="dxa"/>
              <w:right w:w="60" w:type="dxa"/>
            </w:tcMar>
            <w:vAlign w:val="center"/>
          </w:tcPr>
          <w:p>
            <w:pPr>
              <w:pStyle w:val="DMETW36735BIPEUPPE"/>
              <w:rPr>
                <w:rFonts w:ascii="Verdana" w:eastAsia="Verdana" w:hAnsi="Verdana" w:cs="Verdana"/>
                <w:i/>
                <w:noProof/>
                <w:color w:val="000000"/>
                <w:sz w:val="16"/>
              </w:rPr>
            </w:pPr>
            <w:r>
              <w:rPr>
                <w:rFonts w:ascii="Verdana" w:hAnsi="Verdana"/>
                <w:i/>
                <w:noProof/>
                <w:color w:val="000000"/>
                <w:sz w:val="16"/>
              </w:rPr>
              <w:t>Dotations aux amortissements pour l’exercice</w:t>
            </w:r>
          </w:p>
        </w:tc>
        <w:tc>
          <w:tcPr>
            <w:tcW w:w="1461"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(145)</w:t>
            </w:r>
          </w:p>
        </w:tc>
        <w:tc>
          <w:tcPr>
            <w:tcW w:w="1032"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(777)</w:t>
            </w:r>
          </w:p>
        </w:tc>
        <w:tc>
          <w:tcPr>
            <w:tcW w:w="1025"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(24)</w:t>
            </w:r>
          </w:p>
        </w:tc>
        <w:tc>
          <w:tcPr>
            <w:tcW w:w="1247"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(17)</w:t>
            </w:r>
          </w:p>
        </w:tc>
        <w:tc>
          <w:tcPr>
            <w:tcW w:w="977"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(75)</w:t>
            </w:r>
          </w:p>
        </w:tc>
        <w:tc>
          <w:tcPr>
            <w:tcW w:w="906"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(18)</w:t>
            </w:r>
          </w:p>
        </w:tc>
        <w:tc>
          <w:tcPr>
            <w:tcW w:w="906"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(75)</w:t>
            </w:r>
          </w:p>
        </w:tc>
        <w:tc>
          <w:tcPr>
            <w:tcW w:w="1339"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p>
        </w:tc>
        <w:tc>
          <w:tcPr>
            <w:tcW w:w="1025"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(1 131)</w:t>
            </w:r>
          </w:p>
        </w:tc>
      </w:tr>
      <w:tr>
        <w:trPr>
          <w:trHeight w:val="255"/>
        </w:trPr>
        <w:tc>
          <w:tcPr>
            <w:tcW w:w="3597" w:type="dxa"/>
            <w:tcBorders>
              <w:top w:val="nil"/>
              <w:left w:val="nil"/>
              <w:bottom w:val="nil"/>
              <w:right w:val="nil"/>
              <w:tl2br w:val="nil"/>
              <w:tr2bl w:val="nil"/>
            </w:tcBorders>
            <w:tcMar>
              <w:left w:w="60" w:type="dxa"/>
              <w:right w:w="60" w:type="dxa"/>
            </w:tcMar>
            <w:vAlign w:val="center"/>
          </w:tcPr>
          <w:p>
            <w:pPr>
              <w:pStyle w:val="DMETW36735BIPEUPPE"/>
              <w:rPr>
                <w:rFonts w:ascii="Verdana" w:eastAsia="Verdana" w:hAnsi="Verdana" w:cs="Verdana"/>
                <w:i/>
                <w:noProof/>
                <w:color w:val="000000"/>
                <w:sz w:val="16"/>
              </w:rPr>
            </w:pPr>
            <w:r>
              <w:rPr>
                <w:rFonts w:ascii="Verdana" w:hAnsi="Verdana"/>
                <w:i/>
                <w:noProof/>
                <w:color w:val="000000"/>
                <w:sz w:val="16"/>
              </w:rPr>
              <w:t>Reprise sur amortissements</w:t>
            </w:r>
          </w:p>
        </w:tc>
        <w:tc>
          <w:tcPr>
            <w:tcW w:w="1461"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0</w:t>
            </w:r>
          </w:p>
        </w:tc>
        <w:tc>
          <w:tcPr>
            <w:tcW w:w="1032"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w:t>
            </w:r>
          </w:p>
        </w:tc>
        <w:tc>
          <w:tcPr>
            <w:tcW w:w="1025"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0</w:t>
            </w:r>
          </w:p>
        </w:tc>
        <w:tc>
          <w:tcPr>
            <w:tcW w:w="1247"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(0)</w:t>
            </w:r>
          </w:p>
        </w:tc>
        <w:tc>
          <w:tcPr>
            <w:tcW w:w="977"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8</w:t>
            </w:r>
          </w:p>
        </w:tc>
        <w:tc>
          <w:tcPr>
            <w:tcW w:w="906"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1</w:t>
            </w:r>
          </w:p>
        </w:tc>
        <w:tc>
          <w:tcPr>
            <w:tcW w:w="906"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w:t>
            </w:r>
          </w:p>
        </w:tc>
        <w:tc>
          <w:tcPr>
            <w:tcW w:w="1339"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p>
        </w:tc>
        <w:tc>
          <w:tcPr>
            <w:tcW w:w="1025"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8</w:t>
            </w:r>
          </w:p>
        </w:tc>
      </w:tr>
      <w:tr>
        <w:trPr>
          <w:trHeight w:val="255"/>
        </w:trPr>
        <w:tc>
          <w:tcPr>
            <w:tcW w:w="3597" w:type="dxa"/>
            <w:tcBorders>
              <w:top w:val="nil"/>
              <w:left w:val="nil"/>
              <w:bottom w:val="nil"/>
              <w:right w:val="nil"/>
              <w:tl2br w:val="nil"/>
              <w:tr2bl w:val="nil"/>
            </w:tcBorders>
            <w:tcMar>
              <w:left w:w="60" w:type="dxa"/>
              <w:right w:w="60" w:type="dxa"/>
            </w:tcMar>
            <w:vAlign w:val="center"/>
          </w:tcPr>
          <w:p>
            <w:pPr>
              <w:pStyle w:val="DMETW36735BIPEUPPE"/>
              <w:rPr>
                <w:rFonts w:ascii="Verdana" w:eastAsia="Verdana" w:hAnsi="Verdana" w:cs="Verdana"/>
                <w:i/>
                <w:noProof/>
                <w:color w:val="000000"/>
                <w:sz w:val="16"/>
              </w:rPr>
            </w:pPr>
            <w:r>
              <w:rPr>
                <w:rFonts w:ascii="Verdana" w:hAnsi="Verdana"/>
                <w:i/>
                <w:noProof/>
                <w:color w:val="000000"/>
                <w:sz w:val="16"/>
              </w:rPr>
              <w:t>Produits de cessions</w:t>
            </w:r>
          </w:p>
        </w:tc>
        <w:tc>
          <w:tcPr>
            <w:tcW w:w="1461"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8</w:t>
            </w:r>
          </w:p>
        </w:tc>
        <w:tc>
          <w:tcPr>
            <w:tcW w:w="1032"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96</w:t>
            </w:r>
          </w:p>
        </w:tc>
        <w:tc>
          <w:tcPr>
            <w:tcW w:w="1025"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23</w:t>
            </w:r>
          </w:p>
        </w:tc>
        <w:tc>
          <w:tcPr>
            <w:tcW w:w="1247"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36</w:t>
            </w:r>
          </w:p>
        </w:tc>
        <w:tc>
          <w:tcPr>
            <w:tcW w:w="977"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76</w:t>
            </w:r>
          </w:p>
        </w:tc>
        <w:tc>
          <w:tcPr>
            <w:tcW w:w="906"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30</w:t>
            </w:r>
          </w:p>
        </w:tc>
        <w:tc>
          <w:tcPr>
            <w:tcW w:w="906"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2</w:t>
            </w:r>
          </w:p>
        </w:tc>
        <w:tc>
          <w:tcPr>
            <w:tcW w:w="1339"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p>
        </w:tc>
        <w:tc>
          <w:tcPr>
            <w:tcW w:w="1025"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270</w:t>
            </w:r>
          </w:p>
        </w:tc>
      </w:tr>
      <w:tr>
        <w:trPr>
          <w:trHeight w:val="255"/>
        </w:trPr>
        <w:tc>
          <w:tcPr>
            <w:tcW w:w="3597" w:type="dxa"/>
            <w:tcBorders>
              <w:top w:val="nil"/>
              <w:left w:val="nil"/>
              <w:bottom w:val="nil"/>
              <w:right w:val="nil"/>
              <w:tl2br w:val="nil"/>
              <w:tr2bl w:val="nil"/>
            </w:tcBorders>
            <w:tcMar>
              <w:left w:w="60" w:type="dxa"/>
              <w:right w:w="60" w:type="dxa"/>
            </w:tcMar>
            <w:vAlign w:val="center"/>
          </w:tcPr>
          <w:p>
            <w:pPr>
              <w:pStyle w:val="DMETW36735BIPEUPPE"/>
              <w:rPr>
                <w:rFonts w:ascii="Verdana" w:eastAsia="Verdana" w:hAnsi="Verdana" w:cs="Verdana"/>
                <w:i/>
                <w:noProof/>
                <w:color w:val="000000"/>
                <w:sz w:val="16"/>
              </w:rPr>
            </w:pPr>
            <w:r>
              <w:rPr>
                <w:rFonts w:ascii="Verdana" w:hAnsi="Verdana"/>
                <w:i/>
                <w:noProof/>
                <w:color w:val="000000"/>
                <w:sz w:val="16"/>
              </w:rPr>
              <w:t>Transfert entre catégories d’actifs</w:t>
            </w:r>
          </w:p>
        </w:tc>
        <w:tc>
          <w:tcPr>
            <w:tcW w:w="1461"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(0)</w:t>
            </w:r>
          </w:p>
        </w:tc>
        <w:tc>
          <w:tcPr>
            <w:tcW w:w="1032"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w:t>
            </w:r>
          </w:p>
        </w:tc>
        <w:tc>
          <w:tcPr>
            <w:tcW w:w="1025"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(0)</w:t>
            </w:r>
          </w:p>
        </w:tc>
        <w:tc>
          <w:tcPr>
            <w:tcW w:w="1247"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(0)</w:t>
            </w:r>
          </w:p>
        </w:tc>
        <w:tc>
          <w:tcPr>
            <w:tcW w:w="977"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0</w:t>
            </w:r>
          </w:p>
        </w:tc>
        <w:tc>
          <w:tcPr>
            <w:tcW w:w="906"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0</w:t>
            </w:r>
          </w:p>
        </w:tc>
        <w:tc>
          <w:tcPr>
            <w:tcW w:w="906"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w:t>
            </w:r>
          </w:p>
        </w:tc>
        <w:tc>
          <w:tcPr>
            <w:tcW w:w="1339"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p>
        </w:tc>
        <w:tc>
          <w:tcPr>
            <w:tcW w:w="1025"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0</w:t>
            </w:r>
          </w:p>
        </w:tc>
      </w:tr>
      <w:tr>
        <w:trPr>
          <w:trHeight w:val="255"/>
        </w:trPr>
        <w:tc>
          <w:tcPr>
            <w:tcW w:w="3597" w:type="dxa"/>
            <w:tcBorders>
              <w:top w:val="nil"/>
              <w:left w:val="nil"/>
              <w:bottom w:val="single" w:sz="4" w:space="0" w:color="016794"/>
              <w:right w:val="nil"/>
              <w:tl2br w:val="nil"/>
              <w:tr2bl w:val="nil"/>
            </w:tcBorders>
            <w:tcMar>
              <w:left w:w="60" w:type="dxa"/>
              <w:right w:w="60" w:type="dxa"/>
            </w:tcMar>
            <w:vAlign w:val="center"/>
          </w:tcPr>
          <w:p>
            <w:pPr>
              <w:pStyle w:val="DMETW36735BIPEUPPE"/>
              <w:rPr>
                <w:rFonts w:ascii="Verdana" w:eastAsia="Verdana" w:hAnsi="Verdana" w:cs="Verdana"/>
                <w:i/>
                <w:noProof/>
                <w:color w:val="000000"/>
                <w:sz w:val="16"/>
              </w:rPr>
            </w:pPr>
            <w:r>
              <w:rPr>
                <w:rFonts w:ascii="Verdana" w:hAnsi="Verdana"/>
                <w:i/>
                <w:noProof/>
                <w:color w:val="000000"/>
                <w:sz w:val="16"/>
              </w:rPr>
              <w:t>Autres changements</w:t>
            </w:r>
          </w:p>
        </w:tc>
        <w:tc>
          <w:tcPr>
            <w:tcW w:w="1461" w:type="dxa"/>
            <w:tcBorders>
              <w:top w:val="nil"/>
              <w:left w:val="nil"/>
              <w:bottom w:val="single" w:sz="4" w:space="0" w:color="016794"/>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2</w:t>
            </w:r>
          </w:p>
        </w:tc>
        <w:tc>
          <w:tcPr>
            <w:tcW w:w="1032" w:type="dxa"/>
            <w:tcBorders>
              <w:top w:val="nil"/>
              <w:left w:val="nil"/>
              <w:bottom w:val="single" w:sz="4" w:space="0" w:color="016794"/>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w:t>
            </w:r>
          </w:p>
        </w:tc>
        <w:tc>
          <w:tcPr>
            <w:tcW w:w="1025" w:type="dxa"/>
            <w:tcBorders>
              <w:top w:val="nil"/>
              <w:left w:val="nil"/>
              <w:bottom w:val="single" w:sz="4" w:space="0" w:color="016794"/>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(0)</w:t>
            </w:r>
          </w:p>
        </w:tc>
        <w:tc>
          <w:tcPr>
            <w:tcW w:w="1247" w:type="dxa"/>
            <w:tcBorders>
              <w:top w:val="nil"/>
              <w:left w:val="nil"/>
              <w:bottom w:val="single" w:sz="4" w:space="0" w:color="016794"/>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0</w:t>
            </w:r>
          </w:p>
        </w:tc>
        <w:tc>
          <w:tcPr>
            <w:tcW w:w="977" w:type="dxa"/>
            <w:tcBorders>
              <w:top w:val="nil"/>
              <w:left w:val="nil"/>
              <w:bottom w:val="single" w:sz="4" w:space="0" w:color="016794"/>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(0)</w:t>
            </w:r>
          </w:p>
        </w:tc>
        <w:tc>
          <w:tcPr>
            <w:tcW w:w="906" w:type="dxa"/>
            <w:tcBorders>
              <w:top w:val="nil"/>
              <w:left w:val="nil"/>
              <w:bottom w:val="single" w:sz="4" w:space="0" w:color="016794"/>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(0)</w:t>
            </w:r>
          </w:p>
        </w:tc>
        <w:tc>
          <w:tcPr>
            <w:tcW w:w="906" w:type="dxa"/>
            <w:tcBorders>
              <w:top w:val="nil"/>
              <w:left w:val="nil"/>
              <w:bottom w:val="single" w:sz="4" w:space="0" w:color="016794"/>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w:t>
            </w:r>
          </w:p>
        </w:tc>
        <w:tc>
          <w:tcPr>
            <w:tcW w:w="1339" w:type="dxa"/>
            <w:tcBorders>
              <w:top w:val="nil"/>
              <w:left w:val="nil"/>
              <w:bottom w:val="single" w:sz="4" w:space="0" w:color="016794"/>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p>
        </w:tc>
        <w:tc>
          <w:tcPr>
            <w:tcW w:w="1025" w:type="dxa"/>
            <w:tcBorders>
              <w:top w:val="nil"/>
              <w:left w:val="nil"/>
              <w:bottom w:val="single" w:sz="4" w:space="0" w:color="016794"/>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1</w:t>
            </w:r>
          </w:p>
        </w:tc>
      </w:tr>
      <w:tr>
        <w:trPr>
          <w:trHeight w:val="255"/>
        </w:trPr>
        <w:tc>
          <w:tcPr>
            <w:tcW w:w="3597"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35BIPEUPPE"/>
              <w:rPr>
                <w:rFonts w:ascii="Verdana" w:eastAsia="Verdana" w:hAnsi="Verdana" w:cs="Verdana"/>
                <w:b/>
                <w:noProof/>
                <w:color w:val="000000"/>
                <w:sz w:val="16"/>
              </w:rPr>
            </w:pPr>
            <w:r>
              <w:rPr>
                <w:rFonts w:ascii="Verdana" w:hAnsi="Verdana"/>
                <w:b/>
                <w:noProof/>
                <w:color w:val="000000"/>
                <w:sz w:val="16"/>
              </w:rPr>
              <w:t>Cumul des amortissements au 31.12.2025</w:t>
            </w:r>
          </w:p>
        </w:tc>
        <w:tc>
          <w:tcPr>
            <w:tcW w:w="146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35BIPEUPPE"/>
              <w:jc w:val="right"/>
              <w:rPr>
                <w:rFonts w:ascii="Verdana" w:eastAsia="Verdana" w:hAnsi="Verdana" w:cs="Verdana"/>
                <w:b/>
                <w:noProof/>
                <w:color w:val="000000"/>
                <w:sz w:val="16"/>
              </w:rPr>
            </w:pPr>
            <w:r>
              <w:rPr>
                <w:rFonts w:ascii="Verdana" w:hAnsi="Verdana"/>
                <w:b/>
                <w:noProof/>
                <w:color w:val="000000"/>
                <w:sz w:val="16"/>
              </w:rPr>
              <w:t>(4 240)</w:t>
            </w:r>
          </w:p>
        </w:tc>
        <w:tc>
          <w:tcPr>
            <w:tcW w:w="103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35BIPEUPPE"/>
              <w:jc w:val="right"/>
              <w:rPr>
                <w:rFonts w:ascii="Verdana" w:eastAsia="Verdana" w:hAnsi="Verdana" w:cs="Verdana"/>
                <w:b/>
                <w:noProof/>
                <w:color w:val="000000"/>
                <w:sz w:val="16"/>
              </w:rPr>
            </w:pPr>
            <w:r>
              <w:rPr>
                <w:rFonts w:ascii="Verdana" w:hAnsi="Verdana"/>
                <w:b/>
                <w:noProof/>
                <w:color w:val="000000"/>
                <w:sz w:val="16"/>
              </w:rPr>
              <w:t>(6 098)</w:t>
            </w:r>
          </w:p>
        </w:tc>
        <w:tc>
          <w:tcPr>
            <w:tcW w:w="102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35BIPEUPPE"/>
              <w:jc w:val="right"/>
              <w:rPr>
                <w:rFonts w:ascii="Verdana" w:eastAsia="Verdana" w:hAnsi="Verdana" w:cs="Verdana"/>
                <w:b/>
                <w:noProof/>
                <w:color w:val="000000"/>
                <w:sz w:val="16"/>
              </w:rPr>
            </w:pPr>
            <w:r>
              <w:rPr>
                <w:rFonts w:ascii="Verdana" w:hAnsi="Verdana"/>
                <w:b/>
                <w:noProof/>
                <w:color w:val="000000"/>
                <w:sz w:val="16"/>
              </w:rPr>
              <w:t xml:space="preserve"> (425)</w:t>
            </w:r>
          </w:p>
        </w:tc>
        <w:tc>
          <w:tcPr>
            <w:tcW w:w="1247"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35BIPEUPPE"/>
              <w:jc w:val="right"/>
              <w:rPr>
                <w:rFonts w:ascii="Verdana" w:eastAsia="Verdana" w:hAnsi="Verdana" w:cs="Verdana"/>
                <w:b/>
                <w:noProof/>
                <w:color w:val="000000"/>
                <w:sz w:val="16"/>
              </w:rPr>
            </w:pPr>
            <w:r>
              <w:rPr>
                <w:rFonts w:ascii="Verdana" w:hAnsi="Verdana"/>
                <w:b/>
                <w:noProof/>
                <w:color w:val="000000"/>
                <w:sz w:val="16"/>
              </w:rPr>
              <w:t xml:space="preserve"> (161)</w:t>
            </w:r>
          </w:p>
        </w:tc>
        <w:tc>
          <w:tcPr>
            <w:tcW w:w="977"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35BIPEUPPE"/>
              <w:jc w:val="right"/>
              <w:rPr>
                <w:rFonts w:ascii="Verdana" w:eastAsia="Verdana" w:hAnsi="Verdana" w:cs="Verdana"/>
                <w:b/>
                <w:noProof/>
                <w:color w:val="000000"/>
                <w:sz w:val="16"/>
              </w:rPr>
            </w:pPr>
            <w:r>
              <w:rPr>
                <w:rFonts w:ascii="Verdana" w:hAnsi="Verdana"/>
                <w:b/>
                <w:noProof/>
                <w:color w:val="000000"/>
                <w:sz w:val="16"/>
              </w:rPr>
              <w:t xml:space="preserve"> (566)</w:t>
            </w:r>
          </w:p>
        </w:tc>
        <w:tc>
          <w:tcPr>
            <w:tcW w:w="90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35BIPEUPPE"/>
              <w:jc w:val="right"/>
              <w:rPr>
                <w:rFonts w:ascii="Verdana" w:eastAsia="Verdana" w:hAnsi="Verdana" w:cs="Verdana"/>
                <w:b/>
                <w:noProof/>
                <w:color w:val="000000"/>
                <w:sz w:val="16"/>
              </w:rPr>
            </w:pPr>
            <w:r>
              <w:rPr>
                <w:rFonts w:ascii="Verdana" w:hAnsi="Verdana"/>
                <w:b/>
                <w:noProof/>
                <w:color w:val="000000"/>
                <w:sz w:val="16"/>
              </w:rPr>
              <w:t xml:space="preserve"> (214)</w:t>
            </w:r>
          </w:p>
        </w:tc>
        <w:tc>
          <w:tcPr>
            <w:tcW w:w="90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35BIPEUPPE"/>
              <w:jc w:val="right"/>
              <w:rPr>
                <w:rFonts w:ascii="Verdana" w:eastAsia="Verdana" w:hAnsi="Verdana" w:cs="Verdana"/>
                <w:b/>
                <w:noProof/>
                <w:color w:val="000000"/>
                <w:sz w:val="16"/>
              </w:rPr>
            </w:pPr>
            <w:r>
              <w:rPr>
                <w:rFonts w:ascii="Verdana" w:hAnsi="Verdana"/>
                <w:b/>
                <w:noProof/>
                <w:color w:val="000000"/>
                <w:sz w:val="16"/>
              </w:rPr>
              <w:t>(1 382)</w:t>
            </w:r>
          </w:p>
        </w:tc>
        <w:tc>
          <w:tcPr>
            <w:tcW w:w="133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35BIPEUPPE"/>
              <w:jc w:val="right"/>
              <w:rPr>
                <w:rFonts w:ascii="Verdana" w:eastAsia="Verdana" w:hAnsi="Verdana" w:cs="Verdana"/>
                <w:b/>
                <w:noProof/>
                <w:color w:val="000000"/>
                <w:sz w:val="16"/>
              </w:rPr>
            </w:pPr>
          </w:p>
        </w:tc>
        <w:tc>
          <w:tcPr>
            <w:tcW w:w="102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35BIPEUPPE"/>
              <w:jc w:val="right"/>
              <w:rPr>
                <w:rFonts w:ascii="Verdana" w:eastAsia="Verdana" w:hAnsi="Verdana" w:cs="Verdana"/>
                <w:b/>
                <w:noProof/>
                <w:color w:val="000000"/>
                <w:sz w:val="16"/>
              </w:rPr>
            </w:pPr>
            <w:r>
              <w:rPr>
                <w:rFonts w:ascii="Verdana" w:hAnsi="Verdana"/>
                <w:b/>
                <w:noProof/>
                <w:color w:val="000000"/>
                <w:sz w:val="16"/>
              </w:rPr>
              <w:t>(13 086)</w:t>
            </w:r>
          </w:p>
        </w:tc>
      </w:tr>
      <w:tr>
        <w:trPr>
          <w:trHeight w:val="255"/>
        </w:trPr>
        <w:tc>
          <w:tcPr>
            <w:tcW w:w="3597" w:type="dxa"/>
            <w:tcBorders>
              <w:top w:val="single" w:sz="4" w:space="0" w:color="016794"/>
              <w:left w:val="nil"/>
              <w:bottom w:val="nil"/>
              <w:right w:val="nil"/>
              <w:tl2br w:val="nil"/>
              <w:tr2bl w:val="nil"/>
            </w:tcBorders>
            <w:tcMar>
              <w:left w:w="60" w:type="dxa"/>
              <w:right w:w="60" w:type="dxa"/>
            </w:tcMar>
            <w:vAlign w:val="center"/>
          </w:tcPr>
          <w:p>
            <w:pPr>
              <w:pStyle w:val="DMETW36735BIPEUPPE"/>
              <w:rPr>
                <w:rFonts w:ascii="Arial" w:eastAsia="Arial" w:hAnsi="Arial" w:cs="Arial"/>
                <w:noProof/>
                <w:color w:val="000000"/>
                <w:sz w:val="16"/>
              </w:rPr>
            </w:pPr>
          </w:p>
        </w:tc>
        <w:tc>
          <w:tcPr>
            <w:tcW w:w="1461" w:type="dxa"/>
            <w:tcBorders>
              <w:top w:val="single" w:sz="4" w:space="0" w:color="016794"/>
              <w:left w:val="nil"/>
              <w:bottom w:val="nil"/>
              <w:right w:val="nil"/>
              <w:tl2br w:val="nil"/>
              <w:tr2bl w:val="nil"/>
            </w:tcBorders>
            <w:tcMar>
              <w:left w:w="60" w:type="dxa"/>
              <w:right w:w="60" w:type="dxa"/>
            </w:tcMar>
            <w:vAlign w:val="center"/>
          </w:tcPr>
          <w:p>
            <w:pPr>
              <w:pStyle w:val="DMETW36735BIPEUPPE"/>
              <w:rPr>
                <w:rFonts w:ascii="Arial" w:eastAsia="Arial" w:hAnsi="Arial" w:cs="Arial"/>
                <w:noProof/>
                <w:color w:val="000000"/>
                <w:sz w:val="16"/>
              </w:rPr>
            </w:pPr>
          </w:p>
        </w:tc>
        <w:tc>
          <w:tcPr>
            <w:tcW w:w="1032" w:type="dxa"/>
            <w:tcBorders>
              <w:top w:val="single" w:sz="4" w:space="0" w:color="016794"/>
              <w:left w:val="nil"/>
              <w:bottom w:val="nil"/>
              <w:right w:val="nil"/>
              <w:tl2br w:val="nil"/>
              <w:tr2bl w:val="nil"/>
            </w:tcBorders>
            <w:tcMar>
              <w:left w:w="60" w:type="dxa"/>
              <w:right w:w="60" w:type="dxa"/>
            </w:tcMar>
            <w:vAlign w:val="center"/>
          </w:tcPr>
          <w:p>
            <w:pPr>
              <w:pStyle w:val="DMETW36735BIPEUPPE"/>
              <w:rPr>
                <w:rFonts w:ascii="Arial" w:eastAsia="Arial" w:hAnsi="Arial" w:cs="Arial"/>
                <w:noProof/>
                <w:color w:val="000000"/>
                <w:sz w:val="16"/>
              </w:rPr>
            </w:pPr>
          </w:p>
        </w:tc>
        <w:tc>
          <w:tcPr>
            <w:tcW w:w="1025" w:type="dxa"/>
            <w:tcBorders>
              <w:top w:val="single" w:sz="4" w:space="0" w:color="016794"/>
              <w:left w:val="nil"/>
              <w:bottom w:val="nil"/>
              <w:right w:val="nil"/>
              <w:tl2br w:val="nil"/>
              <w:tr2bl w:val="nil"/>
            </w:tcBorders>
            <w:tcMar>
              <w:left w:w="60" w:type="dxa"/>
              <w:right w:w="60" w:type="dxa"/>
            </w:tcMar>
            <w:vAlign w:val="center"/>
          </w:tcPr>
          <w:p>
            <w:pPr>
              <w:pStyle w:val="DMETW36735BIPEUPPE"/>
              <w:rPr>
                <w:rFonts w:ascii="Arial" w:eastAsia="Arial" w:hAnsi="Arial" w:cs="Arial"/>
                <w:noProof/>
                <w:color w:val="000000"/>
                <w:sz w:val="16"/>
              </w:rPr>
            </w:pPr>
          </w:p>
        </w:tc>
        <w:tc>
          <w:tcPr>
            <w:tcW w:w="1247" w:type="dxa"/>
            <w:tcBorders>
              <w:top w:val="single" w:sz="4" w:space="0" w:color="016794"/>
              <w:left w:val="nil"/>
              <w:bottom w:val="nil"/>
              <w:right w:val="nil"/>
              <w:tl2br w:val="nil"/>
              <w:tr2bl w:val="nil"/>
            </w:tcBorders>
            <w:tcMar>
              <w:left w:w="60" w:type="dxa"/>
              <w:right w:w="60" w:type="dxa"/>
            </w:tcMar>
            <w:vAlign w:val="center"/>
          </w:tcPr>
          <w:p>
            <w:pPr>
              <w:pStyle w:val="DMETW36735BIPEUPPE"/>
              <w:rPr>
                <w:rFonts w:ascii="Arial" w:eastAsia="Arial" w:hAnsi="Arial" w:cs="Arial"/>
                <w:noProof/>
                <w:color w:val="000000"/>
                <w:sz w:val="16"/>
              </w:rPr>
            </w:pPr>
          </w:p>
        </w:tc>
        <w:tc>
          <w:tcPr>
            <w:tcW w:w="977" w:type="dxa"/>
            <w:tcBorders>
              <w:top w:val="single" w:sz="4" w:space="0" w:color="016794"/>
              <w:left w:val="nil"/>
              <w:bottom w:val="nil"/>
              <w:right w:val="nil"/>
              <w:tl2br w:val="nil"/>
              <w:tr2bl w:val="nil"/>
            </w:tcBorders>
            <w:tcMar>
              <w:left w:w="60" w:type="dxa"/>
              <w:right w:w="60" w:type="dxa"/>
            </w:tcMar>
            <w:vAlign w:val="center"/>
          </w:tcPr>
          <w:p>
            <w:pPr>
              <w:pStyle w:val="DMETW36735BIPEUPPE"/>
              <w:rPr>
                <w:rFonts w:ascii="Arial" w:eastAsia="Arial" w:hAnsi="Arial" w:cs="Arial"/>
                <w:noProof/>
                <w:color w:val="000000"/>
                <w:sz w:val="16"/>
              </w:rPr>
            </w:pPr>
          </w:p>
        </w:tc>
        <w:tc>
          <w:tcPr>
            <w:tcW w:w="906" w:type="dxa"/>
            <w:tcBorders>
              <w:top w:val="single" w:sz="4" w:space="0" w:color="016794"/>
              <w:left w:val="nil"/>
              <w:bottom w:val="nil"/>
              <w:right w:val="nil"/>
              <w:tl2br w:val="nil"/>
              <w:tr2bl w:val="nil"/>
            </w:tcBorders>
            <w:tcMar>
              <w:left w:w="60" w:type="dxa"/>
              <w:right w:w="60" w:type="dxa"/>
            </w:tcMar>
            <w:vAlign w:val="center"/>
          </w:tcPr>
          <w:p>
            <w:pPr>
              <w:pStyle w:val="DMETW36735BIPEUPPE"/>
              <w:rPr>
                <w:rFonts w:ascii="Arial" w:eastAsia="Arial" w:hAnsi="Arial" w:cs="Arial"/>
                <w:noProof/>
                <w:color w:val="000000"/>
                <w:sz w:val="16"/>
              </w:rPr>
            </w:pPr>
          </w:p>
        </w:tc>
        <w:tc>
          <w:tcPr>
            <w:tcW w:w="906" w:type="dxa"/>
            <w:tcBorders>
              <w:top w:val="single" w:sz="4" w:space="0" w:color="016794"/>
              <w:left w:val="nil"/>
              <w:bottom w:val="nil"/>
              <w:right w:val="nil"/>
              <w:tl2br w:val="nil"/>
              <w:tr2bl w:val="nil"/>
            </w:tcBorders>
            <w:tcMar>
              <w:left w:w="60" w:type="dxa"/>
              <w:right w:w="60" w:type="dxa"/>
            </w:tcMar>
            <w:vAlign w:val="center"/>
          </w:tcPr>
          <w:p>
            <w:pPr>
              <w:pStyle w:val="DMETW36735BIPEUPPE"/>
              <w:rPr>
                <w:rFonts w:ascii="Arial" w:eastAsia="Arial" w:hAnsi="Arial" w:cs="Arial"/>
                <w:noProof/>
                <w:color w:val="000000"/>
                <w:sz w:val="16"/>
              </w:rPr>
            </w:pPr>
          </w:p>
        </w:tc>
        <w:tc>
          <w:tcPr>
            <w:tcW w:w="1339" w:type="dxa"/>
            <w:tcBorders>
              <w:top w:val="single" w:sz="4" w:space="0" w:color="016794"/>
              <w:left w:val="nil"/>
              <w:bottom w:val="nil"/>
              <w:right w:val="nil"/>
              <w:tl2br w:val="nil"/>
              <w:tr2bl w:val="nil"/>
            </w:tcBorders>
            <w:tcMar>
              <w:left w:w="60" w:type="dxa"/>
              <w:right w:w="60" w:type="dxa"/>
            </w:tcMar>
            <w:vAlign w:val="center"/>
          </w:tcPr>
          <w:p>
            <w:pPr>
              <w:pStyle w:val="DMETW36735BIPEUPPE"/>
              <w:rPr>
                <w:rFonts w:ascii="Arial" w:eastAsia="Arial" w:hAnsi="Arial" w:cs="Arial"/>
                <w:noProof/>
                <w:color w:val="000000"/>
                <w:sz w:val="16"/>
              </w:rPr>
            </w:pPr>
          </w:p>
        </w:tc>
        <w:tc>
          <w:tcPr>
            <w:tcW w:w="1025" w:type="dxa"/>
            <w:tcBorders>
              <w:top w:val="single" w:sz="4" w:space="0" w:color="016794"/>
              <w:left w:val="nil"/>
              <w:bottom w:val="nil"/>
              <w:right w:val="nil"/>
              <w:tl2br w:val="nil"/>
              <w:tr2bl w:val="nil"/>
            </w:tcBorders>
            <w:tcMar>
              <w:left w:w="60" w:type="dxa"/>
              <w:right w:w="60" w:type="dxa"/>
            </w:tcMar>
            <w:vAlign w:val="center"/>
          </w:tcPr>
          <w:p>
            <w:pPr>
              <w:pStyle w:val="DMETW36735BIPEUPPE"/>
              <w:rPr>
                <w:rFonts w:ascii="Arial" w:eastAsia="Arial" w:hAnsi="Arial" w:cs="Arial"/>
                <w:noProof/>
                <w:color w:val="000000"/>
                <w:sz w:val="16"/>
                <w:lang w:bidi="en-GB"/>
              </w:rPr>
            </w:pPr>
          </w:p>
        </w:tc>
      </w:tr>
      <w:tr>
        <w:trPr>
          <w:trHeight w:val="255"/>
        </w:trPr>
        <w:tc>
          <w:tcPr>
            <w:tcW w:w="3597" w:type="dxa"/>
            <w:tcBorders>
              <w:top w:val="nil"/>
              <w:left w:val="nil"/>
              <w:bottom w:val="nil"/>
              <w:right w:val="nil"/>
              <w:tl2br w:val="nil"/>
              <w:tr2bl w:val="nil"/>
            </w:tcBorders>
            <w:shd w:val="solid" w:color="CCE1EA" w:fill="FFFFFF"/>
            <w:tcMar>
              <w:left w:w="60" w:type="dxa"/>
              <w:right w:w="60" w:type="dxa"/>
            </w:tcMar>
            <w:vAlign w:val="center"/>
          </w:tcPr>
          <w:p>
            <w:pPr>
              <w:pStyle w:val="DMETW36735BIPEUPPE"/>
              <w:rPr>
                <w:rFonts w:ascii="Verdana" w:eastAsia="Verdana" w:hAnsi="Verdana" w:cs="Verdana"/>
                <w:b/>
                <w:noProof/>
                <w:color w:val="000000"/>
                <w:sz w:val="16"/>
              </w:rPr>
            </w:pPr>
            <w:r>
              <w:rPr>
                <w:rFonts w:ascii="Verdana" w:hAnsi="Verdana"/>
                <w:b/>
                <w:noProof/>
                <w:color w:val="000000"/>
                <w:sz w:val="16"/>
              </w:rPr>
              <w:t>VALEUR NETTE COMPTABLE AU 31.12.2025</w:t>
            </w:r>
          </w:p>
        </w:tc>
        <w:tc>
          <w:tcPr>
            <w:tcW w:w="1461" w:type="dxa"/>
            <w:tcBorders>
              <w:top w:val="nil"/>
              <w:left w:val="nil"/>
              <w:bottom w:val="nil"/>
              <w:right w:val="nil"/>
              <w:tl2br w:val="nil"/>
              <w:tr2bl w:val="nil"/>
            </w:tcBorders>
            <w:shd w:val="solid" w:color="CCE1EA" w:fill="FFFFFF"/>
            <w:tcMar>
              <w:left w:w="60" w:type="dxa"/>
              <w:right w:w="60" w:type="dxa"/>
            </w:tcMar>
            <w:vAlign w:val="center"/>
          </w:tcPr>
          <w:p>
            <w:pPr>
              <w:pStyle w:val="DMETW36735BIPEUPPE"/>
              <w:jc w:val="right"/>
              <w:rPr>
                <w:rFonts w:ascii="Verdana" w:eastAsia="Verdana" w:hAnsi="Verdana" w:cs="Verdana"/>
                <w:b/>
                <w:noProof/>
                <w:color w:val="000000"/>
                <w:sz w:val="16"/>
              </w:rPr>
            </w:pPr>
            <w:r>
              <w:rPr>
                <w:rFonts w:ascii="Verdana" w:hAnsi="Verdana"/>
                <w:b/>
                <w:noProof/>
                <w:color w:val="000000"/>
                <w:sz w:val="16"/>
              </w:rPr>
              <w:t>2 390</w:t>
            </w:r>
          </w:p>
        </w:tc>
        <w:tc>
          <w:tcPr>
            <w:tcW w:w="1032" w:type="dxa"/>
            <w:tcBorders>
              <w:top w:val="nil"/>
              <w:left w:val="nil"/>
              <w:bottom w:val="nil"/>
              <w:right w:val="nil"/>
              <w:tl2br w:val="nil"/>
              <w:tr2bl w:val="nil"/>
            </w:tcBorders>
            <w:shd w:val="solid" w:color="CCE1EA" w:fill="FFFFFF"/>
            <w:tcMar>
              <w:left w:w="60" w:type="dxa"/>
              <w:right w:w="60" w:type="dxa"/>
            </w:tcMar>
            <w:vAlign w:val="center"/>
          </w:tcPr>
          <w:p>
            <w:pPr>
              <w:pStyle w:val="DMETW36735BIPEUPPE"/>
              <w:jc w:val="right"/>
              <w:rPr>
                <w:rFonts w:ascii="Verdana" w:eastAsia="Verdana" w:hAnsi="Verdana" w:cs="Verdana"/>
                <w:b/>
                <w:noProof/>
                <w:color w:val="000000"/>
                <w:sz w:val="16"/>
              </w:rPr>
            </w:pPr>
            <w:r>
              <w:rPr>
                <w:rFonts w:ascii="Verdana" w:hAnsi="Verdana"/>
                <w:b/>
                <w:noProof/>
                <w:color w:val="000000"/>
                <w:sz w:val="16"/>
              </w:rPr>
              <w:t>3 657</w:t>
            </w:r>
          </w:p>
        </w:tc>
        <w:tc>
          <w:tcPr>
            <w:tcW w:w="1025" w:type="dxa"/>
            <w:tcBorders>
              <w:top w:val="nil"/>
              <w:left w:val="nil"/>
              <w:bottom w:val="nil"/>
              <w:right w:val="nil"/>
              <w:tl2br w:val="nil"/>
              <w:tr2bl w:val="nil"/>
            </w:tcBorders>
            <w:shd w:val="solid" w:color="CCE1EA" w:fill="FFFFFF"/>
            <w:tcMar>
              <w:left w:w="60" w:type="dxa"/>
              <w:right w:w="60" w:type="dxa"/>
            </w:tcMar>
            <w:vAlign w:val="center"/>
          </w:tcPr>
          <w:p>
            <w:pPr>
              <w:pStyle w:val="DMETW36735BIPEUPPE"/>
              <w:jc w:val="right"/>
              <w:rPr>
                <w:rFonts w:ascii="Verdana" w:eastAsia="Verdana" w:hAnsi="Verdana" w:cs="Verdana"/>
                <w:b/>
                <w:noProof/>
                <w:color w:val="000000"/>
                <w:sz w:val="16"/>
              </w:rPr>
            </w:pPr>
            <w:r>
              <w:rPr>
                <w:rFonts w:ascii="Verdana" w:hAnsi="Verdana"/>
                <w:b/>
                <w:noProof/>
                <w:color w:val="000000"/>
                <w:sz w:val="16"/>
              </w:rPr>
              <w:t xml:space="preserve"> 57</w:t>
            </w:r>
          </w:p>
        </w:tc>
        <w:tc>
          <w:tcPr>
            <w:tcW w:w="1247" w:type="dxa"/>
            <w:tcBorders>
              <w:top w:val="nil"/>
              <w:left w:val="nil"/>
              <w:bottom w:val="nil"/>
              <w:right w:val="nil"/>
              <w:tl2br w:val="nil"/>
              <w:tr2bl w:val="nil"/>
            </w:tcBorders>
            <w:shd w:val="solid" w:color="CCE1EA" w:fill="FFFFFF"/>
            <w:tcMar>
              <w:left w:w="60" w:type="dxa"/>
              <w:right w:w="60" w:type="dxa"/>
            </w:tcMar>
            <w:vAlign w:val="center"/>
          </w:tcPr>
          <w:p>
            <w:pPr>
              <w:pStyle w:val="DMETW36735BIPEUPPE"/>
              <w:jc w:val="right"/>
              <w:rPr>
                <w:rFonts w:ascii="Verdana" w:eastAsia="Verdana" w:hAnsi="Verdana" w:cs="Verdana"/>
                <w:b/>
                <w:noProof/>
                <w:color w:val="000000"/>
                <w:sz w:val="16"/>
              </w:rPr>
            </w:pPr>
            <w:r>
              <w:rPr>
                <w:rFonts w:ascii="Verdana" w:hAnsi="Verdana"/>
                <w:b/>
                <w:noProof/>
                <w:color w:val="000000"/>
                <w:sz w:val="16"/>
              </w:rPr>
              <w:t xml:space="preserve"> 70</w:t>
            </w:r>
          </w:p>
        </w:tc>
        <w:tc>
          <w:tcPr>
            <w:tcW w:w="977" w:type="dxa"/>
            <w:tcBorders>
              <w:top w:val="nil"/>
              <w:left w:val="nil"/>
              <w:bottom w:val="nil"/>
              <w:right w:val="nil"/>
              <w:tl2br w:val="nil"/>
              <w:tr2bl w:val="nil"/>
            </w:tcBorders>
            <w:shd w:val="solid" w:color="CCE1EA" w:fill="FFFFFF"/>
            <w:tcMar>
              <w:left w:w="60" w:type="dxa"/>
              <w:right w:w="60" w:type="dxa"/>
            </w:tcMar>
            <w:vAlign w:val="center"/>
          </w:tcPr>
          <w:p>
            <w:pPr>
              <w:pStyle w:val="DMETW36735BIPEUPPE"/>
              <w:jc w:val="right"/>
              <w:rPr>
                <w:rFonts w:ascii="Verdana" w:eastAsia="Verdana" w:hAnsi="Verdana" w:cs="Verdana"/>
                <w:b/>
                <w:noProof/>
                <w:color w:val="000000"/>
                <w:sz w:val="16"/>
              </w:rPr>
            </w:pPr>
            <w:r>
              <w:rPr>
                <w:rFonts w:ascii="Verdana" w:hAnsi="Verdana"/>
                <w:b/>
                <w:noProof/>
                <w:color w:val="000000"/>
                <w:sz w:val="16"/>
              </w:rPr>
              <w:t xml:space="preserve"> 138</w:t>
            </w:r>
          </w:p>
        </w:tc>
        <w:tc>
          <w:tcPr>
            <w:tcW w:w="906" w:type="dxa"/>
            <w:tcBorders>
              <w:top w:val="nil"/>
              <w:left w:val="nil"/>
              <w:bottom w:val="nil"/>
              <w:right w:val="nil"/>
              <w:tl2br w:val="nil"/>
              <w:tr2bl w:val="nil"/>
            </w:tcBorders>
            <w:shd w:val="solid" w:color="CCE1EA" w:fill="FFFFFF"/>
            <w:tcMar>
              <w:left w:w="60" w:type="dxa"/>
              <w:right w:w="60" w:type="dxa"/>
            </w:tcMar>
            <w:vAlign w:val="center"/>
          </w:tcPr>
          <w:p>
            <w:pPr>
              <w:pStyle w:val="DMETW36735BIPEUPPE"/>
              <w:jc w:val="right"/>
              <w:rPr>
                <w:rFonts w:ascii="Verdana" w:eastAsia="Verdana" w:hAnsi="Verdana" w:cs="Verdana"/>
                <w:b/>
                <w:noProof/>
                <w:color w:val="000000"/>
                <w:sz w:val="16"/>
              </w:rPr>
            </w:pPr>
            <w:r>
              <w:rPr>
                <w:rFonts w:ascii="Verdana" w:hAnsi="Verdana"/>
                <w:b/>
                <w:noProof/>
                <w:color w:val="000000"/>
                <w:sz w:val="16"/>
              </w:rPr>
              <w:t xml:space="preserve"> 77</w:t>
            </w:r>
          </w:p>
        </w:tc>
        <w:tc>
          <w:tcPr>
            <w:tcW w:w="906" w:type="dxa"/>
            <w:tcBorders>
              <w:top w:val="nil"/>
              <w:left w:val="nil"/>
              <w:bottom w:val="nil"/>
              <w:right w:val="nil"/>
              <w:tl2br w:val="nil"/>
              <w:tr2bl w:val="nil"/>
            </w:tcBorders>
            <w:shd w:val="solid" w:color="CCE1EA" w:fill="FFFFFF"/>
            <w:tcMar>
              <w:left w:w="60" w:type="dxa"/>
              <w:right w:w="60" w:type="dxa"/>
            </w:tcMar>
            <w:vAlign w:val="center"/>
          </w:tcPr>
          <w:p>
            <w:pPr>
              <w:pStyle w:val="DMETW36735BIPEUPPE"/>
              <w:jc w:val="right"/>
              <w:rPr>
                <w:rFonts w:ascii="Verdana" w:eastAsia="Verdana" w:hAnsi="Verdana" w:cs="Verdana"/>
                <w:b/>
                <w:noProof/>
                <w:color w:val="000000"/>
                <w:sz w:val="16"/>
              </w:rPr>
            </w:pPr>
            <w:r>
              <w:rPr>
                <w:rFonts w:ascii="Verdana" w:hAnsi="Verdana"/>
                <w:b/>
                <w:noProof/>
                <w:color w:val="000000"/>
                <w:sz w:val="16"/>
              </w:rPr>
              <w:t xml:space="preserve"> 696</w:t>
            </w:r>
          </w:p>
        </w:tc>
        <w:tc>
          <w:tcPr>
            <w:tcW w:w="1339" w:type="dxa"/>
            <w:tcBorders>
              <w:top w:val="nil"/>
              <w:left w:val="nil"/>
              <w:bottom w:val="nil"/>
              <w:right w:val="nil"/>
              <w:tl2br w:val="nil"/>
              <w:tr2bl w:val="nil"/>
            </w:tcBorders>
            <w:shd w:val="solid" w:color="CCE1EA" w:fill="FFFFFF"/>
            <w:tcMar>
              <w:left w:w="60" w:type="dxa"/>
              <w:right w:w="60" w:type="dxa"/>
            </w:tcMar>
            <w:vAlign w:val="center"/>
          </w:tcPr>
          <w:p>
            <w:pPr>
              <w:pStyle w:val="DMETW36735BIPEUPPE"/>
              <w:jc w:val="right"/>
              <w:rPr>
                <w:rFonts w:ascii="Verdana" w:eastAsia="Verdana" w:hAnsi="Verdana" w:cs="Verdana"/>
                <w:b/>
                <w:noProof/>
                <w:color w:val="000000"/>
                <w:sz w:val="16"/>
              </w:rPr>
            </w:pPr>
            <w:r>
              <w:rPr>
                <w:rFonts w:ascii="Verdana" w:hAnsi="Verdana"/>
                <w:b/>
                <w:noProof/>
                <w:color w:val="000000"/>
                <w:sz w:val="16"/>
              </w:rPr>
              <w:t>7 671</w:t>
            </w:r>
          </w:p>
        </w:tc>
        <w:tc>
          <w:tcPr>
            <w:tcW w:w="1025" w:type="dxa"/>
            <w:tcBorders>
              <w:top w:val="nil"/>
              <w:left w:val="nil"/>
              <w:bottom w:val="nil"/>
              <w:right w:val="nil"/>
              <w:tl2br w:val="nil"/>
              <w:tr2bl w:val="nil"/>
            </w:tcBorders>
            <w:shd w:val="solid" w:color="CCE1EA" w:fill="FFFFFF"/>
            <w:tcMar>
              <w:left w:w="60" w:type="dxa"/>
              <w:right w:w="60" w:type="dxa"/>
            </w:tcMar>
            <w:vAlign w:val="center"/>
          </w:tcPr>
          <w:p>
            <w:pPr>
              <w:pStyle w:val="DMETW36735BIPEUPPE"/>
              <w:jc w:val="right"/>
              <w:rPr>
                <w:rFonts w:ascii="Verdana" w:eastAsia="Verdana" w:hAnsi="Verdana" w:cs="Verdana"/>
                <w:b/>
                <w:noProof/>
                <w:color w:val="000000"/>
                <w:sz w:val="16"/>
              </w:rPr>
            </w:pPr>
            <w:r>
              <w:rPr>
                <w:rFonts w:ascii="Verdana" w:hAnsi="Verdana"/>
                <w:b/>
                <w:noProof/>
                <w:color w:val="000000"/>
                <w:sz w:val="16"/>
              </w:rPr>
              <w:t>14 756</w:t>
            </w:r>
          </w:p>
        </w:tc>
      </w:tr>
      <w:tr>
        <w:trPr>
          <w:trHeight w:val="255"/>
        </w:trPr>
        <w:tc>
          <w:tcPr>
            <w:tcW w:w="3597" w:type="dxa"/>
            <w:tcBorders>
              <w:top w:val="nil"/>
              <w:left w:val="nil"/>
              <w:bottom w:val="nil"/>
              <w:right w:val="nil"/>
              <w:tl2br w:val="nil"/>
              <w:tr2bl w:val="nil"/>
            </w:tcBorders>
            <w:tcMar>
              <w:left w:w="60" w:type="dxa"/>
              <w:right w:w="60" w:type="dxa"/>
            </w:tcMar>
            <w:vAlign w:val="center"/>
          </w:tcPr>
          <w:p>
            <w:pPr>
              <w:pStyle w:val="DMETW36735BIPEUPPE"/>
              <w:rPr>
                <w:rFonts w:ascii="Verdana" w:eastAsia="Verdana" w:hAnsi="Verdana" w:cs="Verdana"/>
                <w:i/>
                <w:noProof/>
                <w:color w:val="000000"/>
                <w:sz w:val="16"/>
              </w:rPr>
            </w:pPr>
            <w:r>
              <w:rPr>
                <w:rFonts w:ascii="Verdana" w:hAnsi="Verdana"/>
                <w:i/>
                <w:noProof/>
                <w:color w:val="000000"/>
                <w:sz w:val="16"/>
              </w:rPr>
              <w:t>VALEUR NETTE COMPTABLE AU 31.12.2024</w:t>
            </w:r>
          </w:p>
        </w:tc>
        <w:tc>
          <w:tcPr>
            <w:tcW w:w="1461"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2 420</w:t>
            </w:r>
          </w:p>
        </w:tc>
        <w:tc>
          <w:tcPr>
            <w:tcW w:w="1032"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3 639</w:t>
            </w:r>
          </w:p>
        </w:tc>
        <w:tc>
          <w:tcPr>
            <w:tcW w:w="1025"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60</w:t>
            </w:r>
          </w:p>
        </w:tc>
        <w:tc>
          <w:tcPr>
            <w:tcW w:w="1247"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76</w:t>
            </w:r>
          </w:p>
        </w:tc>
        <w:tc>
          <w:tcPr>
            <w:tcW w:w="977"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139</w:t>
            </w:r>
          </w:p>
        </w:tc>
        <w:tc>
          <w:tcPr>
            <w:tcW w:w="906"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84</w:t>
            </w:r>
          </w:p>
        </w:tc>
        <w:tc>
          <w:tcPr>
            <w:tcW w:w="906"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766</w:t>
            </w:r>
          </w:p>
        </w:tc>
        <w:tc>
          <w:tcPr>
            <w:tcW w:w="1339"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6 528</w:t>
            </w:r>
          </w:p>
        </w:tc>
        <w:tc>
          <w:tcPr>
            <w:tcW w:w="1025"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13 713</w:t>
            </w:r>
          </w:p>
        </w:tc>
      </w:tr>
      <w:bookmarkEnd w:id="86"/>
    </w:tbl>
    <w:p>
      <w:pPr>
        <w:rPr>
          <w:noProof/>
        </w:rPr>
        <w:sectPr>
          <w:headerReference w:type="even" r:id="rId73"/>
          <w:headerReference w:type="default" r:id="rId74"/>
          <w:footerReference w:type="even" r:id="rId75"/>
          <w:footerReference w:type="default" r:id="rId76"/>
          <w:headerReference w:type="first" r:id="rId77"/>
          <w:footerReference w:type="first" r:id="rId78"/>
          <w:pgSz w:w="16838" w:h="11906" w:orient="landscape" w:code="9"/>
          <w:pgMar w:top="1134" w:right="1134" w:bottom="1134" w:left="1134" w:header="708" w:footer="708" w:gutter="0"/>
          <w:cols w:space="708"/>
          <w:docGrid w:linePitch="360"/>
        </w:sectPr>
      </w:pPr>
    </w:p>
    <w:p>
      <w:pPr>
        <w:pStyle w:val="HEADER2NOTES"/>
        <w:numPr>
          <w:ilvl w:val="1"/>
          <w:numId w:val="15"/>
        </w:numPr>
        <w:rPr>
          <w:noProof/>
        </w:rPr>
      </w:pPr>
      <w:bookmarkStart w:id="88" w:name="_Hlk176531632"/>
      <w:bookmarkStart w:id="89" w:name="_DMBM_36683"/>
      <w:r>
        <w:rPr>
          <w:noProof/>
        </w:rPr>
        <w:lastRenderedPageBreak/>
        <w:t>INVESTISSEMENTS COMPTABILISÉS SELON LA MÉTHODE DE LA MISE EN ÉQUIVALENCE</w:t>
      </w:r>
    </w:p>
    <w:bookmarkEnd w:id="88"/>
    <w:p>
      <w:pPr>
        <w:pStyle w:val="DGTextstand-alone"/>
      </w:pPr>
      <w:r>
        <w:t xml:space="preserve">La participation de l’Union européenne, représentée par la Commission, au Fonds européen d’investissement (FEI) est traitée comme une participation à une entité associée, au moyen de la méthode de la mise en équivalence. Le FEI est l’institution financière de l’UE spécialisée dans le capital-risque et les garanties aux petites et moyennes entreprises (PME). Le FEI fonctionne comme un partenariat public-privé, dont les membres sont la Banque européenne d’investissement (BEI), l’Union européenne et un groupe d’institutions financières. </w:t>
      </w:r>
    </w:p>
    <w:p>
      <w:pPr>
        <w:pStyle w:val="DGTextstand-alone"/>
      </w:pPr>
      <w:r>
        <w:t xml:space="preserve">Au 31 décembre 2025, l’UE possédait 29,7 % </w:t>
      </w:r>
      <w:bookmarkStart w:id="90" w:name="OLE_LINK1"/>
      <w:bookmarkStart w:id="91" w:name="OLE_LINK2"/>
      <w:r>
        <w:t>des participations détenues</w:t>
      </w:r>
      <w:bookmarkEnd w:id="90"/>
      <w:bookmarkEnd w:id="91"/>
      <w:r>
        <w:t xml:space="preserve"> dans le FEI (29,7 % en 2024) et 29,7 % des droits de vote (29,7 % en 2024). Conformément à ses statuts, le FEI doit affecter au moins 20 % de son résultat net annuel à une réserve statutaire jusqu’à ce que la réserve globale atteigne 10 % du capital souscrit. Cette réserve ne peut être distribuée.</w:t>
      </w:r>
    </w:p>
    <w:p>
      <w:pPr>
        <w:pStyle w:val="DGTextstand-alone"/>
      </w:pPr>
      <w:r>
        <w:t>Le tableau présenté ci-dessous montre l’évolution de la participation de l’UE dans le FEI pour l’exercice en cours.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40"/>
        <w:gridCol w:w="3418"/>
      </w:tblGrid>
      <w:tr>
        <w:trPr>
          <w:trHeight w:val="255"/>
        </w:trPr>
        <w:tc>
          <w:tcPr>
            <w:tcW w:w="6340" w:type="dxa"/>
            <w:tcBorders>
              <w:top w:val="nil"/>
              <w:left w:val="nil"/>
              <w:bottom w:val="nil"/>
              <w:right w:val="nil"/>
              <w:tl2br w:val="nil"/>
              <w:tr2bl w:val="nil"/>
            </w:tcBorders>
            <w:tcMar>
              <w:left w:w="60" w:type="dxa"/>
              <w:right w:w="60" w:type="dxa"/>
            </w:tcMar>
            <w:vAlign w:val="bottom"/>
          </w:tcPr>
          <w:p>
            <w:pPr>
              <w:pStyle w:val="DMETW36650BIPPARTASS1"/>
              <w:rPr>
                <w:rFonts w:ascii="Arial" w:eastAsia="Arial" w:hAnsi="Arial" w:cs="Arial"/>
                <w:noProof/>
                <w:color w:val="000000"/>
                <w:sz w:val="16"/>
              </w:rPr>
            </w:pPr>
            <w:bookmarkStart w:id="92" w:name="DOC_TBL00009_1_1"/>
            <w:bookmarkEnd w:id="92"/>
          </w:p>
        </w:tc>
        <w:tc>
          <w:tcPr>
            <w:tcW w:w="3418" w:type="dxa"/>
            <w:tcBorders>
              <w:top w:val="nil"/>
              <w:left w:val="nil"/>
              <w:bottom w:val="nil"/>
              <w:right w:val="nil"/>
              <w:tl2br w:val="nil"/>
              <w:tr2bl w:val="nil"/>
            </w:tcBorders>
            <w:tcMar>
              <w:left w:w="60" w:type="dxa"/>
              <w:right w:w="60" w:type="dxa"/>
            </w:tcMar>
            <w:vAlign w:val="bottom"/>
          </w:tcPr>
          <w:p>
            <w:pPr>
              <w:pStyle w:val="DMETW36650BIPPARTASS1"/>
              <w:jc w:val="right"/>
              <w:rPr>
                <w:rFonts w:ascii="Verdana" w:eastAsia="Verdana" w:hAnsi="Verdana" w:cs="Verdana"/>
                <w:i/>
                <w:noProof/>
                <w:color w:val="000000"/>
                <w:sz w:val="16"/>
              </w:rPr>
            </w:pPr>
            <w:r>
              <w:rPr>
                <w:rFonts w:ascii="Verdana" w:hAnsi="Verdana"/>
                <w:i/>
                <w:noProof/>
                <w:color w:val="000000"/>
                <w:sz w:val="16"/>
              </w:rPr>
              <w:t>en Mio EUR</w:t>
            </w:r>
          </w:p>
        </w:tc>
      </w:tr>
      <w:tr>
        <w:trPr>
          <w:trHeight w:val="255"/>
        </w:trPr>
        <w:tc>
          <w:tcPr>
            <w:tcW w:w="6340" w:type="dxa"/>
            <w:tcBorders>
              <w:top w:val="nil"/>
              <w:left w:val="nil"/>
              <w:bottom w:val="nil"/>
              <w:right w:val="nil"/>
              <w:tl2br w:val="nil"/>
              <w:tr2bl w:val="nil"/>
            </w:tcBorders>
            <w:shd w:val="solid" w:color="016794" w:fill="FFFFFF"/>
            <w:tcMar>
              <w:left w:w="60" w:type="dxa"/>
              <w:right w:w="60" w:type="dxa"/>
            </w:tcMar>
            <w:vAlign w:val="bottom"/>
          </w:tcPr>
          <w:p>
            <w:pPr>
              <w:pStyle w:val="DMETW36650BIPPARTASS1"/>
              <w:rPr>
                <w:rFonts w:ascii="Arial" w:eastAsia="Arial" w:hAnsi="Arial" w:cs="Arial"/>
                <w:noProof/>
                <w:color w:val="000000"/>
              </w:rPr>
            </w:pPr>
          </w:p>
        </w:tc>
        <w:tc>
          <w:tcPr>
            <w:tcW w:w="3418" w:type="dxa"/>
            <w:tcBorders>
              <w:top w:val="nil"/>
              <w:left w:val="nil"/>
              <w:bottom w:val="nil"/>
              <w:right w:val="nil"/>
              <w:tl2br w:val="nil"/>
              <w:tr2bl w:val="nil"/>
            </w:tcBorders>
            <w:shd w:val="solid" w:color="016794" w:fill="FFFFFF"/>
            <w:tcMar>
              <w:left w:w="60" w:type="dxa"/>
              <w:right w:w="60" w:type="dxa"/>
            </w:tcMar>
            <w:vAlign w:val="center"/>
          </w:tcPr>
          <w:p>
            <w:pPr>
              <w:pStyle w:val="DMETW36650BIPPARTASS1"/>
              <w:jc w:val="right"/>
              <w:rPr>
                <w:rFonts w:ascii="Verdana" w:eastAsia="Verdana" w:hAnsi="Verdana" w:cs="Verdana"/>
                <w:noProof/>
                <w:color w:val="FFFFFF"/>
              </w:rPr>
            </w:pPr>
            <w:r>
              <w:rPr>
                <w:rFonts w:ascii="Verdana" w:hAnsi="Verdana"/>
                <w:noProof/>
                <w:color w:val="FFFFFF"/>
              </w:rPr>
              <w:t>Fonds européen d’investissement</w:t>
            </w:r>
          </w:p>
        </w:tc>
      </w:tr>
      <w:tr>
        <w:trPr>
          <w:trHeight w:val="255"/>
        </w:trPr>
        <w:tc>
          <w:tcPr>
            <w:tcW w:w="6340" w:type="dxa"/>
            <w:tcBorders>
              <w:top w:val="nil"/>
              <w:left w:val="nil"/>
              <w:bottom w:val="nil"/>
              <w:right w:val="nil"/>
              <w:tl2br w:val="nil"/>
              <w:tr2bl w:val="nil"/>
            </w:tcBorders>
            <w:shd w:val="solid" w:color="CCE1EA" w:fill="FFFFFF"/>
            <w:tcMar>
              <w:left w:w="60" w:type="dxa"/>
              <w:right w:w="60" w:type="dxa"/>
            </w:tcMar>
            <w:vAlign w:val="center"/>
          </w:tcPr>
          <w:p>
            <w:pPr>
              <w:pStyle w:val="DMETW36650BIPPARTASS1"/>
              <w:rPr>
                <w:rFonts w:ascii="Verdana" w:eastAsia="Verdana" w:hAnsi="Verdana" w:cs="Verdana"/>
                <w:b/>
                <w:noProof/>
                <w:color w:val="000000"/>
                <w:sz w:val="18"/>
              </w:rPr>
            </w:pPr>
            <w:r>
              <w:rPr>
                <w:rFonts w:ascii="Verdana" w:hAnsi="Verdana"/>
                <w:b/>
                <w:noProof/>
                <w:color w:val="000000"/>
                <w:sz w:val="18"/>
              </w:rPr>
              <w:t>Participations au 31.12.2024</w:t>
            </w:r>
          </w:p>
        </w:tc>
        <w:tc>
          <w:tcPr>
            <w:tcW w:w="3418" w:type="dxa"/>
            <w:tcBorders>
              <w:top w:val="nil"/>
              <w:left w:val="nil"/>
              <w:bottom w:val="nil"/>
              <w:right w:val="nil"/>
              <w:tl2br w:val="nil"/>
              <w:tr2bl w:val="nil"/>
            </w:tcBorders>
            <w:shd w:val="solid" w:color="CCE1EA" w:fill="FFFFFF"/>
            <w:tcMar>
              <w:left w:w="60" w:type="dxa"/>
              <w:right w:w="60" w:type="dxa"/>
            </w:tcMar>
            <w:vAlign w:val="bottom"/>
          </w:tcPr>
          <w:p>
            <w:pPr>
              <w:pStyle w:val="DMETW36650BIPPARTASS1"/>
              <w:jc w:val="right"/>
              <w:rPr>
                <w:rFonts w:ascii="Verdana" w:eastAsia="Verdana" w:hAnsi="Verdana" w:cs="Verdana"/>
                <w:b/>
                <w:noProof/>
                <w:color w:val="000000"/>
                <w:sz w:val="18"/>
              </w:rPr>
            </w:pPr>
            <w:r>
              <w:rPr>
                <w:rFonts w:ascii="Verdana" w:hAnsi="Verdana"/>
                <w:b/>
                <w:noProof/>
                <w:color w:val="000000"/>
                <w:sz w:val="18"/>
              </w:rPr>
              <w:t>1 446</w:t>
            </w:r>
          </w:p>
        </w:tc>
      </w:tr>
      <w:tr>
        <w:trPr>
          <w:trHeight w:val="255"/>
        </w:trPr>
        <w:tc>
          <w:tcPr>
            <w:tcW w:w="6340" w:type="dxa"/>
            <w:tcBorders>
              <w:top w:val="nil"/>
              <w:left w:val="nil"/>
              <w:bottom w:val="nil"/>
              <w:right w:val="nil"/>
              <w:tl2br w:val="nil"/>
              <w:tr2bl w:val="nil"/>
            </w:tcBorders>
            <w:tcMar>
              <w:left w:w="60" w:type="dxa"/>
              <w:right w:w="60" w:type="dxa"/>
            </w:tcMar>
            <w:vAlign w:val="center"/>
          </w:tcPr>
          <w:p>
            <w:pPr>
              <w:pStyle w:val="DMETW36650BIPPARTASS1"/>
              <w:rPr>
                <w:rFonts w:ascii="Verdana" w:eastAsia="Verdana" w:hAnsi="Verdana" w:cs="Verdana"/>
                <w:i/>
                <w:noProof/>
                <w:color w:val="000000"/>
                <w:sz w:val="18"/>
              </w:rPr>
            </w:pPr>
            <w:r>
              <w:rPr>
                <w:rFonts w:ascii="Verdana" w:hAnsi="Verdana"/>
                <w:i/>
                <w:noProof/>
                <w:color w:val="000000"/>
                <w:sz w:val="18"/>
              </w:rPr>
              <w:t>Contributions</w:t>
            </w:r>
          </w:p>
        </w:tc>
        <w:tc>
          <w:tcPr>
            <w:tcW w:w="3418" w:type="dxa"/>
            <w:tcBorders>
              <w:top w:val="nil"/>
              <w:left w:val="nil"/>
              <w:bottom w:val="nil"/>
              <w:right w:val="nil"/>
              <w:tl2br w:val="nil"/>
              <w:tr2bl w:val="nil"/>
            </w:tcBorders>
            <w:tcMar>
              <w:left w:w="60" w:type="dxa"/>
              <w:right w:w="60" w:type="dxa"/>
            </w:tcMar>
            <w:vAlign w:val="bottom"/>
          </w:tcPr>
          <w:p>
            <w:pPr>
              <w:pStyle w:val="DMETW36650BIPPARTASS1"/>
              <w:jc w:val="right"/>
              <w:rPr>
                <w:rFonts w:ascii="Verdana" w:eastAsia="Verdana" w:hAnsi="Verdana" w:cs="Verdana"/>
                <w:i/>
                <w:noProof/>
                <w:color w:val="000000"/>
                <w:sz w:val="18"/>
              </w:rPr>
            </w:pPr>
            <w:r>
              <w:rPr>
                <w:rFonts w:ascii="Verdana" w:hAnsi="Verdana"/>
                <w:i/>
                <w:noProof/>
                <w:color w:val="000000"/>
                <w:sz w:val="18"/>
              </w:rPr>
              <w:t>–</w:t>
            </w:r>
          </w:p>
        </w:tc>
      </w:tr>
      <w:tr>
        <w:trPr>
          <w:trHeight w:val="255"/>
        </w:trPr>
        <w:tc>
          <w:tcPr>
            <w:tcW w:w="6340" w:type="dxa"/>
            <w:tcBorders>
              <w:top w:val="nil"/>
              <w:left w:val="nil"/>
              <w:bottom w:val="nil"/>
              <w:right w:val="nil"/>
              <w:tl2br w:val="nil"/>
              <w:tr2bl w:val="nil"/>
            </w:tcBorders>
            <w:tcMar>
              <w:left w:w="60" w:type="dxa"/>
              <w:right w:w="60" w:type="dxa"/>
            </w:tcMar>
            <w:vAlign w:val="center"/>
          </w:tcPr>
          <w:p>
            <w:pPr>
              <w:pStyle w:val="DMETW36650BIPPARTASS1"/>
              <w:rPr>
                <w:rFonts w:ascii="Verdana" w:eastAsia="Verdana" w:hAnsi="Verdana" w:cs="Verdana"/>
                <w:i/>
                <w:noProof/>
                <w:color w:val="000000"/>
                <w:sz w:val="18"/>
              </w:rPr>
            </w:pPr>
            <w:r>
              <w:rPr>
                <w:rFonts w:ascii="Verdana" w:hAnsi="Verdana"/>
                <w:i/>
                <w:noProof/>
                <w:color w:val="000000"/>
                <w:sz w:val="18"/>
              </w:rPr>
              <w:t>Dividendes reçus</w:t>
            </w:r>
          </w:p>
        </w:tc>
        <w:tc>
          <w:tcPr>
            <w:tcW w:w="3418" w:type="dxa"/>
            <w:tcBorders>
              <w:top w:val="nil"/>
              <w:left w:val="nil"/>
              <w:bottom w:val="nil"/>
              <w:right w:val="nil"/>
              <w:tl2br w:val="nil"/>
              <w:tr2bl w:val="nil"/>
            </w:tcBorders>
            <w:tcMar>
              <w:left w:w="60" w:type="dxa"/>
              <w:right w:w="60" w:type="dxa"/>
            </w:tcMar>
            <w:vAlign w:val="bottom"/>
          </w:tcPr>
          <w:p>
            <w:pPr>
              <w:pStyle w:val="DMETW36650BIPPARTASS1"/>
              <w:jc w:val="right"/>
              <w:rPr>
                <w:rFonts w:ascii="Verdana" w:eastAsia="Verdana" w:hAnsi="Verdana" w:cs="Verdana"/>
                <w:i/>
                <w:noProof/>
                <w:color w:val="000000"/>
                <w:sz w:val="18"/>
              </w:rPr>
            </w:pPr>
            <w:r>
              <w:rPr>
                <w:rFonts w:ascii="Verdana" w:hAnsi="Verdana"/>
                <w:i/>
                <w:noProof/>
                <w:color w:val="000000"/>
                <w:sz w:val="18"/>
              </w:rPr>
              <w:t xml:space="preserve"> (8)</w:t>
            </w:r>
          </w:p>
        </w:tc>
      </w:tr>
      <w:tr>
        <w:trPr>
          <w:trHeight w:val="255"/>
        </w:trPr>
        <w:tc>
          <w:tcPr>
            <w:tcW w:w="6340" w:type="dxa"/>
            <w:tcBorders>
              <w:top w:val="nil"/>
              <w:left w:val="nil"/>
              <w:bottom w:val="nil"/>
              <w:right w:val="nil"/>
              <w:tl2br w:val="nil"/>
              <w:tr2bl w:val="nil"/>
            </w:tcBorders>
            <w:tcMar>
              <w:left w:w="60" w:type="dxa"/>
              <w:right w:w="60" w:type="dxa"/>
            </w:tcMar>
            <w:vAlign w:val="center"/>
          </w:tcPr>
          <w:p>
            <w:pPr>
              <w:pStyle w:val="DMETW36650BIPPARTASS1"/>
              <w:rPr>
                <w:rFonts w:ascii="Verdana" w:eastAsia="Verdana" w:hAnsi="Verdana" w:cs="Verdana"/>
                <w:i/>
                <w:noProof/>
                <w:color w:val="000000"/>
                <w:sz w:val="18"/>
              </w:rPr>
            </w:pPr>
            <w:r>
              <w:rPr>
                <w:rFonts w:ascii="Verdana" w:hAnsi="Verdana"/>
                <w:i/>
                <w:noProof/>
                <w:color w:val="000000"/>
                <w:sz w:val="18"/>
              </w:rPr>
              <w:t>Part du résultat net</w:t>
            </w:r>
          </w:p>
        </w:tc>
        <w:tc>
          <w:tcPr>
            <w:tcW w:w="3418" w:type="dxa"/>
            <w:tcBorders>
              <w:top w:val="nil"/>
              <w:left w:val="nil"/>
              <w:bottom w:val="nil"/>
              <w:right w:val="nil"/>
              <w:tl2br w:val="nil"/>
              <w:tr2bl w:val="nil"/>
            </w:tcBorders>
            <w:tcMar>
              <w:left w:w="60" w:type="dxa"/>
              <w:right w:w="60" w:type="dxa"/>
            </w:tcMar>
            <w:vAlign w:val="bottom"/>
          </w:tcPr>
          <w:p>
            <w:pPr>
              <w:pStyle w:val="DMETW36650BIPPARTASS1"/>
              <w:jc w:val="right"/>
              <w:rPr>
                <w:rFonts w:ascii="Verdana" w:eastAsia="Verdana" w:hAnsi="Verdana" w:cs="Verdana"/>
                <w:i/>
                <w:noProof/>
                <w:color w:val="000000"/>
                <w:sz w:val="18"/>
              </w:rPr>
            </w:pPr>
            <w:r>
              <w:rPr>
                <w:rFonts w:ascii="Verdana" w:hAnsi="Verdana"/>
                <w:i/>
                <w:noProof/>
                <w:color w:val="000000"/>
                <w:sz w:val="18"/>
              </w:rPr>
              <w:t xml:space="preserve"> 69</w:t>
            </w:r>
          </w:p>
        </w:tc>
      </w:tr>
      <w:tr>
        <w:trPr>
          <w:trHeight w:val="255"/>
        </w:trPr>
        <w:tc>
          <w:tcPr>
            <w:tcW w:w="6340" w:type="dxa"/>
            <w:tcBorders>
              <w:top w:val="nil"/>
              <w:left w:val="nil"/>
              <w:bottom w:val="nil"/>
              <w:right w:val="nil"/>
              <w:tl2br w:val="nil"/>
              <w:tr2bl w:val="nil"/>
            </w:tcBorders>
            <w:tcMar>
              <w:left w:w="60" w:type="dxa"/>
              <w:right w:w="60" w:type="dxa"/>
            </w:tcMar>
            <w:vAlign w:val="center"/>
          </w:tcPr>
          <w:p>
            <w:pPr>
              <w:pStyle w:val="DMETW36650BIPPARTASS1"/>
              <w:rPr>
                <w:rFonts w:ascii="Verdana" w:eastAsia="Verdana" w:hAnsi="Verdana" w:cs="Verdana"/>
                <w:i/>
                <w:noProof/>
                <w:color w:val="000000"/>
                <w:sz w:val="18"/>
              </w:rPr>
            </w:pPr>
            <w:r>
              <w:rPr>
                <w:rFonts w:ascii="Verdana" w:hAnsi="Verdana"/>
                <w:i/>
                <w:noProof/>
                <w:color w:val="000000"/>
                <w:sz w:val="18"/>
              </w:rPr>
              <w:t>Part dans l’actif net</w:t>
            </w:r>
          </w:p>
        </w:tc>
        <w:tc>
          <w:tcPr>
            <w:tcW w:w="3418" w:type="dxa"/>
            <w:tcBorders>
              <w:top w:val="nil"/>
              <w:left w:val="nil"/>
              <w:bottom w:val="nil"/>
              <w:right w:val="nil"/>
              <w:tl2br w:val="nil"/>
              <w:tr2bl w:val="nil"/>
            </w:tcBorders>
            <w:tcMar>
              <w:left w:w="60" w:type="dxa"/>
              <w:right w:w="60" w:type="dxa"/>
            </w:tcMar>
            <w:vAlign w:val="bottom"/>
          </w:tcPr>
          <w:p>
            <w:pPr>
              <w:pStyle w:val="DMETW36650BIPPARTASS1"/>
              <w:jc w:val="right"/>
              <w:rPr>
                <w:rFonts w:ascii="Verdana" w:eastAsia="Verdana" w:hAnsi="Verdana" w:cs="Verdana"/>
                <w:i/>
                <w:noProof/>
                <w:color w:val="000000"/>
                <w:sz w:val="18"/>
              </w:rPr>
            </w:pPr>
            <w:r>
              <w:rPr>
                <w:rFonts w:ascii="Verdana" w:hAnsi="Verdana"/>
                <w:i/>
                <w:noProof/>
                <w:color w:val="000000"/>
                <w:sz w:val="18"/>
              </w:rPr>
              <w:t xml:space="preserve"> 16</w:t>
            </w:r>
          </w:p>
        </w:tc>
      </w:tr>
      <w:tr>
        <w:trPr>
          <w:trHeight w:val="255"/>
        </w:trPr>
        <w:tc>
          <w:tcPr>
            <w:tcW w:w="6340" w:type="dxa"/>
            <w:tcBorders>
              <w:top w:val="nil"/>
              <w:left w:val="nil"/>
              <w:bottom w:val="nil"/>
              <w:right w:val="nil"/>
              <w:tl2br w:val="nil"/>
              <w:tr2bl w:val="nil"/>
            </w:tcBorders>
            <w:shd w:val="solid" w:color="CCE1EA" w:fill="FFFFFF"/>
            <w:tcMar>
              <w:left w:w="60" w:type="dxa"/>
              <w:right w:w="60" w:type="dxa"/>
            </w:tcMar>
            <w:vAlign w:val="center"/>
          </w:tcPr>
          <w:p>
            <w:pPr>
              <w:pStyle w:val="DMETW36650BIPPARTASS1"/>
              <w:rPr>
                <w:rFonts w:ascii="Verdana" w:eastAsia="Verdana" w:hAnsi="Verdana" w:cs="Verdana"/>
                <w:b/>
                <w:noProof/>
                <w:color w:val="000000"/>
                <w:sz w:val="18"/>
              </w:rPr>
            </w:pPr>
            <w:r>
              <w:rPr>
                <w:rFonts w:ascii="Verdana" w:hAnsi="Verdana"/>
                <w:b/>
                <w:noProof/>
                <w:color w:val="000000"/>
                <w:sz w:val="18"/>
              </w:rPr>
              <w:t>Participations au 31.12.2025</w:t>
            </w:r>
          </w:p>
        </w:tc>
        <w:tc>
          <w:tcPr>
            <w:tcW w:w="3418" w:type="dxa"/>
            <w:tcBorders>
              <w:top w:val="nil"/>
              <w:left w:val="nil"/>
              <w:bottom w:val="nil"/>
              <w:right w:val="nil"/>
              <w:tl2br w:val="nil"/>
              <w:tr2bl w:val="nil"/>
            </w:tcBorders>
            <w:shd w:val="solid" w:color="CCE1EA" w:fill="FFFFFF"/>
            <w:tcMar>
              <w:left w:w="60" w:type="dxa"/>
              <w:right w:w="60" w:type="dxa"/>
            </w:tcMar>
            <w:vAlign w:val="bottom"/>
          </w:tcPr>
          <w:p>
            <w:pPr>
              <w:pStyle w:val="DMETW36650BIPPARTASS1"/>
              <w:jc w:val="right"/>
              <w:rPr>
                <w:rFonts w:ascii="Verdana" w:eastAsia="Verdana" w:hAnsi="Verdana" w:cs="Verdana"/>
                <w:b/>
                <w:noProof/>
                <w:color w:val="000000"/>
                <w:sz w:val="18"/>
              </w:rPr>
            </w:pPr>
            <w:r>
              <w:rPr>
                <w:rFonts w:ascii="Verdana" w:hAnsi="Verdana"/>
                <w:b/>
                <w:noProof/>
                <w:color w:val="000000"/>
                <w:sz w:val="18"/>
              </w:rPr>
              <w:t>1 524</w:t>
            </w:r>
          </w:p>
        </w:tc>
      </w:tr>
    </w:tbl>
    <w:p>
      <w:pPr>
        <w:pStyle w:val="DGTextstand-alone"/>
      </w:pPr>
      <w:r>
        <w:t>LE FEI a résumé les informations financières: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85"/>
        <w:gridCol w:w="2786"/>
        <w:gridCol w:w="2787"/>
      </w:tblGrid>
      <w:tr>
        <w:trPr>
          <w:trHeight w:val="255"/>
        </w:trPr>
        <w:tc>
          <w:tcPr>
            <w:tcW w:w="4185" w:type="dxa"/>
            <w:tcBorders>
              <w:top w:val="nil"/>
              <w:left w:val="nil"/>
              <w:bottom w:val="nil"/>
              <w:right w:val="nil"/>
              <w:tl2br w:val="nil"/>
              <w:tr2bl w:val="nil"/>
            </w:tcBorders>
            <w:tcMar>
              <w:left w:w="60" w:type="dxa"/>
              <w:right w:w="60" w:type="dxa"/>
            </w:tcMar>
            <w:vAlign w:val="bottom"/>
          </w:tcPr>
          <w:p>
            <w:pPr>
              <w:pStyle w:val="DMETW36650BIPPARTASS2"/>
              <w:rPr>
                <w:rFonts w:ascii="Arial" w:eastAsia="Arial" w:hAnsi="Arial" w:cs="Arial"/>
                <w:noProof/>
                <w:color w:val="000000"/>
                <w:sz w:val="16"/>
              </w:rPr>
            </w:pPr>
            <w:bookmarkStart w:id="93" w:name="DOC_TBL00010_1_1"/>
            <w:bookmarkEnd w:id="93"/>
          </w:p>
        </w:tc>
        <w:tc>
          <w:tcPr>
            <w:tcW w:w="2786" w:type="dxa"/>
            <w:tcBorders>
              <w:top w:val="nil"/>
              <w:left w:val="nil"/>
              <w:bottom w:val="nil"/>
              <w:right w:val="nil"/>
              <w:tl2br w:val="nil"/>
              <w:tr2bl w:val="nil"/>
            </w:tcBorders>
            <w:tcMar>
              <w:left w:w="60" w:type="dxa"/>
              <w:right w:w="60" w:type="dxa"/>
            </w:tcMar>
            <w:vAlign w:val="bottom"/>
          </w:tcPr>
          <w:p>
            <w:pPr>
              <w:pStyle w:val="DMETW36650BIPPARTASS2"/>
              <w:jc w:val="right"/>
              <w:rPr>
                <w:rFonts w:ascii="Verdana" w:eastAsia="Verdana" w:hAnsi="Verdana" w:cs="Verdana"/>
                <w:i/>
                <w:noProof/>
                <w:color w:val="000000"/>
                <w:sz w:val="16"/>
              </w:rPr>
            </w:pPr>
          </w:p>
        </w:tc>
        <w:tc>
          <w:tcPr>
            <w:tcW w:w="2787" w:type="dxa"/>
            <w:tcBorders>
              <w:top w:val="nil"/>
              <w:left w:val="nil"/>
              <w:bottom w:val="nil"/>
              <w:right w:val="nil"/>
              <w:tl2br w:val="nil"/>
              <w:tr2bl w:val="nil"/>
            </w:tcBorders>
            <w:tcMar>
              <w:left w:w="60" w:type="dxa"/>
              <w:right w:w="60" w:type="dxa"/>
            </w:tcMar>
            <w:vAlign w:val="bottom"/>
          </w:tcPr>
          <w:p>
            <w:pPr>
              <w:pStyle w:val="DMETW36650BIPPARTASS2"/>
              <w:jc w:val="right"/>
              <w:rPr>
                <w:rFonts w:ascii="Arial" w:eastAsia="Arial" w:hAnsi="Arial" w:cs="Arial"/>
                <w:i/>
                <w:noProof/>
                <w:color w:val="000000"/>
                <w:sz w:val="16"/>
              </w:rPr>
            </w:pPr>
            <w:r>
              <w:rPr>
                <w:rFonts w:ascii="Arial" w:hAnsi="Arial"/>
                <w:i/>
                <w:noProof/>
                <w:color w:val="000000"/>
                <w:sz w:val="16"/>
              </w:rPr>
              <w:t>en Mio EUR</w:t>
            </w:r>
          </w:p>
        </w:tc>
      </w:tr>
      <w:tr>
        <w:trPr>
          <w:trHeight w:val="255"/>
        </w:trPr>
        <w:tc>
          <w:tcPr>
            <w:tcW w:w="4185" w:type="dxa"/>
            <w:tcBorders>
              <w:top w:val="nil"/>
              <w:left w:val="nil"/>
              <w:bottom w:val="nil"/>
              <w:right w:val="nil"/>
              <w:tl2br w:val="nil"/>
              <w:tr2bl w:val="nil"/>
            </w:tcBorders>
            <w:shd w:val="solid" w:color="016794" w:fill="FFFFFF"/>
            <w:tcMar>
              <w:left w:w="60" w:type="dxa"/>
              <w:right w:w="60" w:type="dxa"/>
            </w:tcMar>
            <w:vAlign w:val="bottom"/>
          </w:tcPr>
          <w:p>
            <w:pPr>
              <w:pStyle w:val="DMETW36650BIPPARTASS2"/>
              <w:rPr>
                <w:rFonts w:ascii="Arial" w:eastAsia="Arial" w:hAnsi="Arial" w:cs="Arial"/>
                <w:noProof/>
                <w:color w:val="000000"/>
              </w:rPr>
            </w:pPr>
          </w:p>
        </w:tc>
        <w:tc>
          <w:tcPr>
            <w:tcW w:w="2786" w:type="dxa"/>
            <w:tcBorders>
              <w:top w:val="nil"/>
              <w:left w:val="nil"/>
              <w:bottom w:val="nil"/>
              <w:right w:val="nil"/>
              <w:tl2br w:val="nil"/>
              <w:tr2bl w:val="nil"/>
            </w:tcBorders>
            <w:shd w:val="solid" w:color="016794" w:fill="FFFFFF"/>
            <w:tcMar>
              <w:left w:w="60" w:type="dxa"/>
              <w:right w:w="60" w:type="dxa"/>
            </w:tcMar>
            <w:vAlign w:val="center"/>
          </w:tcPr>
          <w:p>
            <w:pPr>
              <w:pStyle w:val="DMETW36650BIPPARTASS2"/>
              <w:jc w:val="right"/>
              <w:rPr>
                <w:rFonts w:ascii="Verdana" w:eastAsia="Verdana" w:hAnsi="Verdana" w:cs="Verdana"/>
                <w:noProof/>
                <w:color w:val="FFFFFF"/>
              </w:rPr>
            </w:pPr>
            <w:r>
              <w:rPr>
                <w:rFonts w:ascii="Verdana" w:hAnsi="Verdana"/>
                <w:noProof/>
                <w:color w:val="FFFFFF"/>
              </w:rPr>
              <w:t>31.12.2025</w:t>
            </w:r>
          </w:p>
        </w:tc>
        <w:tc>
          <w:tcPr>
            <w:tcW w:w="2787" w:type="dxa"/>
            <w:tcBorders>
              <w:top w:val="nil"/>
              <w:left w:val="nil"/>
              <w:bottom w:val="nil"/>
              <w:right w:val="nil"/>
              <w:tl2br w:val="nil"/>
              <w:tr2bl w:val="nil"/>
            </w:tcBorders>
            <w:shd w:val="solid" w:color="016794" w:fill="FFFFFF"/>
            <w:tcMar>
              <w:left w:w="60" w:type="dxa"/>
              <w:right w:w="60" w:type="dxa"/>
            </w:tcMar>
            <w:vAlign w:val="center"/>
          </w:tcPr>
          <w:p>
            <w:pPr>
              <w:pStyle w:val="DMETW36650BIPPARTASS2"/>
              <w:jc w:val="right"/>
              <w:rPr>
                <w:rFonts w:ascii="Verdana" w:eastAsia="Verdana" w:hAnsi="Verdana" w:cs="Verdana"/>
                <w:noProof/>
                <w:color w:val="FFFFFF"/>
              </w:rPr>
            </w:pPr>
            <w:r>
              <w:rPr>
                <w:rFonts w:ascii="Verdana" w:hAnsi="Verdana"/>
                <w:noProof/>
                <w:color w:val="FFFFFF"/>
              </w:rPr>
              <w:t>31.12.2024</w:t>
            </w:r>
          </w:p>
        </w:tc>
      </w:tr>
      <w:tr>
        <w:trPr>
          <w:trHeight w:val="255"/>
        </w:trPr>
        <w:tc>
          <w:tcPr>
            <w:tcW w:w="4185" w:type="dxa"/>
            <w:tcBorders>
              <w:top w:val="nil"/>
              <w:left w:val="nil"/>
              <w:bottom w:val="nil"/>
              <w:right w:val="nil"/>
              <w:tl2br w:val="nil"/>
              <w:tr2bl w:val="nil"/>
            </w:tcBorders>
            <w:shd w:val="solid" w:color="016794" w:fill="FFFFFF"/>
            <w:tcMar>
              <w:left w:w="60" w:type="dxa"/>
              <w:right w:w="60" w:type="dxa"/>
            </w:tcMar>
            <w:vAlign w:val="bottom"/>
          </w:tcPr>
          <w:p>
            <w:pPr>
              <w:pStyle w:val="DMETW36650BIPPARTASS2"/>
              <w:rPr>
                <w:rFonts w:ascii="Arial" w:eastAsia="Arial" w:hAnsi="Arial" w:cs="Arial"/>
                <w:noProof/>
                <w:color w:val="000000"/>
              </w:rPr>
            </w:pPr>
          </w:p>
        </w:tc>
        <w:tc>
          <w:tcPr>
            <w:tcW w:w="2786" w:type="dxa"/>
            <w:tcBorders>
              <w:top w:val="nil"/>
              <w:left w:val="nil"/>
              <w:bottom w:val="nil"/>
              <w:right w:val="nil"/>
              <w:tl2br w:val="nil"/>
              <w:tr2bl w:val="nil"/>
            </w:tcBorders>
            <w:shd w:val="solid" w:color="016794" w:fill="FFFFFF"/>
            <w:tcMar>
              <w:left w:w="60" w:type="dxa"/>
              <w:right w:w="60" w:type="dxa"/>
            </w:tcMar>
            <w:vAlign w:val="center"/>
          </w:tcPr>
          <w:p>
            <w:pPr>
              <w:pStyle w:val="DMETW36650BIPPARTASS2"/>
              <w:jc w:val="right"/>
              <w:rPr>
                <w:rFonts w:ascii="Verdana" w:eastAsia="Verdana" w:hAnsi="Verdana" w:cs="Verdana"/>
                <w:noProof/>
                <w:color w:val="FFFFFF"/>
              </w:rPr>
            </w:pPr>
            <w:r>
              <w:rPr>
                <w:rFonts w:ascii="Verdana" w:hAnsi="Verdana"/>
                <w:noProof/>
                <w:color w:val="FFFFFF"/>
              </w:rPr>
              <w:t>Total du FEI</w:t>
            </w:r>
          </w:p>
        </w:tc>
        <w:tc>
          <w:tcPr>
            <w:tcW w:w="2787" w:type="dxa"/>
            <w:tcBorders>
              <w:top w:val="nil"/>
              <w:left w:val="nil"/>
              <w:bottom w:val="nil"/>
              <w:right w:val="nil"/>
              <w:tl2br w:val="nil"/>
              <w:tr2bl w:val="nil"/>
            </w:tcBorders>
            <w:shd w:val="solid" w:color="016794" w:fill="FFFFFF"/>
            <w:tcMar>
              <w:left w:w="60" w:type="dxa"/>
              <w:right w:w="60" w:type="dxa"/>
            </w:tcMar>
            <w:vAlign w:val="center"/>
          </w:tcPr>
          <w:p>
            <w:pPr>
              <w:pStyle w:val="DMETW36650BIPPARTASS2"/>
              <w:jc w:val="right"/>
              <w:rPr>
                <w:rFonts w:ascii="Verdana" w:eastAsia="Verdana" w:hAnsi="Verdana" w:cs="Verdana"/>
                <w:noProof/>
                <w:color w:val="FFFFFF"/>
              </w:rPr>
            </w:pPr>
            <w:r>
              <w:rPr>
                <w:rFonts w:ascii="Verdana" w:hAnsi="Verdana"/>
                <w:noProof/>
                <w:color w:val="FFFFFF"/>
              </w:rPr>
              <w:t>Total du FEI</w:t>
            </w:r>
          </w:p>
        </w:tc>
      </w:tr>
      <w:tr>
        <w:trPr>
          <w:trHeight w:val="255"/>
        </w:trPr>
        <w:tc>
          <w:tcPr>
            <w:tcW w:w="4185" w:type="dxa"/>
            <w:tcBorders>
              <w:top w:val="nil"/>
              <w:left w:val="nil"/>
              <w:bottom w:val="nil"/>
              <w:right w:val="nil"/>
              <w:tl2br w:val="nil"/>
              <w:tr2bl w:val="nil"/>
            </w:tcBorders>
            <w:tcMar>
              <w:left w:w="60" w:type="dxa"/>
              <w:right w:w="60" w:type="dxa"/>
            </w:tcMar>
            <w:vAlign w:val="center"/>
          </w:tcPr>
          <w:p>
            <w:pPr>
              <w:pStyle w:val="DMETW36650BIPPARTASS2"/>
              <w:rPr>
                <w:rFonts w:ascii="Verdana" w:eastAsia="Verdana" w:hAnsi="Verdana" w:cs="Verdana"/>
                <w:i/>
                <w:noProof/>
                <w:color w:val="000000"/>
                <w:sz w:val="18"/>
              </w:rPr>
            </w:pPr>
            <w:r>
              <w:rPr>
                <w:rFonts w:ascii="Verdana" w:hAnsi="Verdana"/>
                <w:i/>
                <w:noProof/>
                <w:color w:val="000000"/>
                <w:sz w:val="18"/>
              </w:rPr>
              <w:t>Actif</w:t>
            </w:r>
          </w:p>
        </w:tc>
        <w:tc>
          <w:tcPr>
            <w:tcW w:w="2786" w:type="dxa"/>
            <w:tcBorders>
              <w:top w:val="nil"/>
              <w:left w:val="nil"/>
              <w:bottom w:val="nil"/>
              <w:right w:val="nil"/>
              <w:tl2br w:val="nil"/>
              <w:tr2bl w:val="nil"/>
            </w:tcBorders>
            <w:tcMar>
              <w:left w:w="60" w:type="dxa"/>
              <w:right w:w="60" w:type="dxa"/>
            </w:tcMar>
            <w:vAlign w:val="bottom"/>
          </w:tcPr>
          <w:p>
            <w:pPr>
              <w:pStyle w:val="DMETW36650BIPPARTASS2"/>
              <w:jc w:val="right"/>
              <w:rPr>
                <w:rFonts w:ascii="Verdana" w:eastAsia="Verdana" w:hAnsi="Verdana" w:cs="Verdana"/>
                <w:i/>
                <w:noProof/>
                <w:color w:val="000000"/>
                <w:sz w:val="18"/>
              </w:rPr>
            </w:pPr>
            <w:r>
              <w:rPr>
                <w:rFonts w:ascii="Verdana" w:hAnsi="Verdana"/>
                <w:i/>
                <w:noProof/>
                <w:color w:val="000000"/>
                <w:sz w:val="18"/>
              </w:rPr>
              <w:t>9 023</w:t>
            </w:r>
          </w:p>
        </w:tc>
        <w:tc>
          <w:tcPr>
            <w:tcW w:w="2787" w:type="dxa"/>
            <w:tcBorders>
              <w:top w:val="nil"/>
              <w:left w:val="nil"/>
              <w:bottom w:val="nil"/>
              <w:right w:val="nil"/>
              <w:tl2br w:val="nil"/>
              <w:tr2bl w:val="nil"/>
            </w:tcBorders>
            <w:tcMar>
              <w:left w:w="60" w:type="dxa"/>
              <w:right w:w="60" w:type="dxa"/>
            </w:tcMar>
            <w:vAlign w:val="bottom"/>
          </w:tcPr>
          <w:p>
            <w:pPr>
              <w:pStyle w:val="DMETW36650BIPPARTASS2"/>
              <w:jc w:val="right"/>
              <w:rPr>
                <w:rFonts w:ascii="Verdana" w:eastAsia="Verdana" w:hAnsi="Verdana" w:cs="Verdana"/>
                <w:i/>
                <w:noProof/>
                <w:color w:val="000000"/>
                <w:sz w:val="18"/>
              </w:rPr>
            </w:pPr>
            <w:r>
              <w:rPr>
                <w:rFonts w:ascii="Verdana" w:hAnsi="Verdana"/>
                <w:i/>
                <w:noProof/>
                <w:color w:val="000000"/>
                <w:sz w:val="18"/>
              </w:rPr>
              <w:t>7 789</w:t>
            </w:r>
          </w:p>
        </w:tc>
      </w:tr>
      <w:tr>
        <w:trPr>
          <w:trHeight w:val="255"/>
        </w:trPr>
        <w:tc>
          <w:tcPr>
            <w:tcW w:w="4185" w:type="dxa"/>
            <w:tcBorders>
              <w:top w:val="nil"/>
              <w:left w:val="nil"/>
              <w:bottom w:val="nil"/>
              <w:right w:val="nil"/>
              <w:tl2br w:val="nil"/>
              <w:tr2bl w:val="nil"/>
            </w:tcBorders>
            <w:tcMar>
              <w:left w:w="60" w:type="dxa"/>
              <w:right w:w="60" w:type="dxa"/>
            </w:tcMar>
            <w:vAlign w:val="center"/>
          </w:tcPr>
          <w:p>
            <w:pPr>
              <w:pStyle w:val="DMETW36650BIPPARTASS2"/>
              <w:rPr>
                <w:rFonts w:ascii="Verdana" w:eastAsia="Verdana" w:hAnsi="Verdana" w:cs="Verdana"/>
                <w:i/>
                <w:noProof/>
                <w:color w:val="000000"/>
                <w:sz w:val="18"/>
              </w:rPr>
            </w:pPr>
            <w:r>
              <w:rPr>
                <w:rFonts w:ascii="Verdana" w:hAnsi="Verdana"/>
                <w:i/>
                <w:noProof/>
                <w:color w:val="000000"/>
                <w:sz w:val="18"/>
              </w:rPr>
              <w:t>Passifs</w:t>
            </w:r>
          </w:p>
        </w:tc>
        <w:tc>
          <w:tcPr>
            <w:tcW w:w="2786" w:type="dxa"/>
            <w:tcBorders>
              <w:top w:val="nil"/>
              <w:left w:val="nil"/>
              <w:bottom w:val="nil"/>
              <w:right w:val="nil"/>
              <w:tl2br w:val="nil"/>
              <w:tr2bl w:val="nil"/>
            </w:tcBorders>
            <w:tcMar>
              <w:left w:w="60" w:type="dxa"/>
              <w:right w:w="60" w:type="dxa"/>
            </w:tcMar>
            <w:vAlign w:val="bottom"/>
          </w:tcPr>
          <w:p>
            <w:pPr>
              <w:pStyle w:val="DMETW36650BIPPARTASS2"/>
              <w:jc w:val="right"/>
              <w:rPr>
                <w:rFonts w:ascii="Verdana" w:eastAsia="Verdana" w:hAnsi="Verdana" w:cs="Verdana"/>
                <w:i/>
                <w:noProof/>
                <w:color w:val="000000"/>
                <w:sz w:val="18"/>
              </w:rPr>
            </w:pPr>
            <w:r>
              <w:rPr>
                <w:rFonts w:ascii="Verdana" w:hAnsi="Verdana"/>
                <w:i/>
                <w:noProof/>
                <w:color w:val="000000"/>
                <w:sz w:val="18"/>
              </w:rPr>
              <w:t>(3 896)</w:t>
            </w:r>
          </w:p>
        </w:tc>
        <w:tc>
          <w:tcPr>
            <w:tcW w:w="2787" w:type="dxa"/>
            <w:tcBorders>
              <w:top w:val="nil"/>
              <w:left w:val="nil"/>
              <w:bottom w:val="nil"/>
              <w:right w:val="nil"/>
              <w:tl2br w:val="nil"/>
              <w:tr2bl w:val="nil"/>
            </w:tcBorders>
            <w:tcMar>
              <w:left w:w="60" w:type="dxa"/>
              <w:right w:w="60" w:type="dxa"/>
            </w:tcMar>
            <w:vAlign w:val="bottom"/>
          </w:tcPr>
          <w:p>
            <w:pPr>
              <w:pStyle w:val="DMETW36650BIPPARTASS2"/>
              <w:jc w:val="right"/>
              <w:rPr>
                <w:rFonts w:ascii="Verdana" w:eastAsia="Verdana" w:hAnsi="Verdana" w:cs="Verdana"/>
                <w:i/>
                <w:noProof/>
                <w:color w:val="000000"/>
                <w:sz w:val="18"/>
              </w:rPr>
            </w:pPr>
            <w:r>
              <w:rPr>
                <w:rFonts w:ascii="Verdana" w:hAnsi="Verdana"/>
                <w:i/>
                <w:noProof/>
                <w:color w:val="000000"/>
                <w:sz w:val="18"/>
              </w:rPr>
              <w:t>(2 923)</w:t>
            </w:r>
          </w:p>
        </w:tc>
      </w:tr>
      <w:tr>
        <w:trPr>
          <w:trHeight w:val="255"/>
        </w:trPr>
        <w:tc>
          <w:tcPr>
            <w:tcW w:w="4185" w:type="dxa"/>
            <w:tcBorders>
              <w:top w:val="nil"/>
              <w:left w:val="nil"/>
              <w:bottom w:val="nil"/>
              <w:right w:val="nil"/>
              <w:tl2br w:val="nil"/>
              <w:tr2bl w:val="nil"/>
            </w:tcBorders>
            <w:tcMar>
              <w:left w:w="60" w:type="dxa"/>
              <w:right w:w="60" w:type="dxa"/>
            </w:tcMar>
            <w:vAlign w:val="center"/>
          </w:tcPr>
          <w:p>
            <w:pPr>
              <w:pStyle w:val="DMETW36650BIPPARTASS2"/>
              <w:rPr>
                <w:rFonts w:ascii="Verdana" w:eastAsia="Verdana" w:hAnsi="Verdana" w:cs="Verdana"/>
                <w:i/>
                <w:noProof/>
                <w:color w:val="000000"/>
                <w:sz w:val="18"/>
              </w:rPr>
            </w:pPr>
            <w:r>
              <w:rPr>
                <w:rFonts w:ascii="Verdana" w:hAnsi="Verdana"/>
                <w:i/>
                <w:noProof/>
                <w:color w:val="000000"/>
                <w:sz w:val="18"/>
              </w:rPr>
              <w:t>Excédent/(déficit)</w:t>
            </w:r>
          </w:p>
        </w:tc>
        <w:tc>
          <w:tcPr>
            <w:tcW w:w="2786" w:type="dxa"/>
            <w:tcBorders>
              <w:top w:val="nil"/>
              <w:left w:val="nil"/>
              <w:bottom w:val="nil"/>
              <w:right w:val="nil"/>
              <w:tl2br w:val="nil"/>
              <w:tr2bl w:val="nil"/>
            </w:tcBorders>
            <w:tcMar>
              <w:left w:w="60" w:type="dxa"/>
              <w:right w:w="60" w:type="dxa"/>
            </w:tcMar>
            <w:vAlign w:val="bottom"/>
          </w:tcPr>
          <w:p>
            <w:pPr>
              <w:pStyle w:val="DMETW36650BIPPARTASS2"/>
              <w:jc w:val="right"/>
              <w:rPr>
                <w:rFonts w:ascii="Verdana" w:eastAsia="Verdana" w:hAnsi="Verdana" w:cs="Verdana"/>
                <w:i/>
                <w:noProof/>
                <w:color w:val="000000"/>
                <w:sz w:val="18"/>
              </w:rPr>
            </w:pPr>
            <w:r>
              <w:rPr>
                <w:rFonts w:ascii="Verdana" w:hAnsi="Verdana"/>
                <w:i/>
                <w:noProof/>
                <w:color w:val="000000"/>
                <w:sz w:val="18"/>
              </w:rPr>
              <w:t xml:space="preserve"> 233</w:t>
            </w:r>
          </w:p>
        </w:tc>
        <w:tc>
          <w:tcPr>
            <w:tcW w:w="2787" w:type="dxa"/>
            <w:tcBorders>
              <w:top w:val="nil"/>
              <w:left w:val="nil"/>
              <w:bottom w:val="nil"/>
              <w:right w:val="nil"/>
              <w:tl2br w:val="nil"/>
              <w:tr2bl w:val="nil"/>
            </w:tcBorders>
            <w:tcMar>
              <w:left w:w="60" w:type="dxa"/>
              <w:right w:w="60" w:type="dxa"/>
            </w:tcMar>
            <w:vAlign w:val="bottom"/>
          </w:tcPr>
          <w:p>
            <w:pPr>
              <w:pStyle w:val="DMETW36650BIPPARTASS2"/>
              <w:jc w:val="right"/>
              <w:rPr>
                <w:rFonts w:ascii="Verdana" w:eastAsia="Verdana" w:hAnsi="Verdana" w:cs="Verdana"/>
                <w:i/>
                <w:noProof/>
                <w:color w:val="000000"/>
                <w:sz w:val="18"/>
              </w:rPr>
            </w:pPr>
            <w:r>
              <w:rPr>
                <w:rFonts w:ascii="Verdana" w:hAnsi="Verdana"/>
                <w:i/>
                <w:noProof/>
                <w:color w:val="000000"/>
                <w:sz w:val="18"/>
              </w:rPr>
              <w:t xml:space="preserve"> 280</w:t>
            </w:r>
          </w:p>
        </w:tc>
      </w:tr>
    </w:tbl>
    <w:p>
      <w:pPr>
        <w:pStyle w:val="DGTextstand-alone"/>
      </w:pPr>
      <w:r>
        <w:t>Le rapprochement des informations financières reprises ci-dessus et de la valeur comptable des participations détenues dans le FEI se présente comme suit: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85"/>
        <w:gridCol w:w="2786"/>
        <w:gridCol w:w="2787"/>
      </w:tblGrid>
      <w:tr>
        <w:trPr>
          <w:trHeight w:val="255"/>
        </w:trPr>
        <w:tc>
          <w:tcPr>
            <w:tcW w:w="4185" w:type="dxa"/>
            <w:tcBorders>
              <w:top w:val="nil"/>
              <w:left w:val="nil"/>
              <w:bottom w:val="nil"/>
              <w:right w:val="nil"/>
              <w:tl2br w:val="nil"/>
              <w:tr2bl w:val="nil"/>
            </w:tcBorders>
            <w:tcMar>
              <w:left w:w="60" w:type="dxa"/>
              <w:right w:w="60" w:type="dxa"/>
            </w:tcMar>
            <w:vAlign w:val="bottom"/>
          </w:tcPr>
          <w:p>
            <w:pPr>
              <w:pStyle w:val="DMETW36650BIPEIF2"/>
              <w:rPr>
                <w:rFonts w:ascii="Arial" w:eastAsia="Arial" w:hAnsi="Arial" w:cs="Arial"/>
                <w:noProof/>
                <w:color w:val="000000"/>
                <w:sz w:val="16"/>
              </w:rPr>
            </w:pPr>
            <w:bookmarkStart w:id="94" w:name="DOC_TBL00011_1_1"/>
            <w:bookmarkEnd w:id="94"/>
          </w:p>
        </w:tc>
        <w:tc>
          <w:tcPr>
            <w:tcW w:w="2786" w:type="dxa"/>
            <w:tcBorders>
              <w:top w:val="nil"/>
              <w:left w:val="nil"/>
              <w:bottom w:val="nil"/>
              <w:right w:val="nil"/>
              <w:tl2br w:val="nil"/>
              <w:tr2bl w:val="nil"/>
            </w:tcBorders>
            <w:tcMar>
              <w:left w:w="60" w:type="dxa"/>
              <w:right w:w="60" w:type="dxa"/>
            </w:tcMar>
            <w:vAlign w:val="bottom"/>
          </w:tcPr>
          <w:p>
            <w:pPr>
              <w:pStyle w:val="DMETW36650BIPEIF2"/>
              <w:jc w:val="right"/>
              <w:rPr>
                <w:rFonts w:ascii="Verdana" w:eastAsia="Verdana" w:hAnsi="Verdana" w:cs="Verdana"/>
                <w:i/>
                <w:noProof/>
                <w:color w:val="000000"/>
                <w:sz w:val="16"/>
              </w:rPr>
            </w:pPr>
          </w:p>
        </w:tc>
        <w:tc>
          <w:tcPr>
            <w:tcW w:w="2787" w:type="dxa"/>
            <w:tcBorders>
              <w:top w:val="nil"/>
              <w:left w:val="nil"/>
              <w:bottom w:val="nil"/>
              <w:right w:val="nil"/>
              <w:tl2br w:val="nil"/>
              <w:tr2bl w:val="nil"/>
            </w:tcBorders>
            <w:tcMar>
              <w:left w:w="60" w:type="dxa"/>
              <w:right w:w="60" w:type="dxa"/>
            </w:tcMar>
            <w:vAlign w:val="bottom"/>
          </w:tcPr>
          <w:p>
            <w:pPr>
              <w:pStyle w:val="DMETW36650BIPEIF2"/>
              <w:jc w:val="right"/>
              <w:rPr>
                <w:rFonts w:ascii="Arial" w:eastAsia="Arial" w:hAnsi="Arial" w:cs="Arial"/>
                <w:i/>
                <w:noProof/>
                <w:color w:val="000000"/>
                <w:sz w:val="16"/>
              </w:rPr>
            </w:pPr>
            <w:r>
              <w:rPr>
                <w:rFonts w:ascii="Arial" w:hAnsi="Arial"/>
                <w:i/>
                <w:noProof/>
                <w:color w:val="000000"/>
                <w:sz w:val="16"/>
              </w:rPr>
              <w:t>en Mio EUR</w:t>
            </w:r>
          </w:p>
        </w:tc>
      </w:tr>
      <w:tr>
        <w:trPr>
          <w:trHeight w:val="255"/>
        </w:trPr>
        <w:tc>
          <w:tcPr>
            <w:tcW w:w="4185" w:type="dxa"/>
            <w:tcBorders>
              <w:top w:val="nil"/>
              <w:left w:val="nil"/>
              <w:bottom w:val="nil"/>
              <w:right w:val="nil"/>
              <w:tl2br w:val="nil"/>
              <w:tr2bl w:val="nil"/>
            </w:tcBorders>
            <w:shd w:val="solid" w:color="016794" w:fill="FFFFFF"/>
            <w:tcMar>
              <w:left w:w="60" w:type="dxa"/>
              <w:right w:w="60" w:type="dxa"/>
            </w:tcMar>
            <w:vAlign w:val="bottom"/>
          </w:tcPr>
          <w:p>
            <w:pPr>
              <w:pStyle w:val="DMETW36650BIPEIF2"/>
              <w:rPr>
                <w:rFonts w:ascii="Arial" w:eastAsia="Arial" w:hAnsi="Arial" w:cs="Arial"/>
                <w:noProof/>
                <w:color w:val="000000"/>
              </w:rPr>
            </w:pPr>
          </w:p>
        </w:tc>
        <w:tc>
          <w:tcPr>
            <w:tcW w:w="2786" w:type="dxa"/>
            <w:tcBorders>
              <w:top w:val="nil"/>
              <w:left w:val="nil"/>
              <w:bottom w:val="nil"/>
              <w:right w:val="nil"/>
              <w:tl2br w:val="nil"/>
              <w:tr2bl w:val="nil"/>
            </w:tcBorders>
            <w:shd w:val="solid" w:color="016794" w:fill="FFFFFF"/>
            <w:tcMar>
              <w:left w:w="60" w:type="dxa"/>
              <w:right w:w="60" w:type="dxa"/>
            </w:tcMar>
            <w:vAlign w:val="center"/>
          </w:tcPr>
          <w:p>
            <w:pPr>
              <w:pStyle w:val="DMETW36650BIPEIF2"/>
              <w:jc w:val="right"/>
              <w:rPr>
                <w:rFonts w:ascii="Verdana" w:eastAsia="Verdana" w:hAnsi="Verdana" w:cs="Verdana"/>
                <w:noProof/>
                <w:color w:val="FFFFFF"/>
              </w:rPr>
            </w:pPr>
            <w:r>
              <w:rPr>
                <w:rFonts w:ascii="Verdana" w:hAnsi="Verdana"/>
                <w:noProof/>
                <w:color w:val="FFFFFF"/>
              </w:rPr>
              <w:t>31.12.2025</w:t>
            </w:r>
          </w:p>
        </w:tc>
        <w:tc>
          <w:tcPr>
            <w:tcW w:w="2787" w:type="dxa"/>
            <w:tcBorders>
              <w:top w:val="nil"/>
              <w:left w:val="nil"/>
              <w:bottom w:val="nil"/>
              <w:right w:val="nil"/>
              <w:tl2br w:val="nil"/>
              <w:tr2bl w:val="nil"/>
            </w:tcBorders>
            <w:shd w:val="solid" w:color="016794" w:fill="FFFFFF"/>
            <w:tcMar>
              <w:left w:w="60" w:type="dxa"/>
              <w:right w:w="60" w:type="dxa"/>
            </w:tcMar>
            <w:vAlign w:val="center"/>
          </w:tcPr>
          <w:p>
            <w:pPr>
              <w:pStyle w:val="DMETW36650BIPEIF2"/>
              <w:jc w:val="right"/>
              <w:rPr>
                <w:rFonts w:ascii="Verdana" w:eastAsia="Verdana" w:hAnsi="Verdana" w:cs="Verdana"/>
                <w:noProof/>
                <w:color w:val="FFFFFF"/>
              </w:rPr>
            </w:pPr>
            <w:r>
              <w:rPr>
                <w:rFonts w:ascii="Verdana" w:hAnsi="Verdana"/>
                <w:noProof/>
                <w:color w:val="FFFFFF"/>
              </w:rPr>
              <w:t>31.12.2024</w:t>
            </w:r>
          </w:p>
        </w:tc>
      </w:tr>
      <w:tr>
        <w:trPr>
          <w:trHeight w:val="255"/>
        </w:trPr>
        <w:tc>
          <w:tcPr>
            <w:tcW w:w="4185" w:type="dxa"/>
            <w:tcBorders>
              <w:top w:val="nil"/>
              <w:left w:val="nil"/>
              <w:bottom w:val="nil"/>
              <w:right w:val="nil"/>
              <w:tl2br w:val="nil"/>
              <w:tr2bl w:val="nil"/>
            </w:tcBorders>
            <w:tcMar>
              <w:left w:w="60" w:type="dxa"/>
              <w:right w:w="60" w:type="dxa"/>
            </w:tcMar>
            <w:vAlign w:val="center"/>
          </w:tcPr>
          <w:p>
            <w:pPr>
              <w:pStyle w:val="DMETW36650BIPEIF2"/>
              <w:rPr>
                <w:rFonts w:ascii="Verdana" w:eastAsia="Verdana" w:hAnsi="Verdana" w:cs="Verdana"/>
                <w:i/>
                <w:noProof/>
                <w:color w:val="000000"/>
                <w:sz w:val="18"/>
              </w:rPr>
            </w:pPr>
            <w:r>
              <w:rPr>
                <w:rFonts w:ascii="Verdana" w:hAnsi="Verdana"/>
                <w:i/>
                <w:noProof/>
                <w:color w:val="000000"/>
                <w:sz w:val="18"/>
              </w:rPr>
              <w:t>Actif net de l’entité associée</w:t>
            </w:r>
          </w:p>
        </w:tc>
        <w:tc>
          <w:tcPr>
            <w:tcW w:w="2786" w:type="dxa"/>
            <w:tcBorders>
              <w:top w:val="nil"/>
              <w:left w:val="nil"/>
              <w:bottom w:val="nil"/>
              <w:right w:val="nil"/>
              <w:tl2br w:val="nil"/>
              <w:tr2bl w:val="nil"/>
            </w:tcBorders>
            <w:tcMar>
              <w:left w:w="60" w:type="dxa"/>
              <w:right w:w="60" w:type="dxa"/>
            </w:tcMar>
            <w:vAlign w:val="bottom"/>
          </w:tcPr>
          <w:p>
            <w:pPr>
              <w:pStyle w:val="DMETW36650BIPEIF2"/>
              <w:jc w:val="right"/>
              <w:rPr>
                <w:rFonts w:ascii="Verdana" w:eastAsia="Verdana" w:hAnsi="Verdana" w:cs="Verdana"/>
                <w:i/>
                <w:noProof/>
                <w:color w:val="000000"/>
                <w:sz w:val="18"/>
              </w:rPr>
            </w:pPr>
            <w:r>
              <w:rPr>
                <w:rFonts w:ascii="Verdana" w:hAnsi="Verdana"/>
                <w:i/>
                <w:noProof/>
                <w:color w:val="000000"/>
                <w:sz w:val="18"/>
              </w:rPr>
              <w:t>5 127</w:t>
            </w:r>
          </w:p>
        </w:tc>
        <w:tc>
          <w:tcPr>
            <w:tcW w:w="2787" w:type="dxa"/>
            <w:tcBorders>
              <w:top w:val="nil"/>
              <w:left w:val="nil"/>
              <w:bottom w:val="nil"/>
              <w:right w:val="nil"/>
              <w:tl2br w:val="nil"/>
              <w:tr2bl w:val="nil"/>
            </w:tcBorders>
            <w:tcMar>
              <w:left w:w="60" w:type="dxa"/>
              <w:right w:w="60" w:type="dxa"/>
            </w:tcMar>
            <w:vAlign w:val="bottom"/>
          </w:tcPr>
          <w:p>
            <w:pPr>
              <w:pStyle w:val="DMETW36650BIPEIF2"/>
              <w:jc w:val="right"/>
              <w:rPr>
                <w:rFonts w:ascii="Verdana" w:eastAsia="Verdana" w:hAnsi="Verdana" w:cs="Verdana"/>
                <w:i/>
                <w:noProof/>
                <w:color w:val="000000"/>
                <w:sz w:val="18"/>
              </w:rPr>
            </w:pPr>
            <w:r>
              <w:rPr>
                <w:rFonts w:ascii="Verdana" w:hAnsi="Verdana"/>
                <w:i/>
                <w:noProof/>
                <w:color w:val="000000"/>
                <w:sz w:val="18"/>
              </w:rPr>
              <w:t>4 866</w:t>
            </w:r>
          </w:p>
        </w:tc>
      </w:tr>
      <w:tr>
        <w:trPr>
          <w:trHeight w:val="255"/>
        </w:trPr>
        <w:tc>
          <w:tcPr>
            <w:tcW w:w="4185" w:type="dxa"/>
            <w:tcBorders>
              <w:top w:val="nil"/>
              <w:left w:val="nil"/>
              <w:bottom w:val="single" w:sz="4" w:space="0" w:color="016794"/>
              <w:right w:val="nil"/>
              <w:tl2br w:val="nil"/>
              <w:tr2bl w:val="nil"/>
            </w:tcBorders>
            <w:tcMar>
              <w:left w:w="60" w:type="dxa"/>
              <w:right w:w="60" w:type="dxa"/>
            </w:tcMar>
            <w:vAlign w:val="center"/>
          </w:tcPr>
          <w:p>
            <w:pPr>
              <w:pStyle w:val="DMETW36650BIPEIF2"/>
              <w:rPr>
                <w:rFonts w:ascii="Verdana" w:eastAsia="Verdana" w:hAnsi="Verdana" w:cs="Verdana"/>
                <w:b/>
                <w:noProof/>
                <w:color w:val="000000"/>
                <w:sz w:val="18"/>
              </w:rPr>
            </w:pPr>
            <w:r>
              <w:rPr>
                <w:rFonts w:ascii="Verdana" w:hAnsi="Verdana"/>
                <w:b/>
                <w:noProof/>
                <w:color w:val="000000"/>
                <w:sz w:val="18"/>
              </w:rPr>
              <w:t>Participations de la CE dans le FEI</w:t>
            </w:r>
          </w:p>
        </w:tc>
        <w:tc>
          <w:tcPr>
            <w:tcW w:w="2786" w:type="dxa"/>
            <w:tcBorders>
              <w:top w:val="nil"/>
              <w:left w:val="nil"/>
              <w:bottom w:val="single" w:sz="4" w:space="0" w:color="016794"/>
              <w:right w:val="nil"/>
              <w:tl2br w:val="nil"/>
              <w:tr2bl w:val="nil"/>
            </w:tcBorders>
            <w:tcMar>
              <w:left w:w="60" w:type="dxa"/>
              <w:right w:w="60" w:type="dxa"/>
            </w:tcMar>
            <w:vAlign w:val="center"/>
          </w:tcPr>
          <w:p>
            <w:pPr>
              <w:pStyle w:val="DMETW36650BIPEIF2"/>
              <w:jc w:val="right"/>
              <w:rPr>
                <w:rFonts w:ascii="Verdana" w:eastAsia="Verdana" w:hAnsi="Verdana" w:cs="Verdana"/>
                <w:b/>
                <w:noProof/>
                <w:color w:val="000000"/>
                <w:sz w:val="18"/>
              </w:rPr>
            </w:pPr>
            <w:r>
              <w:rPr>
                <w:rFonts w:ascii="Verdana" w:hAnsi="Verdana"/>
                <w:b/>
                <w:noProof/>
                <w:color w:val="000000"/>
                <w:sz w:val="18"/>
              </w:rPr>
              <w:t>29,7 %</w:t>
            </w:r>
          </w:p>
        </w:tc>
        <w:tc>
          <w:tcPr>
            <w:tcW w:w="2787" w:type="dxa"/>
            <w:tcBorders>
              <w:top w:val="nil"/>
              <w:left w:val="nil"/>
              <w:bottom w:val="single" w:sz="4" w:space="0" w:color="016794"/>
              <w:right w:val="nil"/>
              <w:tl2br w:val="nil"/>
              <w:tr2bl w:val="nil"/>
            </w:tcBorders>
            <w:tcMar>
              <w:left w:w="60" w:type="dxa"/>
              <w:right w:w="60" w:type="dxa"/>
            </w:tcMar>
            <w:vAlign w:val="center"/>
          </w:tcPr>
          <w:p>
            <w:pPr>
              <w:pStyle w:val="DMETW36650BIPEIF2"/>
              <w:jc w:val="right"/>
              <w:rPr>
                <w:rFonts w:ascii="Verdana" w:eastAsia="Verdana" w:hAnsi="Verdana" w:cs="Verdana"/>
                <w:b/>
                <w:noProof/>
                <w:color w:val="000000"/>
                <w:sz w:val="18"/>
              </w:rPr>
            </w:pPr>
            <w:r>
              <w:rPr>
                <w:rFonts w:ascii="Verdana" w:hAnsi="Verdana"/>
                <w:b/>
                <w:noProof/>
                <w:color w:val="000000"/>
                <w:sz w:val="18"/>
              </w:rPr>
              <w:t>29,7 %</w:t>
            </w:r>
          </w:p>
        </w:tc>
      </w:tr>
      <w:tr>
        <w:trPr>
          <w:trHeight w:val="255"/>
        </w:trPr>
        <w:tc>
          <w:tcPr>
            <w:tcW w:w="418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50BIPEIF2"/>
              <w:rPr>
                <w:rFonts w:ascii="Verdana" w:eastAsia="Verdana" w:hAnsi="Verdana" w:cs="Verdana"/>
                <w:i/>
                <w:noProof/>
                <w:color w:val="000000"/>
                <w:sz w:val="18"/>
              </w:rPr>
            </w:pPr>
            <w:r>
              <w:rPr>
                <w:rFonts w:ascii="Verdana" w:hAnsi="Verdana"/>
                <w:i/>
                <w:noProof/>
                <w:color w:val="000000"/>
                <w:sz w:val="18"/>
              </w:rPr>
              <w:t>Valeur comptable</w:t>
            </w:r>
          </w:p>
        </w:tc>
        <w:tc>
          <w:tcPr>
            <w:tcW w:w="2786"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650BIPEIF2"/>
              <w:jc w:val="right"/>
              <w:rPr>
                <w:rFonts w:ascii="Verdana" w:eastAsia="Verdana" w:hAnsi="Verdana" w:cs="Verdana"/>
                <w:i/>
                <w:noProof/>
                <w:color w:val="000000"/>
                <w:sz w:val="18"/>
              </w:rPr>
            </w:pPr>
            <w:r>
              <w:rPr>
                <w:rFonts w:ascii="Verdana" w:hAnsi="Verdana"/>
                <w:i/>
                <w:noProof/>
                <w:color w:val="000000"/>
                <w:sz w:val="18"/>
              </w:rPr>
              <w:t>1 524</w:t>
            </w:r>
          </w:p>
        </w:tc>
        <w:tc>
          <w:tcPr>
            <w:tcW w:w="2787"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650BIPEIF2"/>
              <w:jc w:val="right"/>
              <w:rPr>
                <w:rFonts w:ascii="Verdana" w:eastAsia="Verdana" w:hAnsi="Verdana" w:cs="Verdana"/>
                <w:i/>
                <w:noProof/>
                <w:color w:val="000000"/>
                <w:sz w:val="18"/>
              </w:rPr>
            </w:pPr>
            <w:r>
              <w:rPr>
                <w:rFonts w:ascii="Verdana" w:hAnsi="Verdana"/>
                <w:i/>
                <w:noProof/>
                <w:color w:val="000000"/>
                <w:sz w:val="18"/>
              </w:rPr>
              <w:t>1 446</w:t>
            </w:r>
          </w:p>
        </w:tc>
      </w:tr>
    </w:tbl>
    <w:p>
      <w:pPr>
        <w:pStyle w:val="DGTextstand-alone"/>
      </w:pPr>
      <w:r>
        <w:t>L’UE, représentée par la Commission, a libéré 20 % des actions qu’elle a souscrites dans le capital du FEI au 31 décembre 2025, le montant non appelé s’établissant comme suit: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85"/>
        <w:gridCol w:w="2786"/>
        <w:gridCol w:w="2787"/>
      </w:tblGrid>
      <w:tr>
        <w:trPr>
          <w:trHeight w:val="255"/>
        </w:trPr>
        <w:tc>
          <w:tcPr>
            <w:tcW w:w="4185" w:type="dxa"/>
            <w:tcBorders>
              <w:top w:val="nil"/>
              <w:left w:val="nil"/>
              <w:bottom w:val="nil"/>
              <w:right w:val="nil"/>
              <w:tl2br w:val="nil"/>
              <w:tr2bl w:val="nil"/>
            </w:tcBorders>
            <w:tcMar>
              <w:left w:w="60" w:type="dxa"/>
              <w:right w:w="60" w:type="dxa"/>
            </w:tcMar>
            <w:vAlign w:val="bottom"/>
          </w:tcPr>
          <w:p>
            <w:pPr>
              <w:pStyle w:val="DMETW36650BIPEIF1"/>
              <w:rPr>
                <w:rFonts w:ascii="Arial" w:eastAsia="Arial" w:hAnsi="Arial" w:cs="Arial"/>
                <w:noProof/>
                <w:color w:val="000000"/>
                <w:sz w:val="16"/>
              </w:rPr>
            </w:pPr>
            <w:bookmarkStart w:id="95" w:name="DOC_TBL00012_1_1"/>
            <w:bookmarkEnd w:id="95"/>
          </w:p>
        </w:tc>
        <w:tc>
          <w:tcPr>
            <w:tcW w:w="2786" w:type="dxa"/>
            <w:tcBorders>
              <w:top w:val="nil"/>
              <w:left w:val="nil"/>
              <w:bottom w:val="nil"/>
              <w:right w:val="nil"/>
              <w:tl2br w:val="nil"/>
              <w:tr2bl w:val="nil"/>
            </w:tcBorders>
            <w:tcMar>
              <w:left w:w="60" w:type="dxa"/>
              <w:right w:w="60" w:type="dxa"/>
            </w:tcMar>
            <w:vAlign w:val="bottom"/>
          </w:tcPr>
          <w:p>
            <w:pPr>
              <w:pStyle w:val="DMETW36650BIPEIF1"/>
              <w:jc w:val="right"/>
              <w:rPr>
                <w:rFonts w:ascii="Verdana" w:eastAsia="Verdana" w:hAnsi="Verdana" w:cs="Verdana"/>
                <w:i/>
                <w:noProof/>
                <w:color w:val="000000"/>
                <w:sz w:val="16"/>
              </w:rPr>
            </w:pPr>
          </w:p>
        </w:tc>
        <w:tc>
          <w:tcPr>
            <w:tcW w:w="2787" w:type="dxa"/>
            <w:tcBorders>
              <w:top w:val="nil"/>
              <w:left w:val="nil"/>
              <w:bottom w:val="nil"/>
              <w:right w:val="nil"/>
              <w:tl2br w:val="nil"/>
              <w:tr2bl w:val="nil"/>
            </w:tcBorders>
            <w:tcMar>
              <w:left w:w="60" w:type="dxa"/>
              <w:right w:w="60" w:type="dxa"/>
            </w:tcMar>
            <w:vAlign w:val="bottom"/>
          </w:tcPr>
          <w:p>
            <w:pPr>
              <w:pStyle w:val="DMETW36650BIPEIF1"/>
              <w:jc w:val="right"/>
              <w:rPr>
                <w:rFonts w:ascii="Arial" w:eastAsia="Arial" w:hAnsi="Arial" w:cs="Arial"/>
                <w:i/>
                <w:noProof/>
                <w:color w:val="000000"/>
                <w:sz w:val="16"/>
              </w:rPr>
            </w:pPr>
            <w:r>
              <w:rPr>
                <w:rFonts w:ascii="Arial" w:hAnsi="Arial"/>
                <w:i/>
                <w:noProof/>
                <w:color w:val="000000"/>
                <w:sz w:val="16"/>
              </w:rPr>
              <w:t>en Mio EUR</w:t>
            </w:r>
          </w:p>
        </w:tc>
      </w:tr>
      <w:tr>
        <w:trPr>
          <w:trHeight w:val="255"/>
        </w:trPr>
        <w:tc>
          <w:tcPr>
            <w:tcW w:w="4185" w:type="dxa"/>
            <w:tcBorders>
              <w:top w:val="nil"/>
              <w:left w:val="nil"/>
              <w:bottom w:val="nil"/>
              <w:right w:val="nil"/>
              <w:tl2br w:val="nil"/>
              <w:tr2bl w:val="nil"/>
            </w:tcBorders>
            <w:shd w:val="solid" w:color="016794" w:fill="FFFFFF"/>
            <w:tcMar>
              <w:left w:w="60" w:type="dxa"/>
              <w:right w:w="60" w:type="dxa"/>
            </w:tcMar>
            <w:vAlign w:val="bottom"/>
          </w:tcPr>
          <w:p>
            <w:pPr>
              <w:pStyle w:val="DMETW36650BIPEIF1"/>
              <w:rPr>
                <w:rFonts w:ascii="Arial" w:eastAsia="Arial" w:hAnsi="Arial" w:cs="Arial"/>
                <w:noProof/>
                <w:color w:val="000000"/>
              </w:rPr>
            </w:pPr>
          </w:p>
        </w:tc>
        <w:tc>
          <w:tcPr>
            <w:tcW w:w="2786" w:type="dxa"/>
            <w:tcBorders>
              <w:top w:val="nil"/>
              <w:left w:val="nil"/>
              <w:bottom w:val="nil"/>
              <w:right w:val="nil"/>
              <w:tl2br w:val="nil"/>
              <w:tr2bl w:val="nil"/>
            </w:tcBorders>
            <w:shd w:val="solid" w:color="016794" w:fill="FFFFFF"/>
            <w:tcMar>
              <w:left w:w="60" w:type="dxa"/>
              <w:right w:w="60" w:type="dxa"/>
            </w:tcMar>
            <w:vAlign w:val="center"/>
          </w:tcPr>
          <w:p>
            <w:pPr>
              <w:pStyle w:val="DMETW36650BIPEIF1"/>
              <w:jc w:val="right"/>
              <w:rPr>
                <w:rFonts w:ascii="Verdana" w:eastAsia="Verdana" w:hAnsi="Verdana" w:cs="Verdana"/>
                <w:noProof/>
                <w:color w:val="FFFFFF"/>
              </w:rPr>
            </w:pPr>
            <w:r>
              <w:rPr>
                <w:rFonts w:ascii="Verdana" w:hAnsi="Verdana"/>
                <w:noProof/>
                <w:color w:val="FFFFFF"/>
              </w:rPr>
              <w:t>Total du capital du FEI</w:t>
            </w:r>
          </w:p>
        </w:tc>
        <w:tc>
          <w:tcPr>
            <w:tcW w:w="2787" w:type="dxa"/>
            <w:tcBorders>
              <w:top w:val="nil"/>
              <w:left w:val="nil"/>
              <w:bottom w:val="nil"/>
              <w:right w:val="nil"/>
              <w:tl2br w:val="nil"/>
              <w:tr2bl w:val="nil"/>
            </w:tcBorders>
            <w:shd w:val="solid" w:color="016794" w:fill="FFFFFF"/>
            <w:tcMar>
              <w:left w:w="60" w:type="dxa"/>
              <w:right w:w="60" w:type="dxa"/>
            </w:tcMar>
            <w:vAlign w:val="center"/>
          </w:tcPr>
          <w:p>
            <w:pPr>
              <w:pStyle w:val="DMETW36650BIPEIF1"/>
              <w:jc w:val="right"/>
              <w:rPr>
                <w:rFonts w:ascii="Verdana" w:eastAsia="Verdana" w:hAnsi="Verdana" w:cs="Verdana"/>
                <w:noProof/>
                <w:color w:val="FFFFFF"/>
              </w:rPr>
            </w:pPr>
            <w:r>
              <w:rPr>
                <w:rFonts w:ascii="Verdana" w:hAnsi="Verdana"/>
                <w:noProof/>
                <w:color w:val="FFFFFF"/>
              </w:rPr>
              <w:t>Participation de l’UE</w:t>
            </w:r>
          </w:p>
        </w:tc>
      </w:tr>
      <w:tr>
        <w:trPr>
          <w:trHeight w:val="255"/>
        </w:trPr>
        <w:tc>
          <w:tcPr>
            <w:tcW w:w="4185" w:type="dxa"/>
            <w:tcBorders>
              <w:top w:val="nil"/>
              <w:left w:val="nil"/>
              <w:bottom w:val="nil"/>
              <w:right w:val="nil"/>
              <w:tl2br w:val="nil"/>
              <w:tr2bl w:val="nil"/>
            </w:tcBorders>
            <w:tcMar>
              <w:left w:w="60" w:type="dxa"/>
              <w:right w:w="60" w:type="dxa"/>
            </w:tcMar>
            <w:vAlign w:val="center"/>
          </w:tcPr>
          <w:p>
            <w:pPr>
              <w:pStyle w:val="DMETW36650BIPEIF1"/>
              <w:rPr>
                <w:rFonts w:ascii="Verdana" w:eastAsia="Verdana" w:hAnsi="Verdana" w:cs="Verdana"/>
                <w:i/>
                <w:noProof/>
                <w:color w:val="000000"/>
                <w:sz w:val="18"/>
              </w:rPr>
            </w:pPr>
            <w:r>
              <w:rPr>
                <w:rFonts w:ascii="Verdana" w:hAnsi="Verdana"/>
                <w:i/>
                <w:noProof/>
                <w:color w:val="000000"/>
                <w:sz w:val="18"/>
              </w:rPr>
              <w:t>Total du capital par actions</w:t>
            </w:r>
          </w:p>
        </w:tc>
        <w:tc>
          <w:tcPr>
            <w:tcW w:w="2786" w:type="dxa"/>
            <w:tcBorders>
              <w:top w:val="nil"/>
              <w:left w:val="nil"/>
              <w:bottom w:val="nil"/>
              <w:right w:val="nil"/>
              <w:tl2br w:val="nil"/>
              <w:tr2bl w:val="nil"/>
            </w:tcBorders>
            <w:tcMar>
              <w:left w:w="60" w:type="dxa"/>
              <w:right w:w="60" w:type="dxa"/>
            </w:tcMar>
            <w:vAlign w:val="bottom"/>
          </w:tcPr>
          <w:p>
            <w:pPr>
              <w:pStyle w:val="DMETW36650BIPEIF1"/>
              <w:jc w:val="right"/>
              <w:rPr>
                <w:rFonts w:ascii="Verdana" w:eastAsia="Verdana" w:hAnsi="Verdana" w:cs="Verdana"/>
                <w:i/>
                <w:noProof/>
                <w:color w:val="000000"/>
                <w:sz w:val="18"/>
              </w:rPr>
            </w:pPr>
            <w:r>
              <w:rPr>
                <w:rFonts w:ascii="Verdana" w:hAnsi="Verdana"/>
                <w:i/>
                <w:noProof/>
                <w:color w:val="000000"/>
                <w:sz w:val="18"/>
              </w:rPr>
              <w:t>7 370</w:t>
            </w:r>
          </w:p>
        </w:tc>
        <w:tc>
          <w:tcPr>
            <w:tcW w:w="2787" w:type="dxa"/>
            <w:tcBorders>
              <w:top w:val="nil"/>
              <w:left w:val="nil"/>
              <w:bottom w:val="nil"/>
              <w:right w:val="nil"/>
              <w:tl2br w:val="nil"/>
              <w:tr2bl w:val="nil"/>
            </w:tcBorders>
            <w:tcMar>
              <w:left w:w="60" w:type="dxa"/>
              <w:right w:w="60" w:type="dxa"/>
            </w:tcMar>
            <w:vAlign w:val="bottom"/>
          </w:tcPr>
          <w:p>
            <w:pPr>
              <w:pStyle w:val="DMETW36650BIPEIF1"/>
              <w:jc w:val="right"/>
              <w:rPr>
                <w:rFonts w:ascii="Verdana" w:eastAsia="Verdana" w:hAnsi="Verdana" w:cs="Verdana"/>
                <w:i/>
                <w:noProof/>
                <w:color w:val="000000"/>
                <w:sz w:val="18"/>
              </w:rPr>
            </w:pPr>
            <w:r>
              <w:rPr>
                <w:rFonts w:ascii="Verdana" w:hAnsi="Verdana"/>
                <w:i/>
                <w:noProof/>
                <w:color w:val="000000"/>
                <w:sz w:val="18"/>
              </w:rPr>
              <w:t>2 190</w:t>
            </w:r>
          </w:p>
        </w:tc>
      </w:tr>
      <w:tr>
        <w:trPr>
          <w:trHeight w:val="255"/>
        </w:trPr>
        <w:tc>
          <w:tcPr>
            <w:tcW w:w="4185" w:type="dxa"/>
            <w:tcBorders>
              <w:top w:val="nil"/>
              <w:left w:val="nil"/>
              <w:bottom w:val="single" w:sz="4" w:space="0" w:color="016794"/>
              <w:right w:val="nil"/>
              <w:tl2br w:val="nil"/>
              <w:tr2bl w:val="nil"/>
            </w:tcBorders>
            <w:tcMar>
              <w:left w:w="60" w:type="dxa"/>
              <w:right w:w="60" w:type="dxa"/>
            </w:tcMar>
            <w:vAlign w:val="center"/>
          </w:tcPr>
          <w:p>
            <w:pPr>
              <w:pStyle w:val="DMETW36650BIPEIF1"/>
              <w:rPr>
                <w:rFonts w:ascii="Verdana" w:eastAsia="Verdana" w:hAnsi="Verdana" w:cs="Verdana"/>
                <w:i/>
                <w:noProof/>
                <w:color w:val="000000"/>
                <w:sz w:val="18"/>
              </w:rPr>
            </w:pPr>
            <w:r>
              <w:rPr>
                <w:rFonts w:ascii="Verdana" w:hAnsi="Verdana"/>
                <w:i/>
                <w:noProof/>
                <w:color w:val="000000"/>
                <w:sz w:val="18"/>
              </w:rPr>
              <w:t>Partie libérée</w:t>
            </w:r>
          </w:p>
        </w:tc>
        <w:tc>
          <w:tcPr>
            <w:tcW w:w="2786" w:type="dxa"/>
            <w:tcBorders>
              <w:top w:val="nil"/>
              <w:left w:val="nil"/>
              <w:bottom w:val="single" w:sz="4" w:space="0" w:color="016794"/>
              <w:right w:val="nil"/>
              <w:tl2br w:val="nil"/>
              <w:tr2bl w:val="nil"/>
            </w:tcBorders>
            <w:tcMar>
              <w:left w:w="60" w:type="dxa"/>
              <w:right w:w="60" w:type="dxa"/>
            </w:tcMar>
            <w:vAlign w:val="bottom"/>
          </w:tcPr>
          <w:p>
            <w:pPr>
              <w:pStyle w:val="DMETW36650BIPEIF1"/>
              <w:jc w:val="right"/>
              <w:rPr>
                <w:rFonts w:ascii="Verdana" w:eastAsia="Verdana" w:hAnsi="Verdana" w:cs="Verdana"/>
                <w:i/>
                <w:noProof/>
                <w:color w:val="000000"/>
                <w:sz w:val="18"/>
              </w:rPr>
            </w:pPr>
            <w:r>
              <w:rPr>
                <w:rFonts w:ascii="Verdana" w:hAnsi="Verdana"/>
                <w:i/>
                <w:noProof/>
                <w:color w:val="000000"/>
                <w:sz w:val="18"/>
              </w:rPr>
              <w:t>(1 474)</w:t>
            </w:r>
          </w:p>
        </w:tc>
        <w:tc>
          <w:tcPr>
            <w:tcW w:w="2787" w:type="dxa"/>
            <w:tcBorders>
              <w:top w:val="nil"/>
              <w:left w:val="nil"/>
              <w:bottom w:val="single" w:sz="4" w:space="0" w:color="016794"/>
              <w:right w:val="nil"/>
              <w:tl2br w:val="nil"/>
              <w:tr2bl w:val="nil"/>
            </w:tcBorders>
            <w:tcMar>
              <w:left w:w="60" w:type="dxa"/>
              <w:right w:w="60" w:type="dxa"/>
            </w:tcMar>
            <w:vAlign w:val="bottom"/>
          </w:tcPr>
          <w:p>
            <w:pPr>
              <w:pStyle w:val="DMETW36650BIPEIF1"/>
              <w:jc w:val="right"/>
              <w:rPr>
                <w:rFonts w:ascii="Verdana" w:eastAsia="Verdana" w:hAnsi="Verdana" w:cs="Verdana"/>
                <w:i/>
                <w:noProof/>
                <w:color w:val="000000"/>
                <w:sz w:val="18"/>
              </w:rPr>
            </w:pPr>
            <w:r>
              <w:rPr>
                <w:rFonts w:ascii="Verdana" w:hAnsi="Verdana"/>
                <w:i/>
                <w:noProof/>
                <w:color w:val="000000"/>
                <w:sz w:val="18"/>
              </w:rPr>
              <w:t xml:space="preserve"> (438)</w:t>
            </w:r>
          </w:p>
        </w:tc>
      </w:tr>
      <w:tr>
        <w:trPr>
          <w:trHeight w:val="255"/>
        </w:trPr>
        <w:tc>
          <w:tcPr>
            <w:tcW w:w="418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50BIPEIF1"/>
              <w:rPr>
                <w:rFonts w:ascii="Verdana" w:eastAsia="Verdana" w:hAnsi="Verdana" w:cs="Verdana"/>
                <w:b/>
                <w:noProof/>
                <w:color w:val="000000"/>
                <w:sz w:val="18"/>
              </w:rPr>
            </w:pPr>
            <w:r>
              <w:rPr>
                <w:rFonts w:ascii="Verdana" w:hAnsi="Verdana"/>
                <w:b/>
                <w:noProof/>
                <w:color w:val="000000"/>
                <w:sz w:val="18"/>
              </w:rPr>
              <w:t>Partie non appelée</w:t>
            </w:r>
          </w:p>
        </w:tc>
        <w:tc>
          <w:tcPr>
            <w:tcW w:w="2786"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650BIPEIF1"/>
              <w:jc w:val="right"/>
              <w:rPr>
                <w:rFonts w:ascii="Verdana" w:eastAsia="Verdana" w:hAnsi="Verdana" w:cs="Verdana"/>
                <w:b/>
                <w:noProof/>
                <w:color w:val="000000"/>
                <w:sz w:val="18"/>
              </w:rPr>
            </w:pPr>
            <w:r>
              <w:rPr>
                <w:rFonts w:ascii="Verdana" w:hAnsi="Verdana"/>
                <w:b/>
                <w:noProof/>
                <w:color w:val="000000"/>
                <w:sz w:val="18"/>
              </w:rPr>
              <w:t>5 896</w:t>
            </w:r>
          </w:p>
        </w:tc>
        <w:tc>
          <w:tcPr>
            <w:tcW w:w="2787"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650BIPEIF1"/>
              <w:jc w:val="right"/>
              <w:rPr>
                <w:rFonts w:ascii="Verdana" w:eastAsia="Verdana" w:hAnsi="Verdana" w:cs="Verdana"/>
                <w:b/>
                <w:noProof/>
                <w:color w:val="000000"/>
                <w:sz w:val="18"/>
              </w:rPr>
            </w:pPr>
            <w:r>
              <w:rPr>
                <w:rFonts w:ascii="Verdana" w:hAnsi="Verdana"/>
                <w:b/>
                <w:noProof/>
                <w:color w:val="000000"/>
                <w:sz w:val="18"/>
              </w:rPr>
              <w:t>1 752</w:t>
            </w:r>
          </w:p>
        </w:tc>
      </w:tr>
    </w:tbl>
    <w:p>
      <w:pPr>
        <w:pStyle w:val="DGTextstand-alone"/>
        <w:spacing w:before="0" w:after="0"/>
        <w:sectPr>
          <w:headerReference w:type="default" r:id="rId79"/>
          <w:footerReference w:type="default" r:id="rId80"/>
          <w:pgSz w:w="11906" w:h="16838"/>
          <w:pgMar w:top="1134" w:right="1134" w:bottom="1134" w:left="1134" w:header="709" w:footer="709" w:gutter="0"/>
          <w:cols w:space="708"/>
          <w:docGrid w:linePitch="360"/>
        </w:sectPr>
      </w:pPr>
      <w:r>
        <w:t xml:space="preserve"> </w:t>
      </w:r>
      <w:bookmarkEnd w:id="89"/>
    </w:p>
    <w:p>
      <w:pPr>
        <w:pStyle w:val="HEADER2NOTES"/>
        <w:numPr>
          <w:ilvl w:val="1"/>
          <w:numId w:val="15"/>
        </w:numPr>
        <w:rPr>
          <w:noProof/>
        </w:rPr>
      </w:pPr>
      <w:bookmarkStart w:id="96" w:name="_DMBM_36701"/>
      <w:r>
        <w:rPr>
          <w:noProof/>
        </w:rPr>
        <w:lastRenderedPageBreak/>
        <w:t>ACTIFS FINANCIERS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30"/>
        <w:gridCol w:w="918"/>
        <w:gridCol w:w="1555"/>
        <w:gridCol w:w="1555"/>
      </w:tblGrid>
      <w:tr>
        <w:trPr>
          <w:trHeight w:val="255"/>
        </w:trPr>
        <w:tc>
          <w:tcPr>
            <w:tcW w:w="5730" w:type="dxa"/>
            <w:tcBorders>
              <w:top w:val="nil"/>
              <w:left w:val="nil"/>
              <w:bottom w:val="nil"/>
              <w:right w:val="nil"/>
              <w:tl2br w:val="nil"/>
              <w:tr2bl w:val="nil"/>
            </w:tcBorders>
            <w:tcMar>
              <w:left w:w="60" w:type="dxa"/>
              <w:right w:w="60" w:type="dxa"/>
            </w:tcMar>
            <w:vAlign w:val="center"/>
          </w:tcPr>
          <w:p>
            <w:pPr>
              <w:pStyle w:val="DMETW36764BIPFINA"/>
              <w:rPr>
                <w:rFonts w:ascii="Verdana" w:eastAsia="Verdana" w:hAnsi="Verdana" w:cs="Verdana"/>
                <w:i/>
                <w:noProof/>
                <w:color w:val="FFFFFF"/>
                <w:sz w:val="16"/>
              </w:rPr>
            </w:pPr>
            <w:bookmarkStart w:id="97" w:name="DOC_TBL00019_1_1"/>
            <w:bookmarkEnd w:id="97"/>
          </w:p>
        </w:tc>
        <w:tc>
          <w:tcPr>
            <w:tcW w:w="918" w:type="dxa"/>
            <w:tcBorders>
              <w:top w:val="nil"/>
              <w:left w:val="nil"/>
              <w:bottom w:val="nil"/>
              <w:right w:val="nil"/>
              <w:tl2br w:val="nil"/>
              <w:tr2bl w:val="nil"/>
            </w:tcBorders>
            <w:tcMar>
              <w:left w:w="60" w:type="dxa"/>
              <w:right w:w="60" w:type="dxa"/>
            </w:tcMar>
            <w:vAlign w:val="bottom"/>
          </w:tcPr>
          <w:p>
            <w:pPr>
              <w:pStyle w:val="DMETW36764BIPFINA"/>
              <w:rPr>
                <w:rFonts w:ascii="Verdana" w:eastAsia="Verdana" w:hAnsi="Verdana" w:cs="Verdana"/>
                <w:noProof/>
                <w:color w:val="000000"/>
              </w:rPr>
            </w:pPr>
          </w:p>
        </w:tc>
        <w:tc>
          <w:tcPr>
            <w:tcW w:w="1555" w:type="dxa"/>
            <w:tcBorders>
              <w:top w:val="nil"/>
              <w:left w:val="nil"/>
              <w:bottom w:val="nil"/>
              <w:right w:val="nil"/>
              <w:tl2br w:val="nil"/>
              <w:tr2bl w:val="nil"/>
            </w:tcBorders>
            <w:tcMar>
              <w:left w:w="60" w:type="dxa"/>
              <w:right w:w="60" w:type="dxa"/>
            </w:tcMar>
            <w:vAlign w:val="bottom"/>
          </w:tcPr>
          <w:p>
            <w:pPr>
              <w:pStyle w:val="DMETW36764BIPFINA"/>
              <w:rPr>
                <w:rFonts w:ascii="Verdana" w:eastAsia="Verdana" w:hAnsi="Verdana" w:cs="Verdana"/>
                <w:noProof/>
                <w:color w:val="000000"/>
              </w:rPr>
            </w:pPr>
          </w:p>
        </w:tc>
        <w:tc>
          <w:tcPr>
            <w:tcW w:w="1555" w:type="dxa"/>
            <w:tcBorders>
              <w:top w:val="nil"/>
              <w:left w:val="nil"/>
              <w:bottom w:val="nil"/>
              <w:right w:val="nil"/>
              <w:tl2br w:val="nil"/>
              <w:tr2bl w:val="nil"/>
            </w:tcBorders>
            <w:tcMar>
              <w:left w:w="60" w:type="dxa"/>
              <w:right w:w="60" w:type="dxa"/>
            </w:tcMar>
            <w:vAlign w:val="bottom"/>
          </w:tcPr>
          <w:p>
            <w:pPr>
              <w:pStyle w:val="DMETW36764BIPFINA"/>
              <w:jc w:val="right"/>
              <w:rPr>
                <w:rFonts w:ascii="Verdana" w:eastAsia="Verdana" w:hAnsi="Verdana" w:cs="Verdana"/>
                <w:i/>
                <w:noProof/>
                <w:color w:val="000000"/>
                <w:sz w:val="16"/>
              </w:rPr>
            </w:pPr>
            <w:r>
              <w:rPr>
                <w:rFonts w:ascii="Verdana" w:hAnsi="Verdana"/>
                <w:i/>
                <w:noProof/>
                <w:color w:val="000000"/>
                <w:sz w:val="16"/>
              </w:rPr>
              <w:t>en Mio EUR</w:t>
            </w:r>
          </w:p>
        </w:tc>
      </w:tr>
      <w:tr>
        <w:trPr>
          <w:trHeight w:val="255"/>
        </w:trPr>
        <w:tc>
          <w:tcPr>
            <w:tcW w:w="5730" w:type="dxa"/>
            <w:tcBorders>
              <w:top w:val="nil"/>
              <w:left w:val="nil"/>
              <w:bottom w:val="nil"/>
              <w:right w:val="nil"/>
              <w:tl2br w:val="nil"/>
              <w:tr2bl w:val="nil"/>
            </w:tcBorders>
            <w:shd w:val="solid" w:color="016794" w:fill="FFFFFF"/>
            <w:tcMar>
              <w:left w:w="60" w:type="dxa"/>
              <w:right w:w="60" w:type="dxa"/>
            </w:tcMar>
            <w:vAlign w:val="center"/>
          </w:tcPr>
          <w:p>
            <w:pPr>
              <w:pStyle w:val="DMETW36764BIPFINA"/>
              <w:rPr>
                <w:rFonts w:ascii="Verdana" w:eastAsia="Verdana" w:hAnsi="Verdana" w:cs="Verdana"/>
                <w:noProof/>
                <w:color w:val="FFFFFF"/>
              </w:rPr>
            </w:pPr>
          </w:p>
        </w:tc>
        <w:tc>
          <w:tcPr>
            <w:tcW w:w="918" w:type="dxa"/>
            <w:tcBorders>
              <w:top w:val="nil"/>
              <w:left w:val="nil"/>
              <w:bottom w:val="nil"/>
              <w:right w:val="nil"/>
              <w:tl2br w:val="nil"/>
              <w:tr2bl w:val="nil"/>
            </w:tcBorders>
            <w:shd w:val="solid" w:color="016794" w:fill="FFFFFF"/>
            <w:tcMar>
              <w:left w:w="60" w:type="dxa"/>
              <w:right w:w="60" w:type="dxa"/>
            </w:tcMar>
            <w:vAlign w:val="center"/>
          </w:tcPr>
          <w:p>
            <w:pPr>
              <w:pStyle w:val="DMETW36764BIPFINA"/>
              <w:jc w:val="center"/>
              <w:rPr>
                <w:rFonts w:ascii="Verdana" w:eastAsia="Verdana" w:hAnsi="Verdana" w:cs="Verdana"/>
                <w:noProof/>
                <w:color w:val="FFFFFF"/>
              </w:rPr>
            </w:pPr>
            <w:r>
              <w:rPr>
                <w:rFonts w:ascii="Verdana" w:hAnsi="Verdana"/>
                <w:noProof/>
                <w:color w:val="FFFFFF"/>
              </w:rPr>
              <w:t>Note</w:t>
            </w:r>
          </w:p>
        </w:tc>
        <w:tc>
          <w:tcPr>
            <w:tcW w:w="1555" w:type="dxa"/>
            <w:tcBorders>
              <w:top w:val="nil"/>
              <w:left w:val="nil"/>
              <w:bottom w:val="nil"/>
              <w:right w:val="nil"/>
              <w:tl2br w:val="nil"/>
              <w:tr2bl w:val="nil"/>
            </w:tcBorders>
            <w:shd w:val="solid" w:color="016794" w:fill="FFFFFF"/>
            <w:tcMar>
              <w:left w:w="60" w:type="dxa"/>
              <w:right w:w="60" w:type="dxa"/>
            </w:tcMar>
            <w:vAlign w:val="center"/>
          </w:tcPr>
          <w:p>
            <w:pPr>
              <w:pStyle w:val="DMETW36764BIPFINA"/>
              <w:jc w:val="right"/>
              <w:rPr>
                <w:rFonts w:ascii="Verdana" w:eastAsia="Verdana" w:hAnsi="Verdana" w:cs="Verdana"/>
                <w:noProof/>
                <w:color w:val="FFFFFF"/>
              </w:rPr>
            </w:pPr>
            <w:r>
              <w:rPr>
                <w:rFonts w:ascii="Verdana" w:hAnsi="Verdana"/>
                <w:noProof/>
                <w:color w:val="FFFFFF"/>
              </w:rPr>
              <w:t>31.12.2025</w:t>
            </w:r>
          </w:p>
        </w:tc>
        <w:tc>
          <w:tcPr>
            <w:tcW w:w="1555" w:type="dxa"/>
            <w:tcBorders>
              <w:top w:val="nil"/>
              <w:left w:val="nil"/>
              <w:bottom w:val="nil"/>
              <w:right w:val="nil"/>
              <w:tl2br w:val="nil"/>
              <w:tr2bl w:val="nil"/>
            </w:tcBorders>
            <w:shd w:val="solid" w:color="016794" w:fill="FFFFFF"/>
            <w:tcMar>
              <w:left w:w="60" w:type="dxa"/>
              <w:right w:w="60" w:type="dxa"/>
            </w:tcMar>
            <w:vAlign w:val="center"/>
          </w:tcPr>
          <w:p>
            <w:pPr>
              <w:pStyle w:val="DMETW36764BIPFINA"/>
              <w:jc w:val="right"/>
              <w:rPr>
                <w:rFonts w:ascii="Verdana" w:eastAsia="Verdana" w:hAnsi="Verdana" w:cs="Verdana"/>
                <w:noProof/>
                <w:color w:val="FFFFFF"/>
              </w:rPr>
            </w:pPr>
            <w:r>
              <w:rPr>
                <w:rFonts w:ascii="Verdana" w:hAnsi="Verdana"/>
                <w:noProof/>
                <w:color w:val="FFFFFF"/>
              </w:rPr>
              <w:t>31.12.2024</w:t>
            </w:r>
          </w:p>
        </w:tc>
      </w:tr>
      <w:tr>
        <w:trPr>
          <w:trHeight w:val="255"/>
        </w:trPr>
        <w:tc>
          <w:tcPr>
            <w:tcW w:w="5730" w:type="dxa"/>
            <w:tcBorders>
              <w:top w:val="nil"/>
              <w:left w:val="nil"/>
              <w:bottom w:val="nil"/>
              <w:right w:val="nil"/>
              <w:tl2br w:val="nil"/>
              <w:tr2bl w:val="nil"/>
            </w:tcBorders>
            <w:tcMar>
              <w:left w:w="60" w:type="dxa"/>
              <w:right w:w="60" w:type="dxa"/>
            </w:tcMar>
            <w:vAlign w:val="center"/>
          </w:tcPr>
          <w:p>
            <w:pPr>
              <w:pStyle w:val="DMETW36764BIPFINA"/>
              <w:rPr>
                <w:rFonts w:ascii="Verdana" w:eastAsia="Verdana" w:hAnsi="Verdana" w:cs="Verdana"/>
                <w:b/>
                <w:noProof/>
                <w:color w:val="000000"/>
                <w:sz w:val="18"/>
              </w:rPr>
            </w:pPr>
            <w:r>
              <w:rPr>
                <w:rFonts w:ascii="Verdana" w:hAnsi="Verdana"/>
                <w:b/>
                <w:noProof/>
                <w:color w:val="000000"/>
                <w:sz w:val="18"/>
              </w:rPr>
              <w:t>Non courants</w:t>
            </w:r>
          </w:p>
        </w:tc>
        <w:tc>
          <w:tcPr>
            <w:tcW w:w="918" w:type="dxa"/>
            <w:tcBorders>
              <w:top w:val="nil"/>
              <w:left w:val="nil"/>
              <w:bottom w:val="nil"/>
              <w:right w:val="nil"/>
              <w:tl2br w:val="nil"/>
              <w:tr2bl w:val="nil"/>
            </w:tcBorders>
            <w:tcMar>
              <w:left w:w="60" w:type="dxa"/>
              <w:right w:w="60" w:type="dxa"/>
            </w:tcMar>
            <w:vAlign w:val="center"/>
          </w:tcPr>
          <w:p>
            <w:pPr>
              <w:pStyle w:val="DMETW36764BIPFINA"/>
              <w:jc w:val="center"/>
              <w:rPr>
                <w:rFonts w:ascii="Verdana" w:eastAsia="Verdana" w:hAnsi="Verdana" w:cs="Verdana"/>
                <w:b/>
                <w:noProof/>
                <w:color w:val="000000"/>
                <w:sz w:val="18"/>
              </w:rPr>
            </w:pPr>
          </w:p>
        </w:tc>
        <w:tc>
          <w:tcPr>
            <w:tcW w:w="1555" w:type="dxa"/>
            <w:tcBorders>
              <w:top w:val="nil"/>
              <w:left w:val="nil"/>
              <w:bottom w:val="nil"/>
              <w:right w:val="nil"/>
              <w:tl2br w:val="nil"/>
              <w:tr2bl w:val="nil"/>
            </w:tcBorders>
            <w:tcMar>
              <w:left w:w="60" w:type="dxa"/>
              <w:right w:w="60" w:type="dxa"/>
            </w:tcMar>
            <w:vAlign w:val="center"/>
          </w:tcPr>
          <w:p>
            <w:pPr>
              <w:pStyle w:val="DMETW36764BIPFINA"/>
              <w:rPr>
                <w:rFonts w:ascii="Verdana" w:eastAsia="Verdana" w:hAnsi="Verdana" w:cs="Verdana"/>
                <w:b/>
                <w:noProof/>
                <w:color w:val="000000"/>
                <w:sz w:val="18"/>
              </w:rPr>
            </w:pPr>
          </w:p>
        </w:tc>
        <w:tc>
          <w:tcPr>
            <w:tcW w:w="1555" w:type="dxa"/>
            <w:tcBorders>
              <w:top w:val="nil"/>
              <w:left w:val="nil"/>
              <w:bottom w:val="nil"/>
              <w:right w:val="nil"/>
              <w:tl2br w:val="nil"/>
              <w:tr2bl w:val="nil"/>
            </w:tcBorders>
            <w:tcMar>
              <w:left w:w="60" w:type="dxa"/>
              <w:right w:w="60" w:type="dxa"/>
            </w:tcMar>
            <w:vAlign w:val="center"/>
          </w:tcPr>
          <w:p>
            <w:pPr>
              <w:pStyle w:val="DMETW36764BIPFINA"/>
              <w:rPr>
                <w:rFonts w:ascii="Verdana" w:eastAsia="Verdana" w:hAnsi="Verdana" w:cs="Verdana"/>
                <w:b/>
                <w:noProof/>
                <w:color w:val="000000"/>
                <w:sz w:val="18"/>
                <w:lang w:bidi="en-GB"/>
              </w:rPr>
            </w:pPr>
          </w:p>
        </w:tc>
      </w:tr>
      <w:tr>
        <w:trPr>
          <w:trHeight w:val="255"/>
        </w:trPr>
        <w:tc>
          <w:tcPr>
            <w:tcW w:w="5730" w:type="dxa"/>
            <w:tcBorders>
              <w:top w:val="nil"/>
              <w:left w:val="nil"/>
              <w:bottom w:val="nil"/>
              <w:right w:val="nil"/>
              <w:tl2br w:val="nil"/>
              <w:tr2bl w:val="nil"/>
            </w:tcBorders>
            <w:tcMar>
              <w:left w:w="60" w:type="dxa"/>
              <w:right w:w="60" w:type="dxa"/>
            </w:tcMar>
            <w:vAlign w:val="center"/>
          </w:tcPr>
          <w:p>
            <w:pPr>
              <w:pStyle w:val="DMETW36764BIPFINA"/>
              <w:rPr>
                <w:rFonts w:ascii="Verdana" w:eastAsia="Verdana" w:hAnsi="Verdana" w:cs="Verdana"/>
                <w:i/>
                <w:noProof/>
                <w:color w:val="000000"/>
                <w:sz w:val="18"/>
              </w:rPr>
            </w:pPr>
            <w:r>
              <w:rPr>
                <w:rFonts w:ascii="Verdana" w:hAnsi="Verdana"/>
                <w:i/>
                <w:noProof/>
                <w:color w:val="000000"/>
                <w:sz w:val="18"/>
              </w:rPr>
              <w:t>Actifs financiers au coût amorti</w:t>
            </w:r>
          </w:p>
        </w:tc>
        <w:tc>
          <w:tcPr>
            <w:tcW w:w="918" w:type="dxa"/>
            <w:tcBorders>
              <w:top w:val="nil"/>
              <w:left w:val="nil"/>
              <w:bottom w:val="nil"/>
              <w:right w:val="nil"/>
              <w:tl2br w:val="nil"/>
              <w:tr2bl w:val="nil"/>
            </w:tcBorders>
            <w:tcMar>
              <w:left w:w="60" w:type="dxa"/>
              <w:right w:w="60" w:type="dxa"/>
            </w:tcMar>
            <w:vAlign w:val="center"/>
          </w:tcPr>
          <w:p>
            <w:pPr>
              <w:pStyle w:val="DMETW36764BIPFINA"/>
              <w:jc w:val="center"/>
              <w:rPr>
                <w:rFonts w:ascii="Verdana" w:eastAsia="Verdana" w:hAnsi="Verdana" w:cs="Verdana"/>
                <w:i/>
                <w:noProof/>
                <w:color w:val="000000"/>
                <w:sz w:val="18"/>
              </w:rPr>
            </w:pPr>
            <w:r>
              <w:rPr>
                <w:rFonts w:ascii="Verdana" w:hAnsi="Verdana"/>
                <w:i/>
                <w:noProof/>
                <w:color w:val="000000"/>
                <w:sz w:val="18"/>
              </w:rPr>
              <w:t>2.4.1</w:t>
            </w:r>
          </w:p>
        </w:tc>
        <w:tc>
          <w:tcPr>
            <w:tcW w:w="1555" w:type="dxa"/>
            <w:tcBorders>
              <w:top w:val="nil"/>
              <w:left w:val="nil"/>
              <w:bottom w:val="nil"/>
              <w:right w:val="nil"/>
              <w:tl2br w:val="nil"/>
              <w:tr2bl w:val="nil"/>
            </w:tcBorders>
            <w:tcMar>
              <w:left w:w="60" w:type="dxa"/>
              <w:right w:w="60" w:type="dxa"/>
            </w:tcMar>
            <w:vAlign w:val="center"/>
          </w:tcPr>
          <w:p>
            <w:pPr>
              <w:pStyle w:val="DMETW36764BIPFINA"/>
              <w:jc w:val="right"/>
              <w:rPr>
                <w:rFonts w:ascii="Verdana" w:eastAsia="Verdana" w:hAnsi="Verdana" w:cs="Verdana"/>
                <w:i/>
                <w:noProof/>
                <w:color w:val="000000"/>
                <w:sz w:val="18"/>
              </w:rPr>
            </w:pPr>
            <w:r>
              <w:rPr>
                <w:rFonts w:ascii="Verdana" w:hAnsi="Verdana"/>
                <w:i/>
                <w:noProof/>
                <w:color w:val="000000"/>
                <w:sz w:val="18"/>
              </w:rPr>
              <w:t>314 887</w:t>
            </w:r>
          </w:p>
        </w:tc>
        <w:tc>
          <w:tcPr>
            <w:tcW w:w="1555" w:type="dxa"/>
            <w:tcBorders>
              <w:top w:val="nil"/>
              <w:left w:val="nil"/>
              <w:bottom w:val="nil"/>
              <w:right w:val="nil"/>
              <w:tl2br w:val="nil"/>
              <w:tr2bl w:val="nil"/>
            </w:tcBorders>
            <w:tcMar>
              <w:left w:w="60" w:type="dxa"/>
              <w:right w:w="60" w:type="dxa"/>
            </w:tcMar>
            <w:vAlign w:val="center"/>
          </w:tcPr>
          <w:p>
            <w:pPr>
              <w:pStyle w:val="DMETW36764BIPFINA"/>
              <w:jc w:val="right"/>
              <w:rPr>
                <w:rFonts w:ascii="Verdana" w:eastAsia="Verdana" w:hAnsi="Verdana" w:cs="Verdana"/>
                <w:i/>
                <w:noProof/>
                <w:color w:val="000000"/>
                <w:sz w:val="18"/>
              </w:rPr>
            </w:pPr>
            <w:r>
              <w:rPr>
                <w:rFonts w:ascii="Verdana" w:hAnsi="Verdana"/>
                <w:i/>
                <w:noProof/>
                <w:color w:val="000000"/>
                <w:sz w:val="18"/>
              </w:rPr>
              <w:t>269 903</w:t>
            </w:r>
          </w:p>
        </w:tc>
      </w:tr>
      <w:tr>
        <w:trPr>
          <w:trHeight w:val="255"/>
        </w:trPr>
        <w:tc>
          <w:tcPr>
            <w:tcW w:w="5730" w:type="dxa"/>
            <w:tcBorders>
              <w:top w:val="nil"/>
              <w:left w:val="nil"/>
              <w:bottom w:val="nil"/>
              <w:right w:val="nil"/>
              <w:tl2br w:val="nil"/>
              <w:tr2bl w:val="nil"/>
            </w:tcBorders>
            <w:tcMar>
              <w:left w:w="60" w:type="dxa"/>
              <w:right w:w="60" w:type="dxa"/>
            </w:tcMar>
            <w:vAlign w:val="center"/>
          </w:tcPr>
          <w:p>
            <w:pPr>
              <w:pStyle w:val="DMETW36764BIPFINA"/>
              <w:rPr>
                <w:rFonts w:ascii="Verdana" w:eastAsia="Verdana" w:hAnsi="Verdana" w:cs="Verdana"/>
                <w:i/>
                <w:noProof/>
                <w:color w:val="000000"/>
                <w:sz w:val="18"/>
              </w:rPr>
            </w:pPr>
            <w:r>
              <w:rPr>
                <w:rFonts w:ascii="Verdana" w:hAnsi="Verdana"/>
                <w:i/>
                <w:noProof/>
                <w:color w:val="000000"/>
                <w:sz w:val="18"/>
              </w:rPr>
              <w:t>Actifs financiers à la juste valeur par le biais du compte de résultat</w:t>
            </w:r>
          </w:p>
        </w:tc>
        <w:tc>
          <w:tcPr>
            <w:tcW w:w="918" w:type="dxa"/>
            <w:tcBorders>
              <w:top w:val="nil"/>
              <w:left w:val="nil"/>
              <w:bottom w:val="nil"/>
              <w:right w:val="nil"/>
              <w:tl2br w:val="nil"/>
              <w:tr2bl w:val="nil"/>
            </w:tcBorders>
            <w:tcMar>
              <w:left w:w="60" w:type="dxa"/>
              <w:right w:w="60" w:type="dxa"/>
            </w:tcMar>
            <w:vAlign w:val="center"/>
          </w:tcPr>
          <w:p>
            <w:pPr>
              <w:pStyle w:val="DMETW36764BIPFINA"/>
              <w:jc w:val="center"/>
              <w:rPr>
                <w:rFonts w:ascii="Verdana" w:eastAsia="Verdana" w:hAnsi="Verdana" w:cs="Verdana"/>
                <w:i/>
                <w:noProof/>
                <w:color w:val="000000"/>
                <w:sz w:val="18"/>
              </w:rPr>
            </w:pPr>
            <w:r>
              <w:rPr>
                <w:rFonts w:ascii="Verdana" w:hAnsi="Verdana"/>
                <w:i/>
                <w:noProof/>
                <w:color w:val="000000"/>
                <w:sz w:val="18"/>
              </w:rPr>
              <w:t>2.4.2</w:t>
            </w:r>
          </w:p>
        </w:tc>
        <w:tc>
          <w:tcPr>
            <w:tcW w:w="1555" w:type="dxa"/>
            <w:tcBorders>
              <w:top w:val="nil"/>
              <w:left w:val="nil"/>
              <w:bottom w:val="nil"/>
              <w:right w:val="nil"/>
              <w:tl2br w:val="nil"/>
              <w:tr2bl w:val="nil"/>
            </w:tcBorders>
            <w:tcMar>
              <w:left w:w="60" w:type="dxa"/>
              <w:right w:w="60" w:type="dxa"/>
            </w:tcMar>
            <w:vAlign w:val="center"/>
          </w:tcPr>
          <w:p>
            <w:pPr>
              <w:pStyle w:val="DMETW36764BIPFINA"/>
              <w:jc w:val="right"/>
              <w:rPr>
                <w:rFonts w:ascii="Verdana" w:eastAsia="Verdana" w:hAnsi="Verdana" w:cs="Verdana"/>
                <w:i/>
                <w:noProof/>
                <w:color w:val="000000"/>
                <w:sz w:val="18"/>
              </w:rPr>
            </w:pPr>
            <w:r>
              <w:rPr>
                <w:rFonts w:ascii="Verdana" w:hAnsi="Verdana"/>
                <w:i/>
                <w:noProof/>
                <w:color w:val="000000"/>
                <w:sz w:val="18"/>
              </w:rPr>
              <w:t>47 919</w:t>
            </w:r>
          </w:p>
        </w:tc>
        <w:tc>
          <w:tcPr>
            <w:tcW w:w="1555" w:type="dxa"/>
            <w:tcBorders>
              <w:top w:val="nil"/>
              <w:left w:val="nil"/>
              <w:bottom w:val="nil"/>
              <w:right w:val="nil"/>
              <w:tl2br w:val="nil"/>
              <w:tr2bl w:val="nil"/>
            </w:tcBorders>
            <w:tcMar>
              <w:left w:w="60" w:type="dxa"/>
              <w:right w:w="60" w:type="dxa"/>
            </w:tcMar>
            <w:vAlign w:val="center"/>
          </w:tcPr>
          <w:p>
            <w:pPr>
              <w:pStyle w:val="DMETW36764BIPFINA"/>
              <w:jc w:val="right"/>
              <w:rPr>
                <w:rFonts w:ascii="Verdana" w:eastAsia="Verdana" w:hAnsi="Verdana" w:cs="Verdana"/>
                <w:i/>
                <w:noProof/>
                <w:color w:val="000000"/>
                <w:sz w:val="18"/>
              </w:rPr>
            </w:pPr>
            <w:r>
              <w:rPr>
                <w:rFonts w:ascii="Verdana" w:hAnsi="Verdana"/>
                <w:i/>
                <w:noProof/>
                <w:color w:val="000000"/>
                <w:sz w:val="18"/>
              </w:rPr>
              <w:t>39 058</w:t>
            </w:r>
          </w:p>
        </w:tc>
      </w:tr>
      <w:tr>
        <w:trPr>
          <w:trHeight w:val="255"/>
        </w:trPr>
        <w:tc>
          <w:tcPr>
            <w:tcW w:w="5730" w:type="dxa"/>
            <w:tcBorders>
              <w:top w:val="nil"/>
              <w:left w:val="nil"/>
              <w:bottom w:val="nil"/>
              <w:right w:val="nil"/>
              <w:tl2br w:val="nil"/>
              <w:tr2bl w:val="nil"/>
            </w:tcBorders>
            <w:shd w:val="solid" w:color="CCE1EA" w:fill="FFFFFF"/>
            <w:tcMar>
              <w:left w:w="60" w:type="dxa"/>
              <w:right w:w="60" w:type="dxa"/>
            </w:tcMar>
            <w:vAlign w:val="center"/>
          </w:tcPr>
          <w:p>
            <w:pPr>
              <w:pStyle w:val="DMETW36764BIPFINA"/>
              <w:rPr>
                <w:rFonts w:ascii="Verdana" w:eastAsia="Verdana" w:hAnsi="Verdana" w:cs="Verdana"/>
                <w:b/>
                <w:noProof/>
                <w:color w:val="000000"/>
                <w:sz w:val="18"/>
              </w:rPr>
            </w:pPr>
          </w:p>
        </w:tc>
        <w:tc>
          <w:tcPr>
            <w:tcW w:w="918" w:type="dxa"/>
            <w:tcBorders>
              <w:top w:val="nil"/>
              <w:left w:val="nil"/>
              <w:bottom w:val="nil"/>
              <w:right w:val="nil"/>
              <w:tl2br w:val="nil"/>
              <w:tr2bl w:val="nil"/>
            </w:tcBorders>
            <w:shd w:val="solid" w:color="CCE1EA" w:fill="FFFFFF"/>
            <w:tcMar>
              <w:left w:w="60" w:type="dxa"/>
              <w:right w:w="60" w:type="dxa"/>
            </w:tcMar>
            <w:vAlign w:val="center"/>
          </w:tcPr>
          <w:p>
            <w:pPr>
              <w:pStyle w:val="DMETW36764BIPFINA"/>
              <w:jc w:val="center"/>
              <w:rPr>
                <w:rFonts w:ascii="Verdana" w:eastAsia="Verdana" w:hAnsi="Verdana" w:cs="Verdana"/>
                <w:noProof/>
                <w:color w:val="000000"/>
                <w:sz w:val="18"/>
              </w:rPr>
            </w:pPr>
          </w:p>
        </w:tc>
        <w:tc>
          <w:tcPr>
            <w:tcW w:w="1555" w:type="dxa"/>
            <w:tcBorders>
              <w:top w:val="nil"/>
              <w:left w:val="nil"/>
              <w:bottom w:val="nil"/>
              <w:right w:val="nil"/>
              <w:tl2br w:val="nil"/>
              <w:tr2bl w:val="nil"/>
            </w:tcBorders>
            <w:shd w:val="solid" w:color="CCE1EA" w:fill="FFFFFF"/>
            <w:tcMar>
              <w:left w:w="60" w:type="dxa"/>
              <w:right w:w="60" w:type="dxa"/>
            </w:tcMar>
            <w:vAlign w:val="center"/>
          </w:tcPr>
          <w:p>
            <w:pPr>
              <w:pStyle w:val="DMETW36764BIPFINA"/>
              <w:jc w:val="right"/>
              <w:rPr>
                <w:rFonts w:ascii="Verdana" w:eastAsia="Verdana" w:hAnsi="Verdana" w:cs="Verdana"/>
                <w:b/>
                <w:noProof/>
                <w:color w:val="000000"/>
                <w:sz w:val="18"/>
              </w:rPr>
            </w:pPr>
            <w:r>
              <w:rPr>
                <w:rFonts w:ascii="Verdana" w:hAnsi="Verdana"/>
                <w:b/>
                <w:noProof/>
                <w:color w:val="000000"/>
                <w:sz w:val="18"/>
              </w:rPr>
              <w:t>362 806</w:t>
            </w:r>
          </w:p>
        </w:tc>
        <w:tc>
          <w:tcPr>
            <w:tcW w:w="1555" w:type="dxa"/>
            <w:tcBorders>
              <w:top w:val="nil"/>
              <w:left w:val="nil"/>
              <w:bottom w:val="nil"/>
              <w:right w:val="nil"/>
              <w:tl2br w:val="nil"/>
              <w:tr2bl w:val="nil"/>
            </w:tcBorders>
            <w:shd w:val="solid" w:color="CCE1EA" w:fill="FFFFFF"/>
            <w:tcMar>
              <w:left w:w="60" w:type="dxa"/>
              <w:right w:w="60" w:type="dxa"/>
            </w:tcMar>
            <w:vAlign w:val="center"/>
          </w:tcPr>
          <w:p>
            <w:pPr>
              <w:pStyle w:val="DMETW36764BIPFINA"/>
              <w:jc w:val="right"/>
              <w:rPr>
                <w:rFonts w:ascii="Verdana" w:eastAsia="Verdana" w:hAnsi="Verdana" w:cs="Verdana"/>
                <w:b/>
                <w:noProof/>
                <w:color w:val="000000"/>
                <w:sz w:val="18"/>
              </w:rPr>
            </w:pPr>
            <w:r>
              <w:rPr>
                <w:rFonts w:ascii="Verdana" w:hAnsi="Verdana"/>
                <w:b/>
                <w:noProof/>
                <w:color w:val="000000"/>
                <w:sz w:val="18"/>
              </w:rPr>
              <w:t>308 961</w:t>
            </w:r>
          </w:p>
        </w:tc>
      </w:tr>
      <w:tr>
        <w:trPr>
          <w:trHeight w:val="255"/>
        </w:trPr>
        <w:tc>
          <w:tcPr>
            <w:tcW w:w="5730" w:type="dxa"/>
            <w:tcBorders>
              <w:top w:val="nil"/>
              <w:left w:val="nil"/>
              <w:bottom w:val="nil"/>
              <w:right w:val="nil"/>
              <w:tl2br w:val="nil"/>
              <w:tr2bl w:val="nil"/>
            </w:tcBorders>
            <w:tcMar>
              <w:left w:w="60" w:type="dxa"/>
              <w:right w:w="60" w:type="dxa"/>
            </w:tcMar>
            <w:vAlign w:val="center"/>
          </w:tcPr>
          <w:p>
            <w:pPr>
              <w:pStyle w:val="DMETW36764BIPFINA"/>
              <w:rPr>
                <w:rFonts w:ascii="Verdana" w:eastAsia="Verdana" w:hAnsi="Verdana" w:cs="Verdana"/>
                <w:b/>
                <w:noProof/>
                <w:color w:val="000000"/>
                <w:sz w:val="18"/>
              </w:rPr>
            </w:pPr>
            <w:r>
              <w:rPr>
                <w:rFonts w:ascii="Verdana" w:hAnsi="Verdana"/>
                <w:b/>
                <w:noProof/>
                <w:color w:val="000000"/>
                <w:sz w:val="18"/>
              </w:rPr>
              <w:t>Courants</w:t>
            </w:r>
          </w:p>
        </w:tc>
        <w:tc>
          <w:tcPr>
            <w:tcW w:w="918" w:type="dxa"/>
            <w:tcBorders>
              <w:top w:val="nil"/>
              <w:left w:val="nil"/>
              <w:bottom w:val="nil"/>
              <w:right w:val="nil"/>
              <w:tl2br w:val="nil"/>
              <w:tr2bl w:val="nil"/>
            </w:tcBorders>
            <w:tcMar>
              <w:left w:w="60" w:type="dxa"/>
              <w:right w:w="60" w:type="dxa"/>
            </w:tcMar>
            <w:vAlign w:val="center"/>
          </w:tcPr>
          <w:p>
            <w:pPr>
              <w:pStyle w:val="DMETW36764BIPFINA"/>
              <w:jc w:val="center"/>
              <w:rPr>
                <w:rFonts w:ascii="Verdana" w:eastAsia="Verdana" w:hAnsi="Verdana" w:cs="Verdana"/>
                <w:b/>
                <w:noProof/>
                <w:color w:val="000000"/>
                <w:sz w:val="18"/>
              </w:rPr>
            </w:pPr>
          </w:p>
        </w:tc>
        <w:tc>
          <w:tcPr>
            <w:tcW w:w="1555" w:type="dxa"/>
            <w:tcBorders>
              <w:top w:val="nil"/>
              <w:left w:val="nil"/>
              <w:bottom w:val="nil"/>
              <w:right w:val="nil"/>
              <w:tl2br w:val="nil"/>
              <w:tr2bl w:val="nil"/>
            </w:tcBorders>
            <w:tcMar>
              <w:left w:w="60" w:type="dxa"/>
              <w:right w:w="60" w:type="dxa"/>
            </w:tcMar>
            <w:vAlign w:val="center"/>
          </w:tcPr>
          <w:p>
            <w:pPr>
              <w:pStyle w:val="DMETW36764BIPFINA"/>
              <w:jc w:val="right"/>
              <w:rPr>
                <w:rFonts w:ascii="Verdana" w:eastAsia="Verdana" w:hAnsi="Verdana" w:cs="Verdana"/>
                <w:i/>
                <w:noProof/>
                <w:color w:val="000000"/>
                <w:sz w:val="18"/>
              </w:rPr>
            </w:pPr>
          </w:p>
        </w:tc>
        <w:tc>
          <w:tcPr>
            <w:tcW w:w="1555" w:type="dxa"/>
            <w:tcBorders>
              <w:top w:val="nil"/>
              <w:left w:val="nil"/>
              <w:bottom w:val="nil"/>
              <w:right w:val="nil"/>
              <w:tl2br w:val="nil"/>
              <w:tr2bl w:val="nil"/>
            </w:tcBorders>
            <w:tcMar>
              <w:left w:w="60" w:type="dxa"/>
              <w:right w:w="60" w:type="dxa"/>
            </w:tcMar>
            <w:vAlign w:val="center"/>
          </w:tcPr>
          <w:p>
            <w:pPr>
              <w:pStyle w:val="DMETW36764BIPFINA"/>
              <w:jc w:val="right"/>
              <w:rPr>
                <w:rFonts w:ascii="Verdana" w:eastAsia="Verdana" w:hAnsi="Verdana" w:cs="Verdana"/>
                <w:i/>
                <w:noProof/>
                <w:color w:val="000000"/>
                <w:sz w:val="18"/>
                <w:lang w:bidi="en-GB"/>
              </w:rPr>
            </w:pPr>
          </w:p>
        </w:tc>
      </w:tr>
      <w:tr>
        <w:trPr>
          <w:trHeight w:val="255"/>
        </w:trPr>
        <w:tc>
          <w:tcPr>
            <w:tcW w:w="5730" w:type="dxa"/>
            <w:tcBorders>
              <w:top w:val="nil"/>
              <w:left w:val="nil"/>
              <w:bottom w:val="nil"/>
              <w:right w:val="nil"/>
              <w:tl2br w:val="nil"/>
              <w:tr2bl w:val="nil"/>
            </w:tcBorders>
            <w:tcMar>
              <w:left w:w="60" w:type="dxa"/>
              <w:right w:w="60" w:type="dxa"/>
            </w:tcMar>
            <w:vAlign w:val="center"/>
          </w:tcPr>
          <w:p>
            <w:pPr>
              <w:pStyle w:val="DMETW36764BIPFINA"/>
              <w:rPr>
                <w:rFonts w:ascii="Verdana" w:eastAsia="Verdana" w:hAnsi="Verdana" w:cs="Verdana"/>
                <w:i/>
                <w:noProof/>
                <w:color w:val="000000"/>
                <w:sz w:val="18"/>
              </w:rPr>
            </w:pPr>
            <w:r>
              <w:rPr>
                <w:rFonts w:ascii="Verdana" w:hAnsi="Verdana"/>
                <w:i/>
                <w:noProof/>
                <w:color w:val="000000"/>
                <w:sz w:val="18"/>
              </w:rPr>
              <w:t>Actifs financiers au coût amorti</w:t>
            </w:r>
          </w:p>
        </w:tc>
        <w:tc>
          <w:tcPr>
            <w:tcW w:w="918" w:type="dxa"/>
            <w:tcBorders>
              <w:top w:val="nil"/>
              <w:left w:val="nil"/>
              <w:bottom w:val="nil"/>
              <w:right w:val="nil"/>
              <w:tl2br w:val="nil"/>
              <w:tr2bl w:val="nil"/>
            </w:tcBorders>
            <w:tcMar>
              <w:left w:w="60" w:type="dxa"/>
              <w:right w:w="60" w:type="dxa"/>
            </w:tcMar>
            <w:vAlign w:val="center"/>
          </w:tcPr>
          <w:p>
            <w:pPr>
              <w:pStyle w:val="DMETW36764BIPFINA"/>
              <w:jc w:val="center"/>
              <w:rPr>
                <w:rFonts w:ascii="Verdana" w:eastAsia="Verdana" w:hAnsi="Verdana" w:cs="Verdana"/>
                <w:i/>
                <w:noProof/>
                <w:color w:val="000000"/>
                <w:sz w:val="18"/>
              </w:rPr>
            </w:pPr>
            <w:r>
              <w:rPr>
                <w:rFonts w:ascii="Verdana" w:hAnsi="Verdana"/>
                <w:i/>
                <w:noProof/>
                <w:color w:val="000000"/>
                <w:sz w:val="18"/>
              </w:rPr>
              <w:t>2.4.1</w:t>
            </w:r>
          </w:p>
        </w:tc>
        <w:tc>
          <w:tcPr>
            <w:tcW w:w="1555" w:type="dxa"/>
            <w:tcBorders>
              <w:top w:val="nil"/>
              <w:left w:val="nil"/>
              <w:bottom w:val="nil"/>
              <w:right w:val="nil"/>
              <w:tl2br w:val="nil"/>
              <w:tr2bl w:val="nil"/>
            </w:tcBorders>
            <w:tcMar>
              <w:left w:w="60" w:type="dxa"/>
              <w:right w:w="60" w:type="dxa"/>
            </w:tcMar>
            <w:vAlign w:val="center"/>
          </w:tcPr>
          <w:p>
            <w:pPr>
              <w:pStyle w:val="DMETW36764BIPFINA"/>
              <w:jc w:val="right"/>
              <w:rPr>
                <w:rFonts w:ascii="Verdana" w:eastAsia="Verdana" w:hAnsi="Verdana" w:cs="Verdana"/>
                <w:i/>
                <w:noProof/>
                <w:color w:val="000000"/>
                <w:sz w:val="18"/>
              </w:rPr>
            </w:pPr>
            <w:r>
              <w:rPr>
                <w:rFonts w:ascii="Verdana" w:hAnsi="Verdana"/>
                <w:i/>
                <w:noProof/>
                <w:color w:val="000000"/>
                <w:sz w:val="18"/>
              </w:rPr>
              <w:t>18 545</w:t>
            </w:r>
          </w:p>
        </w:tc>
        <w:tc>
          <w:tcPr>
            <w:tcW w:w="1555" w:type="dxa"/>
            <w:tcBorders>
              <w:top w:val="nil"/>
              <w:left w:val="nil"/>
              <w:bottom w:val="nil"/>
              <w:right w:val="nil"/>
              <w:tl2br w:val="nil"/>
              <w:tr2bl w:val="nil"/>
            </w:tcBorders>
            <w:tcMar>
              <w:left w:w="60" w:type="dxa"/>
              <w:right w:w="60" w:type="dxa"/>
            </w:tcMar>
            <w:vAlign w:val="center"/>
          </w:tcPr>
          <w:p>
            <w:pPr>
              <w:pStyle w:val="DMETW36764BIPFINA"/>
              <w:jc w:val="right"/>
              <w:rPr>
                <w:rFonts w:ascii="Verdana" w:eastAsia="Verdana" w:hAnsi="Verdana" w:cs="Verdana"/>
                <w:i/>
                <w:noProof/>
                <w:color w:val="000000"/>
                <w:sz w:val="18"/>
              </w:rPr>
            </w:pPr>
            <w:r>
              <w:rPr>
                <w:rFonts w:ascii="Verdana" w:hAnsi="Verdana"/>
                <w:i/>
                <w:noProof/>
                <w:color w:val="000000"/>
                <w:sz w:val="18"/>
              </w:rPr>
              <w:t>13 677</w:t>
            </w:r>
          </w:p>
        </w:tc>
      </w:tr>
      <w:tr>
        <w:trPr>
          <w:trHeight w:val="255"/>
        </w:trPr>
        <w:tc>
          <w:tcPr>
            <w:tcW w:w="5730" w:type="dxa"/>
            <w:tcBorders>
              <w:top w:val="nil"/>
              <w:left w:val="nil"/>
              <w:bottom w:val="nil"/>
              <w:right w:val="nil"/>
              <w:tl2br w:val="nil"/>
              <w:tr2bl w:val="nil"/>
            </w:tcBorders>
            <w:tcMar>
              <w:left w:w="60" w:type="dxa"/>
              <w:right w:w="60" w:type="dxa"/>
            </w:tcMar>
            <w:vAlign w:val="center"/>
          </w:tcPr>
          <w:p>
            <w:pPr>
              <w:pStyle w:val="DMETW36764BIPFINA"/>
              <w:rPr>
                <w:rFonts w:ascii="Verdana" w:eastAsia="Verdana" w:hAnsi="Verdana" w:cs="Verdana"/>
                <w:i/>
                <w:noProof/>
                <w:color w:val="000000"/>
                <w:sz w:val="18"/>
              </w:rPr>
            </w:pPr>
            <w:r>
              <w:rPr>
                <w:rFonts w:ascii="Verdana" w:hAnsi="Verdana"/>
                <w:i/>
                <w:noProof/>
                <w:color w:val="000000"/>
                <w:sz w:val="18"/>
              </w:rPr>
              <w:t>Actifs financiers à la juste valeur par le biais du compte de résultat</w:t>
            </w:r>
          </w:p>
        </w:tc>
        <w:tc>
          <w:tcPr>
            <w:tcW w:w="918" w:type="dxa"/>
            <w:tcBorders>
              <w:top w:val="nil"/>
              <w:left w:val="nil"/>
              <w:bottom w:val="nil"/>
              <w:right w:val="nil"/>
              <w:tl2br w:val="nil"/>
              <w:tr2bl w:val="nil"/>
            </w:tcBorders>
            <w:tcMar>
              <w:left w:w="60" w:type="dxa"/>
              <w:right w:w="60" w:type="dxa"/>
            </w:tcMar>
            <w:vAlign w:val="center"/>
          </w:tcPr>
          <w:p>
            <w:pPr>
              <w:pStyle w:val="DMETW36764BIPFINA"/>
              <w:jc w:val="center"/>
              <w:rPr>
                <w:rFonts w:ascii="Verdana" w:eastAsia="Verdana" w:hAnsi="Verdana" w:cs="Verdana"/>
                <w:i/>
                <w:noProof/>
                <w:color w:val="000000"/>
                <w:sz w:val="18"/>
              </w:rPr>
            </w:pPr>
            <w:r>
              <w:rPr>
                <w:rFonts w:ascii="Verdana" w:hAnsi="Verdana"/>
                <w:i/>
                <w:noProof/>
                <w:color w:val="000000"/>
                <w:sz w:val="18"/>
              </w:rPr>
              <w:t>2.4.2</w:t>
            </w:r>
          </w:p>
        </w:tc>
        <w:tc>
          <w:tcPr>
            <w:tcW w:w="1555" w:type="dxa"/>
            <w:tcBorders>
              <w:top w:val="nil"/>
              <w:left w:val="nil"/>
              <w:bottom w:val="nil"/>
              <w:right w:val="nil"/>
              <w:tl2br w:val="nil"/>
              <w:tr2bl w:val="nil"/>
            </w:tcBorders>
            <w:tcMar>
              <w:left w:w="60" w:type="dxa"/>
              <w:right w:w="60" w:type="dxa"/>
            </w:tcMar>
            <w:vAlign w:val="center"/>
          </w:tcPr>
          <w:p>
            <w:pPr>
              <w:pStyle w:val="DMETW36764BIPFINA"/>
              <w:jc w:val="right"/>
              <w:rPr>
                <w:rFonts w:ascii="Verdana" w:eastAsia="Verdana" w:hAnsi="Verdana" w:cs="Verdana"/>
                <w:i/>
                <w:noProof/>
                <w:color w:val="000000"/>
                <w:sz w:val="18"/>
              </w:rPr>
            </w:pPr>
            <w:r>
              <w:rPr>
                <w:rFonts w:ascii="Verdana" w:hAnsi="Verdana"/>
                <w:i/>
                <w:noProof/>
                <w:color w:val="000000"/>
                <w:sz w:val="18"/>
              </w:rPr>
              <w:t>4 746</w:t>
            </w:r>
          </w:p>
        </w:tc>
        <w:tc>
          <w:tcPr>
            <w:tcW w:w="1555" w:type="dxa"/>
            <w:tcBorders>
              <w:top w:val="nil"/>
              <w:left w:val="nil"/>
              <w:bottom w:val="nil"/>
              <w:right w:val="nil"/>
              <w:tl2br w:val="nil"/>
              <w:tr2bl w:val="nil"/>
            </w:tcBorders>
            <w:tcMar>
              <w:left w:w="60" w:type="dxa"/>
              <w:right w:w="60" w:type="dxa"/>
            </w:tcMar>
            <w:vAlign w:val="center"/>
          </w:tcPr>
          <w:p>
            <w:pPr>
              <w:pStyle w:val="DMETW36764BIPFINA"/>
              <w:jc w:val="right"/>
              <w:rPr>
                <w:rFonts w:ascii="Verdana" w:eastAsia="Verdana" w:hAnsi="Verdana" w:cs="Verdana"/>
                <w:i/>
                <w:noProof/>
                <w:color w:val="000000"/>
                <w:sz w:val="18"/>
              </w:rPr>
            </w:pPr>
            <w:r>
              <w:rPr>
                <w:rFonts w:ascii="Verdana" w:hAnsi="Verdana"/>
                <w:i/>
                <w:noProof/>
                <w:color w:val="000000"/>
                <w:sz w:val="18"/>
              </w:rPr>
              <w:t>5 700</w:t>
            </w:r>
          </w:p>
        </w:tc>
      </w:tr>
      <w:tr>
        <w:trPr>
          <w:trHeight w:val="255"/>
        </w:trPr>
        <w:tc>
          <w:tcPr>
            <w:tcW w:w="5730" w:type="dxa"/>
            <w:tcBorders>
              <w:top w:val="nil"/>
              <w:left w:val="nil"/>
              <w:bottom w:val="nil"/>
              <w:right w:val="nil"/>
              <w:tl2br w:val="nil"/>
              <w:tr2bl w:val="nil"/>
            </w:tcBorders>
            <w:shd w:val="solid" w:color="CCE1EA" w:fill="FFFFFF"/>
            <w:tcMar>
              <w:left w:w="60" w:type="dxa"/>
              <w:right w:w="60" w:type="dxa"/>
            </w:tcMar>
            <w:vAlign w:val="center"/>
          </w:tcPr>
          <w:p>
            <w:pPr>
              <w:pStyle w:val="DMETW36764BIPFINA"/>
              <w:rPr>
                <w:rFonts w:ascii="Verdana" w:eastAsia="Verdana" w:hAnsi="Verdana" w:cs="Verdana"/>
                <w:b/>
                <w:noProof/>
                <w:color w:val="000000"/>
                <w:sz w:val="18"/>
              </w:rPr>
            </w:pPr>
          </w:p>
        </w:tc>
        <w:tc>
          <w:tcPr>
            <w:tcW w:w="918" w:type="dxa"/>
            <w:tcBorders>
              <w:top w:val="nil"/>
              <w:left w:val="nil"/>
              <w:bottom w:val="nil"/>
              <w:right w:val="nil"/>
              <w:tl2br w:val="nil"/>
              <w:tr2bl w:val="nil"/>
            </w:tcBorders>
            <w:shd w:val="solid" w:color="CCE1EA" w:fill="FFFFFF"/>
            <w:tcMar>
              <w:left w:w="60" w:type="dxa"/>
              <w:right w:w="60" w:type="dxa"/>
            </w:tcMar>
            <w:vAlign w:val="center"/>
          </w:tcPr>
          <w:p>
            <w:pPr>
              <w:pStyle w:val="DMETW36764BIPFINA"/>
              <w:jc w:val="center"/>
              <w:rPr>
                <w:rFonts w:ascii="Verdana" w:eastAsia="Verdana" w:hAnsi="Verdana" w:cs="Verdana"/>
                <w:noProof/>
                <w:color w:val="000000"/>
                <w:sz w:val="18"/>
              </w:rPr>
            </w:pPr>
          </w:p>
        </w:tc>
        <w:tc>
          <w:tcPr>
            <w:tcW w:w="1555" w:type="dxa"/>
            <w:tcBorders>
              <w:top w:val="nil"/>
              <w:left w:val="nil"/>
              <w:bottom w:val="nil"/>
              <w:right w:val="nil"/>
              <w:tl2br w:val="nil"/>
              <w:tr2bl w:val="nil"/>
            </w:tcBorders>
            <w:shd w:val="solid" w:color="CCE1EA" w:fill="FFFFFF"/>
            <w:tcMar>
              <w:left w:w="60" w:type="dxa"/>
              <w:right w:w="60" w:type="dxa"/>
            </w:tcMar>
            <w:vAlign w:val="center"/>
          </w:tcPr>
          <w:p>
            <w:pPr>
              <w:pStyle w:val="DMETW36764BIPFINA"/>
              <w:jc w:val="right"/>
              <w:rPr>
                <w:rFonts w:ascii="Verdana" w:eastAsia="Verdana" w:hAnsi="Verdana" w:cs="Verdana"/>
                <w:b/>
                <w:noProof/>
                <w:color w:val="000000"/>
                <w:sz w:val="18"/>
              </w:rPr>
            </w:pPr>
            <w:r>
              <w:rPr>
                <w:rFonts w:ascii="Verdana" w:hAnsi="Verdana"/>
                <w:b/>
                <w:noProof/>
                <w:color w:val="000000"/>
                <w:sz w:val="18"/>
              </w:rPr>
              <w:t>23 291</w:t>
            </w:r>
          </w:p>
        </w:tc>
        <w:tc>
          <w:tcPr>
            <w:tcW w:w="1555" w:type="dxa"/>
            <w:tcBorders>
              <w:top w:val="nil"/>
              <w:left w:val="nil"/>
              <w:bottom w:val="nil"/>
              <w:right w:val="nil"/>
              <w:tl2br w:val="nil"/>
              <w:tr2bl w:val="nil"/>
            </w:tcBorders>
            <w:shd w:val="solid" w:color="CCE1EA" w:fill="FFFFFF"/>
            <w:tcMar>
              <w:left w:w="60" w:type="dxa"/>
              <w:right w:w="60" w:type="dxa"/>
            </w:tcMar>
            <w:vAlign w:val="center"/>
          </w:tcPr>
          <w:p>
            <w:pPr>
              <w:pStyle w:val="DMETW36764BIPFINA"/>
              <w:jc w:val="right"/>
              <w:rPr>
                <w:rFonts w:ascii="Verdana" w:eastAsia="Verdana" w:hAnsi="Verdana" w:cs="Verdana"/>
                <w:b/>
                <w:noProof/>
                <w:color w:val="000000"/>
                <w:sz w:val="18"/>
              </w:rPr>
            </w:pPr>
            <w:r>
              <w:rPr>
                <w:rFonts w:ascii="Verdana" w:hAnsi="Verdana"/>
                <w:b/>
                <w:noProof/>
                <w:color w:val="000000"/>
                <w:sz w:val="18"/>
              </w:rPr>
              <w:t>19 377</w:t>
            </w:r>
          </w:p>
        </w:tc>
      </w:tr>
      <w:tr>
        <w:trPr>
          <w:trHeight w:val="255"/>
        </w:trPr>
        <w:tc>
          <w:tcPr>
            <w:tcW w:w="5730" w:type="dxa"/>
            <w:tcBorders>
              <w:top w:val="nil"/>
              <w:left w:val="nil"/>
              <w:bottom w:val="single" w:sz="4" w:space="0" w:color="016794"/>
              <w:right w:val="nil"/>
              <w:tl2br w:val="nil"/>
              <w:tr2bl w:val="nil"/>
            </w:tcBorders>
            <w:tcMar>
              <w:left w:w="60" w:type="dxa"/>
              <w:right w:w="60" w:type="dxa"/>
            </w:tcMar>
            <w:vAlign w:val="center"/>
          </w:tcPr>
          <w:p>
            <w:pPr>
              <w:pStyle w:val="DMETW36764BIPFINA"/>
              <w:rPr>
                <w:rFonts w:ascii="Verdana" w:eastAsia="Verdana" w:hAnsi="Verdana" w:cs="Verdana"/>
                <w:b/>
                <w:noProof/>
                <w:color w:val="000000"/>
                <w:sz w:val="18"/>
              </w:rPr>
            </w:pPr>
            <w:r>
              <w:rPr>
                <w:rFonts w:ascii="Verdana" w:hAnsi="Verdana"/>
                <w:b/>
                <w:noProof/>
                <w:color w:val="000000"/>
                <w:sz w:val="18"/>
              </w:rPr>
              <w:t>Total</w:t>
            </w:r>
          </w:p>
        </w:tc>
        <w:tc>
          <w:tcPr>
            <w:tcW w:w="918" w:type="dxa"/>
            <w:tcBorders>
              <w:top w:val="nil"/>
              <w:left w:val="nil"/>
              <w:bottom w:val="single" w:sz="4" w:space="0" w:color="016794"/>
              <w:right w:val="nil"/>
              <w:tl2br w:val="nil"/>
              <w:tr2bl w:val="nil"/>
            </w:tcBorders>
            <w:tcMar>
              <w:left w:w="60" w:type="dxa"/>
              <w:right w:w="60" w:type="dxa"/>
            </w:tcMar>
            <w:vAlign w:val="center"/>
          </w:tcPr>
          <w:p>
            <w:pPr>
              <w:pStyle w:val="DMETW36764BIPFINA"/>
              <w:jc w:val="center"/>
              <w:rPr>
                <w:rFonts w:ascii="Verdana" w:eastAsia="Verdana" w:hAnsi="Verdana" w:cs="Verdana"/>
                <w:i/>
                <w:noProof/>
                <w:color w:val="000000"/>
                <w:sz w:val="18"/>
              </w:rPr>
            </w:pPr>
          </w:p>
        </w:tc>
        <w:tc>
          <w:tcPr>
            <w:tcW w:w="1555" w:type="dxa"/>
            <w:tcBorders>
              <w:top w:val="nil"/>
              <w:left w:val="nil"/>
              <w:bottom w:val="single" w:sz="4" w:space="0" w:color="016794"/>
              <w:right w:val="nil"/>
              <w:tl2br w:val="nil"/>
              <w:tr2bl w:val="nil"/>
            </w:tcBorders>
            <w:tcMar>
              <w:left w:w="60" w:type="dxa"/>
              <w:right w:w="60" w:type="dxa"/>
            </w:tcMar>
            <w:vAlign w:val="center"/>
          </w:tcPr>
          <w:p>
            <w:pPr>
              <w:pStyle w:val="DMETW36764BIPFINA"/>
              <w:jc w:val="right"/>
              <w:rPr>
                <w:rFonts w:ascii="Verdana" w:eastAsia="Verdana" w:hAnsi="Verdana" w:cs="Verdana"/>
                <w:b/>
                <w:noProof/>
                <w:color w:val="000000"/>
                <w:sz w:val="18"/>
              </w:rPr>
            </w:pPr>
            <w:r>
              <w:rPr>
                <w:rFonts w:ascii="Verdana" w:hAnsi="Verdana"/>
                <w:b/>
                <w:noProof/>
                <w:color w:val="000000"/>
                <w:sz w:val="18"/>
              </w:rPr>
              <w:t>386 097</w:t>
            </w:r>
          </w:p>
        </w:tc>
        <w:tc>
          <w:tcPr>
            <w:tcW w:w="1555" w:type="dxa"/>
            <w:tcBorders>
              <w:top w:val="nil"/>
              <w:left w:val="nil"/>
              <w:bottom w:val="single" w:sz="4" w:space="0" w:color="016794"/>
              <w:right w:val="nil"/>
              <w:tl2br w:val="nil"/>
              <w:tr2bl w:val="nil"/>
            </w:tcBorders>
            <w:tcMar>
              <w:left w:w="60" w:type="dxa"/>
              <w:right w:w="60" w:type="dxa"/>
            </w:tcMar>
            <w:vAlign w:val="center"/>
          </w:tcPr>
          <w:p>
            <w:pPr>
              <w:pStyle w:val="DMETW36764BIPFINA"/>
              <w:jc w:val="right"/>
              <w:rPr>
                <w:rFonts w:ascii="Verdana" w:eastAsia="Verdana" w:hAnsi="Verdana" w:cs="Verdana"/>
                <w:b/>
                <w:noProof/>
                <w:color w:val="000000"/>
                <w:sz w:val="18"/>
              </w:rPr>
            </w:pPr>
            <w:r>
              <w:rPr>
                <w:rFonts w:ascii="Verdana" w:hAnsi="Verdana"/>
                <w:b/>
                <w:noProof/>
                <w:color w:val="000000"/>
                <w:sz w:val="18"/>
              </w:rPr>
              <w:t>328 338</w:t>
            </w:r>
          </w:p>
        </w:tc>
      </w:tr>
    </w:tbl>
    <w:p>
      <w:pPr>
        <w:pStyle w:val="HEADER3NOTES"/>
        <w:numPr>
          <w:ilvl w:val="2"/>
          <w:numId w:val="15"/>
        </w:numPr>
        <w:rPr>
          <w:noProof/>
        </w:rPr>
      </w:pPr>
      <w:r>
        <w:rPr>
          <w:noProof/>
        </w:rPr>
        <w:t>Actifs financiers au coût amorti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00"/>
        <w:gridCol w:w="1878"/>
        <w:gridCol w:w="1791"/>
        <w:gridCol w:w="1489"/>
      </w:tblGrid>
      <w:tr>
        <w:trPr>
          <w:trHeight w:val="255"/>
        </w:trPr>
        <w:tc>
          <w:tcPr>
            <w:tcW w:w="4600" w:type="dxa"/>
            <w:tcBorders>
              <w:top w:val="nil"/>
              <w:left w:val="nil"/>
              <w:bottom w:val="nil"/>
              <w:right w:val="nil"/>
              <w:tl2br w:val="nil"/>
              <w:tr2bl w:val="nil"/>
            </w:tcBorders>
            <w:tcMar>
              <w:left w:w="60" w:type="dxa"/>
              <w:right w:w="60" w:type="dxa"/>
            </w:tcMar>
            <w:vAlign w:val="bottom"/>
          </w:tcPr>
          <w:p>
            <w:pPr>
              <w:pStyle w:val="DMETW36764BIPLO"/>
              <w:rPr>
                <w:rFonts w:ascii="Verdana" w:eastAsia="Verdana" w:hAnsi="Verdana" w:cs="Verdana"/>
                <w:noProof/>
                <w:color w:val="000000"/>
              </w:rPr>
            </w:pPr>
            <w:bookmarkStart w:id="98" w:name="DOC_TBL00020_1_1"/>
            <w:bookmarkEnd w:id="98"/>
          </w:p>
        </w:tc>
        <w:tc>
          <w:tcPr>
            <w:tcW w:w="1878" w:type="dxa"/>
            <w:tcBorders>
              <w:top w:val="nil"/>
              <w:left w:val="nil"/>
              <w:bottom w:val="nil"/>
              <w:right w:val="nil"/>
              <w:tl2br w:val="nil"/>
              <w:tr2bl w:val="nil"/>
            </w:tcBorders>
            <w:tcMar>
              <w:left w:w="60" w:type="dxa"/>
              <w:right w:w="60" w:type="dxa"/>
            </w:tcMar>
            <w:vAlign w:val="bottom"/>
          </w:tcPr>
          <w:p>
            <w:pPr>
              <w:pStyle w:val="DMETW36764BIPLO"/>
              <w:rPr>
                <w:rFonts w:ascii="Verdana" w:eastAsia="Verdana" w:hAnsi="Verdana" w:cs="Verdana"/>
                <w:noProof/>
                <w:color w:val="000000"/>
              </w:rPr>
            </w:pPr>
          </w:p>
        </w:tc>
        <w:tc>
          <w:tcPr>
            <w:tcW w:w="1791" w:type="dxa"/>
            <w:tcBorders>
              <w:top w:val="nil"/>
              <w:left w:val="nil"/>
              <w:bottom w:val="nil"/>
              <w:right w:val="nil"/>
              <w:tl2br w:val="nil"/>
              <w:tr2bl w:val="nil"/>
            </w:tcBorders>
            <w:tcMar>
              <w:left w:w="60" w:type="dxa"/>
              <w:right w:w="60" w:type="dxa"/>
            </w:tcMar>
            <w:vAlign w:val="bottom"/>
          </w:tcPr>
          <w:p>
            <w:pPr>
              <w:pStyle w:val="DMETW36764BIPLO"/>
              <w:rPr>
                <w:rFonts w:ascii="Verdana" w:eastAsia="Verdana" w:hAnsi="Verdana" w:cs="Verdana"/>
                <w:noProof/>
                <w:color w:val="000000"/>
              </w:rPr>
            </w:pPr>
          </w:p>
        </w:tc>
        <w:tc>
          <w:tcPr>
            <w:tcW w:w="1489" w:type="dxa"/>
            <w:tcBorders>
              <w:top w:val="nil"/>
              <w:left w:val="nil"/>
              <w:bottom w:val="nil"/>
              <w:right w:val="nil"/>
              <w:tl2br w:val="nil"/>
              <w:tr2bl w:val="nil"/>
            </w:tcBorders>
            <w:tcMar>
              <w:left w:w="60" w:type="dxa"/>
              <w:right w:w="60" w:type="dxa"/>
            </w:tcMar>
            <w:vAlign w:val="bottom"/>
          </w:tcPr>
          <w:p>
            <w:pPr>
              <w:pStyle w:val="DMETW36764BIPLO"/>
              <w:jc w:val="right"/>
              <w:rPr>
                <w:rFonts w:ascii="Verdana" w:eastAsia="Verdana" w:hAnsi="Verdana" w:cs="Verdana"/>
                <w:i/>
                <w:noProof/>
                <w:color w:val="000000"/>
                <w:sz w:val="16"/>
              </w:rPr>
            </w:pPr>
            <w:r>
              <w:rPr>
                <w:rFonts w:ascii="Verdana" w:hAnsi="Verdana"/>
                <w:i/>
                <w:noProof/>
                <w:color w:val="000000"/>
                <w:sz w:val="16"/>
              </w:rPr>
              <w:t>en Mio EUR</w:t>
            </w:r>
          </w:p>
        </w:tc>
      </w:tr>
      <w:tr>
        <w:trPr>
          <w:trHeight w:val="255"/>
        </w:trPr>
        <w:tc>
          <w:tcPr>
            <w:tcW w:w="4600" w:type="dxa"/>
            <w:tcBorders>
              <w:top w:val="nil"/>
              <w:left w:val="nil"/>
              <w:bottom w:val="nil"/>
              <w:right w:val="nil"/>
              <w:tl2br w:val="nil"/>
              <w:tr2bl w:val="nil"/>
            </w:tcBorders>
            <w:shd w:val="solid" w:color="016794" w:fill="FFFFFF"/>
            <w:tcMar>
              <w:left w:w="60" w:type="dxa"/>
              <w:right w:w="60" w:type="dxa"/>
            </w:tcMar>
            <w:vAlign w:val="center"/>
          </w:tcPr>
          <w:p>
            <w:pPr>
              <w:pStyle w:val="DMETW36764BIPLO"/>
              <w:rPr>
                <w:rFonts w:ascii="Verdana" w:eastAsia="Verdana" w:hAnsi="Verdana" w:cs="Verdana"/>
                <w:noProof/>
                <w:color w:val="FFFFFF"/>
              </w:rPr>
            </w:pPr>
          </w:p>
        </w:tc>
        <w:tc>
          <w:tcPr>
            <w:tcW w:w="1878" w:type="dxa"/>
            <w:tcBorders>
              <w:top w:val="nil"/>
              <w:left w:val="nil"/>
              <w:bottom w:val="nil"/>
              <w:right w:val="nil"/>
              <w:tl2br w:val="nil"/>
              <w:tr2bl w:val="nil"/>
            </w:tcBorders>
            <w:shd w:val="solid" w:color="016794" w:fill="FFFFFF"/>
            <w:tcMar>
              <w:left w:w="60" w:type="dxa"/>
              <w:right w:w="60" w:type="dxa"/>
            </w:tcMar>
            <w:vAlign w:val="center"/>
          </w:tcPr>
          <w:p>
            <w:pPr>
              <w:pStyle w:val="DMETW36764BIPLO"/>
              <w:jc w:val="center"/>
              <w:rPr>
                <w:rFonts w:ascii="Verdana" w:eastAsia="Verdana" w:hAnsi="Verdana" w:cs="Verdana"/>
                <w:noProof/>
                <w:color w:val="FFFFFF"/>
              </w:rPr>
            </w:pPr>
            <w:r>
              <w:rPr>
                <w:rFonts w:ascii="Verdana" w:hAnsi="Verdana"/>
                <w:noProof/>
                <w:color w:val="FFFFFF"/>
              </w:rPr>
              <w:t>Note</w:t>
            </w:r>
          </w:p>
        </w:tc>
        <w:tc>
          <w:tcPr>
            <w:tcW w:w="1791" w:type="dxa"/>
            <w:tcBorders>
              <w:top w:val="nil"/>
              <w:left w:val="nil"/>
              <w:bottom w:val="nil"/>
              <w:right w:val="nil"/>
              <w:tl2br w:val="nil"/>
              <w:tr2bl w:val="nil"/>
            </w:tcBorders>
            <w:shd w:val="solid" w:color="016794" w:fill="FFFFFF"/>
            <w:tcMar>
              <w:left w:w="60" w:type="dxa"/>
              <w:right w:w="60" w:type="dxa"/>
            </w:tcMar>
            <w:vAlign w:val="center"/>
          </w:tcPr>
          <w:p>
            <w:pPr>
              <w:pStyle w:val="DMETW36764BIPLO"/>
              <w:jc w:val="right"/>
              <w:rPr>
                <w:rFonts w:ascii="Verdana" w:eastAsia="Verdana" w:hAnsi="Verdana" w:cs="Verdana"/>
                <w:noProof/>
                <w:color w:val="FFFFFF"/>
              </w:rPr>
            </w:pPr>
            <w:r>
              <w:rPr>
                <w:rFonts w:ascii="Verdana" w:hAnsi="Verdana"/>
                <w:noProof/>
                <w:color w:val="FFFFFF"/>
              </w:rPr>
              <w:t>31.12.2025</w:t>
            </w:r>
          </w:p>
        </w:tc>
        <w:tc>
          <w:tcPr>
            <w:tcW w:w="1489" w:type="dxa"/>
            <w:tcBorders>
              <w:top w:val="nil"/>
              <w:left w:val="nil"/>
              <w:bottom w:val="nil"/>
              <w:right w:val="nil"/>
              <w:tl2br w:val="nil"/>
              <w:tr2bl w:val="nil"/>
            </w:tcBorders>
            <w:shd w:val="solid" w:color="016794" w:fill="FFFFFF"/>
            <w:tcMar>
              <w:left w:w="60" w:type="dxa"/>
              <w:right w:w="60" w:type="dxa"/>
            </w:tcMar>
            <w:vAlign w:val="center"/>
          </w:tcPr>
          <w:p>
            <w:pPr>
              <w:pStyle w:val="DMETW36764BIPLO"/>
              <w:jc w:val="right"/>
              <w:rPr>
                <w:rFonts w:ascii="Verdana" w:eastAsia="Verdana" w:hAnsi="Verdana" w:cs="Verdana"/>
                <w:noProof/>
                <w:color w:val="FFFFFF"/>
              </w:rPr>
            </w:pPr>
            <w:r>
              <w:rPr>
                <w:rFonts w:ascii="Verdana" w:hAnsi="Verdana"/>
                <w:noProof/>
                <w:color w:val="FFFFFF"/>
              </w:rPr>
              <w:t>31.12.2024</w:t>
            </w:r>
          </w:p>
        </w:tc>
      </w:tr>
      <w:tr>
        <w:trPr>
          <w:trHeight w:val="255"/>
        </w:trPr>
        <w:tc>
          <w:tcPr>
            <w:tcW w:w="4600" w:type="dxa"/>
            <w:tcBorders>
              <w:top w:val="nil"/>
              <w:left w:val="nil"/>
              <w:bottom w:val="nil"/>
              <w:right w:val="nil"/>
              <w:tl2br w:val="nil"/>
              <w:tr2bl w:val="nil"/>
            </w:tcBorders>
            <w:tcMar>
              <w:left w:w="60" w:type="dxa"/>
              <w:right w:w="60" w:type="dxa"/>
            </w:tcMar>
            <w:vAlign w:val="center"/>
          </w:tcPr>
          <w:p>
            <w:pPr>
              <w:pStyle w:val="DMETW36764BIPLO"/>
              <w:rPr>
                <w:rFonts w:ascii="Verdana" w:eastAsia="Verdana" w:hAnsi="Verdana" w:cs="Verdana"/>
                <w:i/>
                <w:noProof/>
                <w:color w:val="000000"/>
                <w:sz w:val="18"/>
              </w:rPr>
            </w:pPr>
            <w:r>
              <w:rPr>
                <w:rFonts w:ascii="Verdana" w:hAnsi="Verdana"/>
                <w:i/>
                <w:noProof/>
                <w:color w:val="000000"/>
                <w:sz w:val="18"/>
              </w:rPr>
              <w:t>Prêts aux États membres de l’UE et à des pays tiers</w:t>
            </w:r>
          </w:p>
        </w:tc>
        <w:tc>
          <w:tcPr>
            <w:tcW w:w="1878" w:type="dxa"/>
            <w:tcBorders>
              <w:top w:val="nil"/>
              <w:left w:val="nil"/>
              <w:bottom w:val="nil"/>
              <w:right w:val="nil"/>
              <w:tl2br w:val="nil"/>
              <w:tr2bl w:val="nil"/>
            </w:tcBorders>
            <w:tcMar>
              <w:left w:w="60" w:type="dxa"/>
              <w:right w:w="60" w:type="dxa"/>
            </w:tcMar>
            <w:vAlign w:val="center"/>
          </w:tcPr>
          <w:p>
            <w:pPr>
              <w:pStyle w:val="DMETW36764BIPLO"/>
              <w:jc w:val="center"/>
              <w:rPr>
                <w:rFonts w:ascii="Verdana" w:eastAsia="Verdana" w:hAnsi="Verdana" w:cs="Verdana"/>
                <w:i/>
                <w:noProof/>
                <w:color w:val="000000"/>
                <w:sz w:val="18"/>
              </w:rPr>
            </w:pPr>
            <w:r>
              <w:rPr>
                <w:rFonts w:ascii="Verdana" w:hAnsi="Verdana"/>
                <w:i/>
                <w:noProof/>
                <w:color w:val="000000"/>
                <w:sz w:val="18"/>
              </w:rPr>
              <w:t>2.4.1.1</w:t>
            </w:r>
          </w:p>
        </w:tc>
        <w:tc>
          <w:tcPr>
            <w:tcW w:w="1791" w:type="dxa"/>
            <w:tcBorders>
              <w:top w:val="nil"/>
              <w:left w:val="nil"/>
              <w:bottom w:val="nil"/>
              <w:right w:val="nil"/>
              <w:tl2br w:val="nil"/>
              <w:tr2bl w:val="nil"/>
            </w:tcBorders>
            <w:tcMar>
              <w:left w:w="60" w:type="dxa"/>
              <w:right w:w="60" w:type="dxa"/>
            </w:tcMar>
            <w:vAlign w:val="bottom"/>
          </w:tcPr>
          <w:p>
            <w:pPr>
              <w:pStyle w:val="DMETW36764BIPLO"/>
              <w:jc w:val="right"/>
              <w:rPr>
                <w:rFonts w:ascii="Verdana" w:eastAsia="Verdana" w:hAnsi="Verdana" w:cs="Verdana"/>
                <w:i/>
                <w:noProof/>
                <w:color w:val="000000"/>
                <w:sz w:val="18"/>
              </w:rPr>
            </w:pPr>
            <w:r>
              <w:rPr>
                <w:rFonts w:ascii="Verdana" w:hAnsi="Verdana"/>
                <w:i/>
                <w:noProof/>
                <w:color w:val="000000"/>
                <w:sz w:val="18"/>
              </w:rPr>
              <w:t>332 821</w:t>
            </w:r>
          </w:p>
        </w:tc>
        <w:tc>
          <w:tcPr>
            <w:tcW w:w="1489" w:type="dxa"/>
            <w:tcBorders>
              <w:top w:val="nil"/>
              <w:left w:val="nil"/>
              <w:bottom w:val="nil"/>
              <w:right w:val="nil"/>
              <w:tl2br w:val="nil"/>
              <w:tr2bl w:val="nil"/>
            </w:tcBorders>
            <w:tcMar>
              <w:left w:w="60" w:type="dxa"/>
              <w:right w:w="60" w:type="dxa"/>
            </w:tcMar>
            <w:vAlign w:val="bottom"/>
          </w:tcPr>
          <w:p>
            <w:pPr>
              <w:pStyle w:val="DMETW36764BIPLO"/>
              <w:jc w:val="right"/>
              <w:rPr>
                <w:rFonts w:ascii="Verdana" w:eastAsia="Verdana" w:hAnsi="Verdana" w:cs="Verdana"/>
                <w:i/>
                <w:noProof/>
                <w:color w:val="000000"/>
                <w:sz w:val="18"/>
              </w:rPr>
            </w:pPr>
            <w:r>
              <w:rPr>
                <w:rFonts w:ascii="Verdana" w:hAnsi="Verdana"/>
                <w:i/>
                <w:noProof/>
                <w:color w:val="000000"/>
                <w:sz w:val="18"/>
              </w:rPr>
              <w:t>283 114</w:t>
            </w:r>
          </w:p>
        </w:tc>
      </w:tr>
      <w:tr>
        <w:trPr>
          <w:trHeight w:val="255"/>
        </w:trPr>
        <w:tc>
          <w:tcPr>
            <w:tcW w:w="4600" w:type="dxa"/>
            <w:tcBorders>
              <w:top w:val="nil"/>
              <w:left w:val="nil"/>
              <w:bottom w:val="single" w:sz="4" w:space="0" w:color="016794"/>
              <w:right w:val="nil"/>
              <w:tl2br w:val="nil"/>
              <w:tr2bl w:val="nil"/>
            </w:tcBorders>
            <w:tcMar>
              <w:left w:w="60" w:type="dxa"/>
              <w:right w:w="60" w:type="dxa"/>
            </w:tcMar>
            <w:vAlign w:val="center"/>
          </w:tcPr>
          <w:p>
            <w:pPr>
              <w:pStyle w:val="DMETW36764BIPLO"/>
              <w:rPr>
                <w:rFonts w:ascii="Verdana" w:eastAsia="Verdana" w:hAnsi="Verdana" w:cs="Verdana"/>
                <w:i/>
                <w:noProof/>
                <w:color w:val="000000"/>
                <w:sz w:val="18"/>
              </w:rPr>
            </w:pPr>
            <w:r>
              <w:rPr>
                <w:rFonts w:ascii="Verdana" w:hAnsi="Verdana"/>
                <w:i/>
                <w:noProof/>
                <w:color w:val="000000"/>
                <w:sz w:val="18"/>
              </w:rPr>
              <w:t>Autres prêts</w:t>
            </w:r>
          </w:p>
        </w:tc>
        <w:tc>
          <w:tcPr>
            <w:tcW w:w="1878" w:type="dxa"/>
            <w:tcBorders>
              <w:top w:val="nil"/>
              <w:left w:val="nil"/>
              <w:bottom w:val="single" w:sz="4" w:space="0" w:color="016794"/>
              <w:right w:val="nil"/>
              <w:tl2br w:val="nil"/>
              <w:tr2bl w:val="nil"/>
            </w:tcBorders>
            <w:tcMar>
              <w:left w:w="60" w:type="dxa"/>
              <w:right w:w="60" w:type="dxa"/>
            </w:tcMar>
            <w:vAlign w:val="center"/>
          </w:tcPr>
          <w:p>
            <w:pPr>
              <w:pStyle w:val="DMETW36764BIPLO"/>
              <w:jc w:val="center"/>
              <w:rPr>
                <w:rFonts w:ascii="Verdana" w:eastAsia="Verdana" w:hAnsi="Verdana" w:cs="Verdana"/>
                <w:i/>
                <w:noProof/>
                <w:color w:val="000000"/>
                <w:sz w:val="18"/>
              </w:rPr>
            </w:pPr>
            <w:r>
              <w:rPr>
                <w:rFonts w:ascii="Verdana" w:hAnsi="Verdana"/>
                <w:i/>
                <w:noProof/>
                <w:color w:val="000000"/>
                <w:sz w:val="18"/>
              </w:rPr>
              <w:t>2.4.1.2</w:t>
            </w:r>
          </w:p>
        </w:tc>
        <w:tc>
          <w:tcPr>
            <w:tcW w:w="1791" w:type="dxa"/>
            <w:tcBorders>
              <w:top w:val="nil"/>
              <w:left w:val="nil"/>
              <w:bottom w:val="single" w:sz="4" w:space="0" w:color="016794"/>
              <w:right w:val="nil"/>
              <w:tl2br w:val="nil"/>
              <w:tr2bl w:val="nil"/>
            </w:tcBorders>
            <w:tcMar>
              <w:left w:w="60" w:type="dxa"/>
              <w:right w:w="60" w:type="dxa"/>
            </w:tcMar>
            <w:vAlign w:val="bottom"/>
          </w:tcPr>
          <w:p>
            <w:pPr>
              <w:pStyle w:val="DMETW36764BIPLO"/>
              <w:jc w:val="right"/>
              <w:rPr>
                <w:rFonts w:ascii="Verdana" w:eastAsia="Verdana" w:hAnsi="Verdana" w:cs="Verdana"/>
                <w:i/>
                <w:noProof/>
                <w:color w:val="000000"/>
                <w:sz w:val="18"/>
              </w:rPr>
            </w:pPr>
            <w:r>
              <w:rPr>
                <w:rFonts w:ascii="Verdana" w:hAnsi="Verdana"/>
                <w:i/>
                <w:noProof/>
                <w:color w:val="000000"/>
                <w:sz w:val="18"/>
              </w:rPr>
              <w:t xml:space="preserve"> 611</w:t>
            </w:r>
          </w:p>
        </w:tc>
        <w:tc>
          <w:tcPr>
            <w:tcW w:w="1489" w:type="dxa"/>
            <w:tcBorders>
              <w:top w:val="nil"/>
              <w:left w:val="nil"/>
              <w:bottom w:val="single" w:sz="4" w:space="0" w:color="016794"/>
              <w:right w:val="nil"/>
              <w:tl2br w:val="nil"/>
              <w:tr2bl w:val="nil"/>
            </w:tcBorders>
            <w:tcMar>
              <w:left w:w="60" w:type="dxa"/>
              <w:right w:w="60" w:type="dxa"/>
            </w:tcMar>
            <w:vAlign w:val="bottom"/>
          </w:tcPr>
          <w:p>
            <w:pPr>
              <w:pStyle w:val="DMETW36764BIPLO"/>
              <w:jc w:val="right"/>
              <w:rPr>
                <w:rFonts w:ascii="Verdana" w:eastAsia="Verdana" w:hAnsi="Verdana" w:cs="Verdana"/>
                <w:i/>
                <w:noProof/>
                <w:color w:val="000000"/>
                <w:sz w:val="18"/>
              </w:rPr>
            </w:pPr>
            <w:r>
              <w:rPr>
                <w:rFonts w:ascii="Verdana" w:hAnsi="Verdana"/>
                <w:i/>
                <w:noProof/>
                <w:color w:val="000000"/>
                <w:sz w:val="18"/>
              </w:rPr>
              <w:t xml:space="preserve"> 466</w:t>
            </w:r>
          </w:p>
        </w:tc>
      </w:tr>
      <w:tr>
        <w:trPr>
          <w:trHeight w:val="255"/>
        </w:trPr>
        <w:tc>
          <w:tcPr>
            <w:tcW w:w="460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4BIPLO"/>
              <w:rPr>
                <w:rFonts w:ascii="Verdana" w:eastAsia="Verdana" w:hAnsi="Verdana" w:cs="Verdana"/>
                <w:b/>
                <w:noProof/>
                <w:color w:val="000000"/>
                <w:sz w:val="18"/>
              </w:rPr>
            </w:pPr>
            <w:r>
              <w:rPr>
                <w:rFonts w:ascii="Verdana" w:hAnsi="Verdana"/>
                <w:b/>
                <w:noProof/>
                <w:color w:val="000000"/>
                <w:sz w:val="18"/>
              </w:rPr>
              <w:t>Total</w:t>
            </w:r>
          </w:p>
        </w:tc>
        <w:tc>
          <w:tcPr>
            <w:tcW w:w="1878"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64BIPLO"/>
              <w:jc w:val="right"/>
              <w:rPr>
                <w:rFonts w:ascii="Verdana" w:eastAsia="Verdana" w:hAnsi="Verdana" w:cs="Verdana"/>
                <w:b/>
                <w:noProof/>
                <w:color w:val="000000"/>
                <w:sz w:val="18"/>
              </w:rPr>
            </w:pPr>
          </w:p>
        </w:tc>
        <w:tc>
          <w:tcPr>
            <w:tcW w:w="1791"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64BIPLO"/>
              <w:jc w:val="right"/>
              <w:rPr>
                <w:rFonts w:ascii="Verdana" w:eastAsia="Verdana" w:hAnsi="Verdana" w:cs="Verdana"/>
                <w:b/>
                <w:noProof/>
                <w:color w:val="000000"/>
                <w:sz w:val="18"/>
              </w:rPr>
            </w:pPr>
            <w:r>
              <w:rPr>
                <w:rFonts w:ascii="Verdana" w:hAnsi="Verdana"/>
                <w:b/>
                <w:noProof/>
                <w:color w:val="000000"/>
                <w:sz w:val="18"/>
              </w:rPr>
              <w:t>333 432</w:t>
            </w:r>
          </w:p>
        </w:tc>
        <w:tc>
          <w:tcPr>
            <w:tcW w:w="1489"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64BIPLO"/>
              <w:jc w:val="right"/>
              <w:rPr>
                <w:rFonts w:ascii="Verdana" w:eastAsia="Verdana" w:hAnsi="Verdana" w:cs="Verdana"/>
                <w:b/>
                <w:noProof/>
                <w:color w:val="000000"/>
                <w:sz w:val="18"/>
              </w:rPr>
            </w:pPr>
            <w:r>
              <w:rPr>
                <w:rFonts w:ascii="Verdana" w:hAnsi="Verdana"/>
                <w:b/>
                <w:noProof/>
                <w:color w:val="000000"/>
                <w:sz w:val="18"/>
              </w:rPr>
              <w:t>283 580</w:t>
            </w:r>
          </w:p>
        </w:tc>
      </w:tr>
      <w:tr>
        <w:trPr>
          <w:trHeight w:val="255"/>
        </w:trPr>
        <w:tc>
          <w:tcPr>
            <w:tcW w:w="4600" w:type="dxa"/>
            <w:tcBorders>
              <w:top w:val="single" w:sz="4" w:space="0" w:color="016794"/>
              <w:left w:val="nil"/>
              <w:bottom w:val="nil"/>
              <w:right w:val="nil"/>
              <w:tl2br w:val="nil"/>
              <w:tr2bl w:val="nil"/>
            </w:tcBorders>
            <w:tcMar>
              <w:left w:w="60" w:type="dxa"/>
              <w:right w:w="60" w:type="dxa"/>
            </w:tcMar>
            <w:vAlign w:val="center"/>
          </w:tcPr>
          <w:p>
            <w:pPr>
              <w:pStyle w:val="DMETW36764BIPLO"/>
              <w:rPr>
                <w:rFonts w:ascii="Verdana" w:eastAsia="Verdana" w:hAnsi="Verdana" w:cs="Verdana"/>
                <w:i/>
                <w:noProof/>
                <w:color w:val="016794"/>
                <w:sz w:val="18"/>
              </w:rPr>
            </w:pPr>
            <w:r>
              <w:rPr>
                <w:rFonts w:ascii="Verdana" w:hAnsi="Verdana"/>
                <w:i/>
                <w:noProof/>
                <w:color w:val="016794"/>
                <w:sz w:val="18"/>
              </w:rPr>
              <w:t>Non courants</w:t>
            </w:r>
          </w:p>
        </w:tc>
        <w:tc>
          <w:tcPr>
            <w:tcW w:w="1878" w:type="dxa"/>
            <w:tcBorders>
              <w:top w:val="single" w:sz="4" w:space="0" w:color="016794"/>
              <w:left w:val="nil"/>
              <w:bottom w:val="nil"/>
              <w:right w:val="nil"/>
              <w:tl2br w:val="nil"/>
              <w:tr2bl w:val="nil"/>
            </w:tcBorders>
            <w:tcMar>
              <w:left w:w="60" w:type="dxa"/>
              <w:right w:w="60" w:type="dxa"/>
            </w:tcMar>
            <w:vAlign w:val="bottom"/>
          </w:tcPr>
          <w:p>
            <w:pPr>
              <w:pStyle w:val="DMETW36764BIPLO"/>
              <w:jc w:val="right"/>
              <w:rPr>
                <w:rFonts w:ascii="Verdana" w:eastAsia="Verdana" w:hAnsi="Verdana" w:cs="Verdana"/>
                <w:i/>
                <w:noProof/>
                <w:color w:val="016794"/>
                <w:sz w:val="18"/>
              </w:rPr>
            </w:pPr>
          </w:p>
        </w:tc>
        <w:tc>
          <w:tcPr>
            <w:tcW w:w="1791" w:type="dxa"/>
            <w:tcBorders>
              <w:top w:val="single" w:sz="4" w:space="0" w:color="016794"/>
              <w:left w:val="nil"/>
              <w:bottom w:val="nil"/>
              <w:right w:val="nil"/>
              <w:tl2br w:val="nil"/>
              <w:tr2bl w:val="nil"/>
            </w:tcBorders>
            <w:tcMar>
              <w:left w:w="60" w:type="dxa"/>
              <w:right w:w="60" w:type="dxa"/>
            </w:tcMar>
            <w:vAlign w:val="bottom"/>
          </w:tcPr>
          <w:p>
            <w:pPr>
              <w:pStyle w:val="DMETW36764BIPLO"/>
              <w:jc w:val="right"/>
              <w:rPr>
                <w:rFonts w:ascii="Verdana" w:eastAsia="Verdana" w:hAnsi="Verdana" w:cs="Verdana"/>
                <w:i/>
                <w:noProof/>
                <w:color w:val="016794"/>
                <w:sz w:val="18"/>
              </w:rPr>
            </w:pPr>
            <w:r>
              <w:rPr>
                <w:rFonts w:ascii="Verdana" w:hAnsi="Verdana"/>
                <w:i/>
                <w:noProof/>
                <w:color w:val="016794"/>
                <w:sz w:val="18"/>
              </w:rPr>
              <w:t>314 887</w:t>
            </w:r>
          </w:p>
        </w:tc>
        <w:tc>
          <w:tcPr>
            <w:tcW w:w="1489" w:type="dxa"/>
            <w:tcBorders>
              <w:top w:val="single" w:sz="4" w:space="0" w:color="016794"/>
              <w:left w:val="nil"/>
              <w:bottom w:val="nil"/>
              <w:right w:val="nil"/>
              <w:tl2br w:val="nil"/>
              <w:tr2bl w:val="nil"/>
            </w:tcBorders>
            <w:tcMar>
              <w:left w:w="60" w:type="dxa"/>
              <w:right w:w="60" w:type="dxa"/>
            </w:tcMar>
            <w:vAlign w:val="bottom"/>
          </w:tcPr>
          <w:p>
            <w:pPr>
              <w:pStyle w:val="DMETW36764BIPLO"/>
              <w:jc w:val="right"/>
              <w:rPr>
                <w:rFonts w:ascii="Verdana" w:eastAsia="Verdana" w:hAnsi="Verdana" w:cs="Verdana"/>
                <w:i/>
                <w:noProof/>
                <w:color w:val="016794"/>
                <w:sz w:val="18"/>
              </w:rPr>
            </w:pPr>
            <w:r>
              <w:rPr>
                <w:rFonts w:ascii="Verdana" w:hAnsi="Verdana"/>
                <w:i/>
                <w:noProof/>
                <w:color w:val="016794"/>
                <w:sz w:val="18"/>
              </w:rPr>
              <w:t>269 903</w:t>
            </w:r>
          </w:p>
        </w:tc>
      </w:tr>
      <w:tr>
        <w:trPr>
          <w:trHeight w:val="255"/>
        </w:trPr>
        <w:tc>
          <w:tcPr>
            <w:tcW w:w="4600" w:type="dxa"/>
            <w:tcBorders>
              <w:top w:val="nil"/>
              <w:left w:val="nil"/>
              <w:bottom w:val="nil"/>
              <w:right w:val="nil"/>
              <w:tl2br w:val="nil"/>
              <w:tr2bl w:val="nil"/>
            </w:tcBorders>
            <w:tcMar>
              <w:left w:w="60" w:type="dxa"/>
              <w:right w:w="60" w:type="dxa"/>
            </w:tcMar>
            <w:vAlign w:val="center"/>
          </w:tcPr>
          <w:p>
            <w:pPr>
              <w:pStyle w:val="DMETW36764BIPLO"/>
              <w:rPr>
                <w:rFonts w:ascii="Verdana" w:eastAsia="Verdana" w:hAnsi="Verdana" w:cs="Verdana"/>
                <w:i/>
                <w:noProof/>
                <w:color w:val="016794"/>
                <w:sz w:val="18"/>
              </w:rPr>
            </w:pPr>
            <w:r>
              <w:rPr>
                <w:rFonts w:ascii="Verdana" w:hAnsi="Verdana"/>
                <w:i/>
                <w:noProof/>
                <w:color w:val="016794"/>
                <w:sz w:val="18"/>
              </w:rPr>
              <w:t>Courants</w:t>
            </w:r>
          </w:p>
        </w:tc>
        <w:tc>
          <w:tcPr>
            <w:tcW w:w="1878" w:type="dxa"/>
            <w:tcBorders>
              <w:top w:val="nil"/>
              <w:left w:val="nil"/>
              <w:bottom w:val="nil"/>
              <w:right w:val="nil"/>
              <w:tl2br w:val="nil"/>
              <w:tr2bl w:val="nil"/>
            </w:tcBorders>
            <w:tcMar>
              <w:left w:w="60" w:type="dxa"/>
              <w:right w:w="60" w:type="dxa"/>
            </w:tcMar>
            <w:vAlign w:val="bottom"/>
          </w:tcPr>
          <w:p>
            <w:pPr>
              <w:pStyle w:val="DMETW36764BIPLO"/>
              <w:jc w:val="right"/>
              <w:rPr>
                <w:rFonts w:ascii="Verdana" w:eastAsia="Verdana" w:hAnsi="Verdana" w:cs="Verdana"/>
                <w:i/>
                <w:noProof/>
                <w:color w:val="016794"/>
                <w:sz w:val="18"/>
              </w:rPr>
            </w:pPr>
          </w:p>
        </w:tc>
        <w:tc>
          <w:tcPr>
            <w:tcW w:w="1791" w:type="dxa"/>
            <w:tcBorders>
              <w:top w:val="nil"/>
              <w:left w:val="nil"/>
              <w:bottom w:val="nil"/>
              <w:right w:val="nil"/>
              <w:tl2br w:val="nil"/>
              <w:tr2bl w:val="nil"/>
            </w:tcBorders>
            <w:tcMar>
              <w:left w:w="60" w:type="dxa"/>
              <w:right w:w="60" w:type="dxa"/>
            </w:tcMar>
            <w:vAlign w:val="bottom"/>
          </w:tcPr>
          <w:p>
            <w:pPr>
              <w:pStyle w:val="DMETW36764BIPLO"/>
              <w:jc w:val="right"/>
              <w:rPr>
                <w:rFonts w:ascii="Verdana" w:eastAsia="Verdana" w:hAnsi="Verdana" w:cs="Verdana"/>
                <w:i/>
                <w:noProof/>
                <w:color w:val="016794"/>
                <w:sz w:val="18"/>
              </w:rPr>
            </w:pPr>
            <w:r>
              <w:rPr>
                <w:rFonts w:ascii="Verdana" w:hAnsi="Verdana"/>
                <w:i/>
                <w:noProof/>
                <w:color w:val="016794"/>
                <w:sz w:val="18"/>
              </w:rPr>
              <w:t>18 545</w:t>
            </w:r>
          </w:p>
        </w:tc>
        <w:tc>
          <w:tcPr>
            <w:tcW w:w="1489" w:type="dxa"/>
            <w:tcBorders>
              <w:top w:val="nil"/>
              <w:left w:val="nil"/>
              <w:bottom w:val="nil"/>
              <w:right w:val="nil"/>
              <w:tl2br w:val="nil"/>
              <w:tr2bl w:val="nil"/>
            </w:tcBorders>
            <w:tcMar>
              <w:left w:w="60" w:type="dxa"/>
              <w:right w:w="60" w:type="dxa"/>
            </w:tcMar>
            <w:vAlign w:val="bottom"/>
          </w:tcPr>
          <w:p>
            <w:pPr>
              <w:pStyle w:val="DMETW36764BIPLO"/>
              <w:jc w:val="right"/>
              <w:rPr>
                <w:rFonts w:ascii="Verdana" w:eastAsia="Verdana" w:hAnsi="Verdana" w:cs="Verdana"/>
                <w:i/>
                <w:noProof/>
                <w:color w:val="016794"/>
                <w:sz w:val="18"/>
              </w:rPr>
            </w:pPr>
            <w:r>
              <w:rPr>
                <w:rFonts w:ascii="Verdana" w:hAnsi="Verdana"/>
                <w:i/>
                <w:noProof/>
                <w:color w:val="016794"/>
                <w:sz w:val="18"/>
              </w:rPr>
              <w:t>13 677</w:t>
            </w:r>
          </w:p>
        </w:tc>
      </w:tr>
    </w:tbl>
    <w:p>
      <w:pPr>
        <w:pStyle w:val="HEADER4NOTES"/>
        <w:numPr>
          <w:ilvl w:val="3"/>
          <w:numId w:val="15"/>
        </w:numPr>
        <w:rPr>
          <w:noProof/>
        </w:rPr>
      </w:pPr>
      <w:r>
        <w:rPr>
          <w:noProof/>
        </w:rPr>
        <w:t>Prêts aux États membres de l’UE et à des pays tiers</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7"/>
        <w:gridCol w:w="3473"/>
        <w:gridCol w:w="1538"/>
      </w:tblGrid>
      <w:tr>
        <w:trPr>
          <w:trHeight w:val="255"/>
        </w:trPr>
        <w:tc>
          <w:tcPr>
            <w:tcW w:w="4747" w:type="dxa"/>
            <w:tcBorders>
              <w:top w:val="nil"/>
              <w:left w:val="nil"/>
              <w:bottom w:val="nil"/>
              <w:right w:val="nil"/>
              <w:tl2br w:val="nil"/>
              <w:tr2bl w:val="nil"/>
            </w:tcBorders>
            <w:tcMar>
              <w:left w:w="60" w:type="dxa"/>
              <w:right w:w="60" w:type="dxa"/>
            </w:tcMar>
            <w:vAlign w:val="bottom"/>
          </w:tcPr>
          <w:p>
            <w:pPr>
              <w:pStyle w:val="DMETW36627BIPLNGEU"/>
              <w:rPr>
                <w:rFonts w:ascii="Verdana" w:eastAsia="Verdana" w:hAnsi="Verdana" w:cs="Verdana"/>
                <w:noProof/>
                <w:color w:val="000000"/>
                <w:sz w:val="18"/>
              </w:rPr>
            </w:pPr>
            <w:bookmarkStart w:id="99" w:name="DOC_TBL00021_1_1"/>
            <w:bookmarkEnd w:id="99"/>
          </w:p>
        </w:tc>
        <w:tc>
          <w:tcPr>
            <w:tcW w:w="3473" w:type="dxa"/>
            <w:tcBorders>
              <w:top w:val="nil"/>
              <w:left w:val="nil"/>
              <w:bottom w:val="nil"/>
              <w:right w:val="nil"/>
              <w:tl2br w:val="nil"/>
              <w:tr2bl w:val="nil"/>
            </w:tcBorders>
            <w:tcMar>
              <w:left w:w="60" w:type="dxa"/>
              <w:right w:w="60" w:type="dxa"/>
            </w:tcMar>
            <w:vAlign w:val="bottom"/>
          </w:tcPr>
          <w:p>
            <w:pPr>
              <w:pStyle w:val="DMETW36627BIPLNGEU"/>
              <w:rPr>
                <w:rFonts w:ascii="Verdana" w:eastAsia="Verdana" w:hAnsi="Verdana" w:cs="Verdana"/>
                <w:noProof/>
                <w:color w:val="000000"/>
                <w:sz w:val="18"/>
              </w:rPr>
            </w:pPr>
          </w:p>
        </w:tc>
        <w:tc>
          <w:tcPr>
            <w:tcW w:w="1538" w:type="dxa"/>
            <w:tcBorders>
              <w:top w:val="nil"/>
              <w:left w:val="nil"/>
              <w:bottom w:val="nil"/>
              <w:right w:val="nil"/>
              <w:tl2br w:val="nil"/>
              <w:tr2bl w:val="nil"/>
            </w:tcBorders>
            <w:tcMar>
              <w:left w:w="60" w:type="dxa"/>
              <w:right w:w="60" w:type="dxa"/>
            </w:tcMar>
            <w:vAlign w:val="bottom"/>
          </w:tcPr>
          <w:p>
            <w:pPr>
              <w:pStyle w:val="DMETW36627BIPLNGEU"/>
              <w:jc w:val="right"/>
              <w:rPr>
                <w:rFonts w:ascii="Verdana" w:eastAsia="Verdana" w:hAnsi="Verdana" w:cs="Verdana"/>
                <w:i/>
                <w:noProof/>
                <w:color w:val="000000"/>
                <w:sz w:val="16"/>
              </w:rPr>
            </w:pPr>
            <w:r>
              <w:rPr>
                <w:rFonts w:ascii="Verdana" w:hAnsi="Verdana"/>
                <w:i/>
                <w:noProof/>
                <w:color w:val="000000"/>
                <w:sz w:val="16"/>
              </w:rPr>
              <w:t>en Mio EUR</w:t>
            </w:r>
          </w:p>
        </w:tc>
      </w:tr>
      <w:tr>
        <w:trPr>
          <w:trHeight w:val="255"/>
        </w:trPr>
        <w:tc>
          <w:tcPr>
            <w:tcW w:w="4747" w:type="dxa"/>
            <w:tcBorders>
              <w:top w:val="nil"/>
              <w:left w:val="nil"/>
              <w:bottom w:val="nil"/>
              <w:right w:val="nil"/>
              <w:tl2br w:val="nil"/>
              <w:tr2bl w:val="nil"/>
            </w:tcBorders>
            <w:shd w:val="solid" w:color="016794" w:fill="FFFFFF"/>
            <w:tcMar>
              <w:left w:w="60" w:type="dxa"/>
              <w:right w:w="60" w:type="dxa"/>
            </w:tcMar>
            <w:vAlign w:val="center"/>
          </w:tcPr>
          <w:p>
            <w:pPr>
              <w:pStyle w:val="DMETW36627BIPLNGEU"/>
              <w:jc w:val="right"/>
              <w:rPr>
                <w:rFonts w:ascii="Verdana" w:eastAsia="Verdana" w:hAnsi="Verdana" w:cs="Verdana"/>
                <w:noProof/>
                <w:color w:val="FFFFFF"/>
                <w:sz w:val="18"/>
              </w:rPr>
            </w:pPr>
          </w:p>
        </w:tc>
        <w:tc>
          <w:tcPr>
            <w:tcW w:w="3473" w:type="dxa"/>
            <w:tcBorders>
              <w:top w:val="nil"/>
              <w:left w:val="nil"/>
              <w:bottom w:val="nil"/>
              <w:right w:val="nil"/>
              <w:tl2br w:val="nil"/>
              <w:tr2bl w:val="nil"/>
            </w:tcBorders>
            <w:shd w:val="solid" w:color="016794" w:fill="FFFFFF"/>
            <w:tcMar>
              <w:left w:w="60" w:type="dxa"/>
              <w:right w:w="60" w:type="dxa"/>
            </w:tcMar>
            <w:vAlign w:val="center"/>
          </w:tcPr>
          <w:p>
            <w:pPr>
              <w:pStyle w:val="DMETW36627BIPLNGEU"/>
              <w:jc w:val="right"/>
              <w:rPr>
                <w:rFonts w:ascii="Verdana" w:eastAsia="Verdana" w:hAnsi="Verdana" w:cs="Verdana"/>
                <w:noProof/>
                <w:color w:val="FFFFFF"/>
                <w:sz w:val="18"/>
              </w:rPr>
            </w:pPr>
            <w:r>
              <w:rPr>
                <w:rFonts w:ascii="Verdana" w:hAnsi="Verdana"/>
                <w:noProof/>
                <w:color w:val="FFFFFF"/>
                <w:sz w:val="18"/>
              </w:rPr>
              <w:t>31.12.2025</w:t>
            </w:r>
          </w:p>
        </w:tc>
        <w:tc>
          <w:tcPr>
            <w:tcW w:w="1538" w:type="dxa"/>
            <w:tcBorders>
              <w:top w:val="nil"/>
              <w:left w:val="nil"/>
              <w:bottom w:val="nil"/>
              <w:right w:val="nil"/>
              <w:tl2br w:val="nil"/>
              <w:tr2bl w:val="nil"/>
            </w:tcBorders>
            <w:shd w:val="solid" w:color="016794" w:fill="FFFFFF"/>
            <w:tcMar>
              <w:left w:w="60" w:type="dxa"/>
              <w:right w:w="60" w:type="dxa"/>
            </w:tcMar>
            <w:vAlign w:val="center"/>
          </w:tcPr>
          <w:p>
            <w:pPr>
              <w:pStyle w:val="DMETW36627BIPLNGEU"/>
              <w:jc w:val="right"/>
              <w:rPr>
                <w:rFonts w:ascii="Verdana" w:eastAsia="Verdana" w:hAnsi="Verdana" w:cs="Verdana"/>
                <w:noProof/>
                <w:color w:val="FFFFFF"/>
                <w:sz w:val="18"/>
              </w:rPr>
            </w:pPr>
            <w:r>
              <w:rPr>
                <w:rFonts w:ascii="Verdana" w:hAnsi="Verdana"/>
                <w:noProof/>
                <w:color w:val="FFFFFF"/>
                <w:sz w:val="18"/>
              </w:rPr>
              <w:t>31.12.2024</w:t>
            </w:r>
          </w:p>
        </w:tc>
      </w:tr>
      <w:tr>
        <w:trPr>
          <w:trHeight w:val="255"/>
        </w:trPr>
        <w:tc>
          <w:tcPr>
            <w:tcW w:w="4747" w:type="dxa"/>
            <w:tcBorders>
              <w:top w:val="nil"/>
              <w:left w:val="nil"/>
              <w:bottom w:val="nil"/>
              <w:right w:val="nil"/>
              <w:tl2br w:val="nil"/>
              <w:tr2bl w:val="nil"/>
            </w:tcBorders>
            <w:tcMar>
              <w:left w:w="60" w:type="dxa"/>
              <w:right w:w="60" w:type="dxa"/>
            </w:tcMar>
            <w:vAlign w:val="center"/>
          </w:tcPr>
          <w:p>
            <w:pPr>
              <w:pStyle w:val="DMETW36627BIPLNGEU"/>
              <w:rPr>
                <w:rFonts w:ascii="Verdana" w:eastAsia="Verdana" w:hAnsi="Verdana" w:cs="Verdana"/>
                <w:i/>
                <w:noProof/>
                <w:color w:val="000000"/>
                <w:sz w:val="18"/>
              </w:rPr>
            </w:pPr>
            <w:r>
              <w:rPr>
                <w:rFonts w:ascii="Verdana" w:hAnsi="Verdana"/>
                <w:i/>
                <w:noProof/>
                <w:color w:val="000000"/>
                <w:sz w:val="18"/>
              </w:rPr>
              <w:t>Prêts aux États membres</w:t>
            </w:r>
          </w:p>
        </w:tc>
        <w:tc>
          <w:tcPr>
            <w:tcW w:w="3473" w:type="dxa"/>
            <w:tcBorders>
              <w:top w:val="nil"/>
              <w:left w:val="nil"/>
              <w:bottom w:val="nil"/>
              <w:right w:val="nil"/>
              <w:tl2br w:val="nil"/>
              <w:tr2bl w:val="nil"/>
            </w:tcBorders>
            <w:tcMar>
              <w:left w:w="60" w:type="dxa"/>
              <w:right w:w="60" w:type="dxa"/>
            </w:tcMar>
            <w:vAlign w:val="center"/>
          </w:tcPr>
          <w:p>
            <w:pPr>
              <w:pStyle w:val="DMETW36627BIPLNGEU"/>
              <w:jc w:val="right"/>
              <w:rPr>
                <w:rFonts w:ascii="Verdana" w:eastAsia="Verdana" w:hAnsi="Verdana" w:cs="Verdana"/>
                <w:i/>
                <w:noProof/>
                <w:color w:val="000000"/>
                <w:sz w:val="18"/>
              </w:rPr>
            </w:pPr>
            <w:r>
              <w:rPr>
                <w:rFonts w:ascii="Verdana" w:hAnsi="Verdana"/>
                <w:i/>
                <w:noProof/>
                <w:color w:val="000000"/>
                <w:sz w:val="18"/>
              </w:rPr>
              <w:t>286 301</w:t>
            </w:r>
          </w:p>
        </w:tc>
        <w:tc>
          <w:tcPr>
            <w:tcW w:w="1538" w:type="dxa"/>
            <w:tcBorders>
              <w:top w:val="nil"/>
              <w:left w:val="nil"/>
              <w:bottom w:val="nil"/>
              <w:right w:val="nil"/>
              <w:tl2br w:val="nil"/>
              <w:tr2bl w:val="nil"/>
            </w:tcBorders>
            <w:tcMar>
              <w:left w:w="60" w:type="dxa"/>
              <w:right w:w="60" w:type="dxa"/>
            </w:tcMar>
            <w:vAlign w:val="center"/>
          </w:tcPr>
          <w:p>
            <w:pPr>
              <w:pStyle w:val="DMETW36627BIPLNGEU"/>
              <w:jc w:val="right"/>
              <w:rPr>
                <w:rFonts w:ascii="Verdana" w:eastAsia="Verdana" w:hAnsi="Verdana" w:cs="Verdana"/>
                <w:i/>
                <w:noProof/>
                <w:color w:val="000000"/>
                <w:sz w:val="18"/>
              </w:rPr>
            </w:pPr>
            <w:r>
              <w:rPr>
                <w:rFonts w:ascii="Verdana" w:hAnsi="Verdana"/>
                <w:i/>
                <w:noProof/>
                <w:color w:val="000000"/>
                <w:sz w:val="18"/>
              </w:rPr>
              <w:t>251 457</w:t>
            </w:r>
          </w:p>
        </w:tc>
      </w:tr>
      <w:tr>
        <w:trPr>
          <w:trHeight w:val="255"/>
        </w:trPr>
        <w:tc>
          <w:tcPr>
            <w:tcW w:w="4747" w:type="dxa"/>
            <w:tcBorders>
              <w:top w:val="nil"/>
              <w:left w:val="nil"/>
              <w:bottom w:val="single" w:sz="4" w:space="0" w:color="016794"/>
              <w:right w:val="nil"/>
              <w:tl2br w:val="nil"/>
              <w:tr2bl w:val="nil"/>
            </w:tcBorders>
            <w:tcMar>
              <w:left w:w="60" w:type="dxa"/>
              <w:right w:w="60" w:type="dxa"/>
            </w:tcMar>
            <w:vAlign w:val="center"/>
          </w:tcPr>
          <w:p>
            <w:pPr>
              <w:pStyle w:val="DMETW36627BIPLNGEU"/>
              <w:rPr>
                <w:rFonts w:ascii="Verdana" w:eastAsia="Verdana" w:hAnsi="Verdana" w:cs="Verdana"/>
                <w:i/>
                <w:noProof/>
                <w:color w:val="000000"/>
                <w:sz w:val="18"/>
              </w:rPr>
            </w:pPr>
            <w:r>
              <w:rPr>
                <w:rFonts w:ascii="Verdana" w:hAnsi="Verdana"/>
                <w:i/>
                <w:noProof/>
                <w:color w:val="000000"/>
                <w:sz w:val="18"/>
              </w:rPr>
              <w:t>Prêts à des pays tiers</w:t>
            </w:r>
          </w:p>
        </w:tc>
        <w:tc>
          <w:tcPr>
            <w:tcW w:w="3473" w:type="dxa"/>
            <w:tcBorders>
              <w:top w:val="nil"/>
              <w:left w:val="nil"/>
              <w:bottom w:val="single" w:sz="4" w:space="0" w:color="016794"/>
              <w:right w:val="nil"/>
              <w:tl2br w:val="nil"/>
              <w:tr2bl w:val="nil"/>
            </w:tcBorders>
            <w:tcMar>
              <w:left w:w="60" w:type="dxa"/>
              <w:right w:w="60" w:type="dxa"/>
            </w:tcMar>
            <w:vAlign w:val="center"/>
          </w:tcPr>
          <w:p>
            <w:pPr>
              <w:pStyle w:val="DMETW36627BIPLNGEU"/>
              <w:jc w:val="right"/>
              <w:rPr>
                <w:rFonts w:ascii="Verdana" w:eastAsia="Verdana" w:hAnsi="Verdana" w:cs="Verdana"/>
                <w:i/>
                <w:noProof/>
                <w:color w:val="000000"/>
                <w:sz w:val="18"/>
              </w:rPr>
            </w:pPr>
            <w:r>
              <w:rPr>
                <w:rFonts w:ascii="Verdana" w:hAnsi="Verdana"/>
                <w:i/>
                <w:noProof/>
                <w:color w:val="000000"/>
                <w:sz w:val="18"/>
              </w:rPr>
              <w:t>46 520</w:t>
            </w:r>
          </w:p>
        </w:tc>
        <w:tc>
          <w:tcPr>
            <w:tcW w:w="1538" w:type="dxa"/>
            <w:tcBorders>
              <w:top w:val="nil"/>
              <w:left w:val="nil"/>
              <w:bottom w:val="single" w:sz="4" w:space="0" w:color="016794"/>
              <w:right w:val="nil"/>
              <w:tl2br w:val="nil"/>
              <w:tr2bl w:val="nil"/>
            </w:tcBorders>
            <w:tcMar>
              <w:left w:w="60" w:type="dxa"/>
              <w:right w:w="60" w:type="dxa"/>
            </w:tcMar>
            <w:vAlign w:val="center"/>
          </w:tcPr>
          <w:p>
            <w:pPr>
              <w:pStyle w:val="DMETW36627BIPLNGEU"/>
              <w:jc w:val="right"/>
              <w:rPr>
                <w:rFonts w:ascii="Verdana" w:eastAsia="Verdana" w:hAnsi="Verdana" w:cs="Verdana"/>
                <w:i/>
                <w:noProof/>
                <w:color w:val="000000"/>
                <w:sz w:val="18"/>
              </w:rPr>
            </w:pPr>
            <w:r>
              <w:rPr>
                <w:rFonts w:ascii="Verdana" w:hAnsi="Verdana"/>
                <w:i/>
                <w:noProof/>
                <w:color w:val="000000"/>
                <w:sz w:val="18"/>
              </w:rPr>
              <w:t>31 656</w:t>
            </w:r>
          </w:p>
        </w:tc>
      </w:tr>
      <w:tr>
        <w:trPr>
          <w:trHeight w:val="255"/>
        </w:trPr>
        <w:tc>
          <w:tcPr>
            <w:tcW w:w="4747"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27BIPLNGEU"/>
              <w:rPr>
                <w:rFonts w:ascii="Verdana" w:eastAsia="Verdana" w:hAnsi="Verdana" w:cs="Verdana"/>
                <w:b/>
                <w:noProof/>
                <w:color w:val="000000"/>
                <w:sz w:val="18"/>
              </w:rPr>
            </w:pPr>
            <w:r>
              <w:rPr>
                <w:rFonts w:ascii="Verdana" w:hAnsi="Verdana"/>
                <w:b/>
                <w:noProof/>
                <w:color w:val="000000"/>
                <w:sz w:val="18"/>
              </w:rPr>
              <w:t>Total au 31.12.2025</w:t>
            </w:r>
          </w:p>
        </w:tc>
        <w:tc>
          <w:tcPr>
            <w:tcW w:w="347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27BIPLNGEU"/>
              <w:jc w:val="right"/>
              <w:rPr>
                <w:rFonts w:ascii="Verdana" w:eastAsia="Verdana" w:hAnsi="Verdana" w:cs="Verdana"/>
                <w:b/>
                <w:noProof/>
                <w:color w:val="000000"/>
                <w:sz w:val="18"/>
              </w:rPr>
            </w:pPr>
            <w:r>
              <w:rPr>
                <w:rFonts w:ascii="Verdana" w:hAnsi="Verdana"/>
                <w:b/>
                <w:noProof/>
                <w:color w:val="000000"/>
                <w:sz w:val="18"/>
              </w:rPr>
              <w:t>332 821</w:t>
            </w:r>
          </w:p>
        </w:tc>
        <w:tc>
          <w:tcPr>
            <w:tcW w:w="153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27BIPLNGEU"/>
              <w:jc w:val="right"/>
              <w:rPr>
                <w:rFonts w:ascii="Verdana" w:eastAsia="Verdana" w:hAnsi="Verdana" w:cs="Verdana"/>
                <w:b/>
                <w:noProof/>
                <w:color w:val="000000"/>
                <w:sz w:val="18"/>
              </w:rPr>
            </w:pPr>
            <w:r>
              <w:rPr>
                <w:rFonts w:ascii="Verdana" w:hAnsi="Verdana"/>
                <w:b/>
                <w:noProof/>
                <w:color w:val="000000"/>
                <w:sz w:val="18"/>
              </w:rPr>
              <w:t>283 114</w:t>
            </w:r>
          </w:p>
        </w:tc>
      </w:tr>
      <w:tr>
        <w:trPr>
          <w:trHeight w:val="255"/>
        </w:trPr>
        <w:tc>
          <w:tcPr>
            <w:tcW w:w="4747" w:type="dxa"/>
            <w:tcBorders>
              <w:top w:val="single" w:sz="4" w:space="0" w:color="016794"/>
              <w:left w:val="nil"/>
              <w:bottom w:val="nil"/>
              <w:right w:val="nil"/>
              <w:tl2br w:val="nil"/>
              <w:tr2bl w:val="nil"/>
            </w:tcBorders>
            <w:tcMar>
              <w:left w:w="60" w:type="dxa"/>
              <w:right w:w="60" w:type="dxa"/>
            </w:tcMar>
            <w:vAlign w:val="center"/>
          </w:tcPr>
          <w:p>
            <w:pPr>
              <w:pStyle w:val="DMETW36627BIPLNGEU"/>
              <w:rPr>
                <w:rFonts w:ascii="Verdana" w:eastAsia="Verdana" w:hAnsi="Verdana" w:cs="Verdana"/>
                <w:i/>
                <w:noProof/>
                <w:color w:val="016794"/>
                <w:sz w:val="18"/>
              </w:rPr>
            </w:pPr>
            <w:r>
              <w:rPr>
                <w:rFonts w:ascii="Verdana" w:hAnsi="Verdana"/>
                <w:i/>
                <w:noProof/>
                <w:color w:val="016794"/>
                <w:sz w:val="18"/>
              </w:rPr>
              <w:t>Non courants</w:t>
            </w:r>
          </w:p>
        </w:tc>
        <w:tc>
          <w:tcPr>
            <w:tcW w:w="3473" w:type="dxa"/>
            <w:tcBorders>
              <w:top w:val="single" w:sz="4" w:space="0" w:color="016794"/>
              <w:left w:val="nil"/>
              <w:bottom w:val="nil"/>
              <w:right w:val="nil"/>
              <w:tl2br w:val="nil"/>
              <w:tr2bl w:val="nil"/>
            </w:tcBorders>
            <w:tcMar>
              <w:left w:w="60" w:type="dxa"/>
              <w:right w:w="60" w:type="dxa"/>
            </w:tcMar>
            <w:vAlign w:val="center"/>
          </w:tcPr>
          <w:p>
            <w:pPr>
              <w:pStyle w:val="DMETW36627BIPLNGEU"/>
              <w:jc w:val="right"/>
              <w:rPr>
                <w:rFonts w:ascii="Verdana" w:eastAsia="Verdana" w:hAnsi="Verdana" w:cs="Verdana"/>
                <w:i/>
                <w:noProof/>
                <w:color w:val="016794"/>
                <w:sz w:val="18"/>
              </w:rPr>
            </w:pPr>
            <w:r>
              <w:rPr>
                <w:rFonts w:ascii="Verdana" w:hAnsi="Verdana"/>
                <w:i/>
                <w:noProof/>
                <w:color w:val="016794"/>
                <w:sz w:val="18"/>
              </w:rPr>
              <w:t>314 764</w:t>
            </w:r>
          </w:p>
        </w:tc>
        <w:tc>
          <w:tcPr>
            <w:tcW w:w="1538" w:type="dxa"/>
            <w:tcBorders>
              <w:top w:val="single" w:sz="4" w:space="0" w:color="016794"/>
              <w:left w:val="nil"/>
              <w:bottom w:val="nil"/>
              <w:right w:val="nil"/>
              <w:tl2br w:val="nil"/>
              <w:tr2bl w:val="nil"/>
            </w:tcBorders>
            <w:tcMar>
              <w:left w:w="60" w:type="dxa"/>
              <w:right w:w="60" w:type="dxa"/>
            </w:tcMar>
            <w:vAlign w:val="center"/>
          </w:tcPr>
          <w:p>
            <w:pPr>
              <w:pStyle w:val="DMETW36627BIPLNGEU"/>
              <w:jc w:val="right"/>
              <w:rPr>
                <w:rFonts w:ascii="Verdana" w:eastAsia="Verdana" w:hAnsi="Verdana" w:cs="Verdana"/>
                <w:i/>
                <w:noProof/>
                <w:color w:val="016794"/>
                <w:sz w:val="18"/>
              </w:rPr>
            </w:pPr>
            <w:r>
              <w:rPr>
                <w:rFonts w:ascii="Verdana" w:hAnsi="Verdana"/>
                <w:i/>
                <w:noProof/>
                <w:color w:val="016794"/>
                <w:sz w:val="18"/>
              </w:rPr>
              <w:t>269 782</w:t>
            </w:r>
          </w:p>
        </w:tc>
      </w:tr>
      <w:tr>
        <w:trPr>
          <w:trHeight w:val="255"/>
        </w:trPr>
        <w:tc>
          <w:tcPr>
            <w:tcW w:w="4747" w:type="dxa"/>
            <w:tcBorders>
              <w:top w:val="nil"/>
              <w:left w:val="nil"/>
              <w:bottom w:val="nil"/>
              <w:right w:val="nil"/>
              <w:tl2br w:val="nil"/>
              <w:tr2bl w:val="nil"/>
            </w:tcBorders>
            <w:tcMar>
              <w:left w:w="60" w:type="dxa"/>
              <w:right w:w="60" w:type="dxa"/>
            </w:tcMar>
            <w:vAlign w:val="center"/>
          </w:tcPr>
          <w:p>
            <w:pPr>
              <w:pStyle w:val="DMETW36627BIPLNGEU"/>
              <w:rPr>
                <w:rFonts w:ascii="Verdana" w:eastAsia="Verdana" w:hAnsi="Verdana" w:cs="Verdana"/>
                <w:i/>
                <w:noProof/>
                <w:color w:val="016794"/>
                <w:sz w:val="18"/>
              </w:rPr>
            </w:pPr>
            <w:r>
              <w:rPr>
                <w:rFonts w:ascii="Verdana" w:hAnsi="Verdana"/>
                <w:i/>
                <w:noProof/>
                <w:color w:val="016794"/>
                <w:sz w:val="18"/>
              </w:rPr>
              <w:t>Courants</w:t>
            </w:r>
          </w:p>
        </w:tc>
        <w:tc>
          <w:tcPr>
            <w:tcW w:w="3473" w:type="dxa"/>
            <w:tcBorders>
              <w:top w:val="nil"/>
              <w:left w:val="nil"/>
              <w:bottom w:val="nil"/>
              <w:right w:val="nil"/>
              <w:tl2br w:val="nil"/>
              <w:tr2bl w:val="nil"/>
            </w:tcBorders>
            <w:tcMar>
              <w:left w:w="60" w:type="dxa"/>
              <w:right w:w="60" w:type="dxa"/>
            </w:tcMar>
            <w:vAlign w:val="center"/>
          </w:tcPr>
          <w:p>
            <w:pPr>
              <w:pStyle w:val="DMETW36627BIPLNGEU"/>
              <w:jc w:val="right"/>
              <w:rPr>
                <w:rFonts w:ascii="Verdana" w:eastAsia="Verdana" w:hAnsi="Verdana" w:cs="Verdana"/>
                <w:i/>
                <w:noProof/>
                <w:color w:val="016794"/>
                <w:sz w:val="18"/>
              </w:rPr>
            </w:pPr>
            <w:r>
              <w:rPr>
                <w:rFonts w:ascii="Verdana" w:hAnsi="Verdana"/>
                <w:i/>
                <w:noProof/>
                <w:color w:val="016794"/>
                <w:sz w:val="18"/>
              </w:rPr>
              <w:t>18 056</w:t>
            </w:r>
          </w:p>
        </w:tc>
        <w:tc>
          <w:tcPr>
            <w:tcW w:w="1538" w:type="dxa"/>
            <w:tcBorders>
              <w:top w:val="nil"/>
              <w:left w:val="nil"/>
              <w:bottom w:val="nil"/>
              <w:right w:val="nil"/>
              <w:tl2br w:val="nil"/>
              <w:tr2bl w:val="nil"/>
            </w:tcBorders>
            <w:tcMar>
              <w:left w:w="60" w:type="dxa"/>
              <w:right w:w="60" w:type="dxa"/>
            </w:tcMar>
            <w:vAlign w:val="center"/>
          </w:tcPr>
          <w:p>
            <w:pPr>
              <w:pStyle w:val="DMETW36627BIPLNGEU"/>
              <w:jc w:val="right"/>
              <w:rPr>
                <w:rFonts w:ascii="Verdana" w:eastAsia="Verdana" w:hAnsi="Verdana" w:cs="Verdana"/>
                <w:i/>
                <w:noProof/>
                <w:color w:val="016794"/>
                <w:sz w:val="18"/>
              </w:rPr>
            </w:pPr>
            <w:r>
              <w:rPr>
                <w:rFonts w:ascii="Verdana" w:hAnsi="Verdana"/>
                <w:i/>
                <w:noProof/>
                <w:color w:val="016794"/>
                <w:sz w:val="18"/>
              </w:rPr>
              <w:t>13 332</w:t>
            </w:r>
          </w:p>
        </w:tc>
      </w:tr>
    </w:tbl>
    <w:p>
      <w:pPr>
        <w:pStyle w:val="HEADER5"/>
        <w:spacing w:before="240"/>
        <w:rPr>
          <w:noProof/>
        </w:rPr>
      </w:pPr>
      <w:r>
        <w:rPr>
          <w:noProof/>
        </w:rPr>
        <w:t>Prêts aux États membres</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32"/>
        <w:gridCol w:w="1811"/>
        <w:gridCol w:w="1309"/>
        <w:gridCol w:w="1223"/>
        <w:gridCol w:w="1281"/>
        <w:gridCol w:w="1202"/>
      </w:tblGrid>
      <w:tr>
        <w:trPr>
          <w:trHeight w:val="255"/>
        </w:trPr>
        <w:tc>
          <w:tcPr>
            <w:tcW w:w="2932" w:type="dxa"/>
            <w:tcBorders>
              <w:top w:val="nil"/>
              <w:left w:val="nil"/>
              <w:bottom w:val="nil"/>
              <w:right w:val="nil"/>
              <w:tl2br w:val="nil"/>
              <w:tr2bl w:val="nil"/>
            </w:tcBorders>
            <w:tcMar>
              <w:left w:w="60" w:type="dxa"/>
              <w:right w:w="60" w:type="dxa"/>
            </w:tcMar>
            <w:vAlign w:val="bottom"/>
          </w:tcPr>
          <w:p>
            <w:pPr>
              <w:pStyle w:val="DMETW36627BIPLMS"/>
              <w:rPr>
                <w:rFonts w:ascii="Verdana" w:eastAsia="Verdana" w:hAnsi="Verdana" w:cs="Verdana"/>
                <w:noProof/>
                <w:color w:val="000000"/>
                <w:sz w:val="18"/>
              </w:rPr>
            </w:pPr>
            <w:bookmarkStart w:id="100" w:name="DOC_TBL00022_1_1"/>
            <w:bookmarkEnd w:id="100"/>
          </w:p>
        </w:tc>
        <w:tc>
          <w:tcPr>
            <w:tcW w:w="1811" w:type="dxa"/>
            <w:tcBorders>
              <w:top w:val="nil"/>
              <w:left w:val="nil"/>
              <w:bottom w:val="nil"/>
              <w:right w:val="nil"/>
              <w:tl2br w:val="nil"/>
              <w:tr2bl w:val="nil"/>
            </w:tcBorders>
            <w:tcMar>
              <w:left w:w="60" w:type="dxa"/>
              <w:right w:w="60" w:type="dxa"/>
            </w:tcMar>
            <w:vAlign w:val="bottom"/>
          </w:tcPr>
          <w:p>
            <w:pPr>
              <w:pStyle w:val="DMETW36627BIPLMS"/>
              <w:rPr>
                <w:rFonts w:ascii="Verdana" w:eastAsia="Verdana" w:hAnsi="Verdana" w:cs="Verdana"/>
                <w:noProof/>
                <w:color w:val="000000"/>
                <w:sz w:val="18"/>
              </w:rPr>
            </w:pPr>
          </w:p>
        </w:tc>
        <w:tc>
          <w:tcPr>
            <w:tcW w:w="1309" w:type="dxa"/>
            <w:tcBorders>
              <w:top w:val="nil"/>
              <w:left w:val="nil"/>
              <w:bottom w:val="nil"/>
              <w:right w:val="nil"/>
              <w:tl2br w:val="nil"/>
              <w:tr2bl w:val="nil"/>
            </w:tcBorders>
            <w:tcMar>
              <w:left w:w="60" w:type="dxa"/>
              <w:right w:w="60" w:type="dxa"/>
            </w:tcMar>
            <w:vAlign w:val="bottom"/>
          </w:tcPr>
          <w:p>
            <w:pPr>
              <w:pStyle w:val="DMETW36627BIPLMS"/>
              <w:rPr>
                <w:rFonts w:ascii="Verdana" w:eastAsia="Verdana" w:hAnsi="Verdana" w:cs="Verdana"/>
                <w:noProof/>
                <w:color w:val="000000"/>
                <w:sz w:val="18"/>
              </w:rPr>
            </w:pPr>
          </w:p>
        </w:tc>
        <w:tc>
          <w:tcPr>
            <w:tcW w:w="1223" w:type="dxa"/>
            <w:tcBorders>
              <w:top w:val="nil"/>
              <w:left w:val="nil"/>
              <w:bottom w:val="nil"/>
              <w:right w:val="nil"/>
              <w:tl2br w:val="nil"/>
              <w:tr2bl w:val="nil"/>
            </w:tcBorders>
            <w:tcMar>
              <w:left w:w="60" w:type="dxa"/>
              <w:right w:w="60" w:type="dxa"/>
            </w:tcMar>
            <w:vAlign w:val="bottom"/>
          </w:tcPr>
          <w:p>
            <w:pPr>
              <w:pStyle w:val="DMETW36627BIPLMS"/>
              <w:rPr>
                <w:rFonts w:ascii="Verdana" w:eastAsia="Verdana" w:hAnsi="Verdana" w:cs="Verdana"/>
                <w:noProof/>
                <w:color w:val="000000"/>
                <w:sz w:val="18"/>
              </w:rPr>
            </w:pPr>
          </w:p>
        </w:tc>
        <w:tc>
          <w:tcPr>
            <w:tcW w:w="1281" w:type="dxa"/>
            <w:tcBorders>
              <w:top w:val="nil"/>
              <w:left w:val="nil"/>
              <w:bottom w:val="nil"/>
              <w:right w:val="nil"/>
              <w:tl2br w:val="nil"/>
              <w:tr2bl w:val="nil"/>
            </w:tcBorders>
            <w:tcMar>
              <w:left w:w="60" w:type="dxa"/>
              <w:right w:w="60" w:type="dxa"/>
            </w:tcMar>
            <w:vAlign w:val="bottom"/>
          </w:tcPr>
          <w:p>
            <w:pPr>
              <w:pStyle w:val="DMETW36627BIPLMS"/>
              <w:rPr>
                <w:rFonts w:ascii="Verdana" w:eastAsia="Verdana" w:hAnsi="Verdana" w:cs="Verdana"/>
                <w:noProof/>
                <w:color w:val="000000"/>
                <w:sz w:val="18"/>
              </w:rPr>
            </w:pPr>
          </w:p>
        </w:tc>
        <w:tc>
          <w:tcPr>
            <w:tcW w:w="1202" w:type="dxa"/>
            <w:tcBorders>
              <w:top w:val="nil"/>
              <w:left w:val="nil"/>
              <w:bottom w:val="nil"/>
              <w:right w:val="nil"/>
              <w:tl2br w:val="nil"/>
              <w:tr2bl w:val="nil"/>
            </w:tcBorders>
            <w:tcMar>
              <w:left w:w="60" w:type="dxa"/>
              <w:right w:w="60" w:type="dxa"/>
            </w:tcMar>
            <w:vAlign w:val="bottom"/>
          </w:tcPr>
          <w:p>
            <w:pPr>
              <w:pStyle w:val="DMETW36627BIPLMS"/>
              <w:jc w:val="right"/>
              <w:rPr>
                <w:rFonts w:ascii="Verdana" w:eastAsia="Verdana" w:hAnsi="Verdana" w:cs="Verdana"/>
                <w:i/>
                <w:noProof/>
                <w:color w:val="000000"/>
                <w:sz w:val="16"/>
              </w:rPr>
            </w:pPr>
            <w:r>
              <w:rPr>
                <w:rFonts w:ascii="Verdana" w:hAnsi="Verdana"/>
                <w:i/>
                <w:noProof/>
                <w:color w:val="000000"/>
                <w:sz w:val="16"/>
              </w:rPr>
              <w:t>en Mio EUR</w:t>
            </w:r>
          </w:p>
        </w:tc>
      </w:tr>
      <w:tr>
        <w:trPr>
          <w:trHeight w:val="255"/>
        </w:trPr>
        <w:tc>
          <w:tcPr>
            <w:tcW w:w="2932" w:type="dxa"/>
            <w:tcBorders>
              <w:top w:val="nil"/>
              <w:left w:val="nil"/>
              <w:bottom w:val="nil"/>
              <w:right w:val="nil"/>
              <w:tl2br w:val="nil"/>
              <w:tr2bl w:val="nil"/>
            </w:tcBorders>
            <w:shd w:val="solid" w:color="016794" w:fill="FFFFFF"/>
            <w:tcMar>
              <w:left w:w="60" w:type="dxa"/>
              <w:right w:w="60" w:type="dxa"/>
            </w:tcMar>
            <w:vAlign w:val="center"/>
          </w:tcPr>
          <w:p>
            <w:pPr>
              <w:pStyle w:val="DMETW36627BIPLMS"/>
              <w:jc w:val="right"/>
              <w:rPr>
                <w:rFonts w:ascii="Verdana" w:eastAsia="Verdana" w:hAnsi="Verdana" w:cs="Verdana"/>
                <w:noProof/>
                <w:color w:val="FFFFFF"/>
                <w:sz w:val="18"/>
              </w:rPr>
            </w:pPr>
          </w:p>
        </w:tc>
        <w:tc>
          <w:tcPr>
            <w:tcW w:w="1811" w:type="dxa"/>
            <w:tcBorders>
              <w:top w:val="nil"/>
              <w:left w:val="nil"/>
              <w:bottom w:val="nil"/>
              <w:right w:val="nil"/>
              <w:tl2br w:val="nil"/>
              <w:tr2bl w:val="nil"/>
            </w:tcBorders>
            <w:shd w:val="solid" w:color="016794" w:fill="FFFFFF"/>
            <w:tcMar>
              <w:left w:w="60" w:type="dxa"/>
              <w:right w:w="60" w:type="dxa"/>
            </w:tcMar>
            <w:vAlign w:val="center"/>
          </w:tcPr>
          <w:p>
            <w:pPr>
              <w:pStyle w:val="DMETW36627BIPLMS"/>
              <w:jc w:val="right"/>
              <w:rPr>
                <w:rFonts w:ascii="Verdana" w:eastAsia="Verdana" w:hAnsi="Verdana" w:cs="Verdana"/>
                <w:noProof/>
                <w:color w:val="FFFFFF"/>
                <w:sz w:val="18"/>
              </w:rPr>
            </w:pPr>
            <w:r>
              <w:rPr>
                <w:rFonts w:ascii="Verdana" w:hAnsi="Verdana"/>
                <w:noProof/>
                <w:color w:val="FFFFFF"/>
                <w:sz w:val="18"/>
              </w:rPr>
              <w:t>FRR</w:t>
            </w:r>
          </w:p>
        </w:tc>
        <w:tc>
          <w:tcPr>
            <w:tcW w:w="1309" w:type="dxa"/>
            <w:tcBorders>
              <w:top w:val="nil"/>
              <w:left w:val="nil"/>
              <w:bottom w:val="nil"/>
              <w:right w:val="nil"/>
              <w:tl2br w:val="nil"/>
              <w:tr2bl w:val="nil"/>
            </w:tcBorders>
            <w:shd w:val="solid" w:color="016794" w:fill="FFFFFF"/>
            <w:tcMar>
              <w:left w:w="60" w:type="dxa"/>
              <w:right w:w="60" w:type="dxa"/>
            </w:tcMar>
            <w:vAlign w:val="center"/>
          </w:tcPr>
          <w:p>
            <w:pPr>
              <w:pStyle w:val="DMETW36627BIPLMS"/>
              <w:jc w:val="right"/>
              <w:rPr>
                <w:rFonts w:ascii="Verdana" w:eastAsia="Verdana" w:hAnsi="Verdana" w:cs="Verdana"/>
                <w:noProof/>
                <w:color w:val="FFFFFF"/>
                <w:sz w:val="18"/>
              </w:rPr>
            </w:pPr>
            <w:r>
              <w:rPr>
                <w:rFonts w:ascii="Verdana" w:hAnsi="Verdana"/>
                <w:noProof/>
                <w:color w:val="FFFFFF"/>
                <w:sz w:val="18"/>
              </w:rPr>
              <w:t>SURE</w:t>
            </w:r>
          </w:p>
        </w:tc>
        <w:tc>
          <w:tcPr>
            <w:tcW w:w="1223" w:type="dxa"/>
            <w:tcBorders>
              <w:top w:val="nil"/>
              <w:left w:val="nil"/>
              <w:bottom w:val="nil"/>
              <w:right w:val="nil"/>
              <w:tl2br w:val="nil"/>
              <w:tr2bl w:val="nil"/>
            </w:tcBorders>
            <w:shd w:val="solid" w:color="016794" w:fill="FFFFFF"/>
            <w:tcMar>
              <w:left w:w="60" w:type="dxa"/>
              <w:right w:w="60" w:type="dxa"/>
            </w:tcMar>
            <w:vAlign w:val="center"/>
          </w:tcPr>
          <w:p>
            <w:pPr>
              <w:pStyle w:val="DMETW36627BIPLMS"/>
              <w:jc w:val="right"/>
              <w:rPr>
                <w:rFonts w:ascii="Verdana" w:eastAsia="Verdana" w:hAnsi="Verdana" w:cs="Verdana"/>
                <w:noProof/>
                <w:color w:val="FFFFFF"/>
                <w:sz w:val="18"/>
              </w:rPr>
            </w:pPr>
            <w:r>
              <w:rPr>
                <w:rFonts w:ascii="Verdana" w:hAnsi="Verdana"/>
                <w:noProof/>
                <w:color w:val="FFFFFF"/>
                <w:sz w:val="18"/>
              </w:rPr>
              <w:t>MESF</w:t>
            </w:r>
          </w:p>
        </w:tc>
        <w:tc>
          <w:tcPr>
            <w:tcW w:w="1281" w:type="dxa"/>
            <w:tcBorders>
              <w:top w:val="nil"/>
              <w:left w:val="nil"/>
              <w:bottom w:val="nil"/>
              <w:right w:val="nil"/>
              <w:tl2br w:val="nil"/>
              <w:tr2bl w:val="nil"/>
            </w:tcBorders>
            <w:shd w:val="solid" w:color="016794" w:fill="FFFFFF"/>
            <w:tcMar>
              <w:left w:w="60" w:type="dxa"/>
              <w:right w:w="60" w:type="dxa"/>
            </w:tcMar>
            <w:vAlign w:val="center"/>
          </w:tcPr>
          <w:p>
            <w:pPr>
              <w:pStyle w:val="DMETW36627BIPLMS"/>
              <w:jc w:val="right"/>
              <w:rPr>
                <w:rFonts w:ascii="Verdana" w:eastAsia="Verdana" w:hAnsi="Verdana" w:cs="Verdana"/>
                <w:noProof/>
                <w:color w:val="FFFFFF"/>
                <w:sz w:val="18"/>
              </w:rPr>
            </w:pPr>
            <w:r>
              <w:rPr>
                <w:rFonts w:ascii="Verdana" w:hAnsi="Verdana"/>
                <w:noProof/>
                <w:color w:val="FFFFFF"/>
                <w:sz w:val="18"/>
              </w:rPr>
              <w:t>BDP</w:t>
            </w:r>
          </w:p>
        </w:tc>
        <w:tc>
          <w:tcPr>
            <w:tcW w:w="1202" w:type="dxa"/>
            <w:tcBorders>
              <w:top w:val="nil"/>
              <w:left w:val="nil"/>
              <w:bottom w:val="nil"/>
              <w:right w:val="nil"/>
              <w:tl2br w:val="nil"/>
              <w:tr2bl w:val="nil"/>
            </w:tcBorders>
            <w:shd w:val="solid" w:color="016794" w:fill="FFFFFF"/>
            <w:tcMar>
              <w:left w:w="60" w:type="dxa"/>
              <w:right w:w="60" w:type="dxa"/>
            </w:tcMar>
            <w:vAlign w:val="center"/>
          </w:tcPr>
          <w:p>
            <w:pPr>
              <w:pStyle w:val="DMETW36627BIPLMS"/>
              <w:jc w:val="right"/>
              <w:rPr>
                <w:rFonts w:ascii="Verdana" w:eastAsia="Verdana" w:hAnsi="Verdana" w:cs="Verdana"/>
                <w:noProof/>
                <w:color w:val="FFFFFF"/>
                <w:sz w:val="18"/>
              </w:rPr>
            </w:pPr>
            <w:r>
              <w:rPr>
                <w:rFonts w:ascii="Verdana" w:hAnsi="Verdana"/>
                <w:noProof/>
                <w:color w:val="FFFFFF"/>
                <w:sz w:val="18"/>
              </w:rPr>
              <w:t>Total</w:t>
            </w:r>
          </w:p>
        </w:tc>
      </w:tr>
      <w:tr>
        <w:trPr>
          <w:trHeight w:val="255"/>
        </w:trPr>
        <w:tc>
          <w:tcPr>
            <w:tcW w:w="2932" w:type="dxa"/>
            <w:tcBorders>
              <w:top w:val="nil"/>
              <w:left w:val="nil"/>
              <w:bottom w:val="nil"/>
              <w:right w:val="nil"/>
              <w:tl2br w:val="nil"/>
              <w:tr2bl w:val="nil"/>
            </w:tcBorders>
            <w:tcMar>
              <w:left w:w="60" w:type="dxa"/>
              <w:right w:w="60" w:type="dxa"/>
            </w:tcMar>
            <w:vAlign w:val="center"/>
          </w:tcPr>
          <w:p>
            <w:pPr>
              <w:pStyle w:val="DMETW36627BIPLMS"/>
              <w:rPr>
                <w:rFonts w:ascii="Verdana" w:eastAsia="Verdana" w:hAnsi="Verdana" w:cs="Verdana"/>
                <w:i/>
                <w:noProof/>
                <w:color w:val="000000"/>
                <w:sz w:val="18"/>
              </w:rPr>
            </w:pPr>
            <w:r>
              <w:rPr>
                <w:rFonts w:ascii="Verdana" w:hAnsi="Verdana"/>
                <w:i/>
                <w:noProof/>
                <w:color w:val="000000"/>
                <w:sz w:val="18"/>
              </w:rPr>
              <w:t>Total au 31.12.2024</w:t>
            </w:r>
          </w:p>
        </w:tc>
        <w:tc>
          <w:tcPr>
            <w:tcW w:w="1811" w:type="dxa"/>
            <w:tcBorders>
              <w:top w:val="nil"/>
              <w:left w:val="nil"/>
              <w:bottom w:val="nil"/>
              <w:right w:val="nil"/>
              <w:tl2br w:val="nil"/>
              <w:tr2bl w:val="nil"/>
            </w:tcBorders>
            <w:tcMar>
              <w:left w:w="60" w:type="dxa"/>
              <w:right w:w="60" w:type="dxa"/>
            </w:tcMar>
            <w:vAlign w:val="center"/>
          </w:tcPr>
          <w:p>
            <w:pPr>
              <w:pStyle w:val="DMETW36627BIPLMS"/>
              <w:jc w:val="right"/>
              <w:rPr>
                <w:rFonts w:ascii="Verdana" w:eastAsia="Verdana" w:hAnsi="Verdana" w:cs="Verdana"/>
                <w:i/>
                <w:noProof/>
                <w:color w:val="000000"/>
                <w:sz w:val="18"/>
              </w:rPr>
            </w:pPr>
            <w:r>
              <w:rPr>
                <w:rFonts w:ascii="Verdana" w:hAnsi="Verdana"/>
                <w:i/>
                <w:noProof/>
                <w:color w:val="000000"/>
                <w:sz w:val="18"/>
              </w:rPr>
              <w:t>110 120</w:t>
            </w:r>
          </w:p>
        </w:tc>
        <w:tc>
          <w:tcPr>
            <w:tcW w:w="1309" w:type="dxa"/>
            <w:tcBorders>
              <w:top w:val="nil"/>
              <w:left w:val="nil"/>
              <w:bottom w:val="nil"/>
              <w:right w:val="nil"/>
              <w:tl2br w:val="nil"/>
              <w:tr2bl w:val="nil"/>
            </w:tcBorders>
            <w:tcMar>
              <w:left w:w="60" w:type="dxa"/>
              <w:right w:w="60" w:type="dxa"/>
            </w:tcMar>
            <w:vAlign w:val="center"/>
          </w:tcPr>
          <w:p>
            <w:pPr>
              <w:pStyle w:val="DMETW36627BIPLMS"/>
              <w:jc w:val="right"/>
              <w:rPr>
                <w:rFonts w:ascii="Verdana" w:eastAsia="Verdana" w:hAnsi="Verdana" w:cs="Verdana"/>
                <w:i/>
                <w:noProof/>
                <w:color w:val="000000"/>
                <w:sz w:val="18"/>
              </w:rPr>
            </w:pPr>
            <w:r>
              <w:rPr>
                <w:rFonts w:ascii="Verdana" w:hAnsi="Verdana"/>
                <w:i/>
                <w:noProof/>
                <w:color w:val="000000"/>
                <w:sz w:val="18"/>
              </w:rPr>
              <w:t>98 839</w:t>
            </w:r>
          </w:p>
        </w:tc>
        <w:tc>
          <w:tcPr>
            <w:tcW w:w="1223" w:type="dxa"/>
            <w:tcBorders>
              <w:top w:val="nil"/>
              <w:left w:val="nil"/>
              <w:bottom w:val="nil"/>
              <w:right w:val="nil"/>
              <w:tl2br w:val="nil"/>
              <w:tr2bl w:val="nil"/>
            </w:tcBorders>
            <w:tcMar>
              <w:left w:w="60" w:type="dxa"/>
              <w:right w:w="60" w:type="dxa"/>
            </w:tcMar>
            <w:vAlign w:val="center"/>
          </w:tcPr>
          <w:p>
            <w:pPr>
              <w:pStyle w:val="DMETW36627BIPLMS"/>
              <w:jc w:val="right"/>
              <w:rPr>
                <w:rFonts w:ascii="Verdana" w:eastAsia="Verdana" w:hAnsi="Verdana" w:cs="Verdana"/>
                <w:i/>
                <w:noProof/>
                <w:color w:val="000000"/>
                <w:sz w:val="18"/>
              </w:rPr>
            </w:pPr>
            <w:r>
              <w:rPr>
                <w:rFonts w:ascii="Verdana" w:hAnsi="Verdana"/>
                <w:i/>
                <w:noProof/>
                <w:color w:val="000000"/>
                <w:sz w:val="18"/>
              </w:rPr>
              <w:t>42 297</w:t>
            </w:r>
          </w:p>
        </w:tc>
        <w:tc>
          <w:tcPr>
            <w:tcW w:w="1281" w:type="dxa"/>
            <w:tcBorders>
              <w:top w:val="nil"/>
              <w:left w:val="nil"/>
              <w:bottom w:val="nil"/>
              <w:right w:val="nil"/>
              <w:tl2br w:val="nil"/>
              <w:tr2bl w:val="nil"/>
            </w:tcBorders>
            <w:tcMar>
              <w:left w:w="60" w:type="dxa"/>
              <w:right w:w="60" w:type="dxa"/>
            </w:tcMar>
            <w:vAlign w:val="center"/>
          </w:tcPr>
          <w:p>
            <w:pPr>
              <w:pStyle w:val="DMETW36627BIPLMS"/>
              <w:jc w:val="right"/>
              <w:rPr>
                <w:rFonts w:ascii="Verdana" w:eastAsia="Verdana" w:hAnsi="Verdana" w:cs="Verdana"/>
                <w:i/>
                <w:noProof/>
                <w:color w:val="000000"/>
                <w:sz w:val="18"/>
              </w:rPr>
            </w:pPr>
            <w:r>
              <w:rPr>
                <w:rFonts w:ascii="Verdana" w:hAnsi="Verdana"/>
                <w:i/>
                <w:noProof/>
                <w:color w:val="000000"/>
                <w:sz w:val="18"/>
              </w:rPr>
              <w:t xml:space="preserve"> 201</w:t>
            </w:r>
          </w:p>
        </w:tc>
        <w:tc>
          <w:tcPr>
            <w:tcW w:w="1202" w:type="dxa"/>
            <w:tcBorders>
              <w:top w:val="nil"/>
              <w:left w:val="nil"/>
              <w:bottom w:val="nil"/>
              <w:right w:val="nil"/>
              <w:tl2br w:val="nil"/>
              <w:tr2bl w:val="nil"/>
            </w:tcBorders>
            <w:tcMar>
              <w:left w:w="60" w:type="dxa"/>
              <w:right w:w="60" w:type="dxa"/>
            </w:tcMar>
            <w:vAlign w:val="center"/>
          </w:tcPr>
          <w:p>
            <w:pPr>
              <w:pStyle w:val="DMETW36627BIPLMS"/>
              <w:jc w:val="right"/>
              <w:rPr>
                <w:rFonts w:ascii="Verdana" w:eastAsia="Verdana" w:hAnsi="Verdana" w:cs="Verdana"/>
                <w:i/>
                <w:noProof/>
                <w:color w:val="000000"/>
                <w:sz w:val="18"/>
              </w:rPr>
            </w:pPr>
            <w:r>
              <w:rPr>
                <w:rFonts w:ascii="Verdana" w:hAnsi="Verdana"/>
                <w:i/>
                <w:noProof/>
                <w:color w:val="000000"/>
                <w:sz w:val="18"/>
              </w:rPr>
              <w:t>251 457</w:t>
            </w:r>
          </w:p>
        </w:tc>
      </w:tr>
      <w:tr>
        <w:trPr>
          <w:trHeight w:val="255"/>
        </w:trPr>
        <w:tc>
          <w:tcPr>
            <w:tcW w:w="2932" w:type="dxa"/>
            <w:tcBorders>
              <w:top w:val="nil"/>
              <w:left w:val="nil"/>
              <w:bottom w:val="nil"/>
              <w:right w:val="nil"/>
              <w:tl2br w:val="nil"/>
              <w:tr2bl w:val="nil"/>
            </w:tcBorders>
            <w:tcMar>
              <w:left w:w="60" w:type="dxa"/>
              <w:right w:w="60" w:type="dxa"/>
            </w:tcMar>
            <w:vAlign w:val="center"/>
          </w:tcPr>
          <w:p>
            <w:pPr>
              <w:pStyle w:val="DMETW36627BIPLMS"/>
              <w:rPr>
                <w:rFonts w:ascii="Verdana" w:eastAsia="Verdana" w:hAnsi="Verdana" w:cs="Verdana"/>
                <w:i/>
                <w:noProof/>
                <w:color w:val="000000"/>
                <w:sz w:val="18"/>
              </w:rPr>
            </w:pPr>
            <w:r>
              <w:rPr>
                <w:rFonts w:ascii="Verdana" w:hAnsi="Verdana"/>
                <w:i/>
                <w:noProof/>
                <w:color w:val="000000"/>
                <w:sz w:val="18"/>
              </w:rPr>
              <w:t>Nouveaux prêts (en valeur nominale)</w:t>
            </w:r>
          </w:p>
        </w:tc>
        <w:tc>
          <w:tcPr>
            <w:tcW w:w="1811" w:type="dxa"/>
            <w:tcBorders>
              <w:top w:val="nil"/>
              <w:left w:val="nil"/>
              <w:bottom w:val="nil"/>
              <w:right w:val="nil"/>
              <w:tl2br w:val="nil"/>
              <w:tr2bl w:val="nil"/>
            </w:tcBorders>
            <w:tcMar>
              <w:left w:w="60" w:type="dxa"/>
              <w:right w:w="60" w:type="dxa"/>
            </w:tcMar>
            <w:vAlign w:val="center"/>
          </w:tcPr>
          <w:p>
            <w:pPr>
              <w:pStyle w:val="DMETW36627BIPLMS"/>
              <w:jc w:val="right"/>
              <w:rPr>
                <w:rFonts w:ascii="Verdana" w:eastAsia="Verdana" w:hAnsi="Verdana" w:cs="Verdana"/>
                <w:i/>
                <w:noProof/>
                <w:color w:val="000000"/>
                <w:sz w:val="18"/>
              </w:rPr>
            </w:pPr>
            <w:r>
              <w:rPr>
                <w:rFonts w:ascii="Verdana" w:hAnsi="Verdana"/>
                <w:i/>
                <w:noProof/>
                <w:color w:val="000000"/>
                <w:sz w:val="18"/>
              </w:rPr>
              <w:t>47 218</w:t>
            </w:r>
          </w:p>
        </w:tc>
        <w:tc>
          <w:tcPr>
            <w:tcW w:w="1309" w:type="dxa"/>
            <w:tcBorders>
              <w:top w:val="nil"/>
              <w:left w:val="nil"/>
              <w:bottom w:val="nil"/>
              <w:right w:val="nil"/>
              <w:tl2br w:val="nil"/>
              <w:tr2bl w:val="nil"/>
            </w:tcBorders>
            <w:tcMar>
              <w:left w:w="60" w:type="dxa"/>
              <w:right w:w="60" w:type="dxa"/>
            </w:tcMar>
            <w:vAlign w:val="center"/>
          </w:tcPr>
          <w:p>
            <w:pPr>
              <w:pStyle w:val="DMETW36627BIPLMS"/>
              <w:jc w:val="right"/>
              <w:rPr>
                <w:rFonts w:ascii="Verdana" w:eastAsia="Verdana" w:hAnsi="Verdana" w:cs="Verdana"/>
                <w:i/>
                <w:noProof/>
                <w:color w:val="000000"/>
                <w:sz w:val="18"/>
              </w:rPr>
            </w:pPr>
            <w:r>
              <w:rPr>
                <w:rFonts w:ascii="Verdana" w:hAnsi="Verdana"/>
                <w:i/>
                <w:noProof/>
                <w:color w:val="000000"/>
                <w:sz w:val="18"/>
              </w:rPr>
              <w:t>–</w:t>
            </w:r>
          </w:p>
        </w:tc>
        <w:tc>
          <w:tcPr>
            <w:tcW w:w="1223" w:type="dxa"/>
            <w:tcBorders>
              <w:top w:val="nil"/>
              <w:left w:val="nil"/>
              <w:bottom w:val="nil"/>
              <w:right w:val="nil"/>
              <w:tl2br w:val="nil"/>
              <w:tr2bl w:val="nil"/>
            </w:tcBorders>
            <w:tcMar>
              <w:left w:w="60" w:type="dxa"/>
              <w:right w:w="60" w:type="dxa"/>
            </w:tcMar>
            <w:vAlign w:val="center"/>
          </w:tcPr>
          <w:p>
            <w:pPr>
              <w:pStyle w:val="DMETW36627BIPLMS"/>
              <w:jc w:val="right"/>
              <w:rPr>
                <w:rFonts w:ascii="Verdana" w:eastAsia="Verdana" w:hAnsi="Verdana" w:cs="Verdana"/>
                <w:i/>
                <w:noProof/>
                <w:color w:val="000000"/>
                <w:sz w:val="18"/>
              </w:rPr>
            </w:pPr>
            <w:r>
              <w:rPr>
                <w:rFonts w:ascii="Verdana" w:hAnsi="Verdana"/>
                <w:i/>
                <w:noProof/>
                <w:color w:val="000000"/>
                <w:sz w:val="18"/>
              </w:rPr>
              <w:t>–</w:t>
            </w:r>
          </w:p>
        </w:tc>
        <w:tc>
          <w:tcPr>
            <w:tcW w:w="1281" w:type="dxa"/>
            <w:tcBorders>
              <w:top w:val="nil"/>
              <w:left w:val="nil"/>
              <w:bottom w:val="nil"/>
              <w:right w:val="nil"/>
              <w:tl2br w:val="nil"/>
              <w:tr2bl w:val="nil"/>
            </w:tcBorders>
            <w:tcMar>
              <w:left w:w="60" w:type="dxa"/>
              <w:right w:w="60" w:type="dxa"/>
            </w:tcMar>
            <w:vAlign w:val="center"/>
          </w:tcPr>
          <w:p>
            <w:pPr>
              <w:pStyle w:val="DMETW36627BIPLMS"/>
              <w:jc w:val="right"/>
              <w:rPr>
                <w:rFonts w:ascii="Verdana" w:eastAsia="Verdana" w:hAnsi="Verdana" w:cs="Verdana"/>
                <w:i/>
                <w:noProof/>
                <w:color w:val="000000"/>
                <w:sz w:val="18"/>
              </w:rPr>
            </w:pPr>
            <w:r>
              <w:rPr>
                <w:rFonts w:ascii="Verdana" w:hAnsi="Verdana"/>
                <w:i/>
                <w:noProof/>
                <w:color w:val="000000"/>
                <w:sz w:val="18"/>
              </w:rPr>
              <w:t>–</w:t>
            </w:r>
          </w:p>
        </w:tc>
        <w:tc>
          <w:tcPr>
            <w:tcW w:w="1202" w:type="dxa"/>
            <w:tcBorders>
              <w:top w:val="nil"/>
              <w:left w:val="nil"/>
              <w:bottom w:val="nil"/>
              <w:right w:val="nil"/>
              <w:tl2br w:val="nil"/>
              <w:tr2bl w:val="nil"/>
            </w:tcBorders>
            <w:tcMar>
              <w:left w:w="60" w:type="dxa"/>
              <w:right w:w="60" w:type="dxa"/>
            </w:tcMar>
            <w:vAlign w:val="center"/>
          </w:tcPr>
          <w:p>
            <w:pPr>
              <w:pStyle w:val="DMETW36627BIPLMS"/>
              <w:jc w:val="right"/>
              <w:rPr>
                <w:rFonts w:ascii="Verdana" w:eastAsia="Verdana" w:hAnsi="Verdana" w:cs="Verdana"/>
                <w:i/>
                <w:noProof/>
                <w:color w:val="000000"/>
                <w:sz w:val="18"/>
              </w:rPr>
            </w:pPr>
            <w:r>
              <w:rPr>
                <w:rFonts w:ascii="Verdana" w:hAnsi="Verdana"/>
                <w:i/>
                <w:noProof/>
                <w:color w:val="000000"/>
                <w:sz w:val="18"/>
              </w:rPr>
              <w:t>47 218</w:t>
            </w:r>
          </w:p>
        </w:tc>
      </w:tr>
      <w:tr>
        <w:trPr>
          <w:trHeight w:val="255"/>
        </w:trPr>
        <w:tc>
          <w:tcPr>
            <w:tcW w:w="2932" w:type="dxa"/>
            <w:tcBorders>
              <w:top w:val="nil"/>
              <w:left w:val="nil"/>
              <w:bottom w:val="nil"/>
              <w:right w:val="nil"/>
              <w:tl2br w:val="nil"/>
              <w:tr2bl w:val="nil"/>
            </w:tcBorders>
            <w:tcMar>
              <w:left w:w="60" w:type="dxa"/>
              <w:right w:w="60" w:type="dxa"/>
            </w:tcMar>
            <w:vAlign w:val="center"/>
          </w:tcPr>
          <w:p>
            <w:pPr>
              <w:pStyle w:val="DMETW36627BIPLMS"/>
              <w:rPr>
                <w:rFonts w:ascii="Verdana" w:eastAsia="Verdana" w:hAnsi="Verdana" w:cs="Verdana"/>
                <w:i/>
                <w:noProof/>
                <w:color w:val="000000"/>
                <w:sz w:val="18"/>
              </w:rPr>
            </w:pPr>
            <w:r>
              <w:rPr>
                <w:rFonts w:ascii="Verdana" w:hAnsi="Verdana"/>
                <w:i/>
                <w:noProof/>
                <w:color w:val="000000"/>
                <w:sz w:val="18"/>
              </w:rPr>
              <w:t>Remboursements</w:t>
            </w:r>
          </w:p>
        </w:tc>
        <w:tc>
          <w:tcPr>
            <w:tcW w:w="1811" w:type="dxa"/>
            <w:tcBorders>
              <w:top w:val="nil"/>
              <w:left w:val="nil"/>
              <w:bottom w:val="nil"/>
              <w:right w:val="nil"/>
              <w:tl2br w:val="nil"/>
              <w:tr2bl w:val="nil"/>
            </w:tcBorders>
            <w:tcMar>
              <w:left w:w="60" w:type="dxa"/>
              <w:right w:w="60" w:type="dxa"/>
            </w:tcMar>
            <w:vAlign w:val="center"/>
          </w:tcPr>
          <w:p>
            <w:pPr>
              <w:pStyle w:val="DMETW36627BIPLMS"/>
              <w:jc w:val="right"/>
              <w:rPr>
                <w:rFonts w:ascii="Verdana" w:eastAsia="Verdana" w:hAnsi="Verdana" w:cs="Verdana"/>
                <w:i/>
                <w:noProof/>
                <w:color w:val="000000"/>
                <w:sz w:val="18"/>
              </w:rPr>
            </w:pPr>
            <w:r>
              <w:rPr>
                <w:rFonts w:ascii="Verdana" w:hAnsi="Verdana"/>
                <w:i/>
                <w:noProof/>
                <w:color w:val="000000"/>
                <w:sz w:val="18"/>
              </w:rPr>
              <w:t>–</w:t>
            </w:r>
          </w:p>
        </w:tc>
        <w:tc>
          <w:tcPr>
            <w:tcW w:w="1309" w:type="dxa"/>
            <w:tcBorders>
              <w:top w:val="nil"/>
              <w:left w:val="nil"/>
              <w:bottom w:val="nil"/>
              <w:right w:val="nil"/>
              <w:tl2br w:val="nil"/>
              <w:tr2bl w:val="nil"/>
            </w:tcBorders>
            <w:tcMar>
              <w:left w:w="60" w:type="dxa"/>
              <w:right w:w="60" w:type="dxa"/>
            </w:tcMar>
            <w:vAlign w:val="center"/>
          </w:tcPr>
          <w:p>
            <w:pPr>
              <w:pStyle w:val="DMETW36627BIPLMS"/>
              <w:jc w:val="right"/>
              <w:rPr>
                <w:rFonts w:ascii="Verdana" w:eastAsia="Verdana" w:hAnsi="Verdana" w:cs="Verdana"/>
                <w:i/>
                <w:noProof/>
                <w:color w:val="000000"/>
                <w:sz w:val="18"/>
              </w:rPr>
            </w:pPr>
            <w:r>
              <w:rPr>
                <w:rFonts w:ascii="Verdana" w:hAnsi="Verdana"/>
                <w:i/>
                <w:noProof/>
                <w:color w:val="000000"/>
                <w:sz w:val="18"/>
              </w:rPr>
              <w:t>(8 000)</w:t>
            </w:r>
          </w:p>
        </w:tc>
        <w:tc>
          <w:tcPr>
            <w:tcW w:w="1223" w:type="dxa"/>
            <w:tcBorders>
              <w:top w:val="nil"/>
              <w:left w:val="nil"/>
              <w:bottom w:val="nil"/>
              <w:right w:val="nil"/>
              <w:tl2br w:val="nil"/>
              <w:tr2bl w:val="nil"/>
            </w:tcBorders>
            <w:tcMar>
              <w:left w:w="60" w:type="dxa"/>
              <w:right w:w="60" w:type="dxa"/>
            </w:tcMar>
            <w:vAlign w:val="center"/>
          </w:tcPr>
          <w:p>
            <w:pPr>
              <w:pStyle w:val="DMETW36627BIPLMS"/>
              <w:jc w:val="right"/>
              <w:rPr>
                <w:rFonts w:ascii="Verdana" w:eastAsia="Verdana" w:hAnsi="Verdana" w:cs="Verdana"/>
                <w:i/>
                <w:noProof/>
                <w:color w:val="000000"/>
                <w:sz w:val="18"/>
              </w:rPr>
            </w:pPr>
            <w:r>
              <w:rPr>
                <w:rFonts w:ascii="Verdana" w:hAnsi="Verdana"/>
                <w:i/>
                <w:noProof/>
                <w:color w:val="000000"/>
                <w:sz w:val="18"/>
              </w:rPr>
              <w:t>(4 900)</w:t>
            </w:r>
          </w:p>
        </w:tc>
        <w:tc>
          <w:tcPr>
            <w:tcW w:w="1281" w:type="dxa"/>
            <w:tcBorders>
              <w:top w:val="nil"/>
              <w:left w:val="nil"/>
              <w:bottom w:val="nil"/>
              <w:right w:val="nil"/>
              <w:tl2br w:val="nil"/>
              <w:tr2bl w:val="nil"/>
            </w:tcBorders>
            <w:tcMar>
              <w:left w:w="60" w:type="dxa"/>
              <w:right w:w="60" w:type="dxa"/>
            </w:tcMar>
            <w:vAlign w:val="center"/>
          </w:tcPr>
          <w:p>
            <w:pPr>
              <w:pStyle w:val="DMETW36627BIPLMS"/>
              <w:jc w:val="right"/>
              <w:rPr>
                <w:rFonts w:ascii="Verdana" w:eastAsia="Verdana" w:hAnsi="Verdana" w:cs="Verdana"/>
                <w:i/>
                <w:noProof/>
                <w:color w:val="000000"/>
                <w:sz w:val="18"/>
              </w:rPr>
            </w:pPr>
            <w:r>
              <w:rPr>
                <w:rFonts w:ascii="Verdana" w:hAnsi="Verdana"/>
                <w:i/>
                <w:noProof/>
                <w:color w:val="000000"/>
                <w:sz w:val="18"/>
              </w:rPr>
              <w:t xml:space="preserve"> (200)</w:t>
            </w:r>
          </w:p>
        </w:tc>
        <w:tc>
          <w:tcPr>
            <w:tcW w:w="1202" w:type="dxa"/>
            <w:tcBorders>
              <w:top w:val="nil"/>
              <w:left w:val="nil"/>
              <w:bottom w:val="nil"/>
              <w:right w:val="nil"/>
              <w:tl2br w:val="nil"/>
              <w:tr2bl w:val="nil"/>
            </w:tcBorders>
            <w:tcMar>
              <w:left w:w="60" w:type="dxa"/>
              <w:right w:w="60" w:type="dxa"/>
            </w:tcMar>
            <w:vAlign w:val="center"/>
          </w:tcPr>
          <w:p>
            <w:pPr>
              <w:pStyle w:val="DMETW36627BIPLMS"/>
              <w:jc w:val="right"/>
              <w:rPr>
                <w:rFonts w:ascii="Verdana" w:eastAsia="Verdana" w:hAnsi="Verdana" w:cs="Verdana"/>
                <w:i/>
                <w:noProof/>
                <w:color w:val="000000"/>
                <w:sz w:val="18"/>
              </w:rPr>
            </w:pPr>
            <w:r>
              <w:rPr>
                <w:rFonts w:ascii="Verdana" w:hAnsi="Verdana"/>
                <w:i/>
                <w:noProof/>
                <w:color w:val="000000"/>
                <w:sz w:val="18"/>
              </w:rPr>
              <w:t>(13 100)</w:t>
            </w:r>
          </w:p>
        </w:tc>
      </w:tr>
      <w:tr>
        <w:trPr>
          <w:trHeight w:val="255"/>
        </w:trPr>
        <w:tc>
          <w:tcPr>
            <w:tcW w:w="2932" w:type="dxa"/>
            <w:tcBorders>
              <w:top w:val="nil"/>
              <w:left w:val="nil"/>
              <w:bottom w:val="single" w:sz="4" w:space="0" w:color="016794"/>
              <w:right w:val="nil"/>
              <w:tl2br w:val="nil"/>
              <w:tr2bl w:val="nil"/>
            </w:tcBorders>
            <w:tcMar>
              <w:left w:w="60" w:type="dxa"/>
              <w:right w:w="60" w:type="dxa"/>
            </w:tcMar>
            <w:vAlign w:val="center"/>
          </w:tcPr>
          <w:p>
            <w:pPr>
              <w:pStyle w:val="DMETW36627BIPLMS"/>
              <w:rPr>
                <w:rFonts w:ascii="Verdana" w:eastAsia="Verdana" w:hAnsi="Verdana" w:cs="Verdana"/>
                <w:i/>
                <w:noProof/>
                <w:color w:val="000000"/>
                <w:sz w:val="18"/>
              </w:rPr>
            </w:pPr>
            <w:r>
              <w:rPr>
                <w:rFonts w:ascii="Verdana" w:hAnsi="Verdana"/>
                <w:i/>
                <w:noProof/>
                <w:color w:val="000000"/>
                <w:sz w:val="18"/>
              </w:rPr>
              <w:t>Variations de la valeur comptable</w:t>
            </w:r>
          </w:p>
        </w:tc>
        <w:tc>
          <w:tcPr>
            <w:tcW w:w="1811" w:type="dxa"/>
            <w:tcBorders>
              <w:top w:val="nil"/>
              <w:left w:val="nil"/>
              <w:bottom w:val="single" w:sz="4" w:space="0" w:color="016794"/>
              <w:right w:val="nil"/>
              <w:tl2br w:val="nil"/>
              <w:tr2bl w:val="nil"/>
            </w:tcBorders>
            <w:tcMar>
              <w:left w:w="60" w:type="dxa"/>
              <w:right w:w="60" w:type="dxa"/>
            </w:tcMar>
            <w:vAlign w:val="center"/>
          </w:tcPr>
          <w:p>
            <w:pPr>
              <w:pStyle w:val="DMETW36627BIPLMS"/>
              <w:jc w:val="right"/>
              <w:rPr>
                <w:rFonts w:ascii="Verdana" w:eastAsia="Verdana" w:hAnsi="Verdana" w:cs="Verdana"/>
                <w:i/>
                <w:noProof/>
                <w:color w:val="000000"/>
                <w:sz w:val="18"/>
              </w:rPr>
            </w:pPr>
            <w:r>
              <w:rPr>
                <w:rFonts w:ascii="Verdana" w:hAnsi="Verdana"/>
                <w:i/>
                <w:noProof/>
                <w:color w:val="000000"/>
                <w:sz w:val="18"/>
              </w:rPr>
              <w:t xml:space="preserve"> 876</w:t>
            </w:r>
          </w:p>
        </w:tc>
        <w:tc>
          <w:tcPr>
            <w:tcW w:w="1309" w:type="dxa"/>
            <w:tcBorders>
              <w:top w:val="nil"/>
              <w:left w:val="nil"/>
              <w:bottom w:val="single" w:sz="4" w:space="0" w:color="016794"/>
              <w:right w:val="nil"/>
              <w:tl2br w:val="nil"/>
              <w:tr2bl w:val="nil"/>
            </w:tcBorders>
            <w:tcMar>
              <w:left w:w="60" w:type="dxa"/>
              <w:right w:w="60" w:type="dxa"/>
            </w:tcMar>
            <w:vAlign w:val="center"/>
          </w:tcPr>
          <w:p>
            <w:pPr>
              <w:pStyle w:val="DMETW36627BIPLMS"/>
              <w:jc w:val="right"/>
              <w:rPr>
                <w:rFonts w:ascii="Verdana" w:eastAsia="Verdana" w:hAnsi="Verdana" w:cs="Verdana"/>
                <w:i/>
                <w:noProof/>
                <w:color w:val="000000"/>
                <w:sz w:val="18"/>
              </w:rPr>
            </w:pPr>
            <w:r>
              <w:rPr>
                <w:rFonts w:ascii="Verdana" w:hAnsi="Verdana"/>
                <w:i/>
                <w:noProof/>
                <w:color w:val="000000"/>
                <w:sz w:val="18"/>
              </w:rPr>
              <w:t xml:space="preserve"> (135)</w:t>
            </w:r>
          </w:p>
        </w:tc>
        <w:tc>
          <w:tcPr>
            <w:tcW w:w="1223" w:type="dxa"/>
            <w:tcBorders>
              <w:top w:val="nil"/>
              <w:left w:val="nil"/>
              <w:bottom w:val="single" w:sz="4" w:space="0" w:color="016794"/>
              <w:right w:val="nil"/>
              <w:tl2br w:val="nil"/>
              <w:tr2bl w:val="nil"/>
            </w:tcBorders>
            <w:tcMar>
              <w:left w:w="60" w:type="dxa"/>
              <w:right w:w="60" w:type="dxa"/>
            </w:tcMar>
            <w:vAlign w:val="center"/>
          </w:tcPr>
          <w:p>
            <w:pPr>
              <w:pStyle w:val="DMETW36627BIPLMS"/>
              <w:jc w:val="right"/>
              <w:rPr>
                <w:rFonts w:ascii="Verdana" w:eastAsia="Verdana" w:hAnsi="Verdana" w:cs="Verdana"/>
                <w:i/>
                <w:noProof/>
                <w:color w:val="000000"/>
                <w:sz w:val="18"/>
              </w:rPr>
            </w:pPr>
            <w:r>
              <w:rPr>
                <w:rFonts w:ascii="Verdana" w:hAnsi="Verdana"/>
                <w:i/>
                <w:noProof/>
                <w:color w:val="000000"/>
                <w:sz w:val="18"/>
              </w:rPr>
              <w:t xml:space="preserve"> (15)</w:t>
            </w:r>
          </w:p>
        </w:tc>
        <w:tc>
          <w:tcPr>
            <w:tcW w:w="1281" w:type="dxa"/>
            <w:tcBorders>
              <w:top w:val="nil"/>
              <w:left w:val="nil"/>
              <w:bottom w:val="single" w:sz="4" w:space="0" w:color="016794"/>
              <w:right w:val="nil"/>
              <w:tl2br w:val="nil"/>
              <w:tr2bl w:val="nil"/>
            </w:tcBorders>
            <w:tcMar>
              <w:left w:w="60" w:type="dxa"/>
              <w:right w:w="60" w:type="dxa"/>
            </w:tcMar>
            <w:vAlign w:val="center"/>
          </w:tcPr>
          <w:p>
            <w:pPr>
              <w:pStyle w:val="DMETW36627BIPLMS"/>
              <w:jc w:val="right"/>
              <w:rPr>
                <w:rFonts w:ascii="Verdana" w:eastAsia="Verdana" w:hAnsi="Verdana" w:cs="Verdana"/>
                <w:i/>
                <w:noProof/>
                <w:color w:val="000000"/>
                <w:sz w:val="18"/>
              </w:rPr>
            </w:pPr>
            <w:r>
              <w:rPr>
                <w:rFonts w:ascii="Verdana" w:hAnsi="Verdana"/>
                <w:i/>
                <w:noProof/>
                <w:color w:val="000000"/>
                <w:sz w:val="18"/>
              </w:rPr>
              <w:t xml:space="preserve"> (1)</w:t>
            </w:r>
          </w:p>
        </w:tc>
        <w:tc>
          <w:tcPr>
            <w:tcW w:w="1202" w:type="dxa"/>
            <w:tcBorders>
              <w:top w:val="nil"/>
              <w:left w:val="nil"/>
              <w:bottom w:val="single" w:sz="4" w:space="0" w:color="016794"/>
              <w:right w:val="nil"/>
              <w:tl2br w:val="nil"/>
              <w:tr2bl w:val="nil"/>
            </w:tcBorders>
            <w:tcMar>
              <w:left w:w="60" w:type="dxa"/>
              <w:right w:w="60" w:type="dxa"/>
            </w:tcMar>
            <w:vAlign w:val="center"/>
          </w:tcPr>
          <w:p>
            <w:pPr>
              <w:pStyle w:val="DMETW36627BIPLMS"/>
              <w:jc w:val="right"/>
              <w:rPr>
                <w:rFonts w:ascii="Verdana" w:eastAsia="Verdana" w:hAnsi="Verdana" w:cs="Verdana"/>
                <w:i/>
                <w:noProof/>
                <w:color w:val="000000"/>
                <w:sz w:val="18"/>
              </w:rPr>
            </w:pPr>
            <w:r>
              <w:rPr>
                <w:rFonts w:ascii="Verdana" w:hAnsi="Verdana"/>
                <w:i/>
                <w:noProof/>
                <w:color w:val="000000"/>
                <w:sz w:val="18"/>
              </w:rPr>
              <w:t xml:space="preserve"> 726</w:t>
            </w:r>
          </w:p>
        </w:tc>
      </w:tr>
      <w:tr>
        <w:trPr>
          <w:trHeight w:val="255"/>
        </w:trPr>
        <w:tc>
          <w:tcPr>
            <w:tcW w:w="293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27BIPLMS"/>
              <w:rPr>
                <w:rFonts w:ascii="Verdana" w:eastAsia="Verdana" w:hAnsi="Verdana" w:cs="Verdana"/>
                <w:b/>
                <w:noProof/>
                <w:color w:val="000000"/>
                <w:sz w:val="18"/>
              </w:rPr>
            </w:pPr>
            <w:r>
              <w:rPr>
                <w:rFonts w:ascii="Verdana" w:hAnsi="Verdana"/>
                <w:b/>
                <w:noProof/>
                <w:color w:val="000000"/>
                <w:sz w:val="18"/>
              </w:rPr>
              <w:t>Total au 31.12.2025</w:t>
            </w:r>
          </w:p>
        </w:tc>
        <w:tc>
          <w:tcPr>
            <w:tcW w:w="181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27BIPLMS"/>
              <w:jc w:val="right"/>
              <w:rPr>
                <w:rFonts w:ascii="Verdana" w:eastAsia="Verdana" w:hAnsi="Verdana" w:cs="Verdana"/>
                <w:b/>
                <w:noProof/>
                <w:color w:val="000000"/>
                <w:sz w:val="18"/>
              </w:rPr>
            </w:pPr>
            <w:r>
              <w:rPr>
                <w:rFonts w:ascii="Verdana" w:hAnsi="Verdana"/>
                <w:b/>
                <w:noProof/>
                <w:color w:val="000000"/>
                <w:sz w:val="18"/>
              </w:rPr>
              <w:t>158 215</w:t>
            </w:r>
          </w:p>
        </w:tc>
        <w:tc>
          <w:tcPr>
            <w:tcW w:w="130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27BIPLMS"/>
              <w:jc w:val="right"/>
              <w:rPr>
                <w:rFonts w:ascii="Verdana" w:eastAsia="Verdana" w:hAnsi="Verdana" w:cs="Verdana"/>
                <w:b/>
                <w:noProof/>
                <w:color w:val="000000"/>
                <w:sz w:val="18"/>
              </w:rPr>
            </w:pPr>
            <w:r>
              <w:rPr>
                <w:rFonts w:ascii="Verdana" w:hAnsi="Verdana"/>
                <w:b/>
                <w:noProof/>
                <w:color w:val="000000"/>
                <w:sz w:val="18"/>
              </w:rPr>
              <w:t>90 705</w:t>
            </w:r>
          </w:p>
        </w:tc>
        <w:tc>
          <w:tcPr>
            <w:tcW w:w="122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27BIPLMS"/>
              <w:jc w:val="right"/>
              <w:rPr>
                <w:rFonts w:ascii="Verdana" w:eastAsia="Verdana" w:hAnsi="Verdana" w:cs="Verdana"/>
                <w:b/>
                <w:noProof/>
                <w:color w:val="000000"/>
                <w:sz w:val="18"/>
              </w:rPr>
            </w:pPr>
            <w:r>
              <w:rPr>
                <w:rFonts w:ascii="Verdana" w:hAnsi="Verdana"/>
                <w:b/>
                <w:noProof/>
                <w:color w:val="000000"/>
                <w:sz w:val="18"/>
              </w:rPr>
              <w:t>37 382</w:t>
            </w:r>
          </w:p>
        </w:tc>
        <w:tc>
          <w:tcPr>
            <w:tcW w:w="128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27BIPLMS"/>
              <w:jc w:val="right"/>
              <w:rPr>
                <w:rFonts w:ascii="Verdana" w:eastAsia="Verdana" w:hAnsi="Verdana" w:cs="Verdana"/>
                <w:b/>
                <w:noProof/>
                <w:color w:val="000000"/>
                <w:sz w:val="18"/>
              </w:rPr>
            </w:pPr>
            <w:r>
              <w:rPr>
                <w:rFonts w:ascii="Verdana" w:hAnsi="Verdana"/>
                <w:b/>
                <w:noProof/>
                <w:color w:val="000000"/>
                <w:sz w:val="18"/>
              </w:rPr>
              <w:t>–</w:t>
            </w:r>
          </w:p>
        </w:tc>
        <w:tc>
          <w:tcPr>
            <w:tcW w:w="120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27BIPLMS"/>
              <w:jc w:val="right"/>
              <w:rPr>
                <w:rFonts w:ascii="Verdana" w:eastAsia="Verdana" w:hAnsi="Verdana" w:cs="Verdana"/>
                <w:b/>
                <w:noProof/>
                <w:color w:val="000000"/>
                <w:sz w:val="18"/>
              </w:rPr>
            </w:pPr>
            <w:r>
              <w:rPr>
                <w:rFonts w:ascii="Verdana" w:hAnsi="Verdana"/>
                <w:b/>
                <w:noProof/>
                <w:color w:val="000000"/>
                <w:sz w:val="18"/>
              </w:rPr>
              <w:t>286 301</w:t>
            </w:r>
          </w:p>
        </w:tc>
      </w:tr>
      <w:tr>
        <w:trPr>
          <w:trHeight w:val="255"/>
        </w:trPr>
        <w:tc>
          <w:tcPr>
            <w:tcW w:w="2932" w:type="dxa"/>
            <w:tcBorders>
              <w:top w:val="single" w:sz="4" w:space="0" w:color="016794"/>
              <w:left w:val="nil"/>
              <w:bottom w:val="nil"/>
              <w:right w:val="nil"/>
              <w:tl2br w:val="nil"/>
              <w:tr2bl w:val="nil"/>
            </w:tcBorders>
            <w:tcMar>
              <w:left w:w="60" w:type="dxa"/>
              <w:right w:w="60" w:type="dxa"/>
            </w:tcMar>
            <w:vAlign w:val="center"/>
          </w:tcPr>
          <w:p>
            <w:pPr>
              <w:pStyle w:val="DMETW36627BIPLMS"/>
              <w:rPr>
                <w:rFonts w:ascii="Verdana" w:eastAsia="Verdana" w:hAnsi="Verdana" w:cs="Verdana"/>
                <w:i/>
                <w:noProof/>
                <w:color w:val="016794"/>
                <w:sz w:val="18"/>
              </w:rPr>
            </w:pPr>
            <w:r>
              <w:rPr>
                <w:rFonts w:ascii="Verdana" w:hAnsi="Verdana"/>
                <w:i/>
                <w:noProof/>
                <w:color w:val="016794"/>
                <w:sz w:val="18"/>
              </w:rPr>
              <w:t>Non courants</w:t>
            </w:r>
          </w:p>
        </w:tc>
        <w:tc>
          <w:tcPr>
            <w:tcW w:w="1811" w:type="dxa"/>
            <w:tcBorders>
              <w:top w:val="single" w:sz="4" w:space="0" w:color="016794"/>
              <w:left w:val="nil"/>
              <w:bottom w:val="nil"/>
              <w:right w:val="nil"/>
              <w:tl2br w:val="nil"/>
              <w:tr2bl w:val="nil"/>
            </w:tcBorders>
            <w:tcMar>
              <w:left w:w="60" w:type="dxa"/>
              <w:right w:w="60" w:type="dxa"/>
            </w:tcMar>
            <w:vAlign w:val="center"/>
          </w:tcPr>
          <w:p>
            <w:pPr>
              <w:pStyle w:val="DMETW36627BIPLMS"/>
              <w:jc w:val="right"/>
              <w:rPr>
                <w:rFonts w:ascii="Verdana" w:eastAsia="Verdana" w:hAnsi="Verdana" w:cs="Verdana"/>
                <w:i/>
                <w:noProof/>
                <w:color w:val="016794"/>
                <w:sz w:val="18"/>
              </w:rPr>
            </w:pPr>
            <w:r>
              <w:rPr>
                <w:rFonts w:ascii="Verdana" w:hAnsi="Verdana"/>
                <w:i/>
                <w:noProof/>
                <w:color w:val="016794"/>
                <w:sz w:val="18"/>
              </w:rPr>
              <w:t>155 904</w:t>
            </w:r>
          </w:p>
        </w:tc>
        <w:tc>
          <w:tcPr>
            <w:tcW w:w="1309" w:type="dxa"/>
            <w:tcBorders>
              <w:top w:val="single" w:sz="4" w:space="0" w:color="016794"/>
              <w:left w:val="nil"/>
              <w:bottom w:val="nil"/>
              <w:right w:val="nil"/>
              <w:tl2br w:val="nil"/>
              <w:tr2bl w:val="nil"/>
            </w:tcBorders>
            <w:tcMar>
              <w:left w:w="60" w:type="dxa"/>
              <w:right w:w="60" w:type="dxa"/>
            </w:tcMar>
            <w:vAlign w:val="center"/>
          </w:tcPr>
          <w:p>
            <w:pPr>
              <w:pStyle w:val="DMETW36627BIPLMS"/>
              <w:jc w:val="right"/>
              <w:rPr>
                <w:rFonts w:ascii="Verdana" w:eastAsia="Verdana" w:hAnsi="Verdana" w:cs="Verdana"/>
                <w:i/>
                <w:noProof/>
                <w:color w:val="016794"/>
                <w:sz w:val="18"/>
              </w:rPr>
            </w:pPr>
            <w:r>
              <w:rPr>
                <w:rFonts w:ascii="Verdana" w:hAnsi="Verdana"/>
                <w:i/>
                <w:noProof/>
                <w:color w:val="016794"/>
                <w:sz w:val="18"/>
              </w:rPr>
              <w:t>82 594</w:t>
            </w:r>
          </w:p>
        </w:tc>
        <w:tc>
          <w:tcPr>
            <w:tcW w:w="1223" w:type="dxa"/>
            <w:tcBorders>
              <w:top w:val="single" w:sz="4" w:space="0" w:color="016794"/>
              <w:left w:val="nil"/>
              <w:bottom w:val="nil"/>
              <w:right w:val="nil"/>
              <w:tl2br w:val="nil"/>
              <w:tr2bl w:val="nil"/>
            </w:tcBorders>
            <w:tcMar>
              <w:left w:w="60" w:type="dxa"/>
              <w:right w:w="60" w:type="dxa"/>
            </w:tcMar>
            <w:vAlign w:val="center"/>
          </w:tcPr>
          <w:p>
            <w:pPr>
              <w:pStyle w:val="DMETW36627BIPLMS"/>
              <w:jc w:val="right"/>
              <w:rPr>
                <w:rFonts w:ascii="Verdana" w:eastAsia="Verdana" w:hAnsi="Verdana" w:cs="Verdana"/>
                <w:i/>
                <w:noProof/>
                <w:color w:val="016794"/>
                <w:sz w:val="18"/>
              </w:rPr>
            </w:pPr>
            <w:r>
              <w:rPr>
                <w:rFonts w:ascii="Verdana" w:hAnsi="Verdana"/>
                <w:i/>
                <w:noProof/>
                <w:color w:val="016794"/>
                <w:sz w:val="18"/>
              </w:rPr>
              <w:t>30 818</w:t>
            </w:r>
          </w:p>
        </w:tc>
        <w:tc>
          <w:tcPr>
            <w:tcW w:w="1281" w:type="dxa"/>
            <w:tcBorders>
              <w:top w:val="single" w:sz="4" w:space="0" w:color="016794"/>
              <w:left w:val="nil"/>
              <w:bottom w:val="nil"/>
              <w:right w:val="nil"/>
              <w:tl2br w:val="nil"/>
              <w:tr2bl w:val="nil"/>
            </w:tcBorders>
            <w:tcMar>
              <w:left w:w="60" w:type="dxa"/>
              <w:right w:w="60" w:type="dxa"/>
            </w:tcMar>
            <w:vAlign w:val="center"/>
          </w:tcPr>
          <w:p>
            <w:pPr>
              <w:pStyle w:val="DMETW36627BIPLMS"/>
              <w:jc w:val="right"/>
              <w:rPr>
                <w:rFonts w:ascii="Verdana" w:eastAsia="Verdana" w:hAnsi="Verdana" w:cs="Verdana"/>
                <w:i/>
                <w:noProof/>
                <w:color w:val="016794"/>
                <w:sz w:val="18"/>
              </w:rPr>
            </w:pPr>
            <w:r>
              <w:rPr>
                <w:rFonts w:ascii="Verdana" w:hAnsi="Verdana"/>
                <w:i/>
                <w:noProof/>
                <w:color w:val="016794"/>
                <w:sz w:val="18"/>
              </w:rPr>
              <w:t>–</w:t>
            </w:r>
          </w:p>
        </w:tc>
        <w:tc>
          <w:tcPr>
            <w:tcW w:w="1202" w:type="dxa"/>
            <w:tcBorders>
              <w:top w:val="single" w:sz="4" w:space="0" w:color="016794"/>
              <w:left w:val="nil"/>
              <w:bottom w:val="nil"/>
              <w:right w:val="nil"/>
              <w:tl2br w:val="nil"/>
              <w:tr2bl w:val="nil"/>
            </w:tcBorders>
            <w:tcMar>
              <w:left w:w="60" w:type="dxa"/>
              <w:right w:w="60" w:type="dxa"/>
            </w:tcMar>
            <w:vAlign w:val="center"/>
          </w:tcPr>
          <w:p>
            <w:pPr>
              <w:pStyle w:val="DMETW36627BIPLMS"/>
              <w:jc w:val="right"/>
              <w:rPr>
                <w:rFonts w:ascii="Verdana" w:eastAsia="Verdana" w:hAnsi="Verdana" w:cs="Verdana"/>
                <w:i/>
                <w:noProof/>
                <w:color w:val="016794"/>
                <w:sz w:val="18"/>
              </w:rPr>
            </w:pPr>
            <w:r>
              <w:rPr>
                <w:rFonts w:ascii="Verdana" w:hAnsi="Verdana"/>
                <w:i/>
                <w:noProof/>
                <w:color w:val="016794"/>
                <w:sz w:val="18"/>
              </w:rPr>
              <w:t>269 316</w:t>
            </w:r>
          </w:p>
        </w:tc>
      </w:tr>
      <w:tr>
        <w:trPr>
          <w:trHeight w:val="255"/>
        </w:trPr>
        <w:tc>
          <w:tcPr>
            <w:tcW w:w="2932" w:type="dxa"/>
            <w:tcBorders>
              <w:top w:val="nil"/>
              <w:left w:val="nil"/>
              <w:bottom w:val="nil"/>
              <w:right w:val="nil"/>
              <w:tl2br w:val="nil"/>
              <w:tr2bl w:val="nil"/>
            </w:tcBorders>
            <w:tcMar>
              <w:left w:w="60" w:type="dxa"/>
              <w:right w:w="60" w:type="dxa"/>
            </w:tcMar>
            <w:vAlign w:val="center"/>
          </w:tcPr>
          <w:p>
            <w:pPr>
              <w:pStyle w:val="DMETW36627BIPLMS"/>
              <w:rPr>
                <w:rFonts w:ascii="Verdana" w:eastAsia="Verdana" w:hAnsi="Verdana" w:cs="Verdana"/>
                <w:i/>
                <w:noProof/>
                <w:color w:val="016794"/>
                <w:sz w:val="18"/>
              </w:rPr>
            </w:pPr>
            <w:r>
              <w:rPr>
                <w:rFonts w:ascii="Verdana" w:hAnsi="Verdana"/>
                <w:i/>
                <w:noProof/>
                <w:color w:val="016794"/>
                <w:sz w:val="18"/>
              </w:rPr>
              <w:t>Courants</w:t>
            </w:r>
          </w:p>
        </w:tc>
        <w:tc>
          <w:tcPr>
            <w:tcW w:w="1811" w:type="dxa"/>
            <w:tcBorders>
              <w:top w:val="nil"/>
              <w:left w:val="nil"/>
              <w:bottom w:val="nil"/>
              <w:right w:val="nil"/>
              <w:tl2br w:val="nil"/>
              <w:tr2bl w:val="nil"/>
            </w:tcBorders>
            <w:tcMar>
              <w:left w:w="60" w:type="dxa"/>
              <w:right w:w="60" w:type="dxa"/>
            </w:tcMar>
            <w:vAlign w:val="center"/>
          </w:tcPr>
          <w:p>
            <w:pPr>
              <w:pStyle w:val="DMETW36627BIPLMS"/>
              <w:jc w:val="right"/>
              <w:rPr>
                <w:rFonts w:ascii="Verdana" w:eastAsia="Verdana" w:hAnsi="Verdana" w:cs="Verdana"/>
                <w:i/>
                <w:noProof/>
                <w:color w:val="016794"/>
                <w:sz w:val="18"/>
              </w:rPr>
            </w:pPr>
            <w:r>
              <w:rPr>
                <w:rFonts w:ascii="Verdana" w:hAnsi="Verdana"/>
                <w:i/>
                <w:noProof/>
                <w:color w:val="016794"/>
                <w:sz w:val="18"/>
              </w:rPr>
              <w:t>2 310</w:t>
            </w:r>
          </w:p>
        </w:tc>
        <w:tc>
          <w:tcPr>
            <w:tcW w:w="1309" w:type="dxa"/>
            <w:tcBorders>
              <w:top w:val="nil"/>
              <w:left w:val="nil"/>
              <w:bottom w:val="nil"/>
              <w:right w:val="nil"/>
              <w:tl2br w:val="nil"/>
              <w:tr2bl w:val="nil"/>
            </w:tcBorders>
            <w:tcMar>
              <w:left w:w="60" w:type="dxa"/>
              <w:right w:w="60" w:type="dxa"/>
            </w:tcMar>
            <w:vAlign w:val="center"/>
          </w:tcPr>
          <w:p>
            <w:pPr>
              <w:pStyle w:val="DMETW36627BIPLMS"/>
              <w:jc w:val="right"/>
              <w:rPr>
                <w:rFonts w:ascii="Verdana" w:eastAsia="Verdana" w:hAnsi="Verdana" w:cs="Verdana"/>
                <w:i/>
                <w:noProof/>
                <w:color w:val="016794"/>
                <w:sz w:val="18"/>
              </w:rPr>
            </w:pPr>
            <w:r>
              <w:rPr>
                <w:rFonts w:ascii="Verdana" w:hAnsi="Verdana"/>
                <w:i/>
                <w:noProof/>
                <w:color w:val="016794"/>
                <w:sz w:val="18"/>
              </w:rPr>
              <w:t>8 111</w:t>
            </w:r>
          </w:p>
        </w:tc>
        <w:tc>
          <w:tcPr>
            <w:tcW w:w="1223" w:type="dxa"/>
            <w:tcBorders>
              <w:top w:val="nil"/>
              <w:left w:val="nil"/>
              <w:bottom w:val="nil"/>
              <w:right w:val="nil"/>
              <w:tl2br w:val="nil"/>
              <w:tr2bl w:val="nil"/>
            </w:tcBorders>
            <w:tcMar>
              <w:left w:w="60" w:type="dxa"/>
              <w:right w:w="60" w:type="dxa"/>
            </w:tcMar>
            <w:vAlign w:val="center"/>
          </w:tcPr>
          <w:p>
            <w:pPr>
              <w:pStyle w:val="DMETW36627BIPLMS"/>
              <w:jc w:val="right"/>
              <w:rPr>
                <w:rFonts w:ascii="Verdana" w:eastAsia="Verdana" w:hAnsi="Verdana" w:cs="Verdana"/>
                <w:i/>
                <w:noProof/>
                <w:color w:val="016794"/>
                <w:sz w:val="18"/>
              </w:rPr>
            </w:pPr>
            <w:r>
              <w:rPr>
                <w:rFonts w:ascii="Verdana" w:hAnsi="Verdana"/>
                <w:i/>
                <w:noProof/>
                <w:color w:val="016794"/>
                <w:sz w:val="18"/>
              </w:rPr>
              <w:t>6 564</w:t>
            </w:r>
          </w:p>
        </w:tc>
        <w:tc>
          <w:tcPr>
            <w:tcW w:w="1281" w:type="dxa"/>
            <w:tcBorders>
              <w:top w:val="nil"/>
              <w:left w:val="nil"/>
              <w:bottom w:val="nil"/>
              <w:right w:val="nil"/>
              <w:tl2br w:val="nil"/>
              <w:tr2bl w:val="nil"/>
            </w:tcBorders>
            <w:tcMar>
              <w:left w:w="60" w:type="dxa"/>
              <w:right w:w="60" w:type="dxa"/>
            </w:tcMar>
            <w:vAlign w:val="center"/>
          </w:tcPr>
          <w:p>
            <w:pPr>
              <w:pStyle w:val="DMETW36627BIPLMS"/>
              <w:jc w:val="right"/>
              <w:rPr>
                <w:rFonts w:ascii="Verdana" w:eastAsia="Verdana" w:hAnsi="Verdana" w:cs="Verdana"/>
                <w:i/>
                <w:noProof/>
                <w:color w:val="016794"/>
                <w:sz w:val="18"/>
              </w:rPr>
            </w:pPr>
            <w:r>
              <w:rPr>
                <w:rFonts w:ascii="Verdana" w:hAnsi="Verdana"/>
                <w:i/>
                <w:noProof/>
                <w:color w:val="016794"/>
                <w:sz w:val="18"/>
              </w:rPr>
              <w:t>–</w:t>
            </w:r>
          </w:p>
        </w:tc>
        <w:tc>
          <w:tcPr>
            <w:tcW w:w="1202" w:type="dxa"/>
            <w:tcBorders>
              <w:top w:val="nil"/>
              <w:left w:val="nil"/>
              <w:bottom w:val="nil"/>
              <w:right w:val="nil"/>
              <w:tl2br w:val="nil"/>
              <w:tr2bl w:val="nil"/>
            </w:tcBorders>
            <w:tcMar>
              <w:left w:w="60" w:type="dxa"/>
              <w:right w:w="60" w:type="dxa"/>
            </w:tcMar>
            <w:vAlign w:val="center"/>
          </w:tcPr>
          <w:p>
            <w:pPr>
              <w:pStyle w:val="DMETW36627BIPLMS"/>
              <w:jc w:val="right"/>
              <w:rPr>
                <w:rFonts w:ascii="Verdana" w:eastAsia="Verdana" w:hAnsi="Verdana" w:cs="Verdana"/>
                <w:i/>
                <w:noProof/>
                <w:color w:val="016794"/>
                <w:sz w:val="18"/>
              </w:rPr>
            </w:pPr>
            <w:r>
              <w:rPr>
                <w:rFonts w:ascii="Verdana" w:hAnsi="Verdana"/>
                <w:i/>
                <w:noProof/>
                <w:color w:val="016794"/>
                <w:sz w:val="18"/>
              </w:rPr>
              <w:t>16 985</w:t>
            </w:r>
          </w:p>
        </w:tc>
      </w:tr>
    </w:tbl>
    <w:p>
      <w:pPr>
        <w:pStyle w:val="DGTextstand-alone"/>
        <w:spacing w:before="120" w:after="120"/>
      </w:pPr>
      <w:r>
        <w:t xml:space="preserve">La valeur nominale des prêts aux États membres au 31 décembre 2025 s’élève à 283,4 milliards d’EUR (contre 249,2 milliards d’EUR en 2024), dont 155,9 milliards d’EUR concernent les prêts NextGenerationEU pour la FRR et REPowerEU. </w:t>
      </w:r>
    </w:p>
    <w:p>
      <w:pPr>
        <w:pStyle w:val="DGTextstand-alone"/>
        <w:spacing w:before="120" w:after="120"/>
      </w:pPr>
      <w:r>
        <w:lastRenderedPageBreak/>
        <w:t>Dans ce tableau, et dans le tableau des prêts à des pays tiers ci-après, la ligne «Variations de la valeur comptable» correspond à la variation des intérêts courus et à la variation des primes/décotes (nouvelles primes/décotes et amortissements).</w:t>
      </w:r>
    </w:p>
    <w:p>
      <w:pPr>
        <w:pStyle w:val="DGTextstand-alone"/>
        <w:spacing w:before="120" w:after="120"/>
      </w:pPr>
      <w:r>
        <w:t xml:space="preserve">Les programmes SURE, MESF et BDP ont été mis en œuvre sur une base réciproque («back-to-back»). Cela signifie que les prêts étaient financés par des emprunts équivalents, conclus selon des modalités similaires. Les échéances sont les mêmes, tandis que les surcotes/décotes à l’émission ainsi que les coûts sont reversés au bénéficiaire du prêt. À l’échéance, le bénéficiaire du prêt rembourse la Commission et la Commission rembourse l’emprunt. En ce qui concerne les prêts pour la FRR financés au titre de NextGenerationEU, il n’existe pas de relation de réciprocité («back-to-back») entre les conditions des prêts et les emprunts. Ces prêts sont financés par l’approche unifiée en matière de financement, expliquée dans la note </w:t>
      </w:r>
      <w:r>
        <w:rPr>
          <w:b/>
        </w:rPr>
        <w:t>2.11.1.1</w:t>
      </w:r>
      <w:r>
        <w:t>.</w:t>
      </w:r>
    </w:p>
    <w:p>
      <w:pPr>
        <w:pStyle w:val="HEADER5"/>
        <w:spacing w:before="240"/>
        <w:rPr>
          <w:noProof/>
        </w:rPr>
      </w:pPr>
      <w:r>
        <w:rPr>
          <w:noProof/>
        </w:rPr>
        <w:t>FRR</w:t>
      </w:r>
    </w:p>
    <w:p>
      <w:pPr>
        <w:pStyle w:val="DGTextstand-alone"/>
        <w:spacing w:before="120" w:after="120"/>
      </w:pPr>
      <w:r>
        <w:t>Créée en 2021, la FRR est un instrument temporaire qui vise à aider les économies des États membres à se remettre de la pandémie de COVID-19 et à devenir résilientes aux transitions écologique et numérique. Dans le cadre de l’instrument de l’UE pour la relance (NextGenerationEU), la Commission emprunte des fonds que la FRR utilise pour financer les réformes et les investissements des États membres. Ceux-ci doivent être conformes aux priorités de l’UE et permettre de faire face aux défis recensés dans les recommandations par pays formulées dans le cadre du Semestre européen pour la coordination des politiques économiques et sociales. Le financement peut prendre la forme d’un prêt (soutien remboursable) ou d’une subvention (soutien non remboursable, voir note </w:t>
      </w:r>
      <w:r>
        <w:rPr>
          <w:b/>
        </w:rPr>
        <w:t>2.5</w:t>
      </w:r>
      <w:r>
        <w:t xml:space="preserve">). Les États membres peuvent recevoir un financement à concurrence d’une dotation convenue au préalable pour les prêts et les subventions. Pour bénéficier de ce soutien, les États membres doivent soumettre à la Commission européenne leurs plans nationaux pour la reprise et la résilience. Chaque plan expose les réformes et les investissements à mettre en œuvre d’ici la fin de 2026, en définissant des jalons et des cibles précis qui seront analysés par la Commission européenne et approuvés par le Conseil européen. Les prêts accordés au titre de la FRR ne peuvent être décaissés jusqu’au 31 décembre 2026 que si les jalons et les cibles convenus ont été atteints. </w:t>
      </w:r>
    </w:p>
    <w:p>
      <w:pPr>
        <w:pStyle w:val="DGTextstand-alone"/>
        <w:spacing w:before="120" w:after="120"/>
      </w:pPr>
      <w:r>
        <w:t>En 2023, le règlement FRR a été modifié et a permis aux États membres d’ajouter un chapitre REPowerEU à leurs plans nationaux pour la reprise et la résilience. Les États membres peuvent financer des investissements et des réformes afin d’atteindre les objectifs de REPowerEU. Le financement peut également prendre la forme de prêts, en utilisant des ressources de prêt relevant de la FRR qui n’ont pas encore été demandées par les États membres. La rubrique FRR du tableau figurant ci-dessus inclut donc également les prêts REPowerEU.</w:t>
      </w:r>
    </w:p>
    <w:p>
      <w:pPr>
        <w:pStyle w:val="DGTextstand-alone"/>
        <w:spacing w:before="120" w:after="120"/>
      </w:pPr>
      <w:bookmarkStart w:id="101" w:name="_Hlk225089219"/>
      <w:r>
        <w:t>Au 31 décembre 2025, les accords de prêt signés s’élevaient à 277,2 milliards d’EUR (contre 290,9 milliards d’EUR à la fin de 2024, le montant ayant diminué en raison de la réduction de certains accords de prêt). 155,9 milliards d’EUR de prêts ont été décaissés et étaient en cours à la fin de 2025.</w:t>
      </w:r>
    </w:p>
    <w:p>
      <w:pPr>
        <w:pStyle w:val="HEADER5"/>
        <w:spacing w:before="240"/>
        <w:rPr>
          <w:noProof/>
        </w:rPr>
      </w:pPr>
      <w:bookmarkStart w:id="102" w:name="_Hlk229775529"/>
      <w:bookmarkEnd w:id="101"/>
      <w:r>
        <w:rPr>
          <w:noProof/>
        </w:rPr>
        <w:t>Soutien à l’atténuation des risques de chômage en situation d’urgence (SURE)</w:t>
      </w:r>
    </w:p>
    <w:p>
      <w:pPr>
        <w:pStyle w:val="DGTextstand-alone"/>
        <w:spacing w:before="120" w:after="120"/>
      </w:pPr>
      <w:r>
        <w:t>SURE a octroyé une assistance financière dont l’objectif est de maintenir les personnes en activité et de préserver les emplois touchés par la pandémie de COVID-19. La période de mise à disposition de cet instrument a pris fin le 31 décembre 2022. Les prêts décaissés au 31 décembre 2024 se sont élevés à 98,4 milliards d’EUR (valeur nominale) et il n’y avait pas de décaissements en attente. En 2025, les États membres ont remboursé 8 milliards d’EUR de prêts SURE.</w:t>
      </w:r>
    </w:p>
    <w:bookmarkEnd w:id="102"/>
    <w:p>
      <w:pPr>
        <w:pStyle w:val="HEADER5"/>
        <w:spacing w:before="240"/>
        <w:rPr>
          <w:noProof/>
        </w:rPr>
      </w:pPr>
      <w:r>
        <w:rPr>
          <w:noProof/>
        </w:rPr>
        <w:t>Mécanisme européen de stabilisation financière (MESF)</w:t>
      </w:r>
    </w:p>
    <w:p>
      <w:pPr>
        <w:pStyle w:val="DGTextstand-alone"/>
        <w:spacing w:before="120" w:after="120"/>
      </w:pPr>
      <w:r>
        <w:t xml:space="preserve">Le MESF a permis l’octroi d’une assistance financière à un État membre connaissant des difficultés financières. Le programme a expiré, sauf pour des opérations spécifiques telles que la prolongation de la durée des prêts. </w:t>
      </w:r>
      <w:bookmarkStart w:id="103" w:name="_Hlk225453570"/>
      <w:r>
        <w:t>En 2025, l’Irlande a remboursé 2,4 milliards d’EUR de prêts MESF dus. Le Portugal a demandé le remboursement anticipé de deux prêts pour un montant total de 2,5 milliards d’EUR. Le remboursement des prêts a été effectué au prix du marché des obligations sous-jacentes. Cette opération a entraîné des profits ou des pertes sur décomptabilisation des prêts (voir notes </w:t>
      </w:r>
      <w:r>
        <w:rPr>
          <w:b/>
          <w:bCs/>
        </w:rPr>
        <w:t>3.9</w:t>
      </w:r>
      <w:r>
        <w:t xml:space="preserve"> et </w:t>
      </w:r>
      <w:r>
        <w:rPr>
          <w:b/>
          <w:bCs/>
        </w:rPr>
        <w:t>3.15</w:t>
      </w:r>
      <w:r>
        <w:t>). Les obligations de l’UE sous-jacentes ont été transférées vers la réserve de financement unifié (voir note </w:t>
      </w:r>
      <w:r>
        <w:rPr>
          <w:b/>
          <w:bCs/>
        </w:rPr>
        <w:t>2.11.1.1</w:t>
      </w:r>
      <w:r>
        <w:t>).</w:t>
      </w:r>
    </w:p>
    <w:bookmarkEnd w:id="103"/>
    <w:p>
      <w:pPr>
        <w:pStyle w:val="HEADER5"/>
        <w:spacing w:before="240"/>
        <w:rPr>
          <w:noProof/>
        </w:rPr>
      </w:pPr>
      <w:r>
        <w:rPr>
          <w:noProof/>
        </w:rPr>
        <w:t>Balance des paiements (BDP)</w:t>
      </w:r>
    </w:p>
    <w:p>
      <w:pPr>
        <w:pStyle w:val="DGTextstand-alone"/>
        <w:spacing w:before="120" w:after="120"/>
      </w:pPr>
      <w:r>
        <w:t>Il s’agit d’un instrument financier axé sur les politiques, destiné à apporter un soutien financier de moyen terme aux États membres qui n’ont pas adopté l’euro. En 2025, le dernier encours du prêt de soutien à la balance des paiements a été intégralement remboursé par la Lettonie.</w:t>
      </w:r>
    </w:p>
    <w:p>
      <w:pPr>
        <w:pStyle w:val="DGTextstand-alone"/>
        <w:spacing w:before="120" w:after="120"/>
      </w:pPr>
    </w:p>
    <w:p>
      <w:pPr>
        <w:pStyle w:val="HEADER5"/>
        <w:keepNext/>
        <w:spacing w:before="240"/>
        <w:rPr>
          <w:noProof/>
        </w:rPr>
      </w:pPr>
      <w:r>
        <w:rPr>
          <w:noProof/>
        </w:rPr>
        <w:lastRenderedPageBreak/>
        <w:t>Prêts à des pays tiers</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3"/>
        <w:gridCol w:w="1109"/>
        <w:gridCol w:w="1276"/>
        <w:gridCol w:w="1417"/>
        <w:gridCol w:w="1134"/>
        <w:gridCol w:w="1134"/>
        <w:gridCol w:w="1255"/>
      </w:tblGrid>
      <w:tr>
        <w:trPr>
          <w:trHeight w:val="255"/>
        </w:trPr>
        <w:tc>
          <w:tcPr>
            <w:tcW w:w="2433" w:type="dxa"/>
            <w:tcBorders>
              <w:top w:val="nil"/>
              <w:left w:val="nil"/>
              <w:bottom w:val="nil"/>
              <w:right w:val="nil"/>
              <w:tl2br w:val="nil"/>
              <w:tr2bl w:val="nil"/>
            </w:tcBorders>
            <w:tcMar>
              <w:left w:w="60" w:type="dxa"/>
              <w:right w:w="60" w:type="dxa"/>
            </w:tcMar>
            <w:vAlign w:val="bottom"/>
          </w:tcPr>
          <w:p>
            <w:pPr>
              <w:pStyle w:val="DMETW36627BIPLTC"/>
              <w:rPr>
                <w:rFonts w:ascii="Verdana" w:eastAsia="Verdana" w:hAnsi="Verdana" w:cs="Verdana"/>
                <w:noProof/>
                <w:color w:val="000000"/>
                <w:sz w:val="18"/>
              </w:rPr>
            </w:pPr>
            <w:bookmarkStart w:id="104" w:name="DOC_TBL00023_1_1"/>
            <w:bookmarkEnd w:id="104"/>
          </w:p>
        </w:tc>
        <w:tc>
          <w:tcPr>
            <w:tcW w:w="1109" w:type="dxa"/>
            <w:tcBorders>
              <w:top w:val="nil"/>
              <w:left w:val="nil"/>
              <w:bottom w:val="nil"/>
              <w:right w:val="nil"/>
              <w:tl2br w:val="nil"/>
              <w:tr2bl w:val="nil"/>
            </w:tcBorders>
            <w:tcMar>
              <w:left w:w="60" w:type="dxa"/>
              <w:right w:w="60" w:type="dxa"/>
            </w:tcMar>
            <w:vAlign w:val="bottom"/>
          </w:tcPr>
          <w:p>
            <w:pPr>
              <w:pStyle w:val="DMETW36627BIPLTC"/>
              <w:rPr>
                <w:rFonts w:ascii="Verdana" w:eastAsia="Verdana" w:hAnsi="Verdana" w:cs="Verdana"/>
                <w:noProof/>
                <w:color w:val="000000"/>
                <w:sz w:val="18"/>
              </w:rPr>
            </w:pPr>
          </w:p>
        </w:tc>
        <w:tc>
          <w:tcPr>
            <w:tcW w:w="1276" w:type="dxa"/>
            <w:tcBorders>
              <w:top w:val="nil"/>
              <w:left w:val="nil"/>
              <w:bottom w:val="nil"/>
              <w:right w:val="nil"/>
              <w:tl2br w:val="nil"/>
              <w:tr2bl w:val="nil"/>
            </w:tcBorders>
            <w:tcMar>
              <w:left w:w="60" w:type="dxa"/>
              <w:right w:w="60" w:type="dxa"/>
            </w:tcMar>
            <w:vAlign w:val="bottom"/>
          </w:tcPr>
          <w:p>
            <w:pPr>
              <w:pStyle w:val="DMETW36627BIPLTC"/>
              <w:rPr>
                <w:rFonts w:ascii="Verdana" w:eastAsia="Verdana" w:hAnsi="Verdana" w:cs="Verdana"/>
                <w:noProof/>
                <w:color w:val="000000"/>
                <w:sz w:val="18"/>
              </w:rPr>
            </w:pPr>
          </w:p>
        </w:tc>
        <w:tc>
          <w:tcPr>
            <w:tcW w:w="1417" w:type="dxa"/>
            <w:tcBorders>
              <w:top w:val="nil"/>
              <w:left w:val="nil"/>
              <w:bottom w:val="nil"/>
              <w:right w:val="nil"/>
              <w:tl2br w:val="nil"/>
              <w:tr2bl w:val="nil"/>
            </w:tcBorders>
            <w:tcMar>
              <w:left w:w="60" w:type="dxa"/>
              <w:right w:w="60" w:type="dxa"/>
            </w:tcMar>
            <w:vAlign w:val="bottom"/>
          </w:tcPr>
          <w:p>
            <w:pPr>
              <w:pStyle w:val="DMETW36627BIPLTC"/>
              <w:rPr>
                <w:rFonts w:ascii="Verdana" w:eastAsia="Verdana" w:hAnsi="Verdana" w:cs="Verdana"/>
                <w:noProof/>
                <w:color w:val="000000"/>
                <w:sz w:val="18"/>
              </w:rPr>
            </w:pPr>
          </w:p>
        </w:tc>
        <w:tc>
          <w:tcPr>
            <w:tcW w:w="1134" w:type="dxa"/>
            <w:tcBorders>
              <w:top w:val="nil"/>
              <w:left w:val="nil"/>
              <w:bottom w:val="nil"/>
              <w:right w:val="nil"/>
              <w:tl2br w:val="nil"/>
              <w:tr2bl w:val="nil"/>
            </w:tcBorders>
            <w:tcMar>
              <w:left w:w="60" w:type="dxa"/>
              <w:right w:w="60" w:type="dxa"/>
            </w:tcMar>
            <w:vAlign w:val="bottom"/>
          </w:tcPr>
          <w:p>
            <w:pPr>
              <w:pStyle w:val="DMETW36627BIPLTC"/>
              <w:rPr>
                <w:rFonts w:ascii="Verdana" w:eastAsia="Verdana" w:hAnsi="Verdana" w:cs="Verdana"/>
                <w:noProof/>
                <w:color w:val="000000"/>
                <w:sz w:val="18"/>
              </w:rPr>
            </w:pPr>
          </w:p>
        </w:tc>
        <w:tc>
          <w:tcPr>
            <w:tcW w:w="1134" w:type="dxa"/>
            <w:tcBorders>
              <w:top w:val="nil"/>
              <w:left w:val="nil"/>
              <w:bottom w:val="nil"/>
              <w:right w:val="nil"/>
              <w:tl2br w:val="nil"/>
              <w:tr2bl w:val="nil"/>
            </w:tcBorders>
            <w:tcMar>
              <w:left w:w="60" w:type="dxa"/>
              <w:right w:w="60" w:type="dxa"/>
            </w:tcMar>
            <w:vAlign w:val="bottom"/>
          </w:tcPr>
          <w:p>
            <w:pPr>
              <w:pStyle w:val="DMETW36627BIPLTC"/>
              <w:rPr>
                <w:rFonts w:ascii="Verdana" w:eastAsia="Verdana" w:hAnsi="Verdana" w:cs="Verdana"/>
                <w:noProof/>
                <w:color w:val="000000"/>
                <w:sz w:val="18"/>
              </w:rPr>
            </w:pPr>
          </w:p>
        </w:tc>
        <w:tc>
          <w:tcPr>
            <w:tcW w:w="1255" w:type="dxa"/>
            <w:tcBorders>
              <w:top w:val="nil"/>
              <w:left w:val="nil"/>
              <w:bottom w:val="nil"/>
              <w:right w:val="nil"/>
              <w:tl2br w:val="nil"/>
              <w:tr2bl w:val="nil"/>
            </w:tcBorders>
            <w:tcMar>
              <w:left w:w="60" w:type="dxa"/>
              <w:right w:w="60" w:type="dxa"/>
            </w:tcMar>
            <w:vAlign w:val="bottom"/>
          </w:tcPr>
          <w:p>
            <w:pPr>
              <w:pStyle w:val="DMETW36627BIPLTC"/>
              <w:jc w:val="right"/>
              <w:rPr>
                <w:rFonts w:ascii="Verdana" w:eastAsia="Verdana" w:hAnsi="Verdana" w:cs="Verdana"/>
                <w:i/>
                <w:noProof/>
                <w:color w:val="000000"/>
                <w:sz w:val="16"/>
              </w:rPr>
            </w:pPr>
            <w:r>
              <w:rPr>
                <w:rFonts w:ascii="Verdana" w:hAnsi="Verdana"/>
                <w:i/>
                <w:noProof/>
                <w:color w:val="000000"/>
                <w:sz w:val="16"/>
              </w:rPr>
              <w:t>en Mio EUR</w:t>
            </w:r>
          </w:p>
        </w:tc>
      </w:tr>
      <w:tr>
        <w:trPr>
          <w:trHeight w:val="255"/>
        </w:trPr>
        <w:tc>
          <w:tcPr>
            <w:tcW w:w="2433" w:type="dxa"/>
            <w:tcBorders>
              <w:top w:val="nil"/>
              <w:left w:val="nil"/>
              <w:bottom w:val="nil"/>
              <w:right w:val="nil"/>
              <w:tl2br w:val="nil"/>
              <w:tr2bl w:val="nil"/>
            </w:tcBorders>
            <w:shd w:val="solid" w:color="016794" w:fill="FFFFFF"/>
            <w:tcMar>
              <w:left w:w="60" w:type="dxa"/>
              <w:right w:w="60" w:type="dxa"/>
            </w:tcMar>
            <w:vAlign w:val="center"/>
          </w:tcPr>
          <w:p>
            <w:pPr>
              <w:pStyle w:val="DMETW36627BIPLTC"/>
              <w:jc w:val="right"/>
              <w:rPr>
                <w:rFonts w:ascii="Verdana" w:eastAsia="Verdana" w:hAnsi="Verdana" w:cs="Verdana"/>
                <w:noProof/>
                <w:color w:val="FFFFFF"/>
                <w:sz w:val="18"/>
              </w:rPr>
            </w:pPr>
          </w:p>
        </w:tc>
        <w:tc>
          <w:tcPr>
            <w:tcW w:w="1109" w:type="dxa"/>
            <w:tcBorders>
              <w:top w:val="nil"/>
              <w:left w:val="nil"/>
              <w:bottom w:val="nil"/>
              <w:right w:val="nil"/>
              <w:tl2br w:val="nil"/>
              <w:tr2bl w:val="nil"/>
            </w:tcBorders>
            <w:shd w:val="solid" w:color="016794" w:fill="FFFFFF"/>
            <w:tcMar>
              <w:left w:w="60" w:type="dxa"/>
              <w:right w:w="60" w:type="dxa"/>
            </w:tcMar>
            <w:vAlign w:val="center"/>
          </w:tcPr>
          <w:p>
            <w:pPr>
              <w:pStyle w:val="DMETW36627BIPLTC"/>
              <w:jc w:val="right"/>
              <w:rPr>
                <w:rFonts w:ascii="Verdana" w:eastAsia="Verdana" w:hAnsi="Verdana" w:cs="Verdana"/>
                <w:noProof/>
                <w:color w:val="FFFFFF"/>
                <w:sz w:val="18"/>
              </w:rPr>
            </w:pPr>
            <w:r>
              <w:rPr>
                <w:rFonts w:ascii="Verdana" w:hAnsi="Verdana"/>
                <w:noProof/>
                <w:color w:val="FFFFFF"/>
                <w:sz w:val="18"/>
              </w:rPr>
              <w:t>AMF</w:t>
            </w:r>
          </w:p>
        </w:tc>
        <w:tc>
          <w:tcPr>
            <w:tcW w:w="1276" w:type="dxa"/>
            <w:tcBorders>
              <w:top w:val="nil"/>
              <w:left w:val="nil"/>
              <w:bottom w:val="nil"/>
              <w:right w:val="nil"/>
              <w:tl2br w:val="nil"/>
              <w:tr2bl w:val="nil"/>
            </w:tcBorders>
            <w:shd w:val="solid" w:color="016794" w:fill="FFFFFF"/>
            <w:tcMar>
              <w:left w:w="60" w:type="dxa"/>
              <w:right w:w="60" w:type="dxa"/>
            </w:tcMar>
            <w:vAlign w:val="center"/>
          </w:tcPr>
          <w:p>
            <w:pPr>
              <w:pStyle w:val="DMETW36627BIPLTC"/>
              <w:jc w:val="right"/>
              <w:rPr>
                <w:rFonts w:ascii="Verdana" w:eastAsia="Verdana" w:hAnsi="Verdana" w:cs="Verdana"/>
                <w:noProof/>
                <w:color w:val="FFFFFF"/>
                <w:sz w:val="18"/>
              </w:rPr>
            </w:pPr>
            <w:r>
              <w:rPr>
                <w:rFonts w:ascii="Verdana" w:hAnsi="Verdana"/>
                <w:noProof/>
                <w:color w:val="FFFFFF"/>
                <w:sz w:val="18"/>
              </w:rPr>
              <w:t>Facilité pour l’Ukraine</w:t>
            </w:r>
          </w:p>
        </w:tc>
        <w:tc>
          <w:tcPr>
            <w:tcW w:w="1417" w:type="dxa"/>
            <w:tcBorders>
              <w:top w:val="nil"/>
              <w:left w:val="nil"/>
              <w:bottom w:val="nil"/>
              <w:right w:val="nil"/>
              <w:tl2br w:val="nil"/>
              <w:tr2bl w:val="nil"/>
            </w:tcBorders>
            <w:shd w:val="solid" w:color="016794" w:fill="FFFFFF"/>
            <w:tcMar>
              <w:left w:w="60" w:type="dxa"/>
              <w:right w:w="60" w:type="dxa"/>
            </w:tcMar>
            <w:vAlign w:val="center"/>
          </w:tcPr>
          <w:p>
            <w:pPr>
              <w:pStyle w:val="DMETW36627BIPLTC"/>
              <w:jc w:val="right"/>
              <w:rPr>
                <w:rFonts w:ascii="Verdana" w:eastAsia="Verdana" w:hAnsi="Verdana" w:cs="Verdana"/>
                <w:noProof/>
                <w:color w:val="FFFFFF"/>
                <w:sz w:val="18"/>
              </w:rPr>
            </w:pPr>
            <w:r>
              <w:rPr>
                <w:rFonts w:ascii="Verdana" w:hAnsi="Verdana"/>
                <w:noProof/>
                <w:color w:val="FFFFFF"/>
                <w:sz w:val="18"/>
              </w:rPr>
              <w:t>EURATOM</w:t>
            </w:r>
          </w:p>
        </w:tc>
        <w:tc>
          <w:tcPr>
            <w:tcW w:w="1134" w:type="dxa"/>
            <w:tcBorders>
              <w:top w:val="nil"/>
              <w:left w:val="nil"/>
              <w:bottom w:val="nil"/>
              <w:right w:val="nil"/>
              <w:tl2br w:val="nil"/>
              <w:tr2bl w:val="nil"/>
            </w:tcBorders>
            <w:shd w:val="solid" w:color="016794" w:fill="FFFFFF"/>
            <w:tcMar>
              <w:left w:w="60" w:type="dxa"/>
              <w:right w:w="60" w:type="dxa"/>
            </w:tcMar>
            <w:vAlign w:val="center"/>
          </w:tcPr>
          <w:p>
            <w:pPr>
              <w:pStyle w:val="DMETW36627BIPLTC"/>
              <w:jc w:val="right"/>
              <w:rPr>
                <w:rFonts w:ascii="Verdana" w:eastAsia="Verdana" w:hAnsi="Verdana" w:cs="Verdana"/>
                <w:noProof/>
                <w:color w:val="FFFFFF"/>
                <w:sz w:val="18"/>
              </w:rPr>
            </w:pPr>
            <w:r>
              <w:rPr>
                <w:rFonts w:ascii="Verdana" w:hAnsi="Verdana"/>
                <w:noProof/>
                <w:color w:val="FFFFFF"/>
                <w:sz w:val="18"/>
              </w:rPr>
              <w:t>Facilité pour les Balkans occidentaux</w:t>
            </w:r>
          </w:p>
        </w:tc>
        <w:tc>
          <w:tcPr>
            <w:tcW w:w="1134" w:type="dxa"/>
            <w:tcBorders>
              <w:top w:val="nil"/>
              <w:left w:val="nil"/>
              <w:bottom w:val="nil"/>
              <w:right w:val="nil"/>
              <w:tl2br w:val="nil"/>
              <w:tr2bl w:val="nil"/>
            </w:tcBorders>
            <w:shd w:val="solid" w:color="016794" w:fill="FFFFFF"/>
            <w:tcMar>
              <w:left w:w="60" w:type="dxa"/>
              <w:right w:w="60" w:type="dxa"/>
            </w:tcMar>
            <w:vAlign w:val="center"/>
          </w:tcPr>
          <w:p>
            <w:pPr>
              <w:pStyle w:val="DMETW36627BIPLTC"/>
              <w:jc w:val="right"/>
              <w:rPr>
                <w:rFonts w:ascii="Verdana" w:eastAsia="Verdana" w:hAnsi="Verdana" w:cs="Verdana"/>
                <w:noProof/>
                <w:color w:val="FFFFFF"/>
                <w:sz w:val="18"/>
              </w:rPr>
            </w:pPr>
            <w:r>
              <w:rPr>
                <w:rFonts w:ascii="Verdana" w:hAnsi="Verdana"/>
                <w:noProof/>
                <w:color w:val="FFFFFF"/>
                <w:sz w:val="18"/>
              </w:rPr>
              <w:t>Facilité pour la Moldavie</w:t>
            </w:r>
          </w:p>
        </w:tc>
        <w:tc>
          <w:tcPr>
            <w:tcW w:w="1255" w:type="dxa"/>
            <w:tcBorders>
              <w:top w:val="nil"/>
              <w:left w:val="nil"/>
              <w:bottom w:val="nil"/>
              <w:right w:val="nil"/>
              <w:tl2br w:val="nil"/>
              <w:tr2bl w:val="nil"/>
            </w:tcBorders>
            <w:shd w:val="solid" w:color="016794" w:fill="FFFFFF"/>
            <w:tcMar>
              <w:left w:w="60" w:type="dxa"/>
              <w:right w:w="60" w:type="dxa"/>
            </w:tcMar>
            <w:vAlign w:val="center"/>
          </w:tcPr>
          <w:p>
            <w:pPr>
              <w:pStyle w:val="DMETW36627BIPLTC"/>
              <w:jc w:val="right"/>
              <w:rPr>
                <w:rFonts w:ascii="Verdana" w:eastAsia="Verdana" w:hAnsi="Verdana" w:cs="Verdana"/>
                <w:noProof/>
                <w:color w:val="FFFFFF"/>
                <w:sz w:val="18"/>
              </w:rPr>
            </w:pPr>
            <w:r>
              <w:rPr>
                <w:rFonts w:ascii="Verdana" w:hAnsi="Verdana"/>
                <w:noProof/>
                <w:color w:val="FFFFFF"/>
                <w:sz w:val="18"/>
              </w:rPr>
              <w:t>Total</w:t>
            </w:r>
          </w:p>
        </w:tc>
      </w:tr>
      <w:tr>
        <w:trPr>
          <w:trHeight w:val="255"/>
        </w:trPr>
        <w:tc>
          <w:tcPr>
            <w:tcW w:w="2433" w:type="dxa"/>
            <w:tcBorders>
              <w:top w:val="nil"/>
              <w:left w:val="nil"/>
              <w:bottom w:val="nil"/>
              <w:right w:val="nil"/>
              <w:tl2br w:val="nil"/>
              <w:tr2bl w:val="nil"/>
            </w:tcBorders>
            <w:tcMar>
              <w:left w:w="60" w:type="dxa"/>
              <w:right w:w="60" w:type="dxa"/>
            </w:tcMar>
            <w:vAlign w:val="center"/>
          </w:tcPr>
          <w:p>
            <w:pPr>
              <w:pStyle w:val="DMETW36627BIPLTC"/>
              <w:rPr>
                <w:rFonts w:ascii="Verdana" w:eastAsia="Verdana" w:hAnsi="Verdana" w:cs="Verdana"/>
                <w:i/>
                <w:noProof/>
                <w:color w:val="000000"/>
                <w:sz w:val="18"/>
              </w:rPr>
            </w:pPr>
            <w:r>
              <w:rPr>
                <w:rFonts w:ascii="Verdana" w:hAnsi="Verdana"/>
                <w:i/>
                <w:noProof/>
                <w:color w:val="000000"/>
                <w:sz w:val="18"/>
              </w:rPr>
              <w:t>Total au 31.12.2024</w:t>
            </w:r>
          </w:p>
        </w:tc>
        <w:tc>
          <w:tcPr>
            <w:tcW w:w="1109" w:type="dxa"/>
            <w:tcBorders>
              <w:top w:val="nil"/>
              <w:left w:val="nil"/>
              <w:bottom w:val="nil"/>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00000"/>
                <w:sz w:val="18"/>
              </w:rPr>
            </w:pPr>
            <w:r>
              <w:rPr>
                <w:rFonts w:ascii="Verdana" w:hAnsi="Verdana"/>
                <w:i/>
                <w:noProof/>
                <w:color w:val="000000"/>
                <w:sz w:val="18"/>
              </w:rPr>
              <w:t>23 831</w:t>
            </w:r>
          </w:p>
        </w:tc>
        <w:tc>
          <w:tcPr>
            <w:tcW w:w="1276" w:type="dxa"/>
            <w:tcBorders>
              <w:top w:val="nil"/>
              <w:left w:val="nil"/>
              <w:bottom w:val="nil"/>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00000"/>
                <w:sz w:val="18"/>
              </w:rPr>
            </w:pPr>
            <w:r>
              <w:rPr>
                <w:rFonts w:ascii="Verdana" w:hAnsi="Verdana"/>
                <w:i/>
                <w:noProof/>
                <w:color w:val="000000"/>
                <w:sz w:val="18"/>
              </w:rPr>
              <w:t>7 623</w:t>
            </w:r>
          </w:p>
        </w:tc>
        <w:tc>
          <w:tcPr>
            <w:tcW w:w="1417" w:type="dxa"/>
            <w:tcBorders>
              <w:top w:val="nil"/>
              <w:left w:val="nil"/>
              <w:bottom w:val="nil"/>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00000"/>
                <w:sz w:val="18"/>
              </w:rPr>
            </w:pPr>
            <w:r>
              <w:rPr>
                <w:rFonts w:ascii="Verdana" w:hAnsi="Verdana"/>
                <w:i/>
                <w:noProof/>
                <w:color w:val="000000"/>
                <w:sz w:val="18"/>
              </w:rPr>
              <w:t xml:space="preserve"> 203</w:t>
            </w:r>
          </w:p>
        </w:tc>
        <w:tc>
          <w:tcPr>
            <w:tcW w:w="1134" w:type="dxa"/>
            <w:tcBorders>
              <w:top w:val="nil"/>
              <w:left w:val="nil"/>
              <w:bottom w:val="nil"/>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00000"/>
                <w:sz w:val="18"/>
              </w:rPr>
            </w:pPr>
            <w:r>
              <w:rPr>
                <w:rFonts w:ascii="Verdana" w:hAnsi="Verdana"/>
                <w:i/>
                <w:noProof/>
                <w:color w:val="000000"/>
                <w:sz w:val="18"/>
              </w:rPr>
              <w:t>–</w:t>
            </w:r>
          </w:p>
        </w:tc>
        <w:tc>
          <w:tcPr>
            <w:tcW w:w="1134" w:type="dxa"/>
            <w:tcBorders>
              <w:top w:val="nil"/>
              <w:left w:val="nil"/>
              <w:bottom w:val="nil"/>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00000"/>
                <w:sz w:val="18"/>
              </w:rPr>
            </w:pPr>
            <w:r>
              <w:rPr>
                <w:rFonts w:ascii="Verdana" w:hAnsi="Verdana"/>
                <w:i/>
                <w:noProof/>
                <w:color w:val="000000"/>
                <w:sz w:val="18"/>
              </w:rPr>
              <w:t>–</w:t>
            </w:r>
          </w:p>
        </w:tc>
        <w:tc>
          <w:tcPr>
            <w:tcW w:w="1255" w:type="dxa"/>
            <w:tcBorders>
              <w:top w:val="nil"/>
              <w:left w:val="nil"/>
              <w:bottom w:val="nil"/>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00000"/>
                <w:sz w:val="18"/>
              </w:rPr>
            </w:pPr>
            <w:r>
              <w:rPr>
                <w:rFonts w:ascii="Verdana" w:hAnsi="Verdana"/>
                <w:i/>
                <w:noProof/>
                <w:color w:val="000000"/>
                <w:sz w:val="18"/>
              </w:rPr>
              <w:t>31 656</w:t>
            </w:r>
          </w:p>
        </w:tc>
      </w:tr>
      <w:tr>
        <w:trPr>
          <w:trHeight w:val="255"/>
        </w:trPr>
        <w:tc>
          <w:tcPr>
            <w:tcW w:w="2433" w:type="dxa"/>
            <w:tcBorders>
              <w:top w:val="nil"/>
              <w:left w:val="nil"/>
              <w:bottom w:val="nil"/>
              <w:right w:val="nil"/>
              <w:tl2br w:val="nil"/>
              <w:tr2bl w:val="nil"/>
            </w:tcBorders>
            <w:tcMar>
              <w:left w:w="60" w:type="dxa"/>
              <w:right w:w="60" w:type="dxa"/>
            </w:tcMar>
            <w:vAlign w:val="center"/>
          </w:tcPr>
          <w:p>
            <w:pPr>
              <w:pStyle w:val="DMETW36627BIPLTC"/>
              <w:rPr>
                <w:rFonts w:ascii="Verdana" w:eastAsia="Verdana" w:hAnsi="Verdana" w:cs="Verdana"/>
                <w:i/>
                <w:noProof/>
                <w:color w:val="000000"/>
                <w:sz w:val="18"/>
              </w:rPr>
            </w:pPr>
            <w:r>
              <w:rPr>
                <w:rFonts w:ascii="Verdana" w:hAnsi="Verdana"/>
                <w:i/>
                <w:noProof/>
                <w:color w:val="000000"/>
                <w:sz w:val="18"/>
              </w:rPr>
              <w:t>Nouveaux prêts (en valeur nominale)</w:t>
            </w:r>
          </w:p>
        </w:tc>
        <w:tc>
          <w:tcPr>
            <w:tcW w:w="1109" w:type="dxa"/>
            <w:tcBorders>
              <w:top w:val="nil"/>
              <w:left w:val="nil"/>
              <w:bottom w:val="nil"/>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00000"/>
                <w:sz w:val="18"/>
              </w:rPr>
            </w:pPr>
            <w:r>
              <w:rPr>
                <w:rFonts w:ascii="Verdana" w:hAnsi="Verdana"/>
                <w:i/>
                <w:noProof/>
                <w:color w:val="000000"/>
                <w:sz w:val="18"/>
              </w:rPr>
              <w:t>18 366</w:t>
            </w:r>
          </w:p>
        </w:tc>
        <w:tc>
          <w:tcPr>
            <w:tcW w:w="1276" w:type="dxa"/>
            <w:tcBorders>
              <w:top w:val="nil"/>
              <w:left w:val="nil"/>
              <w:bottom w:val="nil"/>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00000"/>
                <w:sz w:val="18"/>
              </w:rPr>
            </w:pPr>
            <w:r>
              <w:rPr>
                <w:rFonts w:ascii="Verdana" w:hAnsi="Verdana"/>
                <w:i/>
                <w:noProof/>
                <w:color w:val="000000"/>
                <w:sz w:val="18"/>
              </w:rPr>
              <w:t>10 052</w:t>
            </w:r>
          </w:p>
        </w:tc>
        <w:tc>
          <w:tcPr>
            <w:tcW w:w="1417" w:type="dxa"/>
            <w:tcBorders>
              <w:top w:val="nil"/>
              <w:left w:val="nil"/>
              <w:bottom w:val="nil"/>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00000"/>
                <w:sz w:val="18"/>
              </w:rPr>
            </w:pPr>
            <w:r>
              <w:rPr>
                <w:rFonts w:ascii="Verdana" w:hAnsi="Verdana"/>
                <w:i/>
                <w:noProof/>
                <w:color w:val="000000"/>
                <w:sz w:val="18"/>
              </w:rPr>
              <w:t>–</w:t>
            </w:r>
          </w:p>
        </w:tc>
        <w:tc>
          <w:tcPr>
            <w:tcW w:w="1134" w:type="dxa"/>
            <w:tcBorders>
              <w:top w:val="nil"/>
              <w:left w:val="nil"/>
              <w:bottom w:val="nil"/>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00000"/>
                <w:sz w:val="18"/>
              </w:rPr>
            </w:pPr>
            <w:r>
              <w:rPr>
                <w:rFonts w:ascii="Verdana" w:hAnsi="Verdana"/>
                <w:i/>
                <w:noProof/>
                <w:color w:val="000000"/>
                <w:sz w:val="18"/>
              </w:rPr>
              <w:t xml:space="preserve"> 184</w:t>
            </w:r>
          </w:p>
        </w:tc>
        <w:tc>
          <w:tcPr>
            <w:tcW w:w="1134" w:type="dxa"/>
            <w:tcBorders>
              <w:top w:val="nil"/>
              <w:left w:val="nil"/>
              <w:bottom w:val="nil"/>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00000"/>
                <w:sz w:val="18"/>
              </w:rPr>
            </w:pPr>
            <w:r>
              <w:rPr>
                <w:rFonts w:ascii="Verdana" w:hAnsi="Verdana"/>
                <w:i/>
                <w:noProof/>
                <w:color w:val="000000"/>
                <w:sz w:val="18"/>
              </w:rPr>
              <w:t xml:space="preserve"> 289</w:t>
            </w:r>
          </w:p>
        </w:tc>
        <w:tc>
          <w:tcPr>
            <w:tcW w:w="1255" w:type="dxa"/>
            <w:tcBorders>
              <w:top w:val="nil"/>
              <w:left w:val="nil"/>
              <w:bottom w:val="nil"/>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00000"/>
                <w:sz w:val="18"/>
              </w:rPr>
            </w:pPr>
            <w:r>
              <w:rPr>
                <w:rFonts w:ascii="Verdana" w:hAnsi="Verdana"/>
                <w:i/>
                <w:noProof/>
                <w:color w:val="000000"/>
                <w:sz w:val="18"/>
              </w:rPr>
              <w:t>28 891</w:t>
            </w:r>
          </w:p>
        </w:tc>
      </w:tr>
      <w:tr>
        <w:trPr>
          <w:trHeight w:val="255"/>
        </w:trPr>
        <w:tc>
          <w:tcPr>
            <w:tcW w:w="2433" w:type="dxa"/>
            <w:tcBorders>
              <w:top w:val="nil"/>
              <w:left w:val="nil"/>
              <w:bottom w:val="nil"/>
              <w:right w:val="nil"/>
              <w:tl2br w:val="nil"/>
              <w:tr2bl w:val="nil"/>
            </w:tcBorders>
            <w:tcMar>
              <w:left w:w="60" w:type="dxa"/>
              <w:right w:w="60" w:type="dxa"/>
            </w:tcMar>
            <w:vAlign w:val="center"/>
          </w:tcPr>
          <w:p>
            <w:pPr>
              <w:pStyle w:val="DMETW36627BIPLTC"/>
              <w:rPr>
                <w:rFonts w:ascii="Verdana" w:eastAsia="Verdana" w:hAnsi="Verdana" w:cs="Verdana"/>
                <w:i/>
                <w:noProof/>
                <w:color w:val="000000"/>
                <w:sz w:val="18"/>
              </w:rPr>
            </w:pPr>
            <w:r>
              <w:rPr>
                <w:rFonts w:ascii="Verdana" w:hAnsi="Verdana"/>
                <w:i/>
                <w:noProof/>
                <w:color w:val="000000"/>
                <w:sz w:val="18"/>
              </w:rPr>
              <w:t>Remboursements</w:t>
            </w:r>
          </w:p>
        </w:tc>
        <w:tc>
          <w:tcPr>
            <w:tcW w:w="1109" w:type="dxa"/>
            <w:tcBorders>
              <w:top w:val="nil"/>
              <w:left w:val="nil"/>
              <w:bottom w:val="nil"/>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00000"/>
                <w:sz w:val="18"/>
              </w:rPr>
            </w:pPr>
            <w:r>
              <w:rPr>
                <w:rFonts w:ascii="Verdana" w:hAnsi="Verdana"/>
                <w:i/>
                <w:noProof/>
                <w:color w:val="000000"/>
                <w:sz w:val="18"/>
              </w:rPr>
              <w:t xml:space="preserve"> (20)</w:t>
            </w:r>
          </w:p>
        </w:tc>
        <w:tc>
          <w:tcPr>
            <w:tcW w:w="1276" w:type="dxa"/>
            <w:tcBorders>
              <w:top w:val="nil"/>
              <w:left w:val="nil"/>
              <w:bottom w:val="nil"/>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00000"/>
                <w:sz w:val="18"/>
              </w:rPr>
            </w:pPr>
            <w:r>
              <w:rPr>
                <w:rFonts w:ascii="Verdana" w:hAnsi="Verdana"/>
                <w:i/>
                <w:noProof/>
                <w:color w:val="000000"/>
                <w:sz w:val="18"/>
              </w:rPr>
              <w:t>–</w:t>
            </w:r>
          </w:p>
        </w:tc>
        <w:tc>
          <w:tcPr>
            <w:tcW w:w="1417" w:type="dxa"/>
            <w:tcBorders>
              <w:top w:val="nil"/>
              <w:left w:val="nil"/>
              <w:bottom w:val="nil"/>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00000"/>
                <w:sz w:val="18"/>
              </w:rPr>
            </w:pPr>
            <w:r>
              <w:rPr>
                <w:rFonts w:ascii="Verdana" w:hAnsi="Verdana"/>
                <w:i/>
                <w:noProof/>
                <w:color w:val="000000"/>
                <w:sz w:val="18"/>
              </w:rPr>
              <w:t>–</w:t>
            </w:r>
          </w:p>
        </w:tc>
        <w:tc>
          <w:tcPr>
            <w:tcW w:w="1134" w:type="dxa"/>
            <w:tcBorders>
              <w:top w:val="nil"/>
              <w:left w:val="nil"/>
              <w:bottom w:val="nil"/>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00000"/>
                <w:sz w:val="18"/>
              </w:rPr>
            </w:pPr>
            <w:r>
              <w:rPr>
                <w:rFonts w:ascii="Verdana" w:hAnsi="Verdana"/>
                <w:i/>
                <w:noProof/>
                <w:color w:val="000000"/>
                <w:sz w:val="18"/>
              </w:rPr>
              <w:t>–</w:t>
            </w:r>
          </w:p>
        </w:tc>
        <w:tc>
          <w:tcPr>
            <w:tcW w:w="1134" w:type="dxa"/>
            <w:tcBorders>
              <w:top w:val="nil"/>
              <w:left w:val="nil"/>
              <w:bottom w:val="nil"/>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00000"/>
                <w:sz w:val="18"/>
              </w:rPr>
            </w:pPr>
            <w:r>
              <w:rPr>
                <w:rFonts w:ascii="Verdana" w:hAnsi="Verdana"/>
                <w:i/>
                <w:noProof/>
                <w:color w:val="000000"/>
                <w:sz w:val="18"/>
              </w:rPr>
              <w:t>–</w:t>
            </w:r>
          </w:p>
        </w:tc>
        <w:tc>
          <w:tcPr>
            <w:tcW w:w="1255" w:type="dxa"/>
            <w:tcBorders>
              <w:top w:val="nil"/>
              <w:left w:val="nil"/>
              <w:bottom w:val="nil"/>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00000"/>
                <w:sz w:val="18"/>
              </w:rPr>
            </w:pPr>
            <w:r>
              <w:rPr>
                <w:rFonts w:ascii="Verdana" w:hAnsi="Verdana"/>
                <w:i/>
                <w:noProof/>
                <w:color w:val="000000"/>
                <w:sz w:val="18"/>
              </w:rPr>
              <w:t xml:space="preserve"> (20)</w:t>
            </w:r>
          </w:p>
        </w:tc>
      </w:tr>
      <w:tr>
        <w:trPr>
          <w:trHeight w:val="255"/>
        </w:trPr>
        <w:tc>
          <w:tcPr>
            <w:tcW w:w="2433" w:type="dxa"/>
            <w:tcBorders>
              <w:top w:val="nil"/>
              <w:left w:val="nil"/>
              <w:bottom w:val="nil"/>
              <w:right w:val="nil"/>
              <w:tl2br w:val="nil"/>
              <w:tr2bl w:val="nil"/>
            </w:tcBorders>
            <w:tcMar>
              <w:left w:w="60" w:type="dxa"/>
              <w:right w:w="60" w:type="dxa"/>
            </w:tcMar>
            <w:vAlign w:val="center"/>
          </w:tcPr>
          <w:p>
            <w:pPr>
              <w:pStyle w:val="DMETW36627BIPLTC"/>
              <w:rPr>
                <w:rFonts w:ascii="Verdana" w:eastAsia="Verdana" w:hAnsi="Verdana" w:cs="Verdana"/>
                <w:i/>
                <w:noProof/>
                <w:color w:val="000000"/>
                <w:sz w:val="18"/>
              </w:rPr>
            </w:pPr>
            <w:r>
              <w:rPr>
                <w:rFonts w:ascii="Verdana" w:hAnsi="Verdana"/>
                <w:i/>
                <w:noProof/>
                <w:color w:val="000000"/>
                <w:sz w:val="18"/>
              </w:rPr>
              <w:t>Variations de la valeur comptable</w:t>
            </w:r>
          </w:p>
        </w:tc>
        <w:tc>
          <w:tcPr>
            <w:tcW w:w="1109" w:type="dxa"/>
            <w:tcBorders>
              <w:top w:val="nil"/>
              <w:left w:val="nil"/>
              <w:bottom w:val="nil"/>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00000"/>
                <w:sz w:val="18"/>
              </w:rPr>
            </w:pPr>
            <w:r>
              <w:rPr>
                <w:rFonts w:ascii="Verdana" w:hAnsi="Verdana"/>
                <w:i/>
                <w:noProof/>
                <w:color w:val="000000"/>
                <w:sz w:val="18"/>
              </w:rPr>
              <w:t xml:space="preserve"> 247</w:t>
            </w:r>
          </w:p>
        </w:tc>
        <w:tc>
          <w:tcPr>
            <w:tcW w:w="1276" w:type="dxa"/>
            <w:tcBorders>
              <w:top w:val="nil"/>
              <w:left w:val="nil"/>
              <w:bottom w:val="nil"/>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00000"/>
                <w:sz w:val="18"/>
              </w:rPr>
            </w:pPr>
            <w:r>
              <w:rPr>
                <w:rFonts w:ascii="Verdana" w:hAnsi="Verdana"/>
                <w:i/>
                <w:noProof/>
                <w:color w:val="000000"/>
                <w:sz w:val="18"/>
              </w:rPr>
              <w:t xml:space="preserve"> 104</w:t>
            </w:r>
          </w:p>
        </w:tc>
        <w:tc>
          <w:tcPr>
            <w:tcW w:w="1417" w:type="dxa"/>
            <w:tcBorders>
              <w:top w:val="nil"/>
              <w:left w:val="nil"/>
              <w:bottom w:val="nil"/>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00000"/>
                <w:sz w:val="18"/>
              </w:rPr>
            </w:pPr>
            <w:r>
              <w:rPr>
                <w:rFonts w:ascii="Verdana" w:hAnsi="Verdana"/>
                <w:i/>
                <w:noProof/>
                <w:color w:val="000000"/>
                <w:sz w:val="18"/>
              </w:rPr>
              <w:t xml:space="preserve"> (0)</w:t>
            </w:r>
          </w:p>
        </w:tc>
        <w:tc>
          <w:tcPr>
            <w:tcW w:w="1134" w:type="dxa"/>
            <w:tcBorders>
              <w:top w:val="nil"/>
              <w:left w:val="nil"/>
              <w:bottom w:val="nil"/>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00000"/>
                <w:sz w:val="18"/>
              </w:rPr>
            </w:pPr>
            <w:r>
              <w:rPr>
                <w:rFonts w:ascii="Verdana" w:hAnsi="Verdana"/>
                <w:i/>
                <w:noProof/>
                <w:color w:val="000000"/>
                <w:sz w:val="18"/>
              </w:rPr>
              <w:t xml:space="preserve"> 3</w:t>
            </w:r>
          </w:p>
        </w:tc>
        <w:tc>
          <w:tcPr>
            <w:tcW w:w="1134" w:type="dxa"/>
            <w:tcBorders>
              <w:top w:val="nil"/>
              <w:left w:val="nil"/>
              <w:bottom w:val="nil"/>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00000"/>
                <w:sz w:val="18"/>
              </w:rPr>
            </w:pPr>
            <w:r>
              <w:rPr>
                <w:rFonts w:ascii="Verdana" w:hAnsi="Verdana"/>
                <w:i/>
                <w:noProof/>
                <w:color w:val="000000"/>
                <w:sz w:val="18"/>
              </w:rPr>
              <w:t xml:space="preserve"> 4</w:t>
            </w:r>
          </w:p>
        </w:tc>
        <w:tc>
          <w:tcPr>
            <w:tcW w:w="1255" w:type="dxa"/>
            <w:tcBorders>
              <w:top w:val="nil"/>
              <w:left w:val="nil"/>
              <w:bottom w:val="nil"/>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00000"/>
                <w:sz w:val="18"/>
              </w:rPr>
            </w:pPr>
            <w:r>
              <w:rPr>
                <w:rFonts w:ascii="Verdana" w:hAnsi="Verdana"/>
                <w:i/>
                <w:noProof/>
                <w:color w:val="000000"/>
                <w:sz w:val="18"/>
              </w:rPr>
              <w:t xml:space="preserve"> 358</w:t>
            </w:r>
          </w:p>
        </w:tc>
      </w:tr>
      <w:tr>
        <w:trPr>
          <w:trHeight w:val="255"/>
        </w:trPr>
        <w:tc>
          <w:tcPr>
            <w:tcW w:w="2433" w:type="dxa"/>
            <w:tcBorders>
              <w:top w:val="nil"/>
              <w:left w:val="nil"/>
              <w:bottom w:val="single" w:sz="4" w:space="0" w:color="016794"/>
              <w:right w:val="nil"/>
              <w:tl2br w:val="nil"/>
              <w:tr2bl w:val="nil"/>
            </w:tcBorders>
            <w:tcMar>
              <w:left w:w="60" w:type="dxa"/>
              <w:right w:w="60" w:type="dxa"/>
            </w:tcMar>
            <w:vAlign w:val="center"/>
          </w:tcPr>
          <w:p>
            <w:pPr>
              <w:pStyle w:val="DMETW36627BIPLTC"/>
              <w:rPr>
                <w:rFonts w:ascii="Verdana" w:eastAsia="Verdana" w:hAnsi="Verdana" w:cs="Verdana"/>
                <w:i/>
                <w:noProof/>
                <w:color w:val="000000"/>
                <w:sz w:val="18"/>
              </w:rPr>
            </w:pPr>
            <w:r>
              <w:rPr>
                <w:rFonts w:ascii="Verdana" w:hAnsi="Verdana"/>
                <w:i/>
                <w:noProof/>
                <w:color w:val="000000"/>
                <w:sz w:val="18"/>
              </w:rPr>
              <w:t>Variations de la dépréciation</w:t>
            </w:r>
          </w:p>
        </w:tc>
        <w:tc>
          <w:tcPr>
            <w:tcW w:w="1109" w:type="dxa"/>
            <w:tcBorders>
              <w:top w:val="nil"/>
              <w:left w:val="nil"/>
              <w:bottom w:val="single" w:sz="4" w:space="0" w:color="016794"/>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00000"/>
                <w:sz w:val="18"/>
              </w:rPr>
            </w:pPr>
            <w:r>
              <w:rPr>
                <w:rFonts w:ascii="Verdana" w:hAnsi="Verdana"/>
                <w:i/>
                <w:noProof/>
                <w:color w:val="000000"/>
                <w:sz w:val="18"/>
              </w:rPr>
              <w:t>(9 164)</w:t>
            </w:r>
          </w:p>
        </w:tc>
        <w:tc>
          <w:tcPr>
            <w:tcW w:w="1276" w:type="dxa"/>
            <w:tcBorders>
              <w:top w:val="nil"/>
              <w:left w:val="nil"/>
              <w:bottom w:val="single" w:sz="4" w:space="0" w:color="016794"/>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00000"/>
                <w:sz w:val="18"/>
              </w:rPr>
            </w:pPr>
            <w:r>
              <w:rPr>
                <w:rFonts w:ascii="Verdana" w:hAnsi="Verdana"/>
                <w:i/>
                <w:noProof/>
                <w:color w:val="000000"/>
                <w:sz w:val="18"/>
              </w:rPr>
              <w:t>(5 206)</w:t>
            </w:r>
          </w:p>
        </w:tc>
        <w:tc>
          <w:tcPr>
            <w:tcW w:w="1417" w:type="dxa"/>
            <w:tcBorders>
              <w:top w:val="nil"/>
              <w:left w:val="nil"/>
              <w:bottom w:val="single" w:sz="4" w:space="0" w:color="016794"/>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00000"/>
                <w:sz w:val="18"/>
              </w:rPr>
            </w:pPr>
            <w:r>
              <w:rPr>
                <w:rFonts w:ascii="Verdana" w:hAnsi="Verdana"/>
                <w:i/>
                <w:noProof/>
                <w:color w:val="000000"/>
                <w:sz w:val="18"/>
              </w:rPr>
              <w:t xml:space="preserve"> 4</w:t>
            </w:r>
          </w:p>
        </w:tc>
        <w:tc>
          <w:tcPr>
            <w:tcW w:w="1134" w:type="dxa"/>
            <w:tcBorders>
              <w:top w:val="nil"/>
              <w:left w:val="nil"/>
              <w:bottom w:val="single" w:sz="4" w:space="0" w:color="016794"/>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00000"/>
                <w:sz w:val="18"/>
              </w:rPr>
            </w:pPr>
            <w:r>
              <w:rPr>
                <w:rFonts w:ascii="Verdana" w:hAnsi="Verdana"/>
                <w:i/>
                <w:noProof/>
                <w:color w:val="000000"/>
                <w:sz w:val="18"/>
              </w:rPr>
              <w:t xml:space="preserve"> (0)</w:t>
            </w:r>
          </w:p>
        </w:tc>
        <w:tc>
          <w:tcPr>
            <w:tcW w:w="1134" w:type="dxa"/>
            <w:tcBorders>
              <w:top w:val="nil"/>
              <w:left w:val="nil"/>
              <w:bottom w:val="single" w:sz="4" w:space="0" w:color="016794"/>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00000"/>
                <w:sz w:val="18"/>
              </w:rPr>
            </w:pPr>
            <w:r>
              <w:rPr>
                <w:rFonts w:ascii="Verdana" w:hAnsi="Verdana"/>
                <w:i/>
                <w:noProof/>
                <w:color w:val="000000"/>
                <w:sz w:val="18"/>
              </w:rPr>
              <w:t xml:space="preserve"> (0)</w:t>
            </w:r>
          </w:p>
        </w:tc>
        <w:tc>
          <w:tcPr>
            <w:tcW w:w="1255" w:type="dxa"/>
            <w:tcBorders>
              <w:top w:val="nil"/>
              <w:left w:val="nil"/>
              <w:bottom w:val="single" w:sz="4" w:space="0" w:color="016794"/>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00000"/>
                <w:sz w:val="18"/>
              </w:rPr>
            </w:pPr>
            <w:r>
              <w:rPr>
                <w:rFonts w:ascii="Verdana" w:hAnsi="Verdana"/>
                <w:i/>
                <w:noProof/>
                <w:color w:val="000000"/>
                <w:sz w:val="18"/>
              </w:rPr>
              <w:t>(14 366)</w:t>
            </w:r>
          </w:p>
        </w:tc>
      </w:tr>
      <w:tr>
        <w:trPr>
          <w:trHeight w:val="255"/>
        </w:trPr>
        <w:tc>
          <w:tcPr>
            <w:tcW w:w="243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27BIPLTC"/>
              <w:rPr>
                <w:rFonts w:ascii="Verdana" w:eastAsia="Verdana" w:hAnsi="Verdana" w:cs="Verdana"/>
                <w:b/>
                <w:noProof/>
                <w:color w:val="000000"/>
                <w:sz w:val="18"/>
              </w:rPr>
            </w:pPr>
            <w:r>
              <w:rPr>
                <w:rFonts w:ascii="Verdana" w:hAnsi="Verdana"/>
                <w:b/>
                <w:noProof/>
                <w:color w:val="000000"/>
                <w:sz w:val="18"/>
              </w:rPr>
              <w:t>Total au 31.12.2025</w:t>
            </w:r>
          </w:p>
        </w:tc>
        <w:tc>
          <w:tcPr>
            <w:tcW w:w="110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27BIPLTC"/>
              <w:jc w:val="right"/>
              <w:rPr>
                <w:rFonts w:ascii="Verdana" w:eastAsia="Verdana" w:hAnsi="Verdana" w:cs="Verdana"/>
                <w:b/>
                <w:noProof/>
                <w:color w:val="000000"/>
                <w:sz w:val="18"/>
              </w:rPr>
            </w:pPr>
            <w:r>
              <w:rPr>
                <w:rFonts w:ascii="Verdana" w:hAnsi="Verdana"/>
                <w:b/>
                <w:noProof/>
                <w:color w:val="000000"/>
                <w:sz w:val="18"/>
              </w:rPr>
              <w:t>33 260</w:t>
            </w:r>
          </w:p>
        </w:tc>
        <w:tc>
          <w:tcPr>
            <w:tcW w:w="127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27BIPLTC"/>
              <w:jc w:val="right"/>
              <w:rPr>
                <w:rFonts w:ascii="Verdana" w:eastAsia="Verdana" w:hAnsi="Verdana" w:cs="Verdana"/>
                <w:b/>
                <w:noProof/>
                <w:color w:val="000000"/>
                <w:sz w:val="18"/>
              </w:rPr>
            </w:pPr>
            <w:r>
              <w:rPr>
                <w:rFonts w:ascii="Verdana" w:hAnsi="Verdana"/>
                <w:b/>
                <w:noProof/>
                <w:color w:val="000000"/>
                <w:sz w:val="18"/>
              </w:rPr>
              <w:t>12 573</w:t>
            </w:r>
          </w:p>
        </w:tc>
        <w:tc>
          <w:tcPr>
            <w:tcW w:w="1417"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27BIPLTC"/>
              <w:jc w:val="right"/>
              <w:rPr>
                <w:rFonts w:ascii="Verdana" w:eastAsia="Verdana" w:hAnsi="Verdana" w:cs="Verdana"/>
                <w:b/>
                <w:noProof/>
                <w:color w:val="000000"/>
                <w:sz w:val="18"/>
              </w:rPr>
            </w:pPr>
            <w:r>
              <w:rPr>
                <w:rFonts w:ascii="Verdana" w:hAnsi="Verdana"/>
                <w:b/>
                <w:noProof/>
                <w:color w:val="000000"/>
                <w:sz w:val="18"/>
              </w:rPr>
              <w:t xml:space="preserve"> 207</w:t>
            </w:r>
          </w:p>
        </w:tc>
        <w:tc>
          <w:tcPr>
            <w:tcW w:w="113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27BIPLTC"/>
              <w:jc w:val="right"/>
              <w:rPr>
                <w:rFonts w:ascii="Verdana" w:eastAsia="Verdana" w:hAnsi="Verdana" w:cs="Verdana"/>
                <w:b/>
                <w:noProof/>
                <w:color w:val="000000"/>
                <w:sz w:val="18"/>
              </w:rPr>
            </w:pPr>
            <w:r>
              <w:rPr>
                <w:rFonts w:ascii="Verdana" w:hAnsi="Verdana"/>
                <w:b/>
                <w:noProof/>
                <w:color w:val="000000"/>
                <w:sz w:val="18"/>
              </w:rPr>
              <w:t xml:space="preserve"> 187</w:t>
            </w:r>
          </w:p>
        </w:tc>
        <w:tc>
          <w:tcPr>
            <w:tcW w:w="113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27BIPLTC"/>
              <w:jc w:val="right"/>
              <w:rPr>
                <w:rFonts w:ascii="Verdana" w:eastAsia="Verdana" w:hAnsi="Verdana" w:cs="Verdana"/>
                <w:b/>
                <w:noProof/>
                <w:color w:val="000000"/>
                <w:sz w:val="18"/>
              </w:rPr>
            </w:pPr>
            <w:r>
              <w:rPr>
                <w:rFonts w:ascii="Verdana" w:hAnsi="Verdana"/>
                <w:b/>
                <w:noProof/>
                <w:color w:val="000000"/>
                <w:sz w:val="18"/>
              </w:rPr>
              <w:t xml:space="preserve"> 293</w:t>
            </w:r>
          </w:p>
        </w:tc>
        <w:tc>
          <w:tcPr>
            <w:tcW w:w="125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27BIPLTC"/>
              <w:jc w:val="right"/>
              <w:rPr>
                <w:rFonts w:ascii="Verdana" w:eastAsia="Verdana" w:hAnsi="Verdana" w:cs="Verdana"/>
                <w:b/>
                <w:noProof/>
                <w:color w:val="000000"/>
                <w:sz w:val="18"/>
              </w:rPr>
            </w:pPr>
            <w:r>
              <w:rPr>
                <w:rFonts w:ascii="Verdana" w:hAnsi="Verdana"/>
                <w:b/>
                <w:noProof/>
                <w:color w:val="000000"/>
                <w:sz w:val="18"/>
              </w:rPr>
              <w:t>46 520</w:t>
            </w:r>
          </w:p>
        </w:tc>
      </w:tr>
      <w:tr>
        <w:trPr>
          <w:trHeight w:val="255"/>
        </w:trPr>
        <w:tc>
          <w:tcPr>
            <w:tcW w:w="2433" w:type="dxa"/>
            <w:tcBorders>
              <w:top w:val="single" w:sz="4" w:space="0" w:color="016794"/>
              <w:left w:val="nil"/>
              <w:bottom w:val="nil"/>
              <w:right w:val="nil"/>
              <w:tl2br w:val="nil"/>
              <w:tr2bl w:val="nil"/>
            </w:tcBorders>
            <w:tcMar>
              <w:left w:w="60" w:type="dxa"/>
              <w:right w:w="60" w:type="dxa"/>
            </w:tcMar>
            <w:vAlign w:val="center"/>
          </w:tcPr>
          <w:p>
            <w:pPr>
              <w:pStyle w:val="DMETW36627BIPLTC"/>
              <w:rPr>
                <w:rFonts w:ascii="Verdana" w:eastAsia="Verdana" w:hAnsi="Verdana" w:cs="Verdana"/>
                <w:i/>
                <w:noProof/>
                <w:color w:val="016794"/>
                <w:sz w:val="18"/>
              </w:rPr>
            </w:pPr>
            <w:r>
              <w:rPr>
                <w:rFonts w:ascii="Verdana" w:hAnsi="Verdana"/>
                <w:i/>
                <w:noProof/>
                <w:color w:val="016794"/>
                <w:sz w:val="18"/>
              </w:rPr>
              <w:t>Non courants</w:t>
            </w:r>
          </w:p>
        </w:tc>
        <w:tc>
          <w:tcPr>
            <w:tcW w:w="1109" w:type="dxa"/>
            <w:tcBorders>
              <w:top w:val="single" w:sz="4" w:space="0" w:color="016794"/>
              <w:left w:val="nil"/>
              <w:bottom w:val="nil"/>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16794"/>
                <w:sz w:val="18"/>
              </w:rPr>
            </w:pPr>
            <w:r>
              <w:rPr>
                <w:rFonts w:ascii="Verdana" w:hAnsi="Verdana"/>
                <w:i/>
                <w:noProof/>
                <w:color w:val="016794"/>
                <w:sz w:val="18"/>
              </w:rPr>
              <w:t>32 505</w:t>
            </w:r>
          </w:p>
        </w:tc>
        <w:tc>
          <w:tcPr>
            <w:tcW w:w="1276" w:type="dxa"/>
            <w:tcBorders>
              <w:top w:val="single" w:sz="4" w:space="0" w:color="016794"/>
              <w:left w:val="nil"/>
              <w:bottom w:val="nil"/>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16794"/>
                <w:sz w:val="18"/>
              </w:rPr>
            </w:pPr>
            <w:r>
              <w:rPr>
                <w:rFonts w:ascii="Verdana" w:hAnsi="Verdana"/>
                <w:i/>
                <w:noProof/>
                <w:color w:val="016794"/>
                <w:sz w:val="18"/>
              </w:rPr>
              <w:t>12 264</w:t>
            </w:r>
          </w:p>
        </w:tc>
        <w:tc>
          <w:tcPr>
            <w:tcW w:w="1417" w:type="dxa"/>
            <w:tcBorders>
              <w:top w:val="single" w:sz="4" w:space="0" w:color="016794"/>
              <w:left w:val="nil"/>
              <w:bottom w:val="nil"/>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16794"/>
                <w:sz w:val="18"/>
              </w:rPr>
            </w:pPr>
            <w:r>
              <w:rPr>
                <w:rFonts w:ascii="Verdana" w:hAnsi="Verdana"/>
                <w:i/>
                <w:noProof/>
                <w:color w:val="016794"/>
                <w:sz w:val="18"/>
              </w:rPr>
              <w:t xml:space="preserve"> 206</w:t>
            </w:r>
          </w:p>
        </w:tc>
        <w:tc>
          <w:tcPr>
            <w:tcW w:w="1134" w:type="dxa"/>
            <w:tcBorders>
              <w:top w:val="single" w:sz="4" w:space="0" w:color="016794"/>
              <w:left w:val="nil"/>
              <w:bottom w:val="nil"/>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16794"/>
                <w:sz w:val="18"/>
              </w:rPr>
            </w:pPr>
            <w:r>
              <w:rPr>
                <w:rFonts w:ascii="Verdana" w:hAnsi="Verdana"/>
                <w:i/>
                <w:noProof/>
                <w:color w:val="016794"/>
                <w:sz w:val="18"/>
              </w:rPr>
              <w:t xml:space="preserve"> 184</w:t>
            </w:r>
          </w:p>
        </w:tc>
        <w:tc>
          <w:tcPr>
            <w:tcW w:w="1134" w:type="dxa"/>
            <w:tcBorders>
              <w:top w:val="single" w:sz="4" w:space="0" w:color="016794"/>
              <w:left w:val="nil"/>
              <w:bottom w:val="nil"/>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16794"/>
                <w:sz w:val="18"/>
              </w:rPr>
            </w:pPr>
            <w:r>
              <w:rPr>
                <w:rFonts w:ascii="Verdana" w:hAnsi="Verdana"/>
                <w:i/>
                <w:noProof/>
                <w:color w:val="016794"/>
                <w:sz w:val="18"/>
              </w:rPr>
              <w:t xml:space="preserve"> 289</w:t>
            </w:r>
          </w:p>
        </w:tc>
        <w:tc>
          <w:tcPr>
            <w:tcW w:w="1255" w:type="dxa"/>
            <w:tcBorders>
              <w:top w:val="single" w:sz="4" w:space="0" w:color="016794"/>
              <w:left w:val="nil"/>
              <w:bottom w:val="nil"/>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16794"/>
                <w:sz w:val="18"/>
              </w:rPr>
            </w:pPr>
            <w:r>
              <w:rPr>
                <w:rFonts w:ascii="Verdana" w:hAnsi="Verdana"/>
                <w:i/>
                <w:noProof/>
                <w:color w:val="016794"/>
                <w:sz w:val="18"/>
              </w:rPr>
              <w:t>45 448</w:t>
            </w:r>
          </w:p>
        </w:tc>
      </w:tr>
      <w:tr>
        <w:trPr>
          <w:trHeight w:val="255"/>
        </w:trPr>
        <w:tc>
          <w:tcPr>
            <w:tcW w:w="2433" w:type="dxa"/>
            <w:tcBorders>
              <w:top w:val="nil"/>
              <w:left w:val="nil"/>
              <w:bottom w:val="nil"/>
              <w:right w:val="nil"/>
              <w:tl2br w:val="nil"/>
              <w:tr2bl w:val="nil"/>
            </w:tcBorders>
            <w:tcMar>
              <w:left w:w="60" w:type="dxa"/>
              <w:right w:w="60" w:type="dxa"/>
            </w:tcMar>
            <w:vAlign w:val="center"/>
          </w:tcPr>
          <w:p>
            <w:pPr>
              <w:pStyle w:val="DMETW36627BIPLTC"/>
              <w:rPr>
                <w:rFonts w:ascii="Verdana" w:eastAsia="Verdana" w:hAnsi="Verdana" w:cs="Verdana"/>
                <w:i/>
                <w:noProof/>
                <w:color w:val="016794"/>
                <w:sz w:val="18"/>
              </w:rPr>
            </w:pPr>
            <w:r>
              <w:rPr>
                <w:rFonts w:ascii="Verdana" w:hAnsi="Verdana"/>
                <w:i/>
                <w:noProof/>
                <w:color w:val="016794"/>
                <w:sz w:val="18"/>
              </w:rPr>
              <w:t>Courants</w:t>
            </w:r>
          </w:p>
        </w:tc>
        <w:tc>
          <w:tcPr>
            <w:tcW w:w="1109" w:type="dxa"/>
            <w:tcBorders>
              <w:top w:val="nil"/>
              <w:left w:val="nil"/>
              <w:bottom w:val="nil"/>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16794"/>
                <w:sz w:val="18"/>
              </w:rPr>
            </w:pPr>
            <w:r>
              <w:rPr>
                <w:rFonts w:ascii="Verdana" w:hAnsi="Verdana"/>
                <w:i/>
                <w:noProof/>
                <w:color w:val="016794"/>
                <w:sz w:val="18"/>
              </w:rPr>
              <w:t xml:space="preserve"> 754</w:t>
            </w:r>
          </w:p>
        </w:tc>
        <w:tc>
          <w:tcPr>
            <w:tcW w:w="1276" w:type="dxa"/>
            <w:tcBorders>
              <w:top w:val="nil"/>
              <w:left w:val="nil"/>
              <w:bottom w:val="nil"/>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16794"/>
                <w:sz w:val="18"/>
              </w:rPr>
            </w:pPr>
            <w:r>
              <w:rPr>
                <w:rFonts w:ascii="Verdana" w:hAnsi="Verdana"/>
                <w:i/>
                <w:noProof/>
                <w:color w:val="016794"/>
                <w:sz w:val="18"/>
              </w:rPr>
              <w:t xml:space="preserve"> 310</w:t>
            </w:r>
          </w:p>
        </w:tc>
        <w:tc>
          <w:tcPr>
            <w:tcW w:w="1417" w:type="dxa"/>
            <w:tcBorders>
              <w:top w:val="nil"/>
              <w:left w:val="nil"/>
              <w:bottom w:val="nil"/>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16794"/>
                <w:sz w:val="18"/>
              </w:rPr>
            </w:pPr>
            <w:r>
              <w:rPr>
                <w:rFonts w:ascii="Verdana" w:hAnsi="Verdana"/>
                <w:i/>
                <w:noProof/>
                <w:color w:val="016794"/>
                <w:sz w:val="18"/>
              </w:rPr>
              <w:t xml:space="preserve"> 0</w:t>
            </w:r>
          </w:p>
        </w:tc>
        <w:tc>
          <w:tcPr>
            <w:tcW w:w="1134" w:type="dxa"/>
            <w:tcBorders>
              <w:top w:val="nil"/>
              <w:left w:val="nil"/>
              <w:bottom w:val="nil"/>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16794"/>
                <w:sz w:val="18"/>
              </w:rPr>
            </w:pPr>
            <w:r>
              <w:rPr>
                <w:rFonts w:ascii="Verdana" w:hAnsi="Verdana"/>
                <w:i/>
                <w:noProof/>
                <w:color w:val="016794"/>
                <w:sz w:val="18"/>
              </w:rPr>
              <w:t xml:space="preserve"> 3</w:t>
            </w:r>
          </w:p>
        </w:tc>
        <w:tc>
          <w:tcPr>
            <w:tcW w:w="1134" w:type="dxa"/>
            <w:tcBorders>
              <w:top w:val="nil"/>
              <w:left w:val="nil"/>
              <w:bottom w:val="nil"/>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16794"/>
                <w:sz w:val="18"/>
              </w:rPr>
            </w:pPr>
            <w:r>
              <w:rPr>
                <w:rFonts w:ascii="Verdana" w:hAnsi="Verdana"/>
                <w:i/>
                <w:noProof/>
                <w:color w:val="016794"/>
                <w:sz w:val="18"/>
              </w:rPr>
              <w:t xml:space="preserve"> 4</w:t>
            </w:r>
          </w:p>
        </w:tc>
        <w:tc>
          <w:tcPr>
            <w:tcW w:w="1255" w:type="dxa"/>
            <w:tcBorders>
              <w:top w:val="nil"/>
              <w:left w:val="nil"/>
              <w:bottom w:val="nil"/>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16794"/>
                <w:sz w:val="18"/>
              </w:rPr>
            </w:pPr>
            <w:r>
              <w:rPr>
                <w:rFonts w:ascii="Verdana" w:hAnsi="Verdana"/>
                <w:i/>
                <w:noProof/>
                <w:color w:val="016794"/>
                <w:sz w:val="18"/>
              </w:rPr>
              <w:t>1 072</w:t>
            </w:r>
          </w:p>
        </w:tc>
      </w:tr>
    </w:tbl>
    <w:p>
      <w:pPr>
        <w:pStyle w:val="DGTextstand-alone"/>
        <w:spacing w:before="120" w:after="120"/>
      </w:pPr>
    </w:p>
    <w:p>
      <w:pPr>
        <w:pStyle w:val="DGTextstand-alone"/>
        <w:spacing w:before="120" w:after="120"/>
      </w:pPr>
      <w:r>
        <w:t xml:space="preserve">La valeur nominale des prêts aux pays tiers au 31 décembre 2025 s’élevait à 76,0 milliards d’EUR (contre 47,2 milliards d’EUR en 2024). </w:t>
      </w:r>
    </w:p>
    <w:p>
      <w:pPr>
        <w:pStyle w:val="DGTextstand-alone"/>
        <w:spacing w:before="120" w:after="120"/>
      </w:pPr>
      <w:r>
        <w:t>Dans ce tableau, la ligne «Variations de la dépréciation» correspond à la réévaluation des pertes de crédit attendues au 31 décembre 2025. La ligne «Variations de la valeur comptable» correspond à la variation des intérêts courus et à la variation des primes/décotes (nouvelles primes/décotes et amortissements).</w:t>
      </w:r>
    </w:p>
    <w:p>
      <w:pPr>
        <w:pStyle w:val="DGTextstand-alone"/>
        <w:spacing w:before="120" w:after="120"/>
      </w:pPr>
      <w:r>
        <w:t xml:space="preserve">Dans le cas du programme Euratom, les opérations s’effectuent selon une approche «back-to-back». </w:t>
      </w:r>
    </w:p>
    <w:p>
      <w:pPr>
        <w:pStyle w:val="DGTextstand-alone"/>
        <w:spacing w:before="120" w:after="120"/>
      </w:pPr>
      <w:r>
        <w:t>Jusqu’à la fin de 2022, les prêts AMF étaient financés sur la base de l’approche «back-to-back», tandis qu’avec la mise en œuvre du programme AMF+ en 2023, les nouveaux prêts au titre de l’AMF sont principalement mis en œuvre selon l’approche unifiée en matière de financement expliquée dans la note </w:t>
      </w:r>
      <w:r>
        <w:rPr>
          <w:b/>
          <w:bCs/>
        </w:rPr>
        <w:t>2.11.1.1</w:t>
      </w:r>
      <w:r>
        <w:t>. Tout nouveau programme, tel que la facilité pour l’Ukraine, la facilité pour les Balkans occidentaux et la facilité pour la Moldavie, sera également financé sur la base de l’approche unifiée en matière de financement.</w:t>
      </w:r>
    </w:p>
    <w:p>
      <w:pPr>
        <w:pStyle w:val="DGTextstand-alone"/>
        <w:rPr>
          <w:color w:val="016794"/>
        </w:rPr>
      </w:pPr>
      <w:r>
        <w:rPr>
          <w:color w:val="016794"/>
        </w:rPr>
        <w:t>Assistance macrofinancière</w:t>
      </w:r>
    </w:p>
    <w:p>
      <w:pPr>
        <w:pStyle w:val="DGTextstand-alone"/>
        <w:spacing w:before="120" w:after="120"/>
      </w:pPr>
      <w:r>
        <w:t xml:space="preserve">L’AMF concerne des prêts d’assistance financière aux pays partenaires qui connaissent une crise de leur balance des paiements. </w:t>
      </w:r>
    </w:p>
    <w:p>
      <w:pPr>
        <w:pStyle w:val="DGTextstand-alone"/>
        <w:spacing w:before="120" w:after="120"/>
      </w:pPr>
      <w:r>
        <w:t xml:space="preserve">L’exposition nominale totale des prêts AMF en cours à la fin de l’exercice s’élevait à 52,1 milliards d’EUR (contre 33,7 milliards d’EUR en 2024), dont 47,1 milliards d’EUR en faveur de l’Ukraine (contre 29,0 milliards d’EUR en 2024). </w:t>
      </w:r>
    </w:p>
    <w:p>
      <w:pPr>
        <w:pStyle w:val="DGTextstand-alone"/>
        <w:spacing w:before="120" w:after="120"/>
      </w:pPr>
      <w:r>
        <w:t>Au 31 décembre 2025, la provision pour dépréciation des prêts AMF s’élevait à 19,4 milliards d’EUR (contre 10,2 milliards d’EUR en 2024), dont 19,3 milliards d’EUR pour les prêts à l’Ukraine (contre 10,1 milliards d’EUR en 2024). Même si tous les montants dus par l’Ukraine en 2025 ont été payés dans les délais et qu’au moment de la préparation des comptes annuels, il n’y avait pas d’arriérés de paiement, conformément aux règles comptables, la dépréciation reflète les pertes de crédit attendues pour toute la durée de vie des prêts, estimées avec une prudence particulière compte tenu de l’ampleur des incertitudes qui y sont liées.</w:t>
      </w:r>
    </w:p>
    <w:p>
      <w:pPr>
        <w:pStyle w:val="DGTextstand-alone"/>
        <w:spacing w:before="120" w:after="120"/>
      </w:pPr>
      <w:r>
        <w:t>Le règlement (UE) 2024/2773</w:t>
      </w:r>
      <w:r>
        <w:rPr>
          <w:rStyle w:val="FootnoteReference"/>
        </w:rPr>
        <w:footnoteReference w:id="28"/>
      </w:r>
      <w:r>
        <w:t>, adopté en octobre 2024, établit le mécanisme de coopération pour les prêts à l’Ukraine (MCPU) et autorise une nouvelle AMF en faveur de l’Ukraine. Dans le cadre du MCPU, les recettes exceptionnelles provenant des actifs souverains russes immobilisés sont utilisées pour octroyer un soutien non remboursable à l’Ukraine dans le but d’aider le pays à rembourser les prêts bilatéraux accordés par les partenaires du G7 et l’UE dans le cadre de cette initiative. L’UE a signé l’accord de prêt AMF avec l’Ukraine en décembre 2024 pour un montant de 18,1 milliards d’EUR. Ce prêt a été intégralement décaissé en 2025. Étant donné que le prêt AMF au titre du MCPU a été irrévocablement engagé à la fin de 2024, une provision pour pertes de crédit attendues de 7,1 milliards d’EUR a été comptabilisée (voir également la note </w:t>
      </w:r>
      <w:r>
        <w:rPr>
          <w:b/>
        </w:rPr>
        <w:t>2.10</w:t>
      </w:r>
      <w:r>
        <w:t>). En 2025, cette provision a été reprise et une provision pour dépréciation de 8,7 milliards d’EUR a été comptabilisée, réduisant la valeur du prêt.</w:t>
      </w:r>
    </w:p>
    <w:p>
      <w:pPr>
        <w:pStyle w:val="DGTextstand-alone"/>
        <w:spacing w:before="120" w:after="120"/>
      </w:pPr>
      <w:r>
        <w:lastRenderedPageBreak/>
        <w:t>En 2025, l’UE a octroyé 740 millions d’EUR (contre 763 millions d’EUR en 2024) de bonifications d’intérêts à l’Ukraine pour les intérêts courus sur les prêts AMF+ et AMF exceptionnels. Cela constitue une modification des conditions des prêts (voir également les notes </w:t>
      </w:r>
      <w:r>
        <w:rPr>
          <w:b/>
        </w:rPr>
        <w:t>3.15</w:t>
      </w:r>
      <w:r>
        <w:t xml:space="preserve"> et </w:t>
      </w:r>
      <w:r>
        <w:rPr>
          <w:b/>
        </w:rPr>
        <w:t>6.6</w:t>
      </w:r>
      <w:r>
        <w:t>) qui est incluse à la ligne «Variations de la valeur comptable» dans le tableau figurant ci-dessus.</w:t>
      </w:r>
    </w:p>
    <w:p>
      <w:pPr>
        <w:pStyle w:val="DGTextstand-alone"/>
        <w:spacing w:before="120" w:after="120"/>
      </w:pPr>
      <w:r>
        <w:t xml:space="preserve">Au 31 décembre 2025, </w:t>
      </w:r>
      <w:bookmarkStart w:id="105" w:name="_Hlk225112317"/>
      <w:r>
        <w:t>4,3 milliards d’EUR de montants non utilisés ont été libérés sous condition dans le cadre d’accords de prêt AMF signés</w:t>
      </w:r>
      <w:bookmarkEnd w:id="105"/>
      <w:r>
        <w:t xml:space="preserve"> (contre 95 millions d’EUR en 2024). </w:t>
      </w:r>
    </w:p>
    <w:p>
      <w:pPr>
        <w:pStyle w:val="DGTextstand-alone"/>
        <w:rPr>
          <w:color w:val="016794"/>
        </w:rPr>
      </w:pPr>
      <w:r>
        <w:rPr>
          <w:color w:val="016794"/>
        </w:rPr>
        <w:t xml:space="preserve">Prêts au titre de la facilité pour l’Ukraine </w:t>
      </w:r>
    </w:p>
    <w:p>
      <w:pPr>
        <w:pStyle w:val="DGTextstand-alone"/>
        <w:rPr>
          <w:bdr w:val="nil"/>
        </w:rPr>
      </w:pPr>
      <w:r>
        <w:t>Le règlement établissant la facilité pour l’Ukraine</w:t>
      </w:r>
      <w:r>
        <w:rPr>
          <w:rStyle w:val="FootnoteReference"/>
          <w:bdr w:val="nil"/>
        </w:rPr>
        <w:footnoteReference w:id="29"/>
      </w:r>
      <w:r>
        <w:t xml:space="preserve"> est un instrument adopté en 2024 qui offre jusqu’à 50 milliards d’EUR de soutien financier à l’Ukraine, notamment jusqu’à 33 milliards d’EUR de prêts souverains, à décaisser d’ici la fin de 2027. 23,2 milliards d’EUR de prêts ont été décaissés en faveur de l’Ukraine à la fin de 2025 (contre 13,1 milliards d’EUR en 2024).</w:t>
      </w:r>
    </w:p>
    <w:p>
      <w:pPr>
        <w:pStyle w:val="DGTextstand-alone"/>
      </w:pPr>
      <w:r>
        <w:t>La provision pour dépréciation comptabilisée sur ces prêts s’élève au total à 10,9 milliards d’EUR au 31 décembre 2025 (contre 5,7 milliards d’EUR en 2024). Des montants à hauteur de 9,8 milliards d’EUR provenant des accords de prêt signés et non utilisés à la fin de l’année (contre 19,9 milliards d’EUR en 2024) ont été libérés sous condition, sous réserve du respect des critères de décaissement.</w:t>
      </w:r>
    </w:p>
    <w:p>
      <w:pPr>
        <w:pStyle w:val="DGTextstand-alone"/>
        <w:keepNext/>
        <w:rPr>
          <w:color w:val="016794"/>
        </w:rPr>
      </w:pPr>
      <w:r>
        <w:rPr>
          <w:color w:val="016794"/>
        </w:rPr>
        <w:t>Communauté européenne de l’énergie atomique (Euratom)</w:t>
      </w:r>
    </w:p>
    <w:p>
      <w:pPr>
        <w:pStyle w:val="DGTextstand-alone"/>
      </w:pPr>
      <w:r>
        <w:t xml:space="preserve">La Communauté européenne de l’énergie atomique (Euratom) prête de l’argent à la fois aux États membres et aux pays tiers, ainsi qu’à leurs entités respectives, afin de financer des projets relatifs à des installations énergétiques. Au 31 décembre 2025, il n’y avait pas d’encours concernant les États membres. L’encours total concerne des prêts à Energoatom, garantis par l’État ukrainien. Pour ces prêts, une provision pour dépréciation de 94 millions d’EUR a été comptabilisée (contre 98 millions d’EUR en 2024). Il n’y a pas de montants non utilisés provenant des accords de prêt signés. </w:t>
      </w:r>
    </w:p>
    <w:p>
      <w:pPr>
        <w:pStyle w:val="HEADER5"/>
        <w:spacing w:before="240"/>
        <w:rPr>
          <w:noProof/>
        </w:rPr>
      </w:pPr>
      <w:r>
        <w:rPr>
          <w:noProof/>
        </w:rPr>
        <w:t>Facilité pour les réformes et la croissance en faveur des Balkans occidentaux</w:t>
      </w:r>
    </w:p>
    <w:p>
      <w:pPr>
        <w:pStyle w:val="DGTextstand-alone"/>
        <w:rPr>
          <w:b/>
        </w:rPr>
      </w:pPr>
      <w:r>
        <w:t>Le règlement (UE) 2024/1449 établissant une facilité pour les réformes et la croissance en faveur des Balkans occidentaux</w:t>
      </w:r>
      <w:r>
        <w:rPr>
          <w:rStyle w:val="FootnoteReference"/>
        </w:rPr>
        <w:footnoteReference w:id="30"/>
      </w:r>
      <w:r>
        <w:t xml:space="preserve"> (ci-après dénommée «facilité pour les Balkans occidentaux») a été adopté en mai 2024 et les premières opérations financières ont été effectuées en 2025. La facilité devrait fournir jusqu’à 4 milliards d’EUR de prêts au cours de la période 2025-2027, les paiements étant subordonnés à la mise en œuvre, par les pays partenaires de l’UE dans les Balkans occidentaux, de réformes socio-économiques et fondamentales spécifiques. </w:t>
      </w:r>
    </w:p>
    <w:p>
      <w:pPr>
        <w:pStyle w:val="DGTextstand-alone"/>
        <w:rPr>
          <w:b/>
        </w:rPr>
      </w:pPr>
      <w:r>
        <w:t>Au 31 décembre 2025, 2,6 milliards d’EUR de prêts avaient été signés avec la Macédoine du Nord, l’Albanie, la Serbie et le Monténégro, dont 184 millions d’EUR ont été décaissés. En fin d’exercice, 2,4 milliards d’EUR restaient engagés sous conditions, sous réserve du respect des conditions de décaissement.</w:t>
      </w:r>
    </w:p>
    <w:p>
      <w:pPr>
        <w:pStyle w:val="HEADER5"/>
        <w:spacing w:before="240"/>
        <w:rPr>
          <w:noProof/>
        </w:rPr>
      </w:pPr>
      <w:r>
        <w:rPr>
          <w:noProof/>
        </w:rPr>
        <w:t>Facilité pour les réformes et la croissance en République de Moldavie</w:t>
      </w:r>
    </w:p>
    <w:p>
      <w:pPr>
        <w:pStyle w:val="DGTextstand-alone"/>
        <w:rPr>
          <w:b/>
        </w:rPr>
      </w:pPr>
      <w:r>
        <w:t>Le règlement (UE) 2025/535 établissant une facilité pour les</w:t>
      </w:r>
      <w:bookmarkStart w:id="107" w:name="_Hlk225112528"/>
      <w:r>
        <w:t xml:space="preserve"> réformes et la croissance en faveur de la République de Moldavie</w:t>
      </w:r>
      <w:r>
        <w:rPr>
          <w:rStyle w:val="FootnoteReference"/>
        </w:rPr>
        <w:footnoteReference w:id="31"/>
      </w:r>
      <w:bookmarkEnd w:id="107"/>
      <w:r>
        <w:t xml:space="preserve"> (ci-après dénommée «facilité pour la Moldavie») a été adopté en mars 2025. La facilité soutiendra la Moldavie au cours de la période 2025-2027 et devrait fournir jusqu’à 1,5 milliard d’EUR sous forme de prêts. </w:t>
      </w:r>
    </w:p>
    <w:p>
      <w:pPr>
        <w:pStyle w:val="DGTextstand-alone"/>
        <w:rPr>
          <w:b/>
        </w:rPr>
      </w:pPr>
      <w:r>
        <w:t>L’accord de prêt pour un montant de 1,5 milliard d’EUR a été signé en 2025. 289 millions d’EUR ont été décaissés au 31 décembre 2025, tandis que 1,2 milliard d’EUR reste non utilisé en fin d’exercice.</w:t>
      </w:r>
    </w:p>
    <w:p>
      <w:pPr>
        <w:pStyle w:val="HEADER5"/>
        <w:spacing w:before="240"/>
        <w:rPr>
          <w:noProof/>
        </w:rPr>
      </w:pPr>
      <w:r>
        <w:rPr>
          <w:noProof/>
        </w:rPr>
        <w:t>Garantie du budget de l’UE pour des prêts aux États membres et aux pays tiers</w:t>
      </w:r>
    </w:p>
    <w:p>
      <w:pPr>
        <w:pStyle w:val="DGTextstand-alone"/>
      </w:pPr>
      <w:r>
        <w:t xml:space="preserve">Le budget de l’UE garantit les emprunts émis par l’UE qui financent les prêts aux États membres et aux pays tiers. S’il devait y avoir des montants de prêts impayés à l’avenir, le budget de l’UE pourrait être amené à rembourser les montants empruntés correspondants. </w:t>
      </w:r>
    </w:p>
    <w:p>
      <w:pPr>
        <w:pStyle w:val="DGTextstand-alone"/>
      </w:pPr>
      <w:r>
        <w:lastRenderedPageBreak/>
        <w:t>Pour plus de détails, voir note </w:t>
      </w:r>
      <w:r>
        <w:rPr>
          <w:b/>
        </w:rPr>
        <w:t>6.7</w:t>
      </w:r>
      <w:r>
        <w:t>.</w:t>
      </w:r>
    </w:p>
    <w:p>
      <w:pPr>
        <w:pStyle w:val="HEADER5"/>
        <w:keepNext/>
        <w:spacing w:before="240"/>
        <w:rPr>
          <w:noProof/>
        </w:rPr>
      </w:pPr>
      <w:r>
        <w:rPr>
          <w:noProof/>
        </w:rPr>
        <w:t>Obligations incombant au Royaume-Uni à la suite de son départ de l’UE</w:t>
      </w:r>
    </w:p>
    <w:p>
      <w:pPr>
        <w:pStyle w:val="DGTextstand-alone"/>
      </w:pPr>
      <w:r>
        <w:t>Conformément à l’article 143 de l’accord de retrait, le Royaume-Uni est redevable envers l’Union de sa part des passifs financiers éventuels liés aux prêts d’assistance financière (MESF, AMF, BDP et Euratom) approuvés/décidés à la date de retrait, à savoir le 31 janvier 2020. Aux termes de l’article 143, en cas de défaillance au titre d’un prêt d’assistance financière approuvé avant la date de retrait, le Royaume-Uni est redevable envers l’Union de sa part des paiements effectués par l’Union au titre des opérations défaillantes, à moins qu’elle ne puisse être couverte par la part de provisionnement détenue par le Royaume-Uni dans le compartiment «Fonds de garantie relatif aux actions extérieures» du FCP, le cas échéant (c’est-à-dire les prêts au titre de l’AMF et d’Euratom dans des pays tiers) – voir note </w:t>
      </w:r>
      <w:r>
        <w:rPr>
          <w:b/>
        </w:rPr>
        <w:t>4.1.1</w:t>
      </w:r>
      <w:r>
        <w:t>.</w:t>
      </w:r>
    </w:p>
    <w:p>
      <w:pPr>
        <w:pStyle w:val="DGTextstand-alone"/>
      </w:pPr>
      <w:r>
        <w:t>L’encours du passif éventuel de l’UE lié aux prêts d’assistance financière mentionnés ci-dessus s’élevait à 53,9 milliards d’EUR à la date de retrait. À la suite des remboursements effectués depuis cette date, la valeur de ces prêts couverts par la garantie de l’UE au 31 décembre 2025 est de 42,2 milliards d’EUR, et la part du Royaume-Uni est de 5,3 milliards d’EUR.</w:t>
      </w:r>
    </w:p>
    <w:p>
      <w:pPr>
        <w:pStyle w:val="HEADER4NOTES"/>
        <w:numPr>
          <w:ilvl w:val="3"/>
          <w:numId w:val="15"/>
        </w:numPr>
        <w:rPr>
          <w:noProof/>
        </w:rPr>
      </w:pPr>
      <w:r>
        <w:rPr>
          <w:noProof/>
        </w:rPr>
        <w:t>Autres prêts</w:t>
      </w:r>
    </w:p>
    <w:p>
      <w:pPr>
        <w:pStyle w:val="DGTextstand-alone"/>
      </w:pPr>
      <w:r>
        <w:t xml:space="preserve">Il s’agit de 3 types de prêts: </w:t>
      </w:r>
    </w:p>
    <w:p>
      <w:pPr>
        <w:pStyle w:val="DGTextstand-alone"/>
        <w:numPr>
          <w:ilvl w:val="0"/>
          <w:numId w:val="20"/>
        </w:numPr>
      </w:pPr>
      <w:r>
        <w:t>des prêts octroyés dans le cadre de programmes relevant du budget de l’UE (par exemple, les initiatives de financement de l’agriculture et de l’électrification et le programme de l’UE pour l’emploi et l’innovation sociale). Ces prêts s’élevaient à 85 millions d’EUR au 31 décembre 2025 (contre 75 millions d’EUR en 2024);</w:t>
      </w:r>
    </w:p>
    <w:p>
      <w:pPr>
        <w:pStyle w:val="DGTextstand-alone"/>
        <w:numPr>
          <w:ilvl w:val="0"/>
          <w:numId w:val="20"/>
        </w:numPr>
      </w:pPr>
      <w:r>
        <w:rPr>
          <w:shd w:val="clear" w:color="auto" w:fill="FFFFFF"/>
        </w:rPr>
        <w:t xml:space="preserve">des prêts subordonnés: ces prêts ont été décaissés par la BEI et garantis par les programmes EFSI et MPE. Ces prêts n’ayant pas été honorés, la Commission a payé les appels de garantie et détient donc les droits de recouvrement. En conséquence, ces prêts sont désormais inscrits au bilan de l’UE. Au 31 décembre 2025, la Commission détenait des droits de recouvrement pour ce type de prêts correspondant à un montant de 1,0 milliard d’EUR, intérêts cumulés compris (1,0 milliard d’EUR en 2024). Toutefois, après prise en compte des pertes de crédit attendues, le montant comptabilisé au bilan s’élève à 45 millions d’EUR </w:t>
      </w:r>
      <w:r>
        <w:t>(contre 51 </w:t>
      </w:r>
      <w:r>
        <w:rPr>
          <w:shd w:val="clear" w:color="auto" w:fill="FFFFFF"/>
        </w:rPr>
        <w:t xml:space="preserve">millions d’EUR en 2024); </w:t>
      </w:r>
    </w:p>
    <w:p>
      <w:pPr>
        <w:pStyle w:val="DGTextstand-alone"/>
        <w:numPr>
          <w:ilvl w:val="0"/>
          <w:numId w:val="20"/>
        </w:numPr>
      </w:pPr>
      <w:r>
        <w:t xml:space="preserve">des dépôts à terme de 481 millions d’EUR (contre 340 millions d’EUR en 2024), dont l’échéance est supérieure à 3 mois et qui ne répondent pas à la définition d’équivalents de trésorerie. </w:t>
      </w:r>
    </w:p>
    <w:p>
      <w:pPr>
        <w:pStyle w:val="HEADER3NOTES"/>
        <w:numPr>
          <w:ilvl w:val="2"/>
          <w:numId w:val="15"/>
        </w:numPr>
        <w:rPr>
          <w:noProof/>
        </w:rPr>
      </w:pPr>
      <w:r>
        <w:rPr>
          <w:noProof/>
        </w:rPr>
        <w:t>Actifs financiers à la juste valeur par le biais du compte de résultat (JVCR)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00"/>
        <w:gridCol w:w="1878"/>
        <w:gridCol w:w="1791"/>
        <w:gridCol w:w="1489"/>
      </w:tblGrid>
      <w:tr>
        <w:trPr>
          <w:trHeight w:val="255"/>
        </w:trPr>
        <w:tc>
          <w:tcPr>
            <w:tcW w:w="4600" w:type="dxa"/>
            <w:tcBorders>
              <w:top w:val="nil"/>
              <w:left w:val="nil"/>
              <w:bottom w:val="nil"/>
              <w:right w:val="nil"/>
              <w:tl2br w:val="nil"/>
              <w:tr2bl w:val="nil"/>
            </w:tcBorders>
            <w:tcMar>
              <w:left w:w="60" w:type="dxa"/>
              <w:right w:w="60" w:type="dxa"/>
            </w:tcMar>
            <w:vAlign w:val="bottom"/>
          </w:tcPr>
          <w:p>
            <w:pPr>
              <w:pStyle w:val="DMETW36764BIPFAFVTSD"/>
              <w:rPr>
                <w:rFonts w:ascii="Verdana" w:eastAsia="Verdana" w:hAnsi="Verdana" w:cs="Verdana"/>
                <w:noProof/>
                <w:color w:val="000000"/>
              </w:rPr>
            </w:pPr>
            <w:bookmarkStart w:id="108" w:name="DOC_TBL00024_1_1"/>
            <w:bookmarkEnd w:id="108"/>
          </w:p>
        </w:tc>
        <w:tc>
          <w:tcPr>
            <w:tcW w:w="1878" w:type="dxa"/>
            <w:tcBorders>
              <w:top w:val="nil"/>
              <w:left w:val="nil"/>
              <w:bottom w:val="nil"/>
              <w:right w:val="nil"/>
              <w:tl2br w:val="nil"/>
              <w:tr2bl w:val="nil"/>
            </w:tcBorders>
            <w:tcMar>
              <w:left w:w="60" w:type="dxa"/>
              <w:right w:w="60" w:type="dxa"/>
            </w:tcMar>
            <w:vAlign w:val="bottom"/>
          </w:tcPr>
          <w:p>
            <w:pPr>
              <w:pStyle w:val="DMETW36764BIPFAFVTSD"/>
              <w:rPr>
                <w:rFonts w:ascii="Verdana" w:eastAsia="Verdana" w:hAnsi="Verdana" w:cs="Verdana"/>
                <w:noProof/>
                <w:color w:val="000000"/>
              </w:rPr>
            </w:pPr>
          </w:p>
        </w:tc>
        <w:tc>
          <w:tcPr>
            <w:tcW w:w="1791" w:type="dxa"/>
            <w:tcBorders>
              <w:top w:val="nil"/>
              <w:left w:val="nil"/>
              <w:bottom w:val="nil"/>
              <w:right w:val="nil"/>
              <w:tl2br w:val="nil"/>
              <w:tr2bl w:val="nil"/>
            </w:tcBorders>
            <w:tcMar>
              <w:left w:w="60" w:type="dxa"/>
              <w:right w:w="60" w:type="dxa"/>
            </w:tcMar>
            <w:vAlign w:val="bottom"/>
          </w:tcPr>
          <w:p>
            <w:pPr>
              <w:pStyle w:val="DMETW36764BIPFAFVTSD"/>
              <w:rPr>
                <w:rFonts w:ascii="Verdana" w:eastAsia="Verdana" w:hAnsi="Verdana" w:cs="Verdana"/>
                <w:noProof/>
                <w:color w:val="000000"/>
              </w:rPr>
            </w:pPr>
          </w:p>
        </w:tc>
        <w:tc>
          <w:tcPr>
            <w:tcW w:w="1489" w:type="dxa"/>
            <w:tcBorders>
              <w:top w:val="nil"/>
              <w:left w:val="nil"/>
              <w:bottom w:val="nil"/>
              <w:right w:val="nil"/>
              <w:tl2br w:val="nil"/>
              <w:tr2bl w:val="nil"/>
            </w:tcBorders>
            <w:tcMar>
              <w:left w:w="60" w:type="dxa"/>
              <w:right w:w="60" w:type="dxa"/>
            </w:tcMar>
            <w:vAlign w:val="bottom"/>
          </w:tcPr>
          <w:p>
            <w:pPr>
              <w:pStyle w:val="DMETW36764BIPFAFVTSD"/>
              <w:jc w:val="right"/>
              <w:rPr>
                <w:rFonts w:ascii="Verdana" w:eastAsia="Verdana" w:hAnsi="Verdana" w:cs="Verdana"/>
                <w:i/>
                <w:noProof/>
                <w:color w:val="000000"/>
                <w:sz w:val="16"/>
              </w:rPr>
            </w:pPr>
            <w:r>
              <w:rPr>
                <w:rFonts w:ascii="Verdana" w:hAnsi="Verdana"/>
                <w:i/>
                <w:noProof/>
                <w:color w:val="000000"/>
                <w:sz w:val="16"/>
              </w:rPr>
              <w:t>en Mio EUR</w:t>
            </w:r>
          </w:p>
        </w:tc>
      </w:tr>
      <w:tr>
        <w:trPr>
          <w:trHeight w:val="255"/>
        </w:trPr>
        <w:tc>
          <w:tcPr>
            <w:tcW w:w="4600" w:type="dxa"/>
            <w:tcBorders>
              <w:top w:val="nil"/>
              <w:left w:val="nil"/>
              <w:bottom w:val="nil"/>
              <w:right w:val="nil"/>
              <w:tl2br w:val="nil"/>
              <w:tr2bl w:val="nil"/>
            </w:tcBorders>
            <w:shd w:val="solid" w:color="016794" w:fill="FFFFFF"/>
            <w:tcMar>
              <w:left w:w="60" w:type="dxa"/>
              <w:right w:w="60" w:type="dxa"/>
            </w:tcMar>
            <w:vAlign w:val="center"/>
          </w:tcPr>
          <w:p>
            <w:pPr>
              <w:pStyle w:val="DMETW36764BIPFAFVTSD"/>
              <w:rPr>
                <w:rFonts w:ascii="Verdana" w:eastAsia="Verdana" w:hAnsi="Verdana" w:cs="Verdana"/>
                <w:noProof/>
                <w:color w:val="FFFFFF"/>
              </w:rPr>
            </w:pPr>
          </w:p>
        </w:tc>
        <w:tc>
          <w:tcPr>
            <w:tcW w:w="1878" w:type="dxa"/>
            <w:tcBorders>
              <w:top w:val="nil"/>
              <w:left w:val="nil"/>
              <w:bottom w:val="nil"/>
              <w:right w:val="nil"/>
              <w:tl2br w:val="nil"/>
              <w:tr2bl w:val="nil"/>
            </w:tcBorders>
            <w:shd w:val="solid" w:color="016794" w:fill="FFFFFF"/>
            <w:tcMar>
              <w:left w:w="60" w:type="dxa"/>
              <w:right w:w="60" w:type="dxa"/>
            </w:tcMar>
            <w:vAlign w:val="center"/>
          </w:tcPr>
          <w:p>
            <w:pPr>
              <w:pStyle w:val="DMETW36764BIPFAFVTSD"/>
              <w:jc w:val="right"/>
              <w:rPr>
                <w:rFonts w:ascii="Verdana" w:eastAsia="Verdana" w:hAnsi="Verdana" w:cs="Verdana"/>
                <w:noProof/>
                <w:color w:val="FFFFFF"/>
              </w:rPr>
            </w:pPr>
            <w:r>
              <w:rPr>
                <w:rFonts w:ascii="Verdana" w:hAnsi="Verdana"/>
                <w:noProof/>
                <w:color w:val="FFFFFF"/>
              </w:rPr>
              <w:t>Note</w:t>
            </w:r>
          </w:p>
        </w:tc>
        <w:tc>
          <w:tcPr>
            <w:tcW w:w="1791" w:type="dxa"/>
            <w:tcBorders>
              <w:top w:val="nil"/>
              <w:left w:val="nil"/>
              <w:bottom w:val="nil"/>
              <w:right w:val="nil"/>
              <w:tl2br w:val="nil"/>
              <w:tr2bl w:val="nil"/>
            </w:tcBorders>
            <w:shd w:val="solid" w:color="016794" w:fill="FFFFFF"/>
            <w:tcMar>
              <w:left w:w="60" w:type="dxa"/>
              <w:right w:w="60" w:type="dxa"/>
            </w:tcMar>
            <w:vAlign w:val="center"/>
          </w:tcPr>
          <w:p>
            <w:pPr>
              <w:pStyle w:val="DMETW36764BIPFAFVTSD"/>
              <w:jc w:val="right"/>
              <w:rPr>
                <w:rFonts w:ascii="Verdana" w:eastAsia="Verdana" w:hAnsi="Verdana" w:cs="Verdana"/>
                <w:noProof/>
                <w:color w:val="FFFFFF"/>
              </w:rPr>
            </w:pPr>
            <w:r>
              <w:rPr>
                <w:rFonts w:ascii="Verdana" w:hAnsi="Verdana"/>
                <w:noProof/>
                <w:color w:val="FFFFFF"/>
              </w:rPr>
              <w:t>31.12.2025</w:t>
            </w:r>
          </w:p>
        </w:tc>
        <w:tc>
          <w:tcPr>
            <w:tcW w:w="1489" w:type="dxa"/>
            <w:tcBorders>
              <w:top w:val="nil"/>
              <w:left w:val="nil"/>
              <w:bottom w:val="nil"/>
              <w:right w:val="nil"/>
              <w:tl2br w:val="nil"/>
              <w:tr2bl w:val="nil"/>
            </w:tcBorders>
            <w:shd w:val="solid" w:color="016794" w:fill="FFFFFF"/>
            <w:tcMar>
              <w:left w:w="60" w:type="dxa"/>
              <w:right w:w="60" w:type="dxa"/>
            </w:tcMar>
            <w:vAlign w:val="center"/>
          </w:tcPr>
          <w:p>
            <w:pPr>
              <w:pStyle w:val="DMETW36764BIPFAFVTSD"/>
              <w:jc w:val="right"/>
              <w:rPr>
                <w:rFonts w:ascii="Verdana" w:eastAsia="Verdana" w:hAnsi="Verdana" w:cs="Verdana"/>
                <w:noProof/>
                <w:color w:val="FFFFFF"/>
              </w:rPr>
            </w:pPr>
            <w:r>
              <w:rPr>
                <w:rFonts w:ascii="Verdana" w:hAnsi="Verdana"/>
                <w:noProof/>
                <w:color w:val="FFFFFF"/>
              </w:rPr>
              <w:t>31.12.2024</w:t>
            </w:r>
          </w:p>
        </w:tc>
      </w:tr>
      <w:tr>
        <w:trPr>
          <w:trHeight w:val="255"/>
        </w:trPr>
        <w:tc>
          <w:tcPr>
            <w:tcW w:w="4600" w:type="dxa"/>
            <w:tcBorders>
              <w:top w:val="nil"/>
              <w:left w:val="nil"/>
              <w:bottom w:val="nil"/>
              <w:right w:val="nil"/>
              <w:tl2br w:val="nil"/>
              <w:tr2bl w:val="nil"/>
            </w:tcBorders>
            <w:tcMar>
              <w:left w:w="60" w:type="dxa"/>
              <w:right w:w="60" w:type="dxa"/>
            </w:tcMar>
            <w:vAlign w:val="center"/>
          </w:tcPr>
          <w:p>
            <w:pPr>
              <w:pStyle w:val="DMETW36764BIPFAFVTSD"/>
              <w:rPr>
                <w:rFonts w:ascii="Verdana" w:eastAsia="Verdana" w:hAnsi="Verdana" w:cs="Verdana"/>
                <w:i/>
                <w:noProof/>
                <w:color w:val="000000"/>
                <w:sz w:val="18"/>
              </w:rPr>
            </w:pPr>
            <w:r>
              <w:rPr>
                <w:rFonts w:ascii="Verdana" w:hAnsi="Verdana"/>
                <w:i/>
                <w:noProof/>
                <w:color w:val="000000"/>
                <w:sz w:val="18"/>
              </w:rPr>
              <w:t>Actifs financiers à la JVCR non dérivés</w:t>
            </w:r>
          </w:p>
        </w:tc>
        <w:tc>
          <w:tcPr>
            <w:tcW w:w="1878" w:type="dxa"/>
            <w:tcBorders>
              <w:top w:val="nil"/>
              <w:left w:val="nil"/>
              <w:bottom w:val="nil"/>
              <w:right w:val="nil"/>
              <w:tl2br w:val="nil"/>
              <w:tr2bl w:val="nil"/>
            </w:tcBorders>
            <w:tcMar>
              <w:left w:w="60" w:type="dxa"/>
              <w:right w:w="60" w:type="dxa"/>
            </w:tcMar>
            <w:vAlign w:val="bottom"/>
          </w:tcPr>
          <w:p>
            <w:pPr>
              <w:pStyle w:val="DMETW36764BIPFAFVTSD"/>
              <w:jc w:val="right"/>
              <w:rPr>
                <w:rFonts w:ascii="Verdana" w:eastAsia="Verdana" w:hAnsi="Verdana" w:cs="Verdana"/>
                <w:i/>
                <w:noProof/>
                <w:color w:val="000000"/>
                <w:sz w:val="18"/>
              </w:rPr>
            </w:pPr>
            <w:r>
              <w:rPr>
                <w:rFonts w:ascii="Verdana" w:hAnsi="Verdana"/>
                <w:i/>
                <w:noProof/>
                <w:color w:val="000000"/>
                <w:sz w:val="18"/>
              </w:rPr>
              <w:t>2.4.2.1</w:t>
            </w:r>
          </w:p>
        </w:tc>
        <w:tc>
          <w:tcPr>
            <w:tcW w:w="1791" w:type="dxa"/>
            <w:tcBorders>
              <w:top w:val="nil"/>
              <w:left w:val="nil"/>
              <w:bottom w:val="nil"/>
              <w:right w:val="nil"/>
              <w:tl2br w:val="nil"/>
              <w:tr2bl w:val="nil"/>
            </w:tcBorders>
            <w:tcMar>
              <w:left w:w="60" w:type="dxa"/>
              <w:right w:w="60" w:type="dxa"/>
            </w:tcMar>
            <w:vAlign w:val="bottom"/>
          </w:tcPr>
          <w:p>
            <w:pPr>
              <w:pStyle w:val="DMETW36764BIPFAFVTSD"/>
              <w:jc w:val="right"/>
              <w:rPr>
                <w:rFonts w:ascii="Verdana" w:eastAsia="Verdana" w:hAnsi="Verdana" w:cs="Verdana"/>
                <w:i/>
                <w:noProof/>
                <w:color w:val="000000"/>
                <w:sz w:val="18"/>
              </w:rPr>
            </w:pPr>
            <w:r>
              <w:rPr>
                <w:rFonts w:ascii="Verdana" w:hAnsi="Verdana"/>
                <w:i/>
                <w:noProof/>
                <w:color w:val="000000"/>
                <w:sz w:val="18"/>
              </w:rPr>
              <w:t>51 080</w:t>
            </w:r>
          </w:p>
        </w:tc>
        <w:tc>
          <w:tcPr>
            <w:tcW w:w="1489" w:type="dxa"/>
            <w:tcBorders>
              <w:top w:val="nil"/>
              <w:left w:val="nil"/>
              <w:bottom w:val="nil"/>
              <w:right w:val="nil"/>
              <w:tl2br w:val="nil"/>
              <w:tr2bl w:val="nil"/>
            </w:tcBorders>
            <w:tcMar>
              <w:left w:w="60" w:type="dxa"/>
              <w:right w:w="60" w:type="dxa"/>
            </w:tcMar>
            <w:vAlign w:val="bottom"/>
          </w:tcPr>
          <w:p>
            <w:pPr>
              <w:pStyle w:val="DMETW36764BIPFAFVTSD"/>
              <w:jc w:val="right"/>
              <w:rPr>
                <w:rFonts w:ascii="Verdana" w:eastAsia="Verdana" w:hAnsi="Verdana" w:cs="Verdana"/>
                <w:i/>
                <w:noProof/>
                <w:color w:val="000000"/>
                <w:sz w:val="18"/>
              </w:rPr>
            </w:pPr>
            <w:r>
              <w:rPr>
                <w:rFonts w:ascii="Verdana" w:hAnsi="Verdana"/>
                <w:i/>
                <w:noProof/>
                <w:color w:val="000000"/>
                <w:sz w:val="18"/>
              </w:rPr>
              <w:t>43 648</w:t>
            </w:r>
          </w:p>
        </w:tc>
      </w:tr>
      <w:tr>
        <w:trPr>
          <w:trHeight w:val="255"/>
        </w:trPr>
        <w:tc>
          <w:tcPr>
            <w:tcW w:w="4600" w:type="dxa"/>
            <w:tcBorders>
              <w:top w:val="nil"/>
              <w:left w:val="nil"/>
              <w:bottom w:val="single" w:sz="4" w:space="0" w:color="016794"/>
              <w:right w:val="nil"/>
              <w:tl2br w:val="nil"/>
              <w:tr2bl w:val="nil"/>
            </w:tcBorders>
            <w:tcMar>
              <w:left w:w="60" w:type="dxa"/>
              <w:right w:w="60" w:type="dxa"/>
            </w:tcMar>
            <w:vAlign w:val="center"/>
          </w:tcPr>
          <w:p>
            <w:pPr>
              <w:pStyle w:val="DMETW36764BIPFAFVTSD"/>
              <w:rPr>
                <w:rFonts w:ascii="Verdana" w:eastAsia="Verdana" w:hAnsi="Verdana" w:cs="Verdana"/>
                <w:i/>
                <w:noProof/>
                <w:color w:val="000000"/>
                <w:sz w:val="18"/>
              </w:rPr>
            </w:pPr>
            <w:r>
              <w:rPr>
                <w:rFonts w:ascii="Verdana" w:hAnsi="Verdana"/>
                <w:i/>
                <w:noProof/>
                <w:color w:val="000000"/>
                <w:sz w:val="18"/>
              </w:rPr>
              <w:t xml:space="preserve">Actifs financiers à la JVCR dérivés </w:t>
            </w:r>
          </w:p>
        </w:tc>
        <w:tc>
          <w:tcPr>
            <w:tcW w:w="1878" w:type="dxa"/>
            <w:tcBorders>
              <w:top w:val="nil"/>
              <w:left w:val="nil"/>
              <w:bottom w:val="single" w:sz="4" w:space="0" w:color="016794"/>
              <w:right w:val="nil"/>
              <w:tl2br w:val="nil"/>
              <w:tr2bl w:val="nil"/>
            </w:tcBorders>
            <w:tcMar>
              <w:left w:w="60" w:type="dxa"/>
              <w:right w:w="60" w:type="dxa"/>
            </w:tcMar>
            <w:vAlign w:val="bottom"/>
          </w:tcPr>
          <w:p>
            <w:pPr>
              <w:pStyle w:val="DMETW36764BIPFAFVTSD"/>
              <w:jc w:val="right"/>
              <w:rPr>
                <w:rFonts w:ascii="Verdana" w:eastAsia="Verdana" w:hAnsi="Verdana" w:cs="Verdana"/>
                <w:i/>
                <w:noProof/>
                <w:color w:val="000000"/>
                <w:sz w:val="18"/>
              </w:rPr>
            </w:pPr>
            <w:r>
              <w:rPr>
                <w:rFonts w:ascii="Verdana" w:hAnsi="Verdana"/>
                <w:i/>
                <w:noProof/>
                <w:color w:val="000000"/>
                <w:sz w:val="18"/>
              </w:rPr>
              <w:t>2.4.2.2</w:t>
            </w:r>
          </w:p>
        </w:tc>
        <w:tc>
          <w:tcPr>
            <w:tcW w:w="1791" w:type="dxa"/>
            <w:tcBorders>
              <w:top w:val="nil"/>
              <w:left w:val="nil"/>
              <w:bottom w:val="single" w:sz="4" w:space="0" w:color="016794"/>
              <w:right w:val="nil"/>
              <w:tl2br w:val="nil"/>
              <w:tr2bl w:val="nil"/>
            </w:tcBorders>
            <w:tcMar>
              <w:left w:w="60" w:type="dxa"/>
              <w:right w:w="60" w:type="dxa"/>
            </w:tcMar>
            <w:vAlign w:val="bottom"/>
          </w:tcPr>
          <w:p>
            <w:pPr>
              <w:pStyle w:val="DMETW36764BIPFAFVTSD"/>
              <w:jc w:val="right"/>
              <w:rPr>
                <w:rFonts w:ascii="Verdana" w:eastAsia="Verdana" w:hAnsi="Verdana" w:cs="Verdana"/>
                <w:i/>
                <w:noProof/>
                <w:color w:val="000000"/>
                <w:sz w:val="18"/>
              </w:rPr>
            </w:pPr>
            <w:r>
              <w:rPr>
                <w:rFonts w:ascii="Verdana" w:hAnsi="Verdana"/>
                <w:i/>
                <w:noProof/>
                <w:color w:val="000000"/>
                <w:sz w:val="18"/>
              </w:rPr>
              <w:t>1 585</w:t>
            </w:r>
          </w:p>
        </w:tc>
        <w:tc>
          <w:tcPr>
            <w:tcW w:w="1489" w:type="dxa"/>
            <w:tcBorders>
              <w:top w:val="nil"/>
              <w:left w:val="nil"/>
              <w:bottom w:val="single" w:sz="4" w:space="0" w:color="016794"/>
              <w:right w:val="nil"/>
              <w:tl2br w:val="nil"/>
              <w:tr2bl w:val="nil"/>
            </w:tcBorders>
            <w:tcMar>
              <w:left w:w="60" w:type="dxa"/>
              <w:right w:w="60" w:type="dxa"/>
            </w:tcMar>
            <w:vAlign w:val="bottom"/>
          </w:tcPr>
          <w:p>
            <w:pPr>
              <w:pStyle w:val="DMETW36764BIPFAFVTSD"/>
              <w:jc w:val="right"/>
              <w:rPr>
                <w:rFonts w:ascii="Verdana" w:eastAsia="Verdana" w:hAnsi="Verdana" w:cs="Verdana"/>
                <w:i/>
                <w:noProof/>
                <w:color w:val="000000"/>
                <w:sz w:val="18"/>
              </w:rPr>
            </w:pPr>
            <w:r>
              <w:rPr>
                <w:rFonts w:ascii="Verdana" w:hAnsi="Verdana"/>
                <w:i/>
                <w:noProof/>
                <w:color w:val="000000"/>
                <w:sz w:val="18"/>
              </w:rPr>
              <w:t>1 110</w:t>
            </w:r>
          </w:p>
        </w:tc>
      </w:tr>
      <w:tr>
        <w:trPr>
          <w:trHeight w:val="255"/>
        </w:trPr>
        <w:tc>
          <w:tcPr>
            <w:tcW w:w="460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4BIPFAFVTSD"/>
              <w:rPr>
                <w:rFonts w:ascii="Verdana" w:eastAsia="Verdana" w:hAnsi="Verdana" w:cs="Verdana"/>
                <w:b/>
                <w:noProof/>
                <w:color w:val="000000"/>
                <w:sz w:val="18"/>
              </w:rPr>
            </w:pPr>
            <w:r>
              <w:rPr>
                <w:rFonts w:ascii="Verdana" w:hAnsi="Verdana"/>
                <w:b/>
                <w:noProof/>
                <w:color w:val="000000"/>
                <w:sz w:val="18"/>
              </w:rPr>
              <w:t>Total</w:t>
            </w:r>
          </w:p>
        </w:tc>
        <w:tc>
          <w:tcPr>
            <w:tcW w:w="1878"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64BIPFAFVTSD"/>
              <w:jc w:val="right"/>
              <w:rPr>
                <w:rFonts w:ascii="Verdana" w:eastAsia="Verdana" w:hAnsi="Verdana" w:cs="Verdana"/>
                <w:b/>
                <w:noProof/>
                <w:color w:val="000000"/>
                <w:sz w:val="18"/>
              </w:rPr>
            </w:pPr>
          </w:p>
        </w:tc>
        <w:tc>
          <w:tcPr>
            <w:tcW w:w="1791"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64BIPFAFVTSD"/>
              <w:jc w:val="right"/>
              <w:rPr>
                <w:rFonts w:ascii="Verdana" w:eastAsia="Verdana" w:hAnsi="Verdana" w:cs="Verdana"/>
                <w:b/>
                <w:noProof/>
                <w:color w:val="000000"/>
                <w:sz w:val="18"/>
              </w:rPr>
            </w:pPr>
            <w:r>
              <w:rPr>
                <w:rFonts w:ascii="Verdana" w:hAnsi="Verdana"/>
                <w:b/>
                <w:noProof/>
                <w:color w:val="000000"/>
                <w:sz w:val="18"/>
              </w:rPr>
              <w:t>52 665</w:t>
            </w:r>
          </w:p>
        </w:tc>
        <w:tc>
          <w:tcPr>
            <w:tcW w:w="1489"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64BIPFAFVTSD"/>
              <w:jc w:val="right"/>
              <w:rPr>
                <w:rFonts w:ascii="Verdana" w:eastAsia="Verdana" w:hAnsi="Verdana" w:cs="Verdana"/>
                <w:b/>
                <w:noProof/>
                <w:color w:val="000000"/>
                <w:sz w:val="18"/>
              </w:rPr>
            </w:pPr>
            <w:r>
              <w:rPr>
                <w:rFonts w:ascii="Verdana" w:hAnsi="Verdana"/>
                <w:b/>
                <w:noProof/>
                <w:color w:val="000000"/>
                <w:sz w:val="18"/>
              </w:rPr>
              <w:t>44 758</w:t>
            </w:r>
          </w:p>
        </w:tc>
      </w:tr>
      <w:tr>
        <w:trPr>
          <w:trHeight w:val="255"/>
        </w:trPr>
        <w:tc>
          <w:tcPr>
            <w:tcW w:w="4600" w:type="dxa"/>
            <w:tcBorders>
              <w:top w:val="single" w:sz="4" w:space="0" w:color="016794"/>
              <w:left w:val="nil"/>
              <w:bottom w:val="nil"/>
              <w:right w:val="nil"/>
              <w:tl2br w:val="nil"/>
              <w:tr2bl w:val="nil"/>
            </w:tcBorders>
            <w:tcMar>
              <w:left w:w="60" w:type="dxa"/>
              <w:right w:w="60" w:type="dxa"/>
            </w:tcMar>
            <w:vAlign w:val="center"/>
          </w:tcPr>
          <w:p>
            <w:pPr>
              <w:pStyle w:val="DMETW36764BIPFAFVTSD"/>
              <w:rPr>
                <w:rFonts w:ascii="Verdana" w:eastAsia="Verdana" w:hAnsi="Verdana" w:cs="Verdana"/>
                <w:i/>
                <w:noProof/>
                <w:color w:val="016794"/>
                <w:sz w:val="18"/>
              </w:rPr>
            </w:pPr>
            <w:r>
              <w:rPr>
                <w:rFonts w:ascii="Verdana" w:hAnsi="Verdana"/>
                <w:i/>
                <w:noProof/>
                <w:color w:val="016794"/>
                <w:sz w:val="18"/>
              </w:rPr>
              <w:t>Non courants</w:t>
            </w:r>
          </w:p>
        </w:tc>
        <w:tc>
          <w:tcPr>
            <w:tcW w:w="1878" w:type="dxa"/>
            <w:tcBorders>
              <w:top w:val="single" w:sz="4" w:space="0" w:color="016794"/>
              <w:left w:val="nil"/>
              <w:bottom w:val="nil"/>
              <w:right w:val="nil"/>
              <w:tl2br w:val="nil"/>
              <w:tr2bl w:val="nil"/>
            </w:tcBorders>
            <w:tcMar>
              <w:left w:w="60" w:type="dxa"/>
              <w:right w:w="60" w:type="dxa"/>
            </w:tcMar>
            <w:vAlign w:val="bottom"/>
          </w:tcPr>
          <w:p>
            <w:pPr>
              <w:pStyle w:val="DMETW36764BIPFAFVTSD"/>
              <w:jc w:val="right"/>
              <w:rPr>
                <w:rFonts w:ascii="Verdana" w:eastAsia="Verdana" w:hAnsi="Verdana" w:cs="Verdana"/>
                <w:i/>
                <w:noProof/>
                <w:color w:val="016794"/>
                <w:sz w:val="18"/>
              </w:rPr>
            </w:pPr>
          </w:p>
        </w:tc>
        <w:tc>
          <w:tcPr>
            <w:tcW w:w="1791" w:type="dxa"/>
            <w:tcBorders>
              <w:top w:val="single" w:sz="4" w:space="0" w:color="016794"/>
              <w:left w:val="nil"/>
              <w:bottom w:val="nil"/>
              <w:right w:val="nil"/>
              <w:tl2br w:val="nil"/>
              <w:tr2bl w:val="nil"/>
            </w:tcBorders>
            <w:tcMar>
              <w:left w:w="60" w:type="dxa"/>
              <w:right w:w="60" w:type="dxa"/>
            </w:tcMar>
            <w:vAlign w:val="bottom"/>
          </w:tcPr>
          <w:p>
            <w:pPr>
              <w:pStyle w:val="DMETW36764BIPFAFVTSD"/>
              <w:jc w:val="right"/>
              <w:rPr>
                <w:rFonts w:ascii="Verdana" w:eastAsia="Verdana" w:hAnsi="Verdana" w:cs="Verdana"/>
                <w:i/>
                <w:noProof/>
                <w:color w:val="016794"/>
                <w:sz w:val="18"/>
              </w:rPr>
            </w:pPr>
            <w:r>
              <w:rPr>
                <w:rFonts w:ascii="Verdana" w:hAnsi="Verdana"/>
                <w:i/>
                <w:noProof/>
                <w:color w:val="016794"/>
                <w:sz w:val="18"/>
              </w:rPr>
              <w:t>47 919</w:t>
            </w:r>
          </w:p>
        </w:tc>
        <w:tc>
          <w:tcPr>
            <w:tcW w:w="1489" w:type="dxa"/>
            <w:tcBorders>
              <w:top w:val="single" w:sz="4" w:space="0" w:color="016794"/>
              <w:left w:val="nil"/>
              <w:bottom w:val="nil"/>
              <w:right w:val="nil"/>
              <w:tl2br w:val="nil"/>
              <w:tr2bl w:val="nil"/>
            </w:tcBorders>
            <w:tcMar>
              <w:left w:w="60" w:type="dxa"/>
              <w:right w:w="60" w:type="dxa"/>
            </w:tcMar>
            <w:vAlign w:val="bottom"/>
          </w:tcPr>
          <w:p>
            <w:pPr>
              <w:pStyle w:val="DMETW36764BIPFAFVTSD"/>
              <w:jc w:val="right"/>
              <w:rPr>
                <w:rFonts w:ascii="Verdana" w:eastAsia="Verdana" w:hAnsi="Verdana" w:cs="Verdana"/>
                <w:i/>
                <w:noProof/>
                <w:color w:val="016794"/>
                <w:sz w:val="18"/>
              </w:rPr>
            </w:pPr>
            <w:r>
              <w:rPr>
                <w:rFonts w:ascii="Verdana" w:hAnsi="Verdana"/>
                <w:i/>
                <w:noProof/>
                <w:color w:val="016794"/>
                <w:sz w:val="18"/>
              </w:rPr>
              <w:t>39 058</w:t>
            </w:r>
          </w:p>
        </w:tc>
      </w:tr>
      <w:tr>
        <w:trPr>
          <w:trHeight w:val="255"/>
        </w:trPr>
        <w:tc>
          <w:tcPr>
            <w:tcW w:w="4600" w:type="dxa"/>
            <w:tcBorders>
              <w:top w:val="nil"/>
              <w:left w:val="nil"/>
              <w:bottom w:val="nil"/>
              <w:right w:val="nil"/>
              <w:tl2br w:val="nil"/>
              <w:tr2bl w:val="nil"/>
            </w:tcBorders>
            <w:tcMar>
              <w:left w:w="60" w:type="dxa"/>
              <w:right w:w="60" w:type="dxa"/>
            </w:tcMar>
            <w:vAlign w:val="center"/>
          </w:tcPr>
          <w:p>
            <w:pPr>
              <w:pStyle w:val="DMETW36764BIPFAFVTSD"/>
              <w:rPr>
                <w:rFonts w:ascii="Verdana" w:eastAsia="Verdana" w:hAnsi="Verdana" w:cs="Verdana"/>
                <w:i/>
                <w:noProof/>
                <w:color w:val="016794"/>
                <w:sz w:val="18"/>
              </w:rPr>
            </w:pPr>
            <w:r>
              <w:rPr>
                <w:rFonts w:ascii="Verdana" w:hAnsi="Verdana"/>
                <w:i/>
                <w:noProof/>
                <w:color w:val="016794"/>
                <w:sz w:val="18"/>
              </w:rPr>
              <w:t>Courants</w:t>
            </w:r>
          </w:p>
        </w:tc>
        <w:tc>
          <w:tcPr>
            <w:tcW w:w="1878" w:type="dxa"/>
            <w:tcBorders>
              <w:top w:val="nil"/>
              <w:left w:val="nil"/>
              <w:bottom w:val="nil"/>
              <w:right w:val="nil"/>
              <w:tl2br w:val="nil"/>
              <w:tr2bl w:val="nil"/>
            </w:tcBorders>
            <w:tcMar>
              <w:left w:w="60" w:type="dxa"/>
              <w:right w:w="60" w:type="dxa"/>
            </w:tcMar>
            <w:vAlign w:val="bottom"/>
          </w:tcPr>
          <w:p>
            <w:pPr>
              <w:pStyle w:val="DMETW36764BIPFAFVTSD"/>
              <w:jc w:val="right"/>
              <w:rPr>
                <w:rFonts w:ascii="Verdana" w:eastAsia="Verdana" w:hAnsi="Verdana" w:cs="Verdana"/>
                <w:i/>
                <w:noProof/>
                <w:color w:val="016794"/>
                <w:sz w:val="18"/>
              </w:rPr>
            </w:pPr>
          </w:p>
        </w:tc>
        <w:tc>
          <w:tcPr>
            <w:tcW w:w="1791" w:type="dxa"/>
            <w:tcBorders>
              <w:top w:val="nil"/>
              <w:left w:val="nil"/>
              <w:bottom w:val="nil"/>
              <w:right w:val="nil"/>
              <w:tl2br w:val="nil"/>
              <w:tr2bl w:val="nil"/>
            </w:tcBorders>
            <w:tcMar>
              <w:left w:w="60" w:type="dxa"/>
              <w:right w:w="60" w:type="dxa"/>
            </w:tcMar>
            <w:vAlign w:val="bottom"/>
          </w:tcPr>
          <w:p>
            <w:pPr>
              <w:pStyle w:val="DMETW36764BIPFAFVTSD"/>
              <w:jc w:val="right"/>
              <w:rPr>
                <w:rFonts w:ascii="Verdana" w:eastAsia="Verdana" w:hAnsi="Verdana" w:cs="Verdana"/>
                <w:i/>
                <w:noProof/>
                <w:color w:val="016794"/>
                <w:sz w:val="18"/>
              </w:rPr>
            </w:pPr>
            <w:r>
              <w:rPr>
                <w:rFonts w:ascii="Verdana" w:hAnsi="Verdana"/>
                <w:i/>
                <w:noProof/>
                <w:color w:val="016794"/>
                <w:sz w:val="18"/>
              </w:rPr>
              <w:t>4 746</w:t>
            </w:r>
          </w:p>
        </w:tc>
        <w:tc>
          <w:tcPr>
            <w:tcW w:w="1489" w:type="dxa"/>
            <w:tcBorders>
              <w:top w:val="nil"/>
              <w:left w:val="nil"/>
              <w:bottom w:val="nil"/>
              <w:right w:val="nil"/>
              <w:tl2br w:val="nil"/>
              <w:tr2bl w:val="nil"/>
            </w:tcBorders>
            <w:tcMar>
              <w:left w:w="60" w:type="dxa"/>
              <w:right w:w="60" w:type="dxa"/>
            </w:tcMar>
            <w:vAlign w:val="bottom"/>
          </w:tcPr>
          <w:p>
            <w:pPr>
              <w:pStyle w:val="DMETW36764BIPFAFVTSD"/>
              <w:jc w:val="right"/>
              <w:rPr>
                <w:rFonts w:ascii="Verdana" w:eastAsia="Verdana" w:hAnsi="Verdana" w:cs="Verdana"/>
                <w:i/>
                <w:noProof/>
                <w:color w:val="016794"/>
                <w:sz w:val="18"/>
              </w:rPr>
            </w:pPr>
            <w:r>
              <w:rPr>
                <w:rFonts w:ascii="Verdana" w:hAnsi="Verdana"/>
                <w:i/>
                <w:noProof/>
                <w:color w:val="016794"/>
                <w:sz w:val="18"/>
              </w:rPr>
              <w:t>5 700</w:t>
            </w:r>
          </w:p>
        </w:tc>
      </w:tr>
    </w:tbl>
    <w:p>
      <w:pPr>
        <w:pStyle w:val="HEADER4NOTES"/>
        <w:numPr>
          <w:ilvl w:val="3"/>
          <w:numId w:val="15"/>
        </w:numPr>
        <w:rPr>
          <w:noProof/>
        </w:rPr>
      </w:pPr>
      <w:r>
        <w:rPr>
          <w:noProof/>
        </w:rPr>
        <w:t xml:space="preserve">Actifs financiers à la JVCR non dérivés </w:t>
      </w:r>
    </w:p>
    <w:p>
      <w:pPr>
        <w:pStyle w:val="HEADER5"/>
        <w:rPr>
          <w:noProof/>
        </w:rPr>
      </w:pPr>
      <w:r>
        <w:rPr>
          <w:noProof/>
        </w:rPr>
        <w:t>Actifs financiers à la JVCR non dérivés par type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00"/>
        <w:gridCol w:w="1878"/>
        <w:gridCol w:w="1791"/>
        <w:gridCol w:w="1489"/>
      </w:tblGrid>
      <w:tr>
        <w:trPr>
          <w:trHeight w:val="255"/>
        </w:trPr>
        <w:tc>
          <w:tcPr>
            <w:tcW w:w="4600" w:type="dxa"/>
            <w:tcBorders>
              <w:top w:val="nil"/>
              <w:left w:val="nil"/>
              <w:bottom w:val="nil"/>
              <w:right w:val="nil"/>
              <w:tl2br w:val="nil"/>
              <w:tr2bl w:val="nil"/>
            </w:tcBorders>
            <w:tcMar>
              <w:left w:w="60" w:type="dxa"/>
              <w:right w:w="60" w:type="dxa"/>
            </w:tcMar>
            <w:vAlign w:val="bottom"/>
          </w:tcPr>
          <w:p>
            <w:pPr>
              <w:pStyle w:val="DMETW36764BIPFAFVNONDBT"/>
              <w:rPr>
                <w:rFonts w:ascii="Verdana" w:eastAsia="Verdana" w:hAnsi="Verdana" w:cs="Verdana"/>
                <w:noProof/>
                <w:color w:val="000000"/>
              </w:rPr>
            </w:pPr>
            <w:bookmarkStart w:id="109" w:name="DOC_TBL00013_1_1"/>
            <w:bookmarkEnd w:id="109"/>
          </w:p>
        </w:tc>
        <w:tc>
          <w:tcPr>
            <w:tcW w:w="1878" w:type="dxa"/>
            <w:tcBorders>
              <w:top w:val="nil"/>
              <w:left w:val="nil"/>
              <w:bottom w:val="nil"/>
              <w:right w:val="nil"/>
              <w:tl2br w:val="nil"/>
              <w:tr2bl w:val="nil"/>
            </w:tcBorders>
            <w:tcMar>
              <w:left w:w="60" w:type="dxa"/>
              <w:right w:w="60" w:type="dxa"/>
            </w:tcMar>
            <w:vAlign w:val="bottom"/>
          </w:tcPr>
          <w:p>
            <w:pPr>
              <w:pStyle w:val="DMETW36764BIPFAFVNONDBT"/>
              <w:rPr>
                <w:rFonts w:ascii="Verdana" w:eastAsia="Verdana" w:hAnsi="Verdana" w:cs="Verdana"/>
                <w:noProof/>
                <w:color w:val="000000"/>
              </w:rPr>
            </w:pPr>
          </w:p>
        </w:tc>
        <w:tc>
          <w:tcPr>
            <w:tcW w:w="1791" w:type="dxa"/>
            <w:tcBorders>
              <w:top w:val="nil"/>
              <w:left w:val="nil"/>
              <w:bottom w:val="nil"/>
              <w:right w:val="nil"/>
              <w:tl2br w:val="nil"/>
              <w:tr2bl w:val="nil"/>
            </w:tcBorders>
            <w:tcMar>
              <w:left w:w="60" w:type="dxa"/>
              <w:right w:w="60" w:type="dxa"/>
            </w:tcMar>
            <w:vAlign w:val="bottom"/>
          </w:tcPr>
          <w:p>
            <w:pPr>
              <w:pStyle w:val="DMETW36764BIPFAFVNONDBT"/>
              <w:rPr>
                <w:rFonts w:ascii="Verdana" w:eastAsia="Verdana" w:hAnsi="Verdana" w:cs="Verdana"/>
                <w:noProof/>
                <w:color w:val="000000"/>
              </w:rPr>
            </w:pPr>
          </w:p>
        </w:tc>
        <w:tc>
          <w:tcPr>
            <w:tcW w:w="1489" w:type="dxa"/>
            <w:tcBorders>
              <w:top w:val="nil"/>
              <w:left w:val="nil"/>
              <w:bottom w:val="nil"/>
              <w:right w:val="nil"/>
              <w:tl2br w:val="nil"/>
              <w:tr2bl w:val="nil"/>
            </w:tcBorders>
            <w:tcMar>
              <w:left w:w="60" w:type="dxa"/>
              <w:right w:w="60" w:type="dxa"/>
            </w:tcMar>
            <w:vAlign w:val="bottom"/>
          </w:tcPr>
          <w:p>
            <w:pPr>
              <w:pStyle w:val="DMETW36764BIPFAFVNONDBT"/>
              <w:jc w:val="right"/>
              <w:rPr>
                <w:rFonts w:ascii="Verdana" w:eastAsia="Verdana" w:hAnsi="Verdana" w:cs="Verdana"/>
                <w:i/>
                <w:noProof/>
                <w:color w:val="000000"/>
                <w:sz w:val="16"/>
              </w:rPr>
            </w:pPr>
            <w:r>
              <w:rPr>
                <w:rFonts w:ascii="Verdana" w:hAnsi="Verdana"/>
                <w:i/>
                <w:noProof/>
                <w:color w:val="000000"/>
                <w:sz w:val="16"/>
              </w:rPr>
              <w:t>en Mio EUR</w:t>
            </w:r>
          </w:p>
        </w:tc>
      </w:tr>
      <w:tr>
        <w:trPr>
          <w:trHeight w:val="255"/>
        </w:trPr>
        <w:tc>
          <w:tcPr>
            <w:tcW w:w="4600" w:type="dxa"/>
            <w:tcBorders>
              <w:top w:val="nil"/>
              <w:left w:val="nil"/>
              <w:bottom w:val="nil"/>
              <w:right w:val="nil"/>
              <w:tl2br w:val="nil"/>
              <w:tr2bl w:val="nil"/>
            </w:tcBorders>
            <w:shd w:val="solid" w:color="016794" w:fill="FFFFFF"/>
            <w:tcMar>
              <w:left w:w="60" w:type="dxa"/>
              <w:right w:w="60" w:type="dxa"/>
            </w:tcMar>
            <w:vAlign w:val="center"/>
          </w:tcPr>
          <w:p>
            <w:pPr>
              <w:pStyle w:val="DMETW36764BIPFAFVNONDBT"/>
              <w:rPr>
                <w:rFonts w:ascii="Verdana" w:eastAsia="Verdana" w:hAnsi="Verdana" w:cs="Verdana"/>
                <w:noProof/>
                <w:color w:val="FFFFFF"/>
              </w:rPr>
            </w:pPr>
          </w:p>
        </w:tc>
        <w:tc>
          <w:tcPr>
            <w:tcW w:w="1878" w:type="dxa"/>
            <w:tcBorders>
              <w:top w:val="nil"/>
              <w:left w:val="nil"/>
              <w:bottom w:val="nil"/>
              <w:right w:val="nil"/>
              <w:tl2br w:val="nil"/>
              <w:tr2bl w:val="nil"/>
            </w:tcBorders>
            <w:shd w:val="solid" w:color="016794" w:fill="FFFFFF"/>
            <w:tcMar>
              <w:left w:w="60" w:type="dxa"/>
              <w:right w:w="60" w:type="dxa"/>
            </w:tcMar>
            <w:vAlign w:val="center"/>
          </w:tcPr>
          <w:p>
            <w:pPr>
              <w:pStyle w:val="DMETW36764BIPFAFVNONDBT"/>
              <w:jc w:val="right"/>
              <w:rPr>
                <w:rFonts w:ascii="Verdana" w:eastAsia="Verdana" w:hAnsi="Verdana" w:cs="Verdana"/>
                <w:noProof/>
                <w:color w:val="FFFFFF"/>
              </w:rPr>
            </w:pPr>
          </w:p>
        </w:tc>
        <w:tc>
          <w:tcPr>
            <w:tcW w:w="1791" w:type="dxa"/>
            <w:tcBorders>
              <w:top w:val="nil"/>
              <w:left w:val="nil"/>
              <w:bottom w:val="nil"/>
              <w:right w:val="nil"/>
              <w:tl2br w:val="nil"/>
              <w:tr2bl w:val="nil"/>
            </w:tcBorders>
            <w:shd w:val="solid" w:color="016794" w:fill="FFFFFF"/>
            <w:tcMar>
              <w:left w:w="60" w:type="dxa"/>
              <w:right w:w="60" w:type="dxa"/>
            </w:tcMar>
            <w:vAlign w:val="center"/>
          </w:tcPr>
          <w:p>
            <w:pPr>
              <w:pStyle w:val="DMETW36764BIPFAFVNONDBT"/>
              <w:jc w:val="right"/>
              <w:rPr>
                <w:rFonts w:ascii="Verdana" w:eastAsia="Verdana" w:hAnsi="Verdana" w:cs="Verdana"/>
                <w:noProof/>
                <w:color w:val="FFFFFF"/>
              </w:rPr>
            </w:pPr>
            <w:r>
              <w:rPr>
                <w:rFonts w:ascii="Verdana" w:hAnsi="Verdana"/>
                <w:noProof/>
                <w:color w:val="FFFFFF"/>
              </w:rPr>
              <w:t>31.12.2025</w:t>
            </w:r>
          </w:p>
        </w:tc>
        <w:tc>
          <w:tcPr>
            <w:tcW w:w="1489" w:type="dxa"/>
            <w:tcBorders>
              <w:top w:val="nil"/>
              <w:left w:val="nil"/>
              <w:bottom w:val="nil"/>
              <w:right w:val="nil"/>
              <w:tl2br w:val="nil"/>
              <w:tr2bl w:val="nil"/>
            </w:tcBorders>
            <w:shd w:val="solid" w:color="016794" w:fill="FFFFFF"/>
            <w:tcMar>
              <w:left w:w="60" w:type="dxa"/>
              <w:right w:w="60" w:type="dxa"/>
            </w:tcMar>
            <w:vAlign w:val="center"/>
          </w:tcPr>
          <w:p>
            <w:pPr>
              <w:pStyle w:val="DMETW36764BIPFAFVNONDBT"/>
              <w:jc w:val="right"/>
              <w:rPr>
                <w:rFonts w:ascii="Verdana" w:eastAsia="Verdana" w:hAnsi="Verdana" w:cs="Verdana"/>
                <w:noProof/>
                <w:color w:val="FFFFFF"/>
              </w:rPr>
            </w:pPr>
            <w:r>
              <w:rPr>
                <w:rFonts w:ascii="Verdana" w:hAnsi="Verdana"/>
                <w:noProof/>
                <w:color w:val="FFFFFF"/>
              </w:rPr>
              <w:t>31.12.2024</w:t>
            </w:r>
          </w:p>
        </w:tc>
      </w:tr>
      <w:tr>
        <w:trPr>
          <w:trHeight w:val="255"/>
        </w:trPr>
        <w:tc>
          <w:tcPr>
            <w:tcW w:w="4600" w:type="dxa"/>
            <w:tcBorders>
              <w:top w:val="nil"/>
              <w:left w:val="nil"/>
              <w:bottom w:val="nil"/>
              <w:right w:val="nil"/>
              <w:tl2br w:val="nil"/>
              <w:tr2bl w:val="nil"/>
            </w:tcBorders>
            <w:tcMar>
              <w:left w:w="60" w:type="dxa"/>
              <w:right w:w="60" w:type="dxa"/>
            </w:tcMar>
            <w:vAlign w:val="center"/>
          </w:tcPr>
          <w:p>
            <w:pPr>
              <w:pStyle w:val="DMETW36764BIPFAFVNONDBT"/>
              <w:rPr>
                <w:rFonts w:ascii="Verdana" w:eastAsia="Verdana" w:hAnsi="Verdana" w:cs="Verdana"/>
                <w:i/>
                <w:noProof/>
                <w:color w:val="000000"/>
                <w:sz w:val="18"/>
              </w:rPr>
            </w:pPr>
            <w:r>
              <w:rPr>
                <w:rFonts w:ascii="Verdana" w:hAnsi="Verdana"/>
                <w:i/>
                <w:noProof/>
                <w:color w:val="000000"/>
                <w:sz w:val="18"/>
              </w:rPr>
              <w:t>Titres de créance</w:t>
            </w:r>
          </w:p>
        </w:tc>
        <w:tc>
          <w:tcPr>
            <w:tcW w:w="1878" w:type="dxa"/>
            <w:tcBorders>
              <w:top w:val="nil"/>
              <w:left w:val="nil"/>
              <w:bottom w:val="nil"/>
              <w:right w:val="nil"/>
              <w:tl2br w:val="nil"/>
              <w:tr2bl w:val="nil"/>
            </w:tcBorders>
            <w:tcMar>
              <w:left w:w="60" w:type="dxa"/>
              <w:right w:w="60" w:type="dxa"/>
            </w:tcMar>
            <w:vAlign w:val="bottom"/>
          </w:tcPr>
          <w:p>
            <w:pPr>
              <w:pStyle w:val="DMETW36764BIPFAFVNONDBT"/>
              <w:jc w:val="right"/>
              <w:rPr>
                <w:rFonts w:ascii="Verdana" w:eastAsia="Verdana" w:hAnsi="Verdana" w:cs="Verdana"/>
                <w:i/>
                <w:noProof/>
                <w:color w:val="000000"/>
                <w:sz w:val="18"/>
              </w:rPr>
            </w:pPr>
          </w:p>
        </w:tc>
        <w:tc>
          <w:tcPr>
            <w:tcW w:w="1791" w:type="dxa"/>
            <w:tcBorders>
              <w:top w:val="nil"/>
              <w:left w:val="nil"/>
              <w:bottom w:val="nil"/>
              <w:right w:val="nil"/>
              <w:tl2br w:val="nil"/>
              <w:tr2bl w:val="nil"/>
            </w:tcBorders>
            <w:tcMar>
              <w:left w:w="60" w:type="dxa"/>
              <w:right w:w="60" w:type="dxa"/>
            </w:tcMar>
            <w:vAlign w:val="bottom"/>
          </w:tcPr>
          <w:p>
            <w:pPr>
              <w:pStyle w:val="DMETW36764BIPFAFVNONDBT"/>
              <w:jc w:val="right"/>
              <w:rPr>
                <w:rFonts w:ascii="Verdana" w:eastAsia="Verdana" w:hAnsi="Verdana" w:cs="Verdana"/>
                <w:i/>
                <w:noProof/>
                <w:color w:val="000000"/>
                <w:sz w:val="18"/>
              </w:rPr>
            </w:pPr>
            <w:r>
              <w:rPr>
                <w:rFonts w:ascii="Verdana" w:hAnsi="Verdana"/>
                <w:i/>
                <w:noProof/>
                <w:color w:val="000000"/>
                <w:sz w:val="18"/>
              </w:rPr>
              <w:t>40 462</w:t>
            </w:r>
          </w:p>
        </w:tc>
        <w:tc>
          <w:tcPr>
            <w:tcW w:w="1489" w:type="dxa"/>
            <w:tcBorders>
              <w:top w:val="nil"/>
              <w:left w:val="nil"/>
              <w:bottom w:val="nil"/>
              <w:right w:val="nil"/>
              <w:tl2br w:val="nil"/>
              <w:tr2bl w:val="nil"/>
            </w:tcBorders>
            <w:tcMar>
              <w:left w:w="60" w:type="dxa"/>
              <w:right w:w="60" w:type="dxa"/>
            </w:tcMar>
            <w:vAlign w:val="bottom"/>
          </w:tcPr>
          <w:p>
            <w:pPr>
              <w:pStyle w:val="DMETW36764BIPFAFVNONDBT"/>
              <w:jc w:val="right"/>
              <w:rPr>
                <w:rFonts w:ascii="Verdana" w:eastAsia="Verdana" w:hAnsi="Verdana" w:cs="Verdana"/>
                <w:i/>
                <w:noProof/>
                <w:color w:val="000000"/>
                <w:sz w:val="18"/>
              </w:rPr>
            </w:pPr>
            <w:r>
              <w:rPr>
                <w:rFonts w:ascii="Verdana" w:hAnsi="Verdana"/>
                <w:i/>
                <w:noProof/>
                <w:color w:val="000000"/>
                <w:sz w:val="18"/>
              </w:rPr>
              <w:t>34 465</w:t>
            </w:r>
          </w:p>
        </w:tc>
      </w:tr>
      <w:tr>
        <w:trPr>
          <w:trHeight w:val="255"/>
        </w:trPr>
        <w:tc>
          <w:tcPr>
            <w:tcW w:w="4600" w:type="dxa"/>
            <w:gridSpan w:val="2"/>
            <w:tcBorders>
              <w:top w:val="nil"/>
              <w:left w:val="nil"/>
              <w:bottom w:val="nil"/>
              <w:right w:val="nil"/>
              <w:tl2br w:val="nil"/>
              <w:tr2bl w:val="nil"/>
            </w:tcBorders>
            <w:tcMar>
              <w:left w:w="60" w:type="dxa"/>
              <w:right w:w="60" w:type="dxa"/>
            </w:tcMar>
            <w:vAlign w:val="center"/>
          </w:tcPr>
          <w:p>
            <w:pPr>
              <w:pStyle w:val="DMETW36764BIPFAFVNONDBT"/>
              <w:rPr>
                <w:rFonts w:ascii="Verdana" w:eastAsia="Verdana" w:hAnsi="Verdana" w:cs="Verdana"/>
                <w:i/>
                <w:noProof/>
                <w:color w:val="000000"/>
                <w:sz w:val="18"/>
              </w:rPr>
            </w:pPr>
            <w:r>
              <w:rPr>
                <w:rFonts w:ascii="Verdana" w:hAnsi="Verdana"/>
                <w:i/>
                <w:noProof/>
                <w:color w:val="000000"/>
                <w:sz w:val="18"/>
              </w:rPr>
              <w:t>FMM, FNB et investissements dans des portefeuilles mis en commun</w:t>
            </w:r>
          </w:p>
        </w:tc>
        <w:tc>
          <w:tcPr>
            <w:tcW w:w="1791" w:type="dxa"/>
            <w:tcBorders>
              <w:top w:val="nil"/>
              <w:left w:val="nil"/>
              <w:bottom w:val="nil"/>
              <w:right w:val="nil"/>
              <w:tl2br w:val="nil"/>
              <w:tr2bl w:val="nil"/>
            </w:tcBorders>
            <w:tcMar>
              <w:left w:w="60" w:type="dxa"/>
              <w:right w:w="60" w:type="dxa"/>
            </w:tcMar>
            <w:vAlign w:val="bottom"/>
          </w:tcPr>
          <w:p>
            <w:pPr>
              <w:pStyle w:val="DMETW36764BIPFAFVNONDBT"/>
              <w:jc w:val="right"/>
              <w:rPr>
                <w:rFonts w:ascii="Verdana" w:eastAsia="Verdana" w:hAnsi="Verdana" w:cs="Verdana"/>
                <w:i/>
                <w:noProof/>
                <w:color w:val="000000"/>
                <w:sz w:val="18"/>
              </w:rPr>
            </w:pPr>
            <w:r>
              <w:rPr>
                <w:rFonts w:ascii="Verdana" w:hAnsi="Verdana"/>
                <w:i/>
                <w:noProof/>
                <w:color w:val="000000"/>
                <w:sz w:val="18"/>
              </w:rPr>
              <w:t>6 812</w:t>
            </w:r>
          </w:p>
        </w:tc>
        <w:tc>
          <w:tcPr>
            <w:tcW w:w="1489" w:type="dxa"/>
            <w:tcBorders>
              <w:top w:val="nil"/>
              <w:left w:val="nil"/>
              <w:bottom w:val="nil"/>
              <w:right w:val="nil"/>
              <w:tl2br w:val="nil"/>
              <w:tr2bl w:val="nil"/>
            </w:tcBorders>
            <w:tcMar>
              <w:left w:w="60" w:type="dxa"/>
              <w:right w:w="60" w:type="dxa"/>
            </w:tcMar>
            <w:vAlign w:val="bottom"/>
          </w:tcPr>
          <w:p>
            <w:pPr>
              <w:pStyle w:val="DMETW36764BIPFAFVNONDBT"/>
              <w:jc w:val="right"/>
              <w:rPr>
                <w:rFonts w:ascii="Verdana" w:eastAsia="Verdana" w:hAnsi="Verdana" w:cs="Verdana"/>
                <w:i/>
                <w:noProof/>
                <w:color w:val="000000"/>
                <w:sz w:val="18"/>
              </w:rPr>
            </w:pPr>
            <w:r>
              <w:rPr>
                <w:rFonts w:ascii="Verdana" w:hAnsi="Verdana"/>
                <w:i/>
                <w:noProof/>
                <w:color w:val="000000"/>
                <w:sz w:val="18"/>
              </w:rPr>
              <w:t>5 975</w:t>
            </w:r>
          </w:p>
        </w:tc>
      </w:tr>
      <w:tr>
        <w:trPr>
          <w:trHeight w:val="255"/>
        </w:trPr>
        <w:tc>
          <w:tcPr>
            <w:tcW w:w="4600" w:type="dxa"/>
            <w:tcBorders>
              <w:top w:val="nil"/>
              <w:left w:val="nil"/>
              <w:bottom w:val="nil"/>
              <w:right w:val="nil"/>
              <w:tl2br w:val="nil"/>
              <w:tr2bl w:val="nil"/>
            </w:tcBorders>
            <w:tcMar>
              <w:left w:w="60" w:type="dxa"/>
              <w:right w:w="60" w:type="dxa"/>
            </w:tcMar>
            <w:vAlign w:val="center"/>
          </w:tcPr>
          <w:p>
            <w:pPr>
              <w:pStyle w:val="DMETW36764BIPFAFVNONDBT"/>
              <w:rPr>
                <w:rFonts w:ascii="Verdana" w:eastAsia="Verdana" w:hAnsi="Verdana" w:cs="Verdana"/>
                <w:i/>
                <w:noProof/>
                <w:color w:val="000000"/>
                <w:sz w:val="18"/>
              </w:rPr>
            </w:pPr>
            <w:r>
              <w:rPr>
                <w:rFonts w:ascii="Verdana" w:hAnsi="Verdana"/>
                <w:i/>
                <w:noProof/>
                <w:color w:val="000000"/>
                <w:sz w:val="18"/>
              </w:rPr>
              <w:t>Autres investissements en fonds propres</w:t>
            </w:r>
          </w:p>
        </w:tc>
        <w:tc>
          <w:tcPr>
            <w:tcW w:w="1878" w:type="dxa"/>
            <w:tcBorders>
              <w:top w:val="nil"/>
              <w:left w:val="nil"/>
              <w:bottom w:val="nil"/>
              <w:right w:val="nil"/>
              <w:tl2br w:val="nil"/>
              <w:tr2bl w:val="nil"/>
            </w:tcBorders>
            <w:tcMar>
              <w:left w:w="60" w:type="dxa"/>
              <w:right w:w="60" w:type="dxa"/>
            </w:tcMar>
            <w:vAlign w:val="bottom"/>
          </w:tcPr>
          <w:p>
            <w:pPr>
              <w:pStyle w:val="DMETW36764BIPFAFVNONDBT"/>
              <w:jc w:val="right"/>
              <w:rPr>
                <w:rFonts w:ascii="Verdana" w:eastAsia="Verdana" w:hAnsi="Verdana" w:cs="Verdana"/>
                <w:i/>
                <w:noProof/>
                <w:color w:val="000000"/>
                <w:sz w:val="18"/>
              </w:rPr>
            </w:pPr>
          </w:p>
        </w:tc>
        <w:tc>
          <w:tcPr>
            <w:tcW w:w="1791" w:type="dxa"/>
            <w:tcBorders>
              <w:top w:val="nil"/>
              <w:left w:val="nil"/>
              <w:bottom w:val="nil"/>
              <w:right w:val="nil"/>
              <w:tl2br w:val="nil"/>
              <w:tr2bl w:val="nil"/>
            </w:tcBorders>
            <w:tcMar>
              <w:left w:w="60" w:type="dxa"/>
              <w:right w:w="60" w:type="dxa"/>
            </w:tcMar>
            <w:vAlign w:val="bottom"/>
          </w:tcPr>
          <w:p>
            <w:pPr>
              <w:pStyle w:val="DMETW36764BIPFAFVNONDBT"/>
              <w:jc w:val="right"/>
              <w:rPr>
                <w:rFonts w:ascii="Verdana" w:eastAsia="Verdana" w:hAnsi="Verdana" w:cs="Verdana"/>
                <w:i/>
                <w:noProof/>
                <w:color w:val="000000"/>
                <w:sz w:val="18"/>
              </w:rPr>
            </w:pPr>
            <w:r>
              <w:rPr>
                <w:rFonts w:ascii="Verdana" w:hAnsi="Verdana"/>
                <w:i/>
                <w:noProof/>
                <w:color w:val="000000"/>
                <w:sz w:val="18"/>
              </w:rPr>
              <w:t>3 796</w:t>
            </w:r>
          </w:p>
        </w:tc>
        <w:tc>
          <w:tcPr>
            <w:tcW w:w="1489" w:type="dxa"/>
            <w:tcBorders>
              <w:top w:val="nil"/>
              <w:left w:val="nil"/>
              <w:bottom w:val="nil"/>
              <w:right w:val="nil"/>
              <w:tl2br w:val="nil"/>
              <w:tr2bl w:val="nil"/>
            </w:tcBorders>
            <w:tcMar>
              <w:left w:w="60" w:type="dxa"/>
              <w:right w:w="60" w:type="dxa"/>
            </w:tcMar>
            <w:vAlign w:val="bottom"/>
          </w:tcPr>
          <w:p>
            <w:pPr>
              <w:pStyle w:val="DMETW36764BIPFAFVNONDBT"/>
              <w:jc w:val="right"/>
              <w:rPr>
                <w:rFonts w:ascii="Verdana" w:eastAsia="Verdana" w:hAnsi="Verdana" w:cs="Verdana"/>
                <w:i/>
                <w:noProof/>
                <w:color w:val="000000"/>
                <w:sz w:val="18"/>
              </w:rPr>
            </w:pPr>
            <w:r>
              <w:rPr>
                <w:rFonts w:ascii="Verdana" w:hAnsi="Verdana"/>
                <w:i/>
                <w:noProof/>
                <w:color w:val="000000"/>
                <w:sz w:val="18"/>
              </w:rPr>
              <w:t>3 201</w:t>
            </w:r>
          </w:p>
        </w:tc>
      </w:tr>
      <w:tr>
        <w:trPr>
          <w:trHeight w:val="255"/>
        </w:trPr>
        <w:tc>
          <w:tcPr>
            <w:tcW w:w="4600" w:type="dxa"/>
            <w:tcBorders>
              <w:top w:val="nil"/>
              <w:left w:val="nil"/>
              <w:bottom w:val="single" w:sz="4" w:space="0" w:color="016794"/>
              <w:right w:val="nil"/>
              <w:tl2br w:val="nil"/>
              <w:tr2bl w:val="nil"/>
            </w:tcBorders>
            <w:tcMar>
              <w:left w:w="60" w:type="dxa"/>
              <w:right w:w="60" w:type="dxa"/>
            </w:tcMar>
            <w:vAlign w:val="center"/>
          </w:tcPr>
          <w:p>
            <w:pPr>
              <w:pStyle w:val="DMETW36764BIPFAFVNONDBT"/>
              <w:rPr>
                <w:rFonts w:ascii="Verdana" w:eastAsia="Verdana" w:hAnsi="Verdana" w:cs="Verdana"/>
                <w:i/>
                <w:noProof/>
                <w:color w:val="000000"/>
                <w:sz w:val="18"/>
              </w:rPr>
            </w:pPr>
            <w:r>
              <w:rPr>
                <w:rFonts w:ascii="Verdana" w:hAnsi="Verdana"/>
                <w:i/>
                <w:noProof/>
                <w:color w:val="000000"/>
                <w:sz w:val="18"/>
              </w:rPr>
              <w:t>Prêts</w:t>
            </w:r>
          </w:p>
        </w:tc>
        <w:tc>
          <w:tcPr>
            <w:tcW w:w="1878" w:type="dxa"/>
            <w:tcBorders>
              <w:top w:val="nil"/>
              <w:left w:val="nil"/>
              <w:bottom w:val="single" w:sz="4" w:space="0" w:color="016794"/>
              <w:right w:val="nil"/>
              <w:tl2br w:val="nil"/>
              <w:tr2bl w:val="nil"/>
            </w:tcBorders>
            <w:tcMar>
              <w:left w:w="60" w:type="dxa"/>
              <w:right w:w="60" w:type="dxa"/>
            </w:tcMar>
            <w:vAlign w:val="bottom"/>
          </w:tcPr>
          <w:p>
            <w:pPr>
              <w:pStyle w:val="DMETW36764BIPFAFVNONDBT"/>
              <w:rPr>
                <w:rFonts w:ascii="Verdana" w:eastAsia="Verdana" w:hAnsi="Verdana" w:cs="Verdana"/>
                <w:noProof/>
                <w:color w:val="000000"/>
              </w:rPr>
            </w:pPr>
          </w:p>
        </w:tc>
        <w:tc>
          <w:tcPr>
            <w:tcW w:w="1791" w:type="dxa"/>
            <w:tcBorders>
              <w:top w:val="nil"/>
              <w:left w:val="nil"/>
              <w:bottom w:val="single" w:sz="4" w:space="0" w:color="016794"/>
              <w:right w:val="nil"/>
              <w:tl2br w:val="nil"/>
              <w:tr2bl w:val="nil"/>
            </w:tcBorders>
            <w:tcMar>
              <w:left w:w="60" w:type="dxa"/>
              <w:right w:w="60" w:type="dxa"/>
            </w:tcMar>
            <w:vAlign w:val="bottom"/>
          </w:tcPr>
          <w:p>
            <w:pPr>
              <w:pStyle w:val="DMETW36764BIPFAFVNONDBT"/>
              <w:jc w:val="right"/>
              <w:rPr>
                <w:rFonts w:ascii="Verdana" w:eastAsia="Verdana" w:hAnsi="Verdana" w:cs="Verdana"/>
                <w:i/>
                <w:noProof/>
                <w:color w:val="000000"/>
                <w:sz w:val="18"/>
              </w:rPr>
            </w:pPr>
            <w:r>
              <w:rPr>
                <w:rFonts w:ascii="Verdana" w:hAnsi="Verdana"/>
                <w:i/>
                <w:noProof/>
                <w:color w:val="000000"/>
                <w:sz w:val="18"/>
              </w:rPr>
              <w:t xml:space="preserve"> 9</w:t>
            </w:r>
          </w:p>
        </w:tc>
        <w:tc>
          <w:tcPr>
            <w:tcW w:w="1489" w:type="dxa"/>
            <w:tcBorders>
              <w:top w:val="nil"/>
              <w:left w:val="nil"/>
              <w:bottom w:val="single" w:sz="4" w:space="0" w:color="016794"/>
              <w:right w:val="nil"/>
              <w:tl2br w:val="nil"/>
              <w:tr2bl w:val="nil"/>
            </w:tcBorders>
            <w:tcMar>
              <w:left w:w="60" w:type="dxa"/>
              <w:right w:w="60" w:type="dxa"/>
            </w:tcMar>
            <w:vAlign w:val="bottom"/>
          </w:tcPr>
          <w:p>
            <w:pPr>
              <w:pStyle w:val="DMETW36764BIPFAFVNONDBT"/>
              <w:jc w:val="right"/>
              <w:rPr>
                <w:rFonts w:ascii="Verdana" w:eastAsia="Verdana" w:hAnsi="Verdana" w:cs="Verdana"/>
                <w:i/>
                <w:noProof/>
                <w:color w:val="000000"/>
                <w:sz w:val="18"/>
              </w:rPr>
            </w:pPr>
            <w:r>
              <w:rPr>
                <w:rFonts w:ascii="Verdana" w:hAnsi="Verdana"/>
                <w:i/>
                <w:noProof/>
                <w:color w:val="000000"/>
                <w:sz w:val="18"/>
              </w:rPr>
              <w:t xml:space="preserve"> 8</w:t>
            </w:r>
          </w:p>
        </w:tc>
      </w:tr>
      <w:tr>
        <w:trPr>
          <w:trHeight w:val="255"/>
        </w:trPr>
        <w:tc>
          <w:tcPr>
            <w:tcW w:w="460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4BIPFAFVNONDBT"/>
              <w:rPr>
                <w:rFonts w:ascii="Verdana" w:eastAsia="Verdana" w:hAnsi="Verdana" w:cs="Verdana"/>
                <w:b/>
                <w:noProof/>
                <w:color w:val="000000"/>
                <w:sz w:val="18"/>
              </w:rPr>
            </w:pPr>
            <w:r>
              <w:rPr>
                <w:rFonts w:ascii="Verdana" w:hAnsi="Verdana"/>
                <w:b/>
                <w:noProof/>
                <w:color w:val="000000"/>
                <w:sz w:val="18"/>
              </w:rPr>
              <w:t>Total</w:t>
            </w:r>
          </w:p>
        </w:tc>
        <w:tc>
          <w:tcPr>
            <w:tcW w:w="1878"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64BIPFAFVNONDBT"/>
              <w:jc w:val="right"/>
              <w:rPr>
                <w:rFonts w:ascii="Verdana" w:eastAsia="Verdana" w:hAnsi="Verdana" w:cs="Verdana"/>
                <w:b/>
                <w:noProof/>
                <w:color w:val="000000"/>
                <w:sz w:val="18"/>
              </w:rPr>
            </w:pPr>
          </w:p>
        </w:tc>
        <w:tc>
          <w:tcPr>
            <w:tcW w:w="1791"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64BIPFAFVNONDBT"/>
              <w:jc w:val="right"/>
              <w:rPr>
                <w:rFonts w:ascii="Verdana" w:eastAsia="Verdana" w:hAnsi="Verdana" w:cs="Verdana"/>
                <w:b/>
                <w:noProof/>
                <w:color w:val="000000"/>
                <w:sz w:val="18"/>
              </w:rPr>
            </w:pPr>
            <w:r>
              <w:rPr>
                <w:rFonts w:ascii="Verdana" w:hAnsi="Verdana"/>
                <w:b/>
                <w:noProof/>
                <w:color w:val="000000"/>
                <w:sz w:val="18"/>
              </w:rPr>
              <w:t>51 080</w:t>
            </w:r>
          </w:p>
        </w:tc>
        <w:tc>
          <w:tcPr>
            <w:tcW w:w="1489"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64BIPFAFVNONDBT"/>
              <w:jc w:val="right"/>
              <w:rPr>
                <w:rFonts w:ascii="Verdana" w:eastAsia="Verdana" w:hAnsi="Verdana" w:cs="Verdana"/>
                <w:b/>
                <w:noProof/>
                <w:color w:val="000000"/>
                <w:sz w:val="18"/>
              </w:rPr>
            </w:pPr>
            <w:r>
              <w:rPr>
                <w:rFonts w:ascii="Verdana" w:hAnsi="Verdana"/>
                <w:b/>
                <w:noProof/>
                <w:color w:val="000000"/>
                <w:sz w:val="18"/>
              </w:rPr>
              <w:t>43 648</w:t>
            </w:r>
          </w:p>
        </w:tc>
      </w:tr>
      <w:tr>
        <w:trPr>
          <w:trHeight w:val="255"/>
        </w:trPr>
        <w:tc>
          <w:tcPr>
            <w:tcW w:w="4600" w:type="dxa"/>
            <w:tcBorders>
              <w:top w:val="single" w:sz="4" w:space="0" w:color="016794"/>
              <w:left w:val="nil"/>
              <w:bottom w:val="nil"/>
              <w:right w:val="nil"/>
              <w:tl2br w:val="nil"/>
              <w:tr2bl w:val="nil"/>
            </w:tcBorders>
            <w:tcMar>
              <w:left w:w="60" w:type="dxa"/>
              <w:right w:w="60" w:type="dxa"/>
            </w:tcMar>
            <w:vAlign w:val="center"/>
          </w:tcPr>
          <w:p>
            <w:pPr>
              <w:pStyle w:val="DMETW36764BIPFAFVNONDBT"/>
              <w:rPr>
                <w:rFonts w:ascii="Verdana" w:eastAsia="Verdana" w:hAnsi="Verdana" w:cs="Verdana"/>
                <w:i/>
                <w:noProof/>
                <w:color w:val="016794"/>
                <w:sz w:val="18"/>
              </w:rPr>
            </w:pPr>
            <w:r>
              <w:rPr>
                <w:rFonts w:ascii="Verdana" w:hAnsi="Verdana"/>
                <w:i/>
                <w:noProof/>
                <w:color w:val="016794"/>
                <w:sz w:val="18"/>
              </w:rPr>
              <w:lastRenderedPageBreak/>
              <w:t>Non courants</w:t>
            </w:r>
          </w:p>
        </w:tc>
        <w:tc>
          <w:tcPr>
            <w:tcW w:w="1878" w:type="dxa"/>
            <w:tcBorders>
              <w:top w:val="single" w:sz="4" w:space="0" w:color="016794"/>
              <w:left w:val="nil"/>
              <w:bottom w:val="nil"/>
              <w:right w:val="nil"/>
              <w:tl2br w:val="nil"/>
              <w:tr2bl w:val="nil"/>
            </w:tcBorders>
            <w:tcMar>
              <w:left w:w="60" w:type="dxa"/>
              <w:right w:w="60" w:type="dxa"/>
            </w:tcMar>
            <w:vAlign w:val="bottom"/>
          </w:tcPr>
          <w:p>
            <w:pPr>
              <w:pStyle w:val="DMETW36764BIPFAFVNONDBT"/>
              <w:jc w:val="right"/>
              <w:rPr>
                <w:rFonts w:ascii="Verdana" w:eastAsia="Verdana" w:hAnsi="Verdana" w:cs="Verdana"/>
                <w:i/>
                <w:noProof/>
                <w:color w:val="016794"/>
                <w:sz w:val="18"/>
              </w:rPr>
            </w:pPr>
          </w:p>
        </w:tc>
        <w:tc>
          <w:tcPr>
            <w:tcW w:w="1791" w:type="dxa"/>
            <w:tcBorders>
              <w:top w:val="single" w:sz="4" w:space="0" w:color="016794"/>
              <w:left w:val="nil"/>
              <w:bottom w:val="nil"/>
              <w:right w:val="nil"/>
              <w:tl2br w:val="nil"/>
              <w:tr2bl w:val="nil"/>
            </w:tcBorders>
            <w:tcMar>
              <w:left w:w="60" w:type="dxa"/>
              <w:right w:w="60" w:type="dxa"/>
            </w:tcMar>
            <w:vAlign w:val="bottom"/>
          </w:tcPr>
          <w:p>
            <w:pPr>
              <w:pStyle w:val="DMETW36764BIPFAFVNONDBT"/>
              <w:jc w:val="right"/>
              <w:rPr>
                <w:rFonts w:ascii="Verdana" w:eastAsia="Verdana" w:hAnsi="Verdana" w:cs="Verdana"/>
                <w:i/>
                <w:noProof/>
                <w:color w:val="016794"/>
                <w:sz w:val="18"/>
              </w:rPr>
            </w:pPr>
            <w:r>
              <w:rPr>
                <w:rFonts w:ascii="Verdana" w:hAnsi="Verdana"/>
                <w:i/>
                <w:noProof/>
                <w:color w:val="016794"/>
                <w:sz w:val="18"/>
              </w:rPr>
              <w:t>46 350</w:t>
            </w:r>
          </w:p>
        </w:tc>
        <w:tc>
          <w:tcPr>
            <w:tcW w:w="1489" w:type="dxa"/>
            <w:tcBorders>
              <w:top w:val="single" w:sz="4" w:space="0" w:color="016794"/>
              <w:left w:val="nil"/>
              <w:bottom w:val="nil"/>
              <w:right w:val="nil"/>
              <w:tl2br w:val="nil"/>
              <w:tr2bl w:val="nil"/>
            </w:tcBorders>
            <w:tcMar>
              <w:left w:w="60" w:type="dxa"/>
              <w:right w:w="60" w:type="dxa"/>
            </w:tcMar>
            <w:vAlign w:val="bottom"/>
          </w:tcPr>
          <w:p>
            <w:pPr>
              <w:pStyle w:val="DMETW36764BIPFAFVNONDBT"/>
              <w:jc w:val="right"/>
              <w:rPr>
                <w:rFonts w:ascii="Verdana" w:eastAsia="Verdana" w:hAnsi="Verdana" w:cs="Verdana"/>
                <w:i/>
                <w:noProof/>
                <w:color w:val="016794"/>
                <w:sz w:val="18"/>
              </w:rPr>
            </w:pPr>
            <w:r>
              <w:rPr>
                <w:rFonts w:ascii="Verdana" w:hAnsi="Verdana"/>
                <w:i/>
                <w:noProof/>
                <w:color w:val="016794"/>
                <w:sz w:val="18"/>
              </w:rPr>
              <w:t>37 948</w:t>
            </w:r>
          </w:p>
        </w:tc>
      </w:tr>
      <w:tr>
        <w:trPr>
          <w:trHeight w:val="255"/>
        </w:trPr>
        <w:tc>
          <w:tcPr>
            <w:tcW w:w="4600" w:type="dxa"/>
            <w:tcBorders>
              <w:top w:val="nil"/>
              <w:left w:val="nil"/>
              <w:bottom w:val="nil"/>
              <w:right w:val="nil"/>
              <w:tl2br w:val="nil"/>
              <w:tr2bl w:val="nil"/>
            </w:tcBorders>
            <w:tcMar>
              <w:left w:w="60" w:type="dxa"/>
              <w:right w:w="60" w:type="dxa"/>
            </w:tcMar>
            <w:vAlign w:val="center"/>
          </w:tcPr>
          <w:p>
            <w:pPr>
              <w:pStyle w:val="DMETW36764BIPFAFVNONDBT"/>
              <w:rPr>
                <w:rFonts w:ascii="Verdana" w:eastAsia="Verdana" w:hAnsi="Verdana" w:cs="Verdana"/>
                <w:i/>
                <w:noProof/>
                <w:color w:val="016794"/>
                <w:sz w:val="18"/>
              </w:rPr>
            </w:pPr>
            <w:r>
              <w:rPr>
                <w:rFonts w:ascii="Verdana" w:hAnsi="Verdana"/>
                <w:i/>
                <w:noProof/>
                <w:color w:val="016794"/>
                <w:sz w:val="18"/>
              </w:rPr>
              <w:t>Courants</w:t>
            </w:r>
          </w:p>
        </w:tc>
        <w:tc>
          <w:tcPr>
            <w:tcW w:w="1878" w:type="dxa"/>
            <w:tcBorders>
              <w:top w:val="nil"/>
              <w:left w:val="nil"/>
              <w:bottom w:val="nil"/>
              <w:right w:val="nil"/>
              <w:tl2br w:val="nil"/>
              <w:tr2bl w:val="nil"/>
            </w:tcBorders>
            <w:tcMar>
              <w:left w:w="60" w:type="dxa"/>
              <w:right w:w="60" w:type="dxa"/>
            </w:tcMar>
            <w:vAlign w:val="bottom"/>
          </w:tcPr>
          <w:p>
            <w:pPr>
              <w:pStyle w:val="DMETW36764BIPFAFVNONDBT"/>
              <w:jc w:val="right"/>
              <w:rPr>
                <w:rFonts w:ascii="Verdana" w:eastAsia="Verdana" w:hAnsi="Verdana" w:cs="Verdana"/>
                <w:i/>
                <w:noProof/>
                <w:color w:val="016794"/>
                <w:sz w:val="18"/>
              </w:rPr>
            </w:pPr>
          </w:p>
        </w:tc>
        <w:tc>
          <w:tcPr>
            <w:tcW w:w="1791" w:type="dxa"/>
            <w:tcBorders>
              <w:top w:val="nil"/>
              <w:left w:val="nil"/>
              <w:bottom w:val="nil"/>
              <w:right w:val="nil"/>
              <w:tl2br w:val="nil"/>
              <w:tr2bl w:val="nil"/>
            </w:tcBorders>
            <w:tcMar>
              <w:left w:w="60" w:type="dxa"/>
              <w:right w:w="60" w:type="dxa"/>
            </w:tcMar>
            <w:vAlign w:val="bottom"/>
          </w:tcPr>
          <w:p>
            <w:pPr>
              <w:pStyle w:val="DMETW36764BIPFAFVNONDBT"/>
              <w:jc w:val="right"/>
              <w:rPr>
                <w:rFonts w:ascii="Verdana" w:eastAsia="Verdana" w:hAnsi="Verdana" w:cs="Verdana"/>
                <w:i/>
                <w:noProof/>
                <w:color w:val="016794"/>
                <w:sz w:val="18"/>
              </w:rPr>
            </w:pPr>
            <w:r>
              <w:rPr>
                <w:rFonts w:ascii="Verdana" w:hAnsi="Verdana"/>
                <w:i/>
                <w:noProof/>
                <w:color w:val="016794"/>
                <w:sz w:val="18"/>
              </w:rPr>
              <w:t>4 730</w:t>
            </w:r>
          </w:p>
        </w:tc>
        <w:tc>
          <w:tcPr>
            <w:tcW w:w="1489" w:type="dxa"/>
            <w:tcBorders>
              <w:top w:val="nil"/>
              <w:left w:val="nil"/>
              <w:bottom w:val="nil"/>
              <w:right w:val="nil"/>
              <w:tl2br w:val="nil"/>
              <w:tr2bl w:val="nil"/>
            </w:tcBorders>
            <w:tcMar>
              <w:left w:w="60" w:type="dxa"/>
              <w:right w:w="60" w:type="dxa"/>
            </w:tcMar>
            <w:vAlign w:val="bottom"/>
          </w:tcPr>
          <w:p>
            <w:pPr>
              <w:pStyle w:val="DMETW36764BIPFAFVNONDBT"/>
              <w:jc w:val="right"/>
              <w:rPr>
                <w:rFonts w:ascii="Verdana" w:eastAsia="Verdana" w:hAnsi="Verdana" w:cs="Verdana"/>
                <w:i/>
                <w:noProof/>
                <w:color w:val="016794"/>
                <w:sz w:val="18"/>
              </w:rPr>
            </w:pPr>
            <w:r>
              <w:rPr>
                <w:rFonts w:ascii="Verdana" w:hAnsi="Verdana"/>
                <w:i/>
                <w:noProof/>
                <w:color w:val="016794"/>
                <w:sz w:val="18"/>
              </w:rPr>
              <w:t>5 700</w:t>
            </w:r>
          </w:p>
        </w:tc>
      </w:tr>
    </w:tbl>
    <w:p>
      <w:pPr>
        <w:pStyle w:val="DGTextstand-alone"/>
      </w:pPr>
      <w:r>
        <w:t>Les titres de créance se composent essentiellement d’obligations souveraines et d’obligations d’entreprises. Ils sont détenus dans les fonds (portefeuilles) gérés par la Commission [principalement le FCP, le Fonds pour les amendes budgétaires («BUFI»)] ou par la BEI pour le compte de l’UE [principalement Horizon 2020 (H2020)] et le Fonds pour l’innovation). Le rendement des portefeuilles est évalué sur la base de la juste valeur (valeur de marché). Au 31 décembre 2025, la valeur de marché des titres prêtés dans le cadre des programmes de prêt de titres s’élevait à 6,0 milliards d’EUR (contre 5,8 milliards d’EUR en 2024). Ces titres prêtés ne sont pas décomptabilisés du bilan de l’UE, étant donné que les risques et les avantages sont toujours détenus par l’UE.</w:t>
      </w:r>
    </w:p>
    <w:p>
      <w:pPr>
        <w:pStyle w:val="DGTextstand-alone"/>
      </w:pPr>
      <w:r>
        <w:t xml:space="preserve">Les fonds du marché monétaire (FMM) sont des organismes de placement collectif qui investissent dans des titres de créance à court terme (par exemple, le fonds unitaire de la BEI). Les fonds négociés en bourse (FNB) sont des </w:t>
      </w:r>
      <w:hyperlink r:id="rId81" w:tooltip="Fonds de placement" w:history="1">
        <w:r>
          <w:t>fonds d’investissement</w:t>
        </w:r>
      </w:hyperlink>
      <w:r>
        <w:t xml:space="preserve"> négociés en </w:t>
      </w:r>
      <w:hyperlink r:id="rId82" w:tooltip="Bourse des valeurs" w:history="1">
        <w:r>
          <w:t>bourse</w:t>
        </w:r>
      </w:hyperlink>
      <w:r>
        <w:t xml:space="preserve">. Ils suivent les indices et détiennent des actifs tels que des </w:t>
      </w:r>
      <w:hyperlink r:id="rId83" w:tooltip="Action (finance)" w:history="1">
        <w:r>
          <w:t>actions</w:t>
        </w:r>
      </w:hyperlink>
      <w:r>
        <w:t xml:space="preserve">, des </w:t>
      </w:r>
      <w:hyperlink r:id="rId84" w:tooltip="Obligation (finance)" w:history="1">
        <w:r>
          <w:t>obligations</w:t>
        </w:r>
      </w:hyperlink>
      <w:r>
        <w:t xml:space="preserve">, des </w:t>
      </w:r>
      <w:hyperlink r:id="rId85" w:tooltip="Devise (monnaie)" w:history="1">
        <w:r>
          <w:t>devises</w:t>
        </w:r>
      </w:hyperlink>
      <w:r>
        <w:t xml:space="preserve"> et des </w:t>
      </w:r>
      <w:hyperlink r:id="rId86" w:tooltip="Contrat à terme" w:history="1">
        <w:r>
          <w:t>contrats à terme</w:t>
        </w:r>
      </w:hyperlink>
      <w:r>
        <w:t xml:space="preserve">. Les investissements dans des portefeuilles mis en commun sont les fonds de l’UE relevant du mécanisme pour l’interconnexion en Europe (MIE) et des programmes H2020 mis en commun avec les fonds des États membres provenant de l’initiative NER 300. Ils permettent de fournir des garanties aux opérations de financement et d’investissement de la BEI. </w:t>
      </w:r>
    </w:p>
    <w:p>
      <w:pPr>
        <w:pStyle w:val="DGTextstand-alone"/>
      </w:pPr>
      <w:r>
        <w:t xml:space="preserve">Les «Autres investissements en fonds propres» désignent principalement les investissements de fonds du budget de l’UE – par l’intermédiaire de partenaires chargés de la mise en œuvre — dans du capital-risque ou dans d’autres types de fonds d’investissement afin de poursuivre les objectifs stratégiques de l’UE: par exemple, améliorer l’accès au financement pour les PME en phase de démarrage, renforcer la recherche et l’innovation, ou encore améliorer les infrastructures tant à l’intérieur qu’à l’extérieur de l’UE. </w:t>
      </w:r>
    </w:p>
    <w:p>
      <w:pPr>
        <w:pStyle w:val="HEADER5"/>
        <w:rPr>
          <w:noProof/>
        </w:rPr>
      </w:pPr>
      <w:r>
        <w:rPr>
          <w:noProof/>
        </w:rPr>
        <w:t>Actifs financiers à la JVCR non dérivés par programme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32"/>
        <w:gridCol w:w="2214"/>
        <w:gridCol w:w="2112"/>
      </w:tblGrid>
      <w:tr>
        <w:trPr>
          <w:trHeight w:val="20"/>
        </w:trPr>
        <w:tc>
          <w:tcPr>
            <w:tcW w:w="5432" w:type="dxa"/>
            <w:tcBorders>
              <w:top w:val="nil"/>
              <w:left w:val="nil"/>
              <w:bottom w:val="nil"/>
              <w:right w:val="nil"/>
              <w:tl2br w:val="nil"/>
              <w:tr2bl w:val="nil"/>
            </w:tcBorders>
            <w:tcMar>
              <w:left w:w="60" w:type="dxa"/>
              <w:right w:w="60" w:type="dxa"/>
            </w:tcMar>
            <w:vAlign w:val="center"/>
          </w:tcPr>
          <w:p>
            <w:pPr>
              <w:pStyle w:val="DMETW36764BIPFAFVSDND"/>
              <w:rPr>
                <w:rFonts w:ascii="Verdana" w:eastAsia="Verdana" w:hAnsi="Verdana" w:cs="Verdana"/>
                <w:i/>
                <w:noProof/>
                <w:color w:val="FFFFFF"/>
                <w:sz w:val="16"/>
              </w:rPr>
            </w:pPr>
            <w:bookmarkStart w:id="110" w:name="DOC_TBL00014_1_1"/>
            <w:bookmarkEnd w:id="110"/>
          </w:p>
        </w:tc>
        <w:tc>
          <w:tcPr>
            <w:tcW w:w="2214" w:type="dxa"/>
            <w:tcBorders>
              <w:top w:val="nil"/>
              <w:left w:val="nil"/>
              <w:bottom w:val="nil"/>
              <w:right w:val="nil"/>
              <w:tl2br w:val="nil"/>
              <w:tr2bl w:val="nil"/>
            </w:tcBorders>
            <w:tcMar>
              <w:left w:w="60" w:type="dxa"/>
              <w:right w:w="60" w:type="dxa"/>
            </w:tcMar>
            <w:vAlign w:val="bottom"/>
          </w:tcPr>
          <w:p>
            <w:pPr>
              <w:pStyle w:val="DMETW36764BIPFAFVSDND"/>
              <w:rPr>
                <w:rFonts w:ascii="Verdana" w:eastAsia="Verdana" w:hAnsi="Verdana" w:cs="Verdana"/>
                <w:noProof/>
                <w:color w:val="000000"/>
              </w:rPr>
            </w:pPr>
          </w:p>
        </w:tc>
        <w:tc>
          <w:tcPr>
            <w:tcW w:w="2112" w:type="dxa"/>
            <w:tcBorders>
              <w:top w:val="nil"/>
              <w:left w:val="nil"/>
              <w:bottom w:val="nil"/>
              <w:right w:val="nil"/>
              <w:tl2br w:val="nil"/>
              <w:tr2bl w:val="nil"/>
            </w:tcBorders>
            <w:tcMar>
              <w:left w:w="60" w:type="dxa"/>
              <w:right w:w="60" w:type="dxa"/>
            </w:tcMar>
            <w:vAlign w:val="bottom"/>
          </w:tcPr>
          <w:p>
            <w:pPr>
              <w:pStyle w:val="DMETW36764BIPFAFVSDND"/>
              <w:jc w:val="right"/>
              <w:rPr>
                <w:rFonts w:ascii="Verdana" w:eastAsia="Verdana" w:hAnsi="Verdana" w:cs="Verdana"/>
                <w:i/>
                <w:noProof/>
                <w:color w:val="000000"/>
                <w:sz w:val="16"/>
              </w:rPr>
            </w:pPr>
            <w:r>
              <w:rPr>
                <w:rFonts w:ascii="Verdana" w:hAnsi="Verdana"/>
                <w:i/>
                <w:noProof/>
                <w:color w:val="000000"/>
                <w:sz w:val="16"/>
              </w:rPr>
              <w:t>en Mio EUR</w:t>
            </w:r>
          </w:p>
        </w:tc>
      </w:tr>
      <w:tr>
        <w:trPr>
          <w:trHeight w:val="20"/>
        </w:trPr>
        <w:tc>
          <w:tcPr>
            <w:tcW w:w="5432" w:type="dxa"/>
            <w:tcBorders>
              <w:top w:val="nil"/>
              <w:left w:val="nil"/>
              <w:bottom w:val="nil"/>
              <w:right w:val="nil"/>
              <w:tl2br w:val="nil"/>
              <w:tr2bl w:val="nil"/>
            </w:tcBorders>
            <w:shd w:val="solid" w:color="016794" w:fill="FFFFFF"/>
            <w:tcMar>
              <w:left w:w="60" w:type="dxa"/>
              <w:right w:w="60" w:type="dxa"/>
            </w:tcMar>
            <w:vAlign w:val="center"/>
          </w:tcPr>
          <w:p>
            <w:pPr>
              <w:pStyle w:val="DMETW36764BIPFAFVSDND"/>
              <w:rPr>
                <w:rFonts w:ascii="Verdana" w:eastAsia="Verdana" w:hAnsi="Verdana" w:cs="Verdana"/>
                <w:noProof/>
                <w:color w:val="FFFFFF"/>
              </w:rPr>
            </w:pPr>
          </w:p>
        </w:tc>
        <w:tc>
          <w:tcPr>
            <w:tcW w:w="2214" w:type="dxa"/>
            <w:tcBorders>
              <w:top w:val="nil"/>
              <w:left w:val="nil"/>
              <w:bottom w:val="nil"/>
              <w:right w:val="nil"/>
              <w:tl2br w:val="nil"/>
              <w:tr2bl w:val="nil"/>
            </w:tcBorders>
            <w:shd w:val="solid" w:color="016794" w:fill="FFFFFF"/>
            <w:tcMar>
              <w:left w:w="60" w:type="dxa"/>
              <w:right w:w="60" w:type="dxa"/>
            </w:tcMar>
            <w:vAlign w:val="center"/>
          </w:tcPr>
          <w:p>
            <w:pPr>
              <w:pStyle w:val="DMETW36764BIPFAFVSDND"/>
              <w:jc w:val="right"/>
              <w:rPr>
                <w:rFonts w:ascii="Verdana" w:eastAsia="Verdana" w:hAnsi="Verdana" w:cs="Verdana"/>
                <w:noProof/>
                <w:color w:val="FFFFFF"/>
              </w:rPr>
            </w:pPr>
            <w:r>
              <w:rPr>
                <w:rFonts w:ascii="Verdana" w:hAnsi="Verdana"/>
                <w:noProof/>
                <w:color w:val="FFFFFF"/>
              </w:rPr>
              <w:t>31.12.2025</w:t>
            </w:r>
          </w:p>
        </w:tc>
        <w:tc>
          <w:tcPr>
            <w:tcW w:w="2112" w:type="dxa"/>
            <w:tcBorders>
              <w:top w:val="nil"/>
              <w:left w:val="nil"/>
              <w:bottom w:val="nil"/>
              <w:right w:val="nil"/>
              <w:tl2br w:val="nil"/>
              <w:tr2bl w:val="nil"/>
            </w:tcBorders>
            <w:shd w:val="solid" w:color="016794" w:fill="FFFFFF"/>
            <w:tcMar>
              <w:left w:w="60" w:type="dxa"/>
              <w:right w:w="60" w:type="dxa"/>
            </w:tcMar>
            <w:vAlign w:val="center"/>
          </w:tcPr>
          <w:p>
            <w:pPr>
              <w:pStyle w:val="DMETW36764BIPFAFVSDND"/>
              <w:jc w:val="right"/>
              <w:rPr>
                <w:rFonts w:ascii="Verdana" w:eastAsia="Verdana" w:hAnsi="Verdana" w:cs="Verdana"/>
                <w:noProof/>
                <w:color w:val="FFFFFF"/>
              </w:rPr>
            </w:pPr>
            <w:r>
              <w:rPr>
                <w:rFonts w:ascii="Verdana" w:hAnsi="Verdana"/>
                <w:noProof/>
                <w:color w:val="FFFFFF"/>
              </w:rPr>
              <w:t>31.12.2024</w:t>
            </w:r>
          </w:p>
        </w:tc>
      </w:tr>
      <w:tr>
        <w:trPr>
          <w:trHeight w:val="20"/>
        </w:trPr>
        <w:tc>
          <w:tcPr>
            <w:tcW w:w="5432" w:type="dxa"/>
            <w:tcBorders>
              <w:top w:val="nil"/>
              <w:left w:val="nil"/>
              <w:bottom w:val="nil"/>
              <w:right w:val="nil"/>
              <w:tl2br w:val="nil"/>
              <w:tr2bl w:val="nil"/>
            </w:tcBorders>
            <w:tcMar>
              <w:left w:w="60" w:type="dxa"/>
              <w:right w:w="60" w:type="dxa"/>
            </w:tcMar>
            <w:vAlign w:val="center"/>
          </w:tcPr>
          <w:p>
            <w:pPr>
              <w:pStyle w:val="DMETW36764BIPFAFVSDND"/>
              <w:rPr>
                <w:rFonts w:ascii="Verdana" w:eastAsia="Verdana" w:hAnsi="Verdana" w:cs="Verdana"/>
                <w:i/>
                <w:noProof/>
                <w:color w:val="000000"/>
                <w:sz w:val="18"/>
              </w:rPr>
            </w:pPr>
            <w:r>
              <w:rPr>
                <w:rFonts w:ascii="Verdana" w:hAnsi="Verdana"/>
                <w:i/>
                <w:noProof/>
                <w:color w:val="000000"/>
                <w:sz w:val="18"/>
              </w:rPr>
              <w:t>Fonds commun de provisionnement</w:t>
            </w:r>
          </w:p>
        </w:tc>
        <w:tc>
          <w:tcPr>
            <w:tcW w:w="2214" w:type="dxa"/>
            <w:tcBorders>
              <w:top w:val="nil"/>
              <w:left w:val="nil"/>
              <w:bottom w:val="nil"/>
              <w:right w:val="nil"/>
              <w:tl2br w:val="nil"/>
              <w:tr2bl w:val="nil"/>
            </w:tcBorders>
            <w:tcMar>
              <w:left w:w="60" w:type="dxa"/>
              <w:right w:w="60" w:type="dxa"/>
            </w:tcMar>
            <w:vAlign w:val="bottom"/>
          </w:tcPr>
          <w:p>
            <w:pPr>
              <w:pStyle w:val="DMETW36764BIPFAFVSDND"/>
              <w:jc w:val="right"/>
              <w:rPr>
                <w:rFonts w:ascii="Verdana" w:eastAsia="Verdana" w:hAnsi="Verdana" w:cs="Verdana"/>
                <w:i/>
                <w:noProof/>
                <w:color w:val="000000"/>
                <w:sz w:val="18"/>
              </w:rPr>
            </w:pPr>
            <w:r>
              <w:rPr>
                <w:rFonts w:ascii="Verdana" w:hAnsi="Verdana"/>
                <w:i/>
                <w:noProof/>
                <w:color w:val="000000"/>
                <w:sz w:val="18"/>
              </w:rPr>
              <w:t>27 018</w:t>
            </w:r>
          </w:p>
        </w:tc>
        <w:tc>
          <w:tcPr>
            <w:tcW w:w="2112" w:type="dxa"/>
            <w:tcBorders>
              <w:top w:val="nil"/>
              <w:left w:val="nil"/>
              <w:bottom w:val="nil"/>
              <w:right w:val="nil"/>
              <w:tl2br w:val="nil"/>
              <w:tr2bl w:val="nil"/>
            </w:tcBorders>
            <w:tcMar>
              <w:left w:w="60" w:type="dxa"/>
              <w:right w:w="60" w:type="dxa"/>
            </w:tcMar>
            <w:vAlign w:val="bottom"/>
          </w:tcPr>
          <w:p>
            <w:pPr>
              <w:pStyle w:val="DMETW36764BIPFAFVSDND"/>
              <w:jc w:val="right"/>
              <w:rPr>
                <w:rFonts w:ascii="Verdana" w:eastAsia="Verdana" w:hAnsi="Verdana" w:cs="Verdana"/>
                <w:i/>
                <w:noProof/>
                <w:color w:val="000000"/>
                <w:sz w:val="18"/>
              </w:rPr>
            </w:pPr>
            <w:r>
              <w:rPr>
                <w:rFonts w:ascii="Verdana" w:hAnsi="Verdana"/>
                <w:i/>
                <w:noProof/>
                <w:color w:val="000000"/>
                <w:sz w:val="18"/>
              </w:rPr>
              <w:t>23 174</w:t>
            </w:r>
          </w:p>
        </w:tc>
      </w:tr>
      <w:tr>
        <w:trPr>
          <w:trHeight w:val="20"/>
        </w:trPr>
        <w:tc>
          <w:tcPr>
            <w:tcW w:w="5432" w:type="dxa"/>
            <w:tcBorders>
              <w:top w:val="nil"/>
              <w:left w:val="nil"/>
              <w:bottom w:val="nil"/>
              <w:right w:val="nil"/>
              <w:tl2br w:val="nil"/>
              <w:tr2bl w:val="nil"/>
            </w:tcBorders>
            <w:tcMar>
              <w:left w:w="60" w:type="dxa"/>
              <w:right w:w="60" w:type="dxa"/>
            </w:tcMar>
            <w:vAlign w:val="center"/>
          </w:tcPr>
          <w:p>
            <w:pPr>
              <w:pStyle w:val="DMETW36764BIPFAFVSDND"/>
              <w:rPr>
                <w:rFonts w:ascii="Verdana" w:eastAsia="Verdana" w:hAnsi="Verdana" w:cs="Verdana"/>
                <w:i/>
                <w:noProof/>
                <w:color w:val="000000"/>
                <w:sz w:val="18"/>
              </w:rPr>
            </w:pPr>
            <w:r>
              <w:rPr>
                <w:rFonts w:ascii="Verdana" w:hAnsi="Verdana"/>
                <w:i/>
                <w:noProof/>
                <w:color w:val="000000"/>
                <w:sz w:val="18"/>
              </w:rPr>
              <w:t>Fonds pour l’innovation</w:t>
            </w:r>
          </w:p>
        </w:tc>
        <w:tc>
          <w:tcPr>
            <w:tcW w:w="2214" w:type="dxa"/>
            <w:tcBorders>
              <w:top w:val="nil"/>
              <w:left w:val="nil"/>
              <w:bottom w:val="nil"/>
              <w:right w:val="nil"/>
              <w:tl2br w:val="nil"/>
              <w:tr2bl w:val="nil"/>
            </w:tcBorders>
            <w:tcMar>
              <w:left w:w="60" w:type="dxa"/>
              <w:right w:w="60" w:type="dxa"/>
            </w:tcMar>
            <w:vAlign w:val="bottom"/>
          </w:tcPr>
          <w:p>
            <w:pPr>
              <w:pStyle w:val="DMETW36764BIPFAFVSDND"/>
              <w:jc w:val="right"/>
              <w:rPr>
                <w:rFonts w:ascii="Verdana" w:eastAsia="Verdana" w:hAnsi="Verdana" w:cs="Verdana"/>
                <w:i/>
                <w:noProof/>
                <w:color w:val="000000"/>
                <w:sz w:val="18"/>
              </w:rPr>
            </w:pPr>
            <w:r>
              <w:rPr>
                <w:rFonts w:ascii="Verdana" w:hAnsi="Verdana"/>
                <w:i/>
                <w:noProof/>
                <w:color w:val="000000"/>
                <w:sz w:val="18"/>
              </w:rPr>
              <w:t>13 265</w:t>
            </w:r>
          </w:p>
        </w:tc>
        <w:tc>
          <w:tcPr>
            <w:tcW w:w="2112" w:type="dxa"/>
            <w:tcBorders>
              <w:top w:val="nil"/>
              <w:left w:val="nil"/>
              <w:bottom w:val="nil"/>
              <w:right w:val="nil"/>
              <w:tl2br w:val="nil"/>
              <w:tr2bl w:val="nil"/>
            </w:tcBorders>
            <w:tcMar>
              <w:left w:w="60" w:type="dxa"/>
              <w:right w:w="60" w:type="dxa"/>
            </w:tcMar>
            <w:vAlign w:val="bottom"/>
          </w:tcPr>
          <w:p>
            <w:pPr>
              <w:pStyle w:val="DMETW36764BIPFAFVSDND"/>
              <w:jc w:val="right"/>
              <w:rPr>
                <w:rFonts w:ascii="Verdana" w:eastAsia="Verdana" w:hAnsi="Verdana" w:cs="Verdana"/>
                <w:i/>
                <w:noProof/>
                <w:color w:val="000000"/>
                <w:sz w:val="18"/>
              </w:rPr>
            </w:pPr>
            <w:r>
              <w:rPr>
                <w:rFonts w:ascii="Verdana" w:hAnsi="Verdana"/>
                <w:i/>
                <w:noProof/>
                <w:color w:val="000000"/>
                <w:sz w:val="18"/>
              </w:rPr>
              <w:t>10 616</w:t>
            </w:r>
          </w:p>
        </w:tc>
      </w:tr>
      <w:tr>
        <w:trPr>
          <w:trHeight w:val="20"/>
        </w:trPr>
        <w:tc>
          <w:tcPr>
            <w:tcW w:w="5432" w:type="dxa"/>
            <w:tcBorders>
              <w:top w:val="nil"/>
              <w:left w:val="nil"/>
              <w:bottom w:val="nil"/>
              <w:right w:val="nil"/>
              <w:tl2br w:val="nil"/>
              <w:tr2bl w:val="nil"/>
            </w:tcBorders>
            <w:tcMar>
              <w:left w:w="60" w:type="dxa"/>
              <w:right w:w="60" w:type="dxa"/>
            </w:tcMar>
            <w:vAlign w:val="center"/>
          </w:tcPr>
          <w:p>
            <w:pPr>
              <w:pStyle w:val="DMETW36764BIPFAFVSDND"/>
              <w:rPr>
                <w:rFonts w:ascii="Verdana" w:eastAsia="Verdana" w:hAnsi="Verdana" w:cs="Verdana"/>
                <w:i/>
                <w:noProof/>
                <w:color w:val="000000"/>
                <w:sz w:val="18"/>
              </w:rPr>
            </w:pPr>
            <w:r>
              <w:rPr>
                <w:rFonts w:ascii="Verdana" w:hAnsi="Verdana"/>
                <w:i/>
                <w:noProof/>
                <w:color w:val="000000"/>
                <w:sz w:val="18"/>
              </w:rPr>
              <w:t>Horizon 2020 et Horizon Europe</w:t>
            </w:r>
          </w:p>
        </w:tc>
        <w:tc>
          <w:tcPr>
            <w:tcW w:w="2214" w:type="dxa"/>
            <w:tcBorders>
              <w:top w:val="nil"/>
              <w:left w:val="nil"/>
              <w:bottom w:val="nil"/>
              <w:right w:val="nil"/>
              <w:tl2br w:val="nil"/>
              <w:tr2bl w:val="nil"/>
            </w:tcBorders>
            <w:tcMar>
              <w:left w:w="60" w:type="dxa"/>
              <w:right w:w="60" w:type="dxa"/>
            </w:tcMar>
            <w:vAlign w:val="bottom"/>
          </w:tcPr>
          <w:p>
            <w:pPr>
              <w:pStyle w:val="DMETW36764BIPFAFVSDND"/>
              <w:jc w:val="right"/>
              <w:rPr>
                <w:rFonts w:ascii="Verdana" w:eastAsia="Verdana" w:hAnsi="Verdana" w:cs="Verdana"/>
                <w:i/>
                <w:noProof/>
                <w:color w:val="000000"/>
                <w:sz w:val="18"/>
              </w:rPr>
            </w:pPr>
            <w:r>
              <w:rPr>
                <w:rFonts w:ascii="Verdana" w:hAnsi="Verdana"/>
                <w:i/>
                <w:noProof/>
                <w:color w:val="000000"/>
                <w:sz w:val="18"/>
              </w:rPr>
              <w:t>4 286</w:t>
            </w:r>
          </w:p>
        </w:tc>
        <w:tc>
          <w:tcPr>
            <w:tcW w:w="2112" w:type="dxa"/>
            <w:tcBorders>
              <w:top w:val="nil"/>
              <w:left w:val="nil"/>
              <w:bottom w:val="nil"/>
              <w:right w:val="nil"/>
              <w:tl2br w:val="nil"/>
              <w:tr2bl w:val="nil"/>
            </w:tcBorders>
            <w:tcMar>
              <w:left w:w="60" w:type="dxa"/>
              <w:right w:w="60" w:type="dxa"/>
            </w:tcMar>
            <w:vAlign w:val="bottom"/>
          </w:tcPr>
          <w:p>
            <w:pPr>
              <w:pStyle w:val="DMETW36764BIPFAFVSDND"/>
              <w:jc w:val="right"/>
              <w:rPr>
                <w:rFonts w:ascii="Verdana" w:eastAsia="Verdana" w:hAnsi="Verdana" w:cs="Verdana"/>
                <w:i/>
                <w:noProof/>
                <w:color w:val="000000"/>
                <w:sz w:val="18"/>
              </w:rPr>
            </w:pPr>
            <w:r>
              <w:rPr>
                <w:rFonts w:ascii="Verdana" w:hAnsi="Verdana"/>
                <w:i/>
                <w:noProof/>
                <w:color w:val="000000"/>
                <w:sz w:val="18"/>
              </w:rPr>
              <w:t>3 968</w:t>
            </w:r>
          </w:p>
        </w:tc>
      </w:tr>
      <w:tr>
        <w:trPr>
          <w:trHeight w:val="20"/>
        </w:trPr>
        <w:tc>
          <w:tcPr>
            <w:tcW w:w="5432" w:type="dxa"/>
            <w:tcBorders>
              <w:top w:val="nil"/>
              <w:left w:val="nil"/>
              <w:bottom w:val="nil"/>
              <w:right w:val="nil"/>
              <w:tl2br w:val="nil"/>
              <w:tr2bl w:val="nil"/>
            </w:tcBorders>
            <w:tcMar>
              <w:left w:w="60" w:type="dxa"/>
              <w:right w:w="60" w:type="dxa"/>
            </w:tcMar>
            <w:vAlign w:val="center"/>
          </w:tcPr>
          <w:p>
            <w:pPr>
              <w:pStyle w:val="DMETW36764BIPFAFVSDND"/>
              <w:rPr>
                <w:rFonts w:ascii="Verdana" w:eastAsia="Verdana" w:hAnsi="Verdana" w:cs="Verdana"/>
                <w:i/>
                <w:noProof/>
                <w:color w:val="000000"/>
                <w:sz w:val="18"/>
              </w:rPr>
            </w:pPr>
            <w:r>
              <w:rPr>
                <w:rFonts w:ascii="Verdana" w:hAnsi="Verdana"/>
                <w:i/>
                <w:noProof/>
                <w:color w:val="000000"/>
                <w:sz w:val="18"/>
              </w:rPr>
              <w:t>Investissements BUFI</w:t>
            </w:r>
          </w:p>
        </w:tc>
        <w:tc>
          <w:tcPr>
            <w:tcW w:w="2214" w:type="dxa"/>
            <w:tcBorders>
              <w:top w:val="nil"/>
              <w:left w:val="nil"/>
              <w:bottom w:val="nil"/>
              <w:right w:val="nil"/>
              <w:tl2br w:val="nil"/>
              <w:tr2bl w:val="nil"/>
            </w:tcBorders>
            <w:tcMar>
              <w:left w:w="60" w:type="dxa"/>
              <w:right w:w="60" w:type="dxa"/>
            </w:tcMar>
            <w:vAlign w:val="bottom"/>
          </w:tcPr>
          <w:p>
            <w:pPr>
              <w:pStyle w:val="DMETW36764BIPFAFVSDND"/>
              <w:jc w:val="right"/>
              <w:rPr>
                <w:rFonts w:ascii="Verdana" w:eastAsia="Verdana" w:hAnsi="Verdana" w:cs="Verdana"/>
                <w:i/>
                <w:noProof/>
                <w:color w:val="000000"/>
                <w:sz w:val="18"/>
              </w:rPr>
            </w:pPr>
            <w:r>
              <w:rPr>
                <w:rFonts w:ascii="Verdana" w:hAnsi="Verdana"/>
                <w:i/>
                <w:noProof/>
                <w:color w:val="000000"/>
                <w:sz w:val="18"/>
              </w:rPr>
              <w:t>2 662</w:t>
            </w:r>
          </w:p>
        </w:tc>
        <w:tc>
          <w:tcPr>
            <w:tcW w:w="2112" w:type="dxa"/>
            <w:tcBorders>
              <w:top w:val="nil"/>
              <w:left w:val="nil"/>
              <w:bottom w:val="nil"/>
              <w:right w:val="nil"/>
              <w:tl2br w:val="nil"/>
              <w:tr2bl w:val="nil"/>
            </w:tcBorders>
            <w:tcMar>
              <w:left w:w="60" w:type="dxa"/>
              <w:right w:w="60" w:type="dxa"/>
            </w:tcMar>
            <w:vAlign w:val="bottom"/>
          </w:tcPr>
          <w:p>
            <w:pPr>
              <w:pStyle w:val="DMETW36764BIPFAFVSDND"/>
              <w:jc w:val="right"/>
              <w:rPr>
                <w:rFonts w:ascii="Verdana" w:eastAsia="Verdana" w:hAnsi="Verdana" w:cs="Verdana"/>
                <w:i/>
                <w:noProof/>
                <w:color w:val="000000"/>
                <w:sz w:val="18"/>
              </w:rPr>
            </w:pPr>
            <w:r>
              <w:rPr>
                <w:rFonts w:ascii="Verdana" w:hAnsi="Verdana"/>
                <w:i/>
                <w:noProof/>
                <w:color w:val="000000"/>
                <w:sz w:val="18"/>
              </w:rPr>
              <w:t>2 141</w:t>
            </w:r>
          </w:p>
        </w:tc>
      </w:tr>
      <w:tr>
        <w:trPr>
          <w:trHeight w:val="20"/>
        </w:trPr>
        <w:tc>
          <w:tcPr>
            <w:tcW w:w="5432" w:type="dxa"/>
            <w:tcBorders>
              <w:top w:val="nil"/>
              <w:left w:val="nil"/>
              <w:bottom w:val="nil"/>
              <w:right w:val="nil"/>
              <w:tl2br w:val="nil"/>
              <w:tr2bl w:val="nil"/>
            </w:tcBorders>
            <w:tcMar>
              <w:left w:w="60" w:type="dxa"/>
              <w:right w:w="60" w:type="dxa"/>
            </w:tcMar>
            <w:vAlign w:val="center"/>
          </w:tcPr>
          <w:p>
            <w:pPr>
              <w:pStyle w:val="DMETW36764BIPFAFVSDND"/>
              <w:rPr>
                <w:rFonts w:ascii="Verdana" w:eastAsia="Verdana" w:hAnsi="Verdana" w:cs="Verdana"/>
                <w:i/>
                <w:noProof/>
                <w:color w:val="000000"/>
                <w:sz w:val="18"/>
              </w:rPr>
            </w:pPr>
            <w:r>
              <w:rPr>
                <w:rFonts w:ascii="Verdana" w:hAnsi="Verdana"/>
                <w:i/>
                <w:noProof/>
                <w:color w:val="000000"/>
                <w:sz w:val="18"/>
              </w:rPr>
              <w:t>CECA en liq.</w:t>
            </w:r>
          </w:p>
        </w:tc>
        <w:tc>
          <w:tcPr>
            <w:tcW w:w="2214" w:type="dxa"/>
            <w:tcBorders>
              <w:top w:val="nil"/>
              <w:left w:val="nil"/>
              <w:bottom w:val="nil"/>
              <w:right w:val="nil"/>
              <w:tl2br w:val="nil"/>
              <w:tr2bl w:val="nil"/>
            </w:tcBorders>
            <w:tcMar>
              <w:left w:w="60" w:type="dxa"/>
              <w:right w:w="60" w:type="dxa"/>
            </w:tcMar>
            <w:vAlign w:val="bottom"/>
          </w:tcPr>
          <w:p>
            <w:pPr>
              <w:pStyle w:val="DMETW36764BIPFAFVSDND"/>
              <w:jc w:val="right"/>
              <w:rPr>
                <w:rFonts w:ascii="Verdana" w:eastAsia="Verdana" w:hAnsi="Verdana" w:cs="Verdana"/>
                <w:i/>
                <w:noProof/>
                <w:color w:val="000000"/>
                <w:sz w:val="18"/>
              </w:rPr>
            </w:pPr>
            <w:r>
              <w:rPr>
                <w:rFonts w:ascii="Verdana" w:hAnsi="Verdana"/>
                <w:i/>
                <w:noProof/>
                <w:color w:val="000000"/>
                <w:sz w:val="18"/>
              </w:rPr>
              <w:t>1 187</w:t>
            </w:r>
          </w:p>
        </w:tc>
        <w:tc>
          <w:tcPr>
            <w:tcW w:w="2112" w:type="dxa"/>
            <w:tcBorders>
              <w:top w:val="nil"/>
              <w:left w:val="nil"/>
              <w:bottom w:val="nil"/>
              <w:right w:val="nil"/>
              <w:tl2br w:val="nil"/>
              <w:tr2bl w:val="nil"/>
            </w:tcBorders>
            <w:tcMar>
              <w:left w:w="60" w:type="dxa"/>
              <w:right w:w="60" w:type="dxa"/>
            </w:tcMar>
            <w:vAlign w:val="bottom"/>
          </w:tcPr>
          <w:p>
            <w:pPr>
              <w:pStyle w:val="DMETW36764BIPFAFVSDND"/>
              <w:jc w:val="right"/>
              <w:rPr>
                <w:rFonts w:ascii="Verdana" w:eastAsia="Verdana" w:hAnsi="Verdana" w:cs="Verdana"/>
                <w:i/>
                <w:noProof/>
                <w:color w:val="000000"/>
                <w:sz w:val="18"/>
              </w:rPr>
            </w:pPr>
            <w:r>
              <w:rPr>
                <w:rFonts w:ascii="Verdana" w:hAnsi="Verdana"/>
                <w:i/>
                <w:noProof/>
                <w:color w:val="000000"/>
                <w:sz w:val="18"/>
              </w:rPr>
              <w:t>1 206</w:t>
            </w:r>
          </w:p>
        </w:tc>
      </w:tr>
      <w:tr>
        <w:trPr>
          <w:trHeight w:val="20"/>
        </w:trPr>
        <w:tc>
          <w:tcPr>
            <w:tcW w:w="5432" w:type="dxa"/>
            <w:tcBorders>
              <w:top w:val="nil"/>
              <w:left w:val="nil"/>
              <w:bottom w:val="nil"/>
              <w:right w:val="nil"/>
              <w:tl2br w:val="nil"/>
              <w:tr2bl w:val="nil"/>
            </w:tcBorders>
            <w:tcMar>
              <w:left w:w="60" w:type="dxa"/>
              <w:right w:w="60" w:type="dxa"/>
            </w:tcMar>
            <w:vAlign w:val="center"/>
          </w:tcPr>
          <w:p>
            <w:pPr>
              <w:pStyle w:val="DMETW36764BIPFAFVSDND"/>
              <w:rPr>
                <w:rFonts w:ascii="Verdana" w:eastAsia="Verdana" w:hAnsi="Verdana" w:cs="Verdana"/>
                <w:i/>
                <w:noProof/>
                <w:color w:val="000000"/>
                <w:sz w:val="18"/>
              </w:rPr>
            </w:pPr>
            <w:r>
              <w:rPr>
                <w:rFonts w:ascii="Verdana" w:hAnsi="Verdana"/>
                <w:i/>
                <w:noProof/>
                <w:color w:val="000000"/>
                <w:sz w:val="18"/>
              </w:rPr>
              <w:t>Mécanisme pour l’interconnexion en Europe</w:t>
            </w:r>
          </w:p>
        </w:tc>
        <w:tc>
          <w:tcPr>
            <w:tcW w:w="2214" w:type="dxa"/>
            <w:tcBorders>
              <w:top w:val="nil"/>
              <w:left w:val="nil"/>
              <w:bottom w:val="nil"/>
              <w:right w:val="nil"/>
              <w:tl2br w:val="nil"/>
              <w:tr2bl w:val="nil"/>
            </w:tcBorders>
            <w:tcMar>
              <w:left w:w="60" w:type="dxa"/>
              <w:right w:w="60" w:type="dxa"/>
            </w:tcMar>
            <w:vAlign w:val="bottom"/>
          </w:tcPr>
          <w:p>
            <w:pPr>
              <w:pStyle w:val="DMETW36764BIPFAFVSDND"/>
              <w:jc w:val="right"/>
              <w:rPr>
                <w:rFonts w:ascii="Verdana" w:eastAsia="Verdana" w:hAnsi="Verdana" w:cs="Verdana"/>
                <w:i/>
                <w:noProof/>
                <w:color w:val="000000"/>
                <w:sz w:val="18"/>
              </w:rPr>
            </w:pPr>
            <w:r>
              <w:rPr>
                <w:rFonts w:ascii="Verdana" w:hAnsi="Verdana"/>
                <w:i/>
                <w:noProof/>
                <w:color w:val="000000"/>
                <w:sz w:val="18"/>
              </w:rPr>
              <w:t xml:space="preserve"> 683</w:t>
            </w:r>
          </w:p>
        </w:tc>
        <w:tc>
          <w:tcPr>
            <w:tcW w:w="2112" w:type="dxa"/>
            <w:tcBorders>
              <w:top w:val="nil"/>
              <w:left w:val="nil"/>
              <w:bottom w:val="nil"/>
              <w:right w:val="nil"/>
              <w:tl2br w:val="nil"/>
              <w:tr2bl w:val="nil"/>
            </w:tcBorders>
            <w:tcMar>
              <w:left w:w="60" w:type="dxa"/>
              <w:right w:w="60" w:type="dxa"/>
            </w:tcMar>
            <w:vAlign w:val="bottom"/>
          </w:tcPr>
          <w:p>
            <w:pPr>
              <w:pStyle w:val="DMETW36764BIPFAFVSDND"/>
              <w:jc w:val="right"/>
              <w:rPr>
                <w:rFonts w:ascii="Verdana" w:eastAsia="Verdana" w:hAnsi="Verdana" w:cs="Verdana"/>
                <w:i/>
                <w:noProof/>
                <w:color w:val="000000"/>
                <w:sz w:val="18"/>
              </w:rPr>
            </w:pPr>
            <w:r>
              <w:rPr>
                <w:rFonts w:ascii="Verdana" w:hAnsi="Verdana"/>
                <w:i/>
                <w:noProof/>
                <w:color w:val="000000"/>
                <w:sz w:val="18"/>
              </w:rPr>
              <w:t xml:space="preserve"> 716</w:t>
            </w:r>
          </w:p>
        </w:tc>
      </w:tr>
      <w:tr>
        <w:trPr>
          <w:trHeight w:val="20"/>
        </w:trPr>
        <w:tc>
          <w:tcPr>
            <w:tcW w:w="5432" w:type="dxa"/>
            <w:tcBorders>
              <w:top w:val="nil"/>
              <w:left w:val="nil"/>
              <w:bottom w:val="nil"/>
              <w:right w:val="nil"/>
              <w:tl2br w:val="nil"/>
              <w:tr2bl w:val="nil"/>
            </w:tcBorders>
            <w:tcMar>
              <w:left w:w="60" w:type="dxa"/>
              <w:right w:w="60" w:type="dxa"/>
            </w:tcMar>
            <w:vAlign w:val="center"/>
          </w:tcPr>
          <w:p>
            <w:pPr>
              <w:pStyle w:val="DMETW36764BIPFAFVSDND"/>
              <w:rPr>
                <w:rFonts w:ascii="Verdana" w:eastAsia="Verdana" w:hAnsi="Verdana" w:cs="Verdana"/>
                <w:i/>
                <w:noProof/>
                <w:color w:val="000000"/>
                <w:sz w:val="18"/>
              </w:rPr>
            </w:pPr>
            <w:r>
              <w:rPr>
                <w:rFonts w:ascii="Verdana" w:hAnsi="Verdana"/>
                <w:i/>
                <w:noProof/>
                <w:color w:val="000000"/>
                <w:sz w:val="18"/>
              </w:rPr>
              <w:t>Mécanismes de fonds propres de l’UE pour les PME</w:t>
            </w:r>
          </w:p>
        </w:tc>
        <w:tc>
          <w:tcPr>
            <w:tcW w:w="2214" w:type="dxa"/>
            <w:tcBorders>
              <w:top w:val="nil"/>
              <w:left w:val="nil"/>
              <w:bottom w:val="nil"/>
              <w:right w:val="nil"/>
              <w:tl2br w:val="nil"/>
              <w:tr2bl w:val="nil"/>
            </w:tcBorders>
            <w:tcMar>
              <w:left w:w="60" w:type="dxa"/>
              <w:right w:w="60" w:type="dxa"/>
            </w:tcMar>
            <w:vAlign w:val="bottom"/>
          </w:tcPr>
          <w:p>
            <w:pPr>
              <w:pStyle w:val="DMETW36764BIPFAFVSDND"/>
              <w:jc w:val="right"/>
              <w:rPr>
                <w:rFonts w:ascii="Verdana" w:eastAsia="Verdana" w:hAnsi="Verdana" w:cs="Verdana"/>
                <w:i/>
                <w:noProof/>
                <w:color w:val="000000"/>
                <w:sz w:val="18"/>
              </w:rPr>
            </w:pPr>
            <w:r>
              <w:rPr>
                <w:rFonts w:ascii="Verdana" w:hAnsi="Verdana"/>
                <w:i/>
                <w:noProof/>
                <w:color w:val="000000"/>
                <w:sz w:val="18"/>
              </w:rPr>
              <w:t xml:space="preserve"> 433</w:t>
            </w:r>
          </w:p>
        </w:tc>
        <w:tc>
          <w:tcPr>
            <w:tcW w:w="2112" w:type="dxa"/>
            <w:tcBorders>
              <w:top w:val="nil"/>
              <w:left w:val="nil"/>
              <w:bottom w:val="nil"/>
              <w:right w:val="nil"/>
              <w:tl2br w:val="nil"/>
              <w:tr2bl w:val="nil"/>
            </w:tcBorders>
            <w:tcMar>
              <w:left w:w="60" w:type="dxa"/>
              <w:right w:w="60" w:type="dxa"/>
            </w:tcMar>
            <w:vAlign w:val="bottom"/>
          </w:tcPr>
          <w:p>
            <w:pPr>
              <w:pStyle w:val="DMETW36764BIPFAFVSDND"/>
              <w:jc w:val="right"/>
              <w:rPr>
                <w:rFonts w:ascii="Verdana" w:eastAsia="Verdana" w:hAnsi="Verdana" w:cs="Verdana"/>
                <w:i/>
                <w:noProof/>
                <w:color w:val="000000"/>
                <w:sz w:val="18"/>
              </w:rPr>
            </w:pPr>
            <w:r>
              <w:rPr>
                <w:rFonts w:ascii="Verdana" w:hAnsi="Verdana"/>
                <w:i/>
                <w:noProof/>
                <w:color w:val="000000"/>
                <w:sz w:val="18"/>
              </w:rPr>
              <w:t xml:space="preserve"> 453</w:t>
            </w:r>
          </w:p>
        </w:tc>
      </w:tr>
      <w:tr>
        <w:trPr>
          <w:trHeight w:val="20"/>
        </w:trPr>
        <w:tc>
          <w:tcPr>
            <w:tcW w:w="5432" w:type="dxa"/>
            <w:tcBorders>
              <w:top w:val="nil"/>
              <w:left w:val="nil"/>
              <w:bottom w:val="nil"/>
              <w:right w:val="nil"/>
              <w:tl2br w:val="nil"/>
              <w:tr2bl w:val="nil"/>
            </w:tcBorders>
            <w:tcMar>
              <w:left w:w="60" w:type="dxa"/>
              <w:right w:w="60" w:type="dxa"/>
            </w:tcMar>
            <w:vAlign w:val="center"/>
          </w:tcPr>
          <w:p>
            <w:pPr>
              <w:pStyle w:val="DMETW36764BIPFAFVSDND"/>
              <w:rPr>
                <w:rFonts w:ascii="Verdana" w:eastAsia="Verdana" w:hAnsi="Verdana" w:cs="Verdana"/>
                <w:i/>
                <w:noProof/>
                <w:color w:val="000000"/>
                <w:sz w:val="18"/>
              </w:rPr>
            </w:pPr>
            <w:r>
              <w:rPr>
                <w:rFonts w:ascii="Verdana" w:hAnsi="Verdana"/>
                <w:i/>
                <w:noProof/>
                <w:color w:val="000000"/>
                <w:sz w:val="18"/>
              </w:rPr>
              <w:t>BERD</w:t>
            </w:r>
          </w:p>
        </w:tc>
        <w:tc>
          <w:tcPr>
            <w:tcW w:w="2214" w:type="dxa"/>
            <w:tcBorders>
              <w:top w:val="nil"/>
              <w:left w:val="nil"/>
              <w:bottom w:val="nil"/>
              <w:right w:val="nil"/>
              <w:tl2br w:val="nil"/>
              <w:tr2bl w:val="nil"/>
            </w:tcBorders>
            <w:tcMar>
              <w:left w:w="60" w:type="dxa"/>
              <w:right w:w="60" w:type="dxa"/>
            </w:tcMar>
            <w:vAlign w:val="bottom"/>
          </w:tcPr>
          <w:p>
            <w:pPr>
              <w:pStyle w:val="DMETW36764BIPFAFVSDND"/>
              <w:jc w:val="right"/>
              <w:rPr>
                <w:rFonts w:ascii="Verdana" w:eastAsia="Verdana" w:hAnsi="Verdana" w:cs="Verdana"/>
                <w:i/>
                <w:noProof/>
                <w:color w:val="000000"/>
                <w:sz w:val="18"/>
              </w:rPr>
            </w:pPr>
            <w:r>
              <w:rPr>
                <w:rFonts w:ascii="Verdana" w:hAnsi="Verdana"/>
                <w:i/>
                <w:noProof/>
                <w:color w:val="000000"/>
                <w:sz w:val="18"/>
              </w:rPr>
              <w:t xml:space="preserve"> 309</w:t>
            </w:r>
          </w:p>
        </w:tc>
        <w:tc>
          <w:tcPr>
            <w:tcW w:w="2112" w:type="dxa"/>
            <w:tcBorders>
              <w:top w:val="nil"/>
              <w:left w:val="nil"/>
              <w:bottom w:val="nil"/>
              <w:right w:val="nil"/>
              <w:tl2br w:val="nil"/>
              <w:tr2bl w:val="nil"/>
            </w:tcBorders>
            <w:tcMar>
              <w:left w:w="60" w:type="dxa"/>
              <w:right w:w="60" w:type="dxa"/>
            </w:tcMar>
            <w:vAlign w:val="bottom"/>
          </w:tcPr>
          <w:p>
            <w:pPr>
              <w:pStyle w:val="DMETW36764BIPFAFVSDND"/>
              <w:jc w:val="right"/>
              <w:rPr>
                <w:rFonts w:ascii="Verdana" w:eastAsia="Verdana" w:hAnsi="Verdana" w:cs="Verdana"/>
                <w:i/>
                <w:noProof/>
                <w:color w:val="000000"/>
                <w:sz w:val="18"/>
              </w:rPr>
            </w:pPr>
            <w:r>
              <w:rPr>
                <w:rFonts w:ascii="Verdana" w:hAnsi="Verdana"/>
                <w:i/>
                <w:noProof/>
                <w:color w:val="000000"/>
                <w:sz w:val="18"/>
              </w:rPr>
              <w:t xml:space="preserve"> 188</w:t>
            </w:r>
          </w:p>
        </w:tc>
      </w:tr>
      <w:tr>
        <w:trPr>
          <w:trHeight w:val="20"/>
        </w:trPr>
        <w:tc>
          <w:tcPr>
            <w:tcW w:w="5432" w:type="dxa"/>
            <w:tcBorders>
              <w:top w:val="nil"/>
              <w:left w:val="nil"/>
              <w:bottom w:val="nil"/>
              <w:right w:val="nil"/>
              <w:tl2br w:val="nil"/>
              <w:tr2bl w:val="nil"/>
            </w:tcBorders>
            <w:tcMar>
              <w:left w:w="60" w:type="dxa"/>
              <w:right w:w="60" w:type="dxa"/>
            </w:tcMar>
            <w:vAlign w:val="center"/>
          </w:tcPr>
          <w:p>
            <w:pPr>
              <w:pStyle w:val="DMETW36764BIPFAFVSDND"/>
              <w:rPr>
                <w:rFonts w:ascii="Verdana" w:eastAsia="Verdana" w:hAnsi="Verdana" w:cs="Verdana"/>
                <w:i/>
                <w:noProof/>
                <w:color w:val="000000"/>
                <w:sz w:val="18"/>
              </w:rPr>
            </w:pPr>
            <w:r>
              <w:rPr>
                <w:rFonts w:ascii="Verdana" w:hAnsi="Verdana"/>
                <w:i/>
                <w:noProof/>
                <w:color w:val="000000"/>
                <w:sz w:val="18"/>
              </w:rPr>
              <w:t>Fonds européen pour l’Europe du Sud-Est</w:t>
            </w:r>
          </w:p>
        </w:tc>
        <w:tc>
          <w:tcPr>
            <w:tcW w:w="2214" w:type="dxa"/>
            <w:tcBorders>
              <w:top w:val="nil"/>
              <w:left w:val="nil"/>
              <w:bottom w:val="nil"/>
              <w:right w:val="nil"/>
              <w:tl2br w:val="nil"/>
              <w:tr2bl w:val="nil"/>
            </w:tcBorders>
            <w:tcMar>
              <w:left w:w="60" w:type="dxa"/>
              <w:right w:w="60" w:type="dxa"/>
            </w:tcMar>
            <w:vAlign w:val="bottom"/>
          </w:tcPr>
          <w:p>
            <w:pPr>
              <w:pStyle w:val="DMETW36764BIPFAFVSDND"/>
              <w:jc w:val="right"/>
              <w:rPr>
                <w:rFonts w:ascii="Verdana" w:eastAsia="Verdana" w:hAnsi="Verdana" w:cs="Verdana"/>
                <w:i/>
                <w:noProof/>
                <w:color w:val="000000"/>
                <w:sz w:val="18"/>
              </w:rPr>
            </w:pPr>
            <w:r>
              <w:rPr>
                <w:rFonts w:ascii="Verdana" w:hAnsi="Verdana"/>
                <w:i/>
                <w:noProof/>
                <w:color w:val="000000"/>
                <w:sz w:val="18"/>
              </w:rPr>
              <w:t xml:space="preserve"> 250</w:t>
            </w:r>
          </w:p>
        </w:tc>
        <w:tc>
          <w:tcPr>
            <w:tcW w:w="2112" w:type="dxa"/>
            <w:tcBorders>
              <w:top w:val="nil"/>
              <w:left w:val="nil"/>
              <w:bottom w:val="nil"/>
              <w:right w:val="nil"/>
              <w:tl2br w:val="nil"/>
              <w:tr2bl w:val="nil"/>
            </w:tcBorders>
            <w:tcMar>
              <w:left w:w="60" w:type="dxa"/>
              <w:right w:w="60" w:type="dxa"/>
            </w:tcMar>
            <w:vAlign w:val="bottom"/>
          </w:tcPr>
          <w:p>
            <w:pPr>
              <w:pStyle w:val="DMETW36764BIPFAFVSDND"/>
              <w:jc w:val="right"/>
              <w:rPr>
                <w:rFonts w:ascii="Verdana" w:eastAsia="Verdana" w:hAnsi="Verdana" w:cs="Verdana"/>
                <w:i/>
                <w:noProof/>
                <w:color w:val="000000"/>
                <w:sz w:val="18"/>
              </w:rPr>
            </w:pPr>
            <w:r>
              <w:rPr>
                <w:rFonts w:ascii="Verdana" w:hAnsi="Verdana"/>
                <w:i/>
                <w:noProof/>
                <w:color w:val="000000"/>
                <w:sz w:val="18"/>
              </w:rPr>
              <w:t xml:space="preserve"> 243</w:t>
            </w:r>
          </w:p>
        </w:tc>
      </w:tr>
      <w:tr>
        <w:trPr>
          <w:trHeight w:val="20"/>
        </w:trPr>
        <w:tc>
          <w:tcPr>
            <w:tcW w:w="5432" w:type="dxa"/>
            <w:tcBorders>
              <w:top w:val="nil"/>
              <w:left w:val="nil"/>
              <w:bottom w:val="nil"/>
              <w:right w:val="nil"/>
              <w:tl2br w:val="nil"/>
              <w:tr2bl w:val="nil"/>
            </w:tcBorders>
            <w:tcMar>
              <w:left w:w="60" w:type="dxa"/>
              <w:right w:w="60" w:type="dxa"/>
            </w:tcMar>
            <w:vAlign w:val="center"/>
          </w:tcPr>
          <w:p>
            <w:pPr>
              <w:pStyle w:val="DMETW36764BIPFAFVSDND"/>
              <w:rPr>
                <w:rFonts w:ascii="Verdana" w:eastAsia="Verdana" w:hAnsi="Verdana" w:cs="Verdana"/>
                <w:i/>
                <w:noProof/>
                <w:color w:val="000000"/>
                <w:sz w:val="18"/>
              </w:rPr>
            </w:pPr>
            <w:r>
              <w:rPr>
                <w:rFonts w:ascii="Verdana" w:hAnsi="Verdana"/>
                <w:i/>
                <w:noProof/>
                <w:color w:val="000000"/>
                <w:sz w:val="18"/>
              </w:rPr>
              <w:t>Régime de retraite des agents locaux du SEAE</w:t>
            </w:r>
          </w:p>
        </w:tc>
        <w:tc>
          <w:tcPr>
            <w:tcW w:w="2214" w:type="dxa"/>
            <w:tcBorders>
              <w:top w:val="nil"/>
              <w:left w:val="nil"/>
              <w:bottom w:val="nil"/>
              <w:right w:val="nil"/>
              <w:tl2br w:val="nil"/>
              <w:tr2bl w:val="nil"/>
            </w:tcBorders>
            <w:tcMar>
              <w:left w:w="60" w:type="dxa"/>
              <w:right w:w="60" w:type="dxa"/>
            </w:tcMar>
            <w:vAlign w:val="bottom"/>
          </w:tcPr>
          <w:p>
            <w:pPr>
              <w:pStyle w:val="DMETW36764BIPFAFVSDND"/>
              <w:jc w:val="right"/>
              <w:rPr>
                <w:rFonts w:ascii="Verdana" w:eastAsia="Verdana" w:hAnsi="Verdana" w:cs="Verdana"/>
                <w:i/>
                <w:noProof/>
                <w:color w:val="000000"/>
                <w:sz w:val="18"/>
              </w:rPr>
            </w:pPr>
            <w:r>
              <w:rPr>
                <w:rFonts w:ascii="Verdana" w:hAnsi="Verdana"/>
                <w:i/>
                <w:noProof/>
                <w:color w:val="000000"/>
                <w:sz w:val="18"/>
              </w:rPr>
              <w:t xml:space="preserve"> 152</w:t>
            </w:r>
          </w:p>
        </w:tc>
        <w:tc>
          <w:tcPr>
            <w:tcW w:w="2112" w:type="dxa"/>
            <w:tcBorders>
              <w:top w:val="nil"/>
              <w:left w:val="nil"/>
              <w:bottom w:val="nil"/>
              <w:right w:val="nil"/>
              <w:tl2br w:val="nil"/>
              <w:tr2bl w:val="nil"/>
            </w:tcBorders>
            <w:tcMar>
              <w:left w:w="60" w:type="dxa"/>
              <w:right w:w="60" w:type="dxa"/>
            </w:tcMar>
            <w:vAlign w:val="bottom"/>
          </w:tcPr>
          <w:p>
            <w:pPr>
              <w:pStyle w:val="DMETW36764BIPFAFVSDND"/>
              <w:jc w:val="right"/>
              <w:rPr>
                <w:rFonts w:ascii="Verdana" w:eastAsia="Verdana" w:hAnsi="Verdana" w:cs="Verdana"/>
                <w:i/>
                <w:noProof/>
                <w:color w:val="000000"/>
                <w:sz w:val="18"/>
              </w:rPr>
            </w:pPr>
            <w:r>
              <w:rPr>
                <w:rFonts w:ascii="Verdana" w:hAnsi="Verdana"/>
                <w:i/>
                <w:noProof/>
                <w:color w:val="000000"/>
                <w:sz w:val="18"/>
              </w:rPr>
              <w:t xml:space="preserve"> 128</w:t>
            </w:r>
          </w:p>
        </w:tc>
      </w:tr>
      <w:tr>
        <w:trPr>
          <w:trHeight w:val="20"/>
        </w:trPr>
        <w:tc>
          <w:tcPr>
            <w:tcW w:w="5432" w:type="dxa"/>
            <w:tcBorders>
              <w:top w:val="nil"/>
              <w:left w:val="nil"/>
              <w:bottom w:val="nil"/>
              <w:right w:val="nil"/>
              <w:tl2br w:val="nil"/>
              <w:tr2bl w:val="nil"/>
            </w:tcBorders>
            <w:tcMar>
              <w:left w:w="60" w:type="dxa"/>
              <w:right w:w="60" w:type="dxa"/>
            </w:tcMar>
            <w:vAlign w:val="center"/>
          </w:tcPr>
          <w:p>
            <w:pPr>
              <w:pStyle w:val="DMETW36764BIPFAFVSDND"/>
              <w:rPr>
                <w:rFonts w:ascii="Verdana" w:eastAsia="Verdana" w:hAnsi="Verdana" w:cs="Verdana"/>
                <w:i/>
                <w:noProof/>
                <w:color w:val="000000"/>
                <w:sz w:val="18"/>
              </w:rPr>
            </w:pPr>
            <w:r>
              <w:rPr>
                <w:rFonts w:ascii="Verdana" w:hAnsi="Verdana"/>
                <w:i/>
                <w:noProof/>
                <w:color w:val="000000"/>
                <w:sz w:val="18"/>
              </w:rPr>
              <w:t>Fonds pour une croissance verte</w:t>
            </w:r>
          </w:p>
        </w:tc>
        <w:tc>
          <w:tcPr>
            <w:tcW w:w="2214" w:type="dxa"/>
            <w:tcBorders>
              <w:top w:val="nil"/>
              <w:left w:val="nil"/>
              <w:bottom w:val="nil"/>
              <w:right w:val="nil"/>
              <w:tl2br w:val="nil"/>
              <w:tr2bl w:val="nil"/>
            </w:tcBorders>
            <w:tcMar>
              <w:left w:w="60" w:type="dxa"/>
              <w:right w:w="60" w:type="dxa"/>
            </w:tcMar>
            <w:vAlign w:val="bottom"/>
          </w:tcPr>
          <w:p>
            <w:pPr>
              <w:pStyle w:val="DMETW36764BIPFAFVSDND"/>
              <w:jc w:val="right"/>
              <w:rPr>
                <w:rFonts w:ascii="Verdana" w:eastAsia="Verdana" w:hAnsi="Verdana" w:cs="Verdana"/>
                <w:i/>
                <w:noProof/>
                <w:color w:val="000000"/>
                <w:sz w:val="18"/>
              </w:rPr>
            </w:pPr>
            <w:r>
              <w:rPr>
                <w:rFonts w:ascii="Verdana" w:hAnsi="Verdana"/>
                <w:i/>
                <w:noProof/>
                <w:color w:val="000000"/>
                <w:sz w:val="18"/>
              </w:rPr>
              <w:t xml:space="preserve"> 152</w:t>
            </w:r>
          </w:p>
        </w:tc>
        <w:tc>
          <w:tcPr>
            <w:tcW w:w="2112" w:type="dxa"/>
            <w:tcBorders>
              <w:top w:val="nil"/>
              <w:left w:val="nil"/>
              <w:bottom w:val="nil"/>
              <w:right w:val="nil"/>
              <w:tl2br w:val="nil"/>
              <w:tr2bl w:val="nil"/>
            </w:tcBorders>
            <w:tcMar>
              <w:left w:w="60" w:type="dxa"/>
              <w:right w:w="60" w:type="dxa"/>
            </w:tcMar>
            <w:vAlign w:val="bottom"/>
          </w:tcPr>
          <w:p>
            <w:pPr>
              <w:pStyle w:val="DMETW36764BIPFAFVSDND"/>
              <w:jc w:val="right"/>
              <w:rPr>
                <w:rFonts w:ascii="Verdana" w:eastAsia="Verdana" w:hAnsi="Verdana" w:cs="Verdana"/>
                <w:i/>
                <w:noProof/>
                <w:color w:val="000000"/>
                <w:sz w:val="18"/>
              </w:rPr>
            </w:pPr>
            <w:r>
              <w:rPr>
                <w:rFonts w:ascii="Verdana" w:hAnsi="Verdana"/>
                <w:i/>
                <w:noProof/>
                <w:color w:val="000000"/>
                <w:sz w:val="18"/>
              </w:rPr>
              <w:t xml:space="preserve"> 128</w:t>
            </w:r>
          </w:p>
        </w:tc>
      </w:tr>
      <w:tr>
        <w:trPr>
          <w:trHeight w:val="20"/>
        </w:trPr>
        <w:tc>
          <w:tcPr>
            <w:tcW w:w="5432" w:type="dxa"/>
            <w:tcBorders>
              <w:top w:val="nil"/>
              <w:left w:val="nil"/>
              <w:bottom w:val="nil"/>
              <w:right w:val="nil"/>
              <w:tl2br w:val="nil"/>
              <w:tr2bl w:val="nil"/>
            </w:tcBorders>
            <w:tcMar>
              <w:left w:w="60" w:type="dxa"/>
              <w:right w:w="60" w:type="dxa"/>
            </w:tcMar>
            <w:vAlign w:val="center"/>
          </w:tcPr>
          <w:p>
            <w:pPr>
              <w:pStyle w:val="DMETW36764BIPFAFVSDND"/>
              <w:rPr>
                <w:rFonts w:ascii="Verdana" w:eastAsia="Verdana" w:hAnsi="Verdana" w:cs="Verdana"/>
                <w:i/>
                <w:noProof/>
                <w:color w:val="000000"/>
                <w:sz w:val="18"/>
              </w:rPr>
            </w:pPr>
            <w:r>
              <w:rPr>
                <w:rFonts w:ascii="Verdana" w:hAnsi="Verdana"/>
                <w:i/>
                <w:noProof/>
                <w:color w:val="000000"/>
                <w:sz w:val="18"/>
              </w:rPr>
              <w:t>Mécanisme de financement en matière d’efficacité énergétique</w:t>
            </w:r>
          </w:p>
        </w:tc>
        <w:tc>
          <w:tcPr>
            <w:tcW w:w="2214" w:type="dxa"/>
            <w:tcBorders>
              <w:top w:val="nil"/>
              <w:left w:val="nil"/>
              <w:bottom w:val="nil"/>
              <w:right w:val="nil"/>
              <w:tl2br w:val="nil"/>
              <w:tr2bl w:val="nil"/>
            </w:tcBorders>
            <w:tcMar>
              <w:left w:w="60" w:type="dxa"/>
              <w:right w:w="60" w:type="dxa"/>
            </w:tcMar>
            <w:vAlign w:val="bottom"/>
          </w:tcPr>
          <w:p>
            <w:pPr>
              <w:pStyle w:val="DMETW36764BIPFAFVSDND"/>
              <w:jc w:val="right"/>
              <w:rPr>
                <w:rFonts w:ascii="Verdana" w:eastAsia="Verdana" w:hAnsi="Verdana" w:cs="Verdana"/>
                <w:i/>
                <w:noProof/>
                <w:color w:val="000000"/>
                <w:sz w:val="18"/>
              </w:rPr>
            </w:pPr>
            <w:r>
              <w:rPr>
                <w:rFonts w:ascii="Verdana" w:hAnsi="Verdana"/>
                <w:i/>
                <w:noProof/>
                <w:color w:val="000000"/>
                <w:sz w:val="18"/>
              </w:rPr>
              <w:t xml:space="preserve"> 104</w:t>
            </w:r>
          </w:p>
        </w:tc>
        <w:tc>
          <w:tcPr>
            <w:tcW w:w="2112" w:type="dxa"/>
            <w:tcBorders>
              <w:top w:val="nil"/>
              <w:left w:val="nil"/>
              <w:bottom w:val="nil"/>
              <w:right w:val="nil"/>
              <w:tl2br w:val="nil"/>
              <w:tr2bl w:val="nil"/>
            </w:tcBorders>
            <w:tcMar>
              <w:left w:w="60" w:type="dxa"/>
              <w:right w:w="60" w:type="dxa"/>
            </w:tcMar>
            <w:vAlign w:val="bottom"/>
          </w:tcPr>
          <w:p>
            <w:pPr>
              <w:pStyle w:val="DMETW36764BIPFAFVSDND"/>
              <w:jc w:val="right"/>
              <w:rPr>
                <w:rFonts w:ascii="Verdana" w:eastAsia="Verdana" w:hAnsi="Verdana" w:cs="Verdana"/>
                <w:i/>
                <w:noProof/>
                <w:color w:val="000000"/>
                <w:sz w:val="18"/>
              </w:rPr>
            </w:pPr>
            <w:r>
              <w:rPr>
                <w:rFonts w:ascii="Verdana" w:hAnsi="Verdana"/>
                <w:i/>
                <w:noProof/>
                <w:color w:val="000000"/>
                <w:sz w:val="18"/>
              </w:rPr>
              <w:t xml:space="preserve"> 103</w:t>
            </w:r>
          </w:p>
        </w:tc>
      </w:tr>
      <w:tr>
        <w:trPr>
          <w:trHeight w:val="20"/>
        </w:trPr>
        <w:tc>
          <w:tcPr>
            <w:tcW w:w="5432" w:type="dxa"/>
            <w:tcBorders>
              <w:top w:val="nil"/>
              <w:left w:val="nil"/>
              <w:bottom w:val="single" w:sz="4" w:space="0" w:color="016794"/>
              <w:right w:val="nil"/>
              <w:tl2br w:val="nil"/>
              <w:tr2bl w:val="nil"/>
            </w:tcBorders>
            <w:tcMar>
              <w:left w:w="60" w:type="dxa"/>
              <w:right w:w="60" w:type="dxa"/>
            </w:tcMar>
            <w:vAlign w:val="center"/>
          </w:tcPr>
          <w:p>
            <w:pPr>
              <w:pStyle w:val="DMETW36764BIPFAFVSDND"/>
              <w:rPr>
                <w:rFonts w:ascii="Verdana" w:eastAsia="Verdana" w:hAnsi="Verdana" w:cs="Verdana"/>
                <w:i/>
                <w:noProof/>
                <w:color w:val="000000"/>
                <w:sz w:val="18"/>
              </w:rPr>
            </w:pPr>
            <w:r>
              <w:rPr>
                <w:rFonts w:ascii="Verdana" w:hAnsi="Verdana"/>
                <w:i/>
                <w:noProof/>
                <w:color w:val="000000"/>
                <w:sz w:val="18"/>
              </w:rPr>
              <w:t>Autres</w:t>
            </w:r>
          </w:p>
        </w:tc>
        <w:tc>
          <w:tcPr>
            <w:tcW w:w="2214" w:type="dxa"/>
            <w:tcBorders>
              <w:top w:val="nil"/>
              <w:left w:val="nil"/>
              <w:bottom w:val="single" w:sz="4" w:space="0" w:color="016794"/>
              <w:right w:val="nil"/>
              <w:tl2br w:val="nil"/>
              <w:tr2bl w:val="nil"/>
            </w:tcBorders>
            <w:tcMar>
              <w:left w:w="60" w:type="dxa"/>
              <w:right w:w="60" w:type="dxa"/>
            </w:tcMar>
            <w:vAlign w:val="bottom"/>
          </w:tcPr>
          <w:p>
            <w:pPr>
              <w:pStyle w:val="DMETW36764BIPFAFVSDND"/>
              <w:jc w:val="right"/>
              <w:rPr>
                <w:rFonts w:ascii="Verdana" w:eastAsia="Verdana" w:hAnsi="Verdana" w:cs="Verdana"/>
                <w:i/>
                <w:noProof/>
                <w:color w:val="000000"/>
                <w:sz w:val="18"/>
              </w:rPr>
            </w:pPr>
            <w:r>
              <w:rPr>
                <w:rFonts w:ascii="Verdana" w:hAnsi="Verdana"/>
                <w:i/>
                <w:noProof/>
                <w:color w:val="000000"/>
                <w:sz w:val="18"/>
              </w:rPr>
              <w:t xml:space="preserve"> 581</w:t>
            </w:r>
          </w:p>
        </w:tc>
        <w:tc>
          <w:tcPr>
            <w:tcW w:w="2112" w:type="dxa"/>
            <w:tcBorders>
              <w:top w:val="nil"/>
              <w:left w:val="nil"/>
              <w:bottom w:val="single" w:sz="4" w:space="0" w:color="016794"/>
              <w:right w:val="nil"/>
              <w:tl2br w:val="nil"/>
              <w:tr2bl w:val="nil"/>
            </w:tcBorders>
            <w:tcMar>
              <w:left w:w="60" w:type="dxa"/>
              <w:right w:w="60" w:type="dxa"/>
            </w:tcMar>
            <w:vAlign w:val="bottom"/>
          </w:tcPr>
          <w:p>
            <w:pPr>
              <w:pStyle w:val="DMETW36764BIPFAFVSDND"/>
              <w:jc w:val="right"/>
              <w:rPr>
                <w:rFonts w:ascii="Verdana" w:eastAsia="Verdana" w:hAnsi="Verdana" w:cs="Verdana"/>
                <w:i/>
                <w:noProof/>
                <w:color w:val="000000"/>
                <w:sz w:val="18"/>
              </w:rPr>
            </w:pPr>
            <w:r>
              <w:rPr>
                <w:rFonts w:ascii="Verdana" w:hAnsi="Verdana"/>
                <w:i/>
                <w:noProof/>
                <w:color w:val="000000"/>
                <w:sz w:val="18"/>
              </w:rPr>
              <w:t xml:space="preserve"> 586</w:t>
            </w:r>
          </w:p>
        </w:tc>
      </w:tr>
      <w:tr>
        <w:trPr>
          <w:trHeight w:val="20"/>
        </w:trPr>
        <w:tc>
          <w:tcPr>
            <w:tcW w:w="543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4BIPFAFVSDND"/>
              <w:rPr>
                <w:rFonts w:ascii="Verdana" w:eastAsia="Verdana" w:hAnsi="Verdana" w:cs="Verdana"/>
                <w:b/>
                <w:noProof/>
                <w:color w:val="000000"/>
                <w:sz w:val="18"/>
              </w:rPr>
            </w:pPr>
            <w:r>
              <w:rPr>
                <w:rFonts w:ascii="Verdana" w:hAnsi="Verdana"/>
                <w:b/>
                <w:noProof/>
                <w:color w:val="000000"/>
                <w:sz w:val="18"/>
              </w:rPr>
              <w:t>Total</w:t>
            </w:r>
          </w:p>
        </w:tc>
        <w:tc>
          <w:tcPr>
            <w:tcW w:w="2214"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64BIPFAFVSDND"/>
              <w:jc w:val="right"/>
              <w:rPr>
                <w:rFonts w:ascii="Verdana" w:eastAsia="Verdana" w:hAnsi="Verdana" w:cs="Verdana"/>
                <w:b/>
                <w:noProof/>
                <w:color w:val="000000"/>
                <w:sz w:val="18"/>
              </w:rPr>
            </w:pPr>
            <w:r>
              <w:rPr>
                <w:rFonts w:ascii="Verdana" w:hAnsi="Verdana"/>
                <w:b/>
                <w:noProof/>
                <w:color w:val="000000"/>
                <w:sz w:val="18"/>
              </w:rPr>
              <w:t>51 080</w:t>
            </w:r>
          </w:p>
        </w:tc>
        <w:tc>
          <w:tcPr>
            <w:tcW w:w="2112"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64BIPFAFVSDND"/>
              <w:jc w:val="right"/>
              <w:rPr>
                <w:rFonts w:ascii="Verdana" w:eastAsia="Verdana" w:hAnsi="Verdana" w:cs="Verdana"/>
                <w:b/>
                <w:noProof/>
                <w:color w:val="000000"/>
                <w:sz w:val="18"/>
              </w:rPr>
            </w:pPr>
            <w:r>
              <w:rPr>
                <w:rFonts w:ascii="Verdana" w:hAnsi="Verdana"/>
                <w:b/>
                <w:noProof/>
                <w:color w:val="000000"/>
                <w:sz w:val="18"/>
              </w:rPr>
              <w:t>43 648</w:t>
            </w:r>
          </w:p>
        </w:tc>
      </w:tr>
      <w:tr>
        <w:trPr>
          <w:trHeight w:val="20"/>
        </w:trPr>
        <w:tc>
          <w:tcPr>
            <w:tcW w:w="5432" w:type="dxa"/>
            <w:tcBorders>
              <w:top w:val="single" w:sz="4" w:space="0" w:color="016794"/>
              <w:left w:val="nil"/>
              <w:bottom w:val="nil"/>
              <w:right w:val="nil"/>
              <w:tl2br w:val="nil"/>
              <w:tr2bl w:val="nil"/>
            </w:tcBorders>
            <w:tcMar>
              <w:left w:w="60" w:type="dxa"/>
              <w:right w:w="60" w:type="dxa"/>
            </w:tcMar>
            <w:vAlign w:val="center"/>
          </w:tcPr>
          <w:p>
            <w:pPr>
              <w:pStyle w:val="DMETW36764BIPFAFVSDND"/>
              <w:rPr>
                <w:rFonts w:ascii="Verdana" w:eastAsia="Verdana" w:hAnsi="Verdana" w:cs="Verdana"/>
                <w:i/>
                <w:noProof/>
                <w:color w:val="016794"/>
                <w:sz w:val="18"/>
              </w:rPr>
            </w:pPr>
            <w:r>
              <w:rPr>
                <w:rFonts w:ascii="Verdana" w:hAnsi="Verdana"/>
                <w:i/>
                <w:noProof/>
                <w:color w:val="016794"/>
                <w:sz w:val="18"/>
              </w:rPr>
              <w:t>Non courants</w:t>
            </w:r>
          </w:p>
        </w:tc>
        <w:tc>
          <w:tcPr>
            <w:tcW w:w="2214" w:type="dxa"/>
            <w:tcBorders>
              <w:top w:val="single" w:sz="4" w:space="0" w:color="016794"/>
              <w:left w:val="nil"/>
              <w:bottom w:val="nil"/>
              <w:right w:val="nil"/>
              <w:tl2br w:val="nil"/>
              <w:tr2bl w:val="nil"/>
            </w:tcBorders>
            <w:tcMar>
              <w:left w:w="60" w:type="dxa"/>
              <w:right w:w="60" w:type="dxa"/>
            </w:tcMar>
            <w:vAlign w:val="bottom"/>
          </w:tcPr>
          <w:p>
            <w:pPr>
              <w:pStyle w:val="DMETW36764BIPFAFVSDND"/>
              <w:jc w:val="right"/>
              <w:rPr>
                <w:rFonts w:ascii="Verdana" w:eastAsia="Verdana" w:hAnsi="Verdana" w:cs="Verdana"/>
                <w:i/>
                <w:noProof/>
                <w:color w:val="016794"/>
                <w:sz w:val="18"/>
              </w:rPr>
            </w:pPr>
            <w:r>
              <w:rPr>
                <w:rFonts w:ascii="Verdana" w:hAnsi="Verdana"/>
                <w:i/>
                <w:noProof/>
                <w:color w:val="016794"/>
                <w:sz w:val="18"/>
              </w:rPr>
              <w:t>46 350</w:t>
            </w:r>
          </w:p>
        </w:tc>
        <w:tc>
          <w:tcPr>
            <w:tcW w:w="2112" w:type="dxa"/>
            <w:tcBorders>
              <w:top w:val="single" w:sz="4" w:space="0" w:color="016794"/>
              <w:left w:val="nil"/>
              <w:bottom w:val="nil"/>
              <w:right w:val="nil"/>
              <w:tl2br w:val="nil"/>
              <w:tr2bl w:val="nil"/>
            </w:tcBorders>
            <w:tcMar>
              <w:left w:w="60" w:type="dxa"/>
              <w:right w:w="60" w:type="dxa"/>
            </w:tcMar>
            <w:vAlign w:val="bottom"/>
          </w:tcPr>
          <w:p>
            <w:pPr>
              <w:pStyle w:val="DMETW36764BIPFAFVSDND"/>
              <w:jc w:val="right"/>
              <w:rPr>
                <w:rFonts w:ascii="Verdana" w:eastAsia="Verdana" w:hAnsi="Verdana" w:cs="Verdana"/>
                <w:i/>
                <w:noProof/>
                <w:color w:val="016794"/>
                <w:sz w:val="18"/>
              </w:rPr>
            </w:pPr>
            <w:r>
              <w:rPr>
                <w:rFonts w:ascii="Verdana" w:hAnsi="Verdana"/>
                <w:i/>
                <w:noProof/>
                <w:color w:val="016794"/>
                <w:sz w:val="18"/>
              </w:rPr>
              <w:t>37 948</w:t>
            </w:r>
          </w:p>
        </w:tc>
      </w:tr>
      <w:tr>
        <w:trPr>
          <w:trHeight w:val="20"/>
        </w:trPr>
        <w:tc>
          <w:tcPr>
            <w:tcW w:w="5432" w:type="dxa"/>
            <w:tcBorders>
              <w:top w:val="nil"/>
              <w:left w:val="nil"/>
              <w:bottom w:val="nil"/>
              <w:right w:val="nil"/>
              <w:tl2br w:val="nil"/>
              <w:tr2bl w:val="nil"/>
            </w:tcBorders>
            <w:tcMar>
              <w:left w:w="60" w:type="dxa"/>
              <w:right w:w="60" w:type="dxa"/>
            </w:tcMar>
            <w:vAlign w:val="center"/>
          </w:tcPr>
          <w:p>
            <w:pPr>
              <w:pStyle w:val="DMETW36764BIPFAFVSDND"/>
              <w:rPr>
                <w:rFonts w:ascii="Verdana" w:eastAsia="Verdana" w:hAnsi="Verdana" w:cs="Verdana"/>
                <w:i/>
                <w:noProof/>
                <w:color w:val="016794"/>
                <w:sz w:val="18"/>
              </w:rPr>
            </w:pPr>
            <w:r>
              <w:rPr>
                <w:rFonts w:ascii="Verdana" w:hAnsi="Verdana"/>
                <w:i/>
                <w:noProof/>
                <w:color w:val="016794"/>
                <w:sz w:val="18"/>
              </w:rPr>
              <w:t>Courants</w:t>
            </w:r>
          </w:p>
        </w:tc>
        <w:tc>
          <w:tcPr>
            <w:tcW w:w="2214" w:type="dxa"/>
            <w:tcBorders>
              <w:top w:val="nil"/>
              <w:left w:val="nil"/>
              <w:bottom w:val="nil"/>
              <w:right w:val="nil"/>
              <w:tl2br w:val="nil"/>
              <w:tr2bl w:val="nil"/>
            </w:tcBorders>
            <w:tcMar>
              <w:left w:w="60" w:type="dxa"/>
              <w:right w:w="60" w:type="dxa"/>
            </w:tcMar>
            <w:vAlign w:val="bottom"/>
          </w:tcPr>
          <w:p>
            <w:pPr>
              <w:pStyle w:val="DMETW36764BIPFAFVSDND"/>
              <w:jc w:val="right"/>
              <w:rPr>
                <w:rFonts w:ascii="Verdana" w:eastAsia="Verdana" w:hAnsi="Verdana" w:cs="Verdana"/>
                <w:i/>
                <w:noProof/>
                <w:color w:val="016794"/>
                <w:sz w:val="18"/>
              </w:rPr>
            </w:pPr>
            <w:r>
              <w:rPr>
                <w:rFonts w:ascii="Verdana" w:hAnsi="Verdana"/>
                <w:i/>
                <w:noProof/>
                <w:color w:val="016794"/>
                <w:sz w:val="18"/>
              </w:rPr>
              <w:t>4 730</w:t>
            </w:r>
          </w:p>
        </w:tc>
        <w:tc>
          <w:tcPr>
            <w:tcW w:w="2112" w:type="dxa"/>
            <w:tcBorders>
              <w:top w:val="nil"/>
              <w:left w:val="nil"/>
              <w:bottom w:val="nil"/>
              <w:right w:val="nil"/>
              <w:tl2br w:val="nil"/>
              <w:tr2bl w:val="nil"/>
            </w:tcBorders>
            <w:tcMar>
              <w:left w:w="60" w:type="dxa"/>
              <w:right w:w="60" w:type="dxa"/>
            </w:tcMar>
            <w:vAlign w:val="bottom"/>
          </w:tcPr>
          <w:p>
            <w:pPr>
              <w:pStyle w:val="DMETW36764BIPFAFVSDND"/>
              <w:jc w:val="right"/>
              <w:rPr>
                <w:rFonts w:ascii="Verdana" w:eastAsia="Verdana" w:hAnsi="Verdana" w:cs="Verdana"/>
                <w:i/>
                <w:noProof/>
                <w:color w:val="016794"/>
                <w:sz w:val="18"/>
              </w:rPr>
            </w:pPr>
            <w:r>
              <w:rPr>
                <w:rFonts w:ascii="Verdana" w:hAnsi="Verdana"/>
                <w:i/>
                <w:noProof/>
                <w:color w:val="016794"/>
                <w:sz w:val="18"/>
              </w:rPr>
              <w:t>5 700</w:t>
            </w:r>
          </w:p>
        </w:tc>
      </w:tr>
    </w:tbl>
    <w:p>
      <w:pPr>
        <w:pStyle w:val="HEADER5"/>
        <w:spacing w:before="240"/>
        <w:rPr>
          <w:noProof/>
        </w:rPr>
      </w:pPr>
      <w:r>
        <w:rPr>
          <w:noProof/>
        </w:rPr>
        <w:t>Fonds commun de provisionnement (FCP)</w:t>
      </w:r>
    </w:p>
    <w:p>
      <w:pPr>
        <w:pStyle w:val="DGTextstand-alone"/>
      </w:pPr>
      <w:r>
        <w:t>L’UE accorde des garanties à ses partenaires financiers pour les pertes sur investissements en fonds propres et prêts (voir note </w:t>
      </w:r>
      <w:r>
        <w:rPr>
          <w:b/>
        </w:rPr>
        <w:t>4.1</w:t>
      </w:r>
      <w:r>
        <w:t xml:space="preserve"> pour les garanties budgétaires de l’UE). Conformément aux actes juridiques, le budget de l’UE met au fur et à mesure de l’argent de côté afin de payer aux partenaires les pertes couvertes par ces garanties. Le budget de l’UE met également de l’argent de côté pour rembourser les emprunts en cas de défaillance sur les prêts accordés au titre de l’AMF, d’Euratom, de la facilité pour les Balkans occidentaux et de la facilité pour la Moldavie.</w:t>
      </w:r>
    </w:p>
    <w:p>
      <w:pPr>
        <w:pStyle w:val="DGTextstand-alone"/>
      </w:pPr>
      <w:r>
        <w:t>Conformément au règlement financier, la Commission a créé le FCP afin de gérer, dans un seul portefeuille commun, l’argent qu’elle met de côté («provisionnement»). Les fonds sont investis dans des titres de créance, des fonds du marché monétaire et des FNB. Outre le provisionnement du budget de l’UE, le FCP reçoit des recouvrements provenant d’opérations défaillantes, les retours générés par ses investissements, ainsi que la rémunération reçue par l’UE de ses partenaires financiers. Le FCP peut également recevoir des contributions volontaires des États membres et d’autres contributeurs qui, de cette manière, augmentent les garanties budgétaires disponibles de l’UE.</w:t>
      </w:r>
    </w:p>
    <w:p>
      <w:pPr>
        <w:pStyle w:val="DGTextstand-alone"/>
      </w:pPr>
      <w:r>
        <w:lastRenderedPageBreak/>
        <w:t>Le FCP répartit les contributions entrantes dans des compartiments, en fonction du programme contributeur. Les actes juridiques des programmes prévoient le provisionnement nécessaire pour les garanties fournies. Le budget de l’UE regroupe ces différents fonds provisionnés dans le FCP de manière à optimiser la gestion des actifs.</w:t>
      </w:r>
    </w:p>
    <w:p>
      <w:pPr>
        <w:pStyle w:val="DGTextstand-alone"/>
        <w:rPr>
          <w:b/>
        </w:rPr>
      </w:pPr>
      <w:r>
        <w:t>Au 31 décembre 2025, les actifs financiers à la JVCR non dérivés du FCP avaient augmenté, grâce aux garanties InvestEU, IVCDCI et pour l’Ukraine qui constituent progressivement les provisions nécessaires mais aussi aux plus-values de trésorerie (0,8 milliard d’EUR). Le total des actifs financiers à la JVCR non dérivés s’élevait à 27,0 milliards d’EUR, dont 22,8 milliards d’EUR ont été investis dans des titres de créance, et 3,9 milliards d’EUR dans des FNB.</w:t>
      </w:r>
    </w:p>
    <w:p>
      <w:pPr>
        <w:pStyle w:val="HEADER5"/>
        <w:spacing w:before="240"/>
        <w:rPr>
          <w:noProof/>
        </w:rPr>
      </w:pPr>
      <w:r>
        <w:rPr>
          <w:noProof/>
        </w:rPr>
        <w:t>Fonds pour l’innovation (FI)</w:t>
      </w:r>
    </w:p>
    <w:p>
      <w:pPr>
        <w:pStyle w:val="DGTextstand-alone"/>
      </w:pPr>
      <w:r>
        <w:t>Le Fonds pour l’innovation établit un système d’échange de quotas d’émission de gaz à effet de serre dans l’Union. L’objectif est d’utiliser les recettes pour soutenir l’innovation dans les technologies et les procédés à faible intensité de carbone dans certains secteurs économiques. Le Fonds pour l’innovation est doté des recettes provenant de la monétisation progressive de 530 millions de quotas ainsi que des fonds non dépensés provenant des 300 millions de quotas disponibles pour le programme NER 300 (voir note </w:t>
      </w:r>
      <w:r>
        <w:rPr>
          <w:b/>
        </w:rPr>
        <w:t>3.8</w:t>
      </w:r>
      <w:r>
        <w:t xml:space="preserve">). La BEI gère les fonds, jusqu’à ce qu’ils soient utilisés aux fins prévues, et les investit dans des titres de créance. L’augmentation observée en 2025 est principalement due aux recettes des ventes aux enchères. </w:t>
      </w:r>
    </w:p>
    <w:p>
      <w:pPr>
        <w:pStyle w:val="HEADER5"/>
        <w:spacing w:before="240"/>
        <w:rPr>
          <w:noProof/>
        </w:rPr>
      </w:pPr>
      <w:r>
        <w:rPr>
          <w:noProof/>
        </w:rPr>
        <w:t>Horizon 2020 et Horizon Europe</w:t>
      </w:r>
    </w:p>
    <w:p>
      <w:pPr>
        <w:pStyle w:val="DGTextstand-alone"/>
        <w:spacing w:before="120"/>
      </w:pPr>
      <w:r>
        <w:t xml:space="preserve">En vertu du règlement de l’Union instituant Horizon 2020 – le programme-cadre pour la recherche et l’innovation (2014-2020) -, de nouveaux instruments financiers ont été mis en place afin d’améliorer l’accès aux financements d’entités engagées dans la recherche et l’innovation (R&amp;I). Ces instruments sont les suivants: </w:t>
      </w:r>
    </w:p>
    <w:p>
      <w:pPr>
        <w:pStyle w:val="DGTextstand-alonedashesjustified"/>
      </w:pPr>
      <w:r>
        <w:t xml:space="preserve">le </w:t>
      </w:r>
      <w:r>
        <w:rPr>
          <w:i/>
        </w:rPr>
        <w:t>service de garanties et de prêts InnovFin pour la recherche et l’innovation</w:t>
      </w:r>
      <w:r>
        <w:t>, au titre duquel la Commission partage les risques financiers liés à un portefeuille de nouvelles opérations de financement conclues par la BEI;</w:t>
      </w:r>
    </w:p>
    <w:p>
      <w:pPr>
        <w:pStyle w:val="DGTextstand-alonedashesjustified"/>
      </w:pPr>
      <w:r>
        <w:t xml:space="preserve">la </w:t>
      </w:r>
      <w:r>
        <w:rPr>
          <w:i/>
        </w:rPr>
        <w:t>facilité InnovFin de garantie pour les PME et l’instrument de garantie non plafonnée dans le cadre de l’initiative PME (SIUGI)</w:t>
      </w:r>
      <w:r>
        <w:t xml:space="preserve"> – mécanismes de garantie gérés par le FEI et offrant des garanties et des contre-garanties aux intermédiaires financiers pour de nouveaux portefeuilles de prêts (au titre du SIUGI, la Commission partage avec les États membres, le FEI et la BEI les risques financiers liés à la garantie donnée); </w:t>
      </w:r>
    </w:p>
    <w:p>
      <w:pPr>
        <w:pStyle w:val="DGTextstand-alonedashesjustified"/>
      </w:pPr>
      <w:r>
        <w:t xml:space="preserve">le </w:t>
      </w:r>
      <w:r>
        <w:rPr>
          <w:i/>
        </w:rPr>
        <w:t>mécanisme de fonds propres InnovFin pour la recherche et l’innovation</w:t>
      </w:r>
      <w:r>
        <w:t>, qui prévoit des investissements effectués dans des fonds de capital-risque et gérés par le FEI; et</w:t>
      </w:r>
    </w:p>
    <w:p>
      <w:pPr>
        <w:pStyle w:val="DGTextstand-alonedashesjustified"/>
      </w:pPr>
      <w:r>
        <w:t xml:space="preserve">le </w:t>
      </w:r>
      <w:r>
        <w:rPr>
          <w:i/>
        </w:rPr>
        <w:t>Fonds du CEI (Fonds du Conseil européen de l’innovation)</w:t>
      </w:r>
      <w:r>
        <w:t xml:space="preserve">, qui fournit des financements sur fonds propres pour accélérer les actions d’innovation et de déploiement sur le marché. Le Fonds du CEI est financé par les programmes Horizon Europe et Horizon 2020. </w:t>
      </w:r>
    </w:p>
    <w:p>
      <w:pPr>
        <w:pStyle w:val="HEADER5"/>
        <w:spacing w:before="240"/>
        <w:rPr>
          <w:noProof/>
        </w:rPr>
      </w:pPr>
      <w:r>
        <w:rPr>
          <w:noProof/>
        </w:rPr>
        <w:t>Investissements BUFI</w:t>
      </w:r>
    </w:p>
    <w:p>
      <w:pPr>
        <w:pStyle w:val="DGTextstand-alone"/>
        <w:spacing w:before="120" w:after="0"/>
      </w:pPr>
      <w:r>
        <w:t xml:space="preserve">La Commission a créé le Fonds pour les amendes budgétaires («BUFI») afin de gérer les sommes qu’elle reçoit à titre provisionnel pour les amendes infligées à des entreprises faisant l’objet d’un recours. Dans l’attente de la décision de justice définitive sur une amende donnée, la Commission investit l’argent dans des instruments d’emprunt. </w:t>
      </w:r>
    </w:p>
    <w:p>
      <w:pPr>
        <w:pStyle w:val="HEADER5"/>
        <w:spacing w:before="240"/>
        <w:rPr>
          <w:noProof/>
        </w:rPr>
      </w:pPr>
      <w:r>
        <w:rPr>
          <w:noProof/>
        </w:rPr>
        <w:t>CECA en liq.</w:t>
      </w:r>
    </w:p>
    <w:p>
      <w:pPr>
        <w:pStyle w:val="DGTextstand-alone"/>
      </w:pPr>
      <w:r>
        <w:t xml:space="preserve">Le traité CECA a expiré le 23 juillet 2002 et tous les actifs de la CECA ont été transférés à l’Union européenne et alloués à la recherche dans les secteurs liés aux industries du charbon et de l’acier, par exemple dans des technologies de pointe permettant une production d’acier à émissions pratiquement nulles. La Commission investit les fonds dans des titres de créance, jusqu’à ce qu’ils soient alloués à des fins de recherche.  </w:t>
      </w:r>
    </w:p>
    <w:p>
      <w:pPr>
        <w:pStyle w:val="HEADER5"/>
        <w:keepNext/>
        <w:spacing w:before="240"/>
        <w:rPr>
          <w:noProof/>
        </w:rPr>
      </w:pPr>
      <w:r>
        <w:rPr>
          <w:noProof/>
        </w:rPr>
        <w:lastRenderedPageBreak/>
        <w:t>Mécanisme pour l’interconnexion en Europe</w:t>
      </w:r>
    </w:p>
    <w:p>
      <w:pPr>
        <w:pStyle w:val="DGTextstand-alone"/>
        <w:spacing w:before="120"/>
      </w:pPr>
      <w:r>
        <w:t>Conformément au règlement (UE) nº 1316/2013 du Parlement européen et du Conseil</w:t>
      </w:r>
      <w:r>
        <w:rPr>
          <w:rStyle w:val="FootnoteReference"/>
        </w:rPr>
        <w:footnoteReference w:id="32"/>
      </w:r>
      <w:r>
        <w:t xml:space="preserve">, l’instrument d’emprunt du mécanisme pour l’interconnexion en Europe (MIE) a été établi dans le but de faciliter, pour les projets d’infrastructures, l’accès aux financements dans les secteurs des transports, des télécommunications et de l’énergie. Il est géré par la BEI en vertu d’un accord avec l’UE. Il propose de partager les risques du financement des emprunts sous forme de dette ou de garanties privilégiée(s) et subordonnée(s) ainsi que d’un soutien aux emprunts obligataires garantis par l’UE aux fins du financement de projets. </w:t>
      </w:r>
    </w:p>
    <w:p>
      <w:pPr>
        <w:pStyle w:val="HEADER5"/>
        <w:spacing w:before="240"/>
        <w:rPr>
          <w:noProof/>
        </w:rPr>
      </w:pPr>
      <w:r>
        <w:rPr>
          <w:noProof/>
        </w:rPr>
        <w:t>Mécanismes de fonds propres de l’UE pour les PME</w:t>
      </w:r>
    </w:p>
    <w:p>
      <w:pPr>
        <w:pStyle w:val="DGTextstand-alone"/>
        <w:spacing w:before="120" w:after="120"/>
      </w:pPr>
      <w:r>
        <w:t>Il s’agit d’instruments de fonds propres financés par les programmes COSME, PIC et MAP et l’initiative «Croissance et emploi» qui, sous la gestion fiduciaire du FEI, soutiennent la création et le financement de PME de l’UE en phase de démarrage ou de croissance en investissant dans des fonds de capital-risque spécialisés et appropriés.</w:t>
      </w:r>
    </w:p>
    <w:p>
      <w:pPr>
        <w:pStyle w:val="HEADER5"/>
        <w:spacing w:before="240"/>
        <w:rPr>
          <w:noProof/>
        </w:rPr>
      </w:pPr>
      <w:r>
        <w:rPr>
          <w:noProof/>
        </w:rPr>
        <w:t xml:space="preserve">Banque européenne pour la reconstruction et le développement </w:t>
      </w:r>
    </w:p>
    <w:p>
      <w:pPr>
        <w:pStyle w:val="DGTextstand-alone"/>
      </w:pPr>
      <w:r>
        <w:t xml:space="preserve">L’UE détient un investissement financier dans le capital de la Banque européenne pour la reconstruction et le développement (BERD). En 2025, l’UE a augmenté sa souscription, avec l’acquisition de 12 102 actions supplémentaires à la valeur nominale de 10 000 EUR par action. Le paiement total de 121 millions d’EUR doit être effectué en tranches égales sur cinq ans, avec un premier versement en 2025. Au 31 décembre 2025, la Commission détenait 102 146 actions (contre 90 044 actions en 2024), représentant 3,04 % du total du capital souscrit. Au total, l’UE a souscrit un montant de 1 021 millions d’EUR dans le capital de la BERD, dont un montant de 713 millions d’EUR est à ce jour non appelé. </w:t>
      </w:r>
    </w:p>
    <w:p>
      <w:pPr>
        <w:pStyle w:val="DGTextstand-alone"/>
      </w:pPr>
    </w:p>
    <w:p>
      <w:pPr>
        <w:pStyle w:val="HEADER5"/>
        <w:keepNext/>
        <w:spacing w:before="240"/>
        <w:rPr>
          <w:noProof/>
        </w:rPr>
      </w:pPr>
      <w:r>
        <w:rPr>
          <w:noProof/>
        </w:rPr>
        <w:t xml:space="preserve">Hiérarchie des justes valeurs des actifs financiers à la JVCR non dérivés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32"/>
        <w:gridCol w:w="2214"/>
        <w:gridCol w:w="2112"/>
      </w:tblGrid>
      <w:tr>
        <w:trPr>
          <w:trHeight w:val="255"/>
        </w:trPr>
        <w:tc>
          <w:tcPr>
            <w:tcW w:w="5432" w:type="dxa"/>
            <w:tcBorders>
              <w:top w:val="nil"/>
              <w:left w:val="nil"/>
              <w:bottom w:val="nil"/>
              <w:right w:val="nil"/>
              <w:tl2br w:val="nil"/>
              <w:tr2bl w:val="nil"/>
            </w:tcBorders>
            <w:tcMar>
              <w:left w:w="60" w:type="dxa"/>
              <w:right w:w="60" w:type="dxa"/>
            </w:tcMar>
            <w:vAlign w:val="bottom"/>
          </w:tcPr>
          <w:p>
            <w:pPr>
              <w:pStyle w:val="DMETW36764BIPFVH"/>
              <w:rPr>
                <w:rFonts w:ascii="Verdana" w:eastAsia="Verdana" w:hAnsi="Verdana" w:cs="Verdana"/>
                <w:noProof/>
                <w:color w:val="000000"/>
              </w:rPr>
            </w:pPr>
            <w:bookmarkStart w:id="111" w:name="DOC_TBL00015_1_1"/>
            <w:bookmarkEnd w:id="111"/>
          </w:p>
        </w:tc>
        <w:tc>
          <w:tcPr>
            <w:tcW w:w="2214" w:type="dxa"/>
            <w:tcBorders>
              <w:top w:val="nil"/>
              <w:left w:val="nil"/>
              <w:bottom w:val="nil"/>
              <w:right w:val="nil"/>
              <w:tl2br w:val="nil"/>
              <w:tr2bl w:val="nil"/>
            </w:tcBorders>
            <w:tcMar>
              <w:left w:w="60" w:type="dxa"/>
              <w:right w:w="60" w:type="dxa"/>
            </w:tcMar>
            <w:vAlign w:val="bottom"/>
          </w:tcPr>
          <w:p>
            <w:pPr>
              <w:pStyle w:val="DMETW36764BIPFVH"/>
              <w:rPr>
                <w:rFonts w:ascii="Verdana" w:eastAsia="Verdana" w:hAnsi="Verdana" w:cs="Verdana"/>
                <w:noProof/>
                <w:color w:val="000000"/>
              </w:rPr>
            </w:pPr>
          </w:p>
        </w:tc>
        <w:tc>
          <w:tcPr>
            <w:tcW w:w="2112" w:type="dxa"/>
            <w:tcBorders>
              <w:top w:val="nil"/>
              <w:left w:val="nil"/>
              <w:bottom w:val="nil"/>
              <w:right w:val="nil"/>
              <w:tl2br w:val="nil"/>
              <w:tr2bl w:val="nil"/>
            </w:tcBorders>
            <w:tcMar>
              <w:left w:w="60" w:type="dxa"/>
              <w:right w:w="60" w:type="dxa"/>
            </w:tcMar>
            <w:vAlign w:val="bottom"/>
          </w:tcPr>
          <w:p>
            <w:pPr>
              <w:pStyle w:val="DMETW36764BIPFVH"/>
              <w:jc w:val="right"/>
              <w:rPr>
                <w:rFonts w:ascii="Verdana" w:eastAsia="Verdana" w:hAnsi="Verdana" w:cs="Verdana"/>
                <w:i/>
                <w:noProof/>
                <w:color w:val="000000"/>
                <w:sz w:val="16"/>
              </w:rPr>
            </w:pPr>
            <w:r>
              <w:rPr>
                <w:rFonts w:ascii="Verdana" w:hAnsi="Verdana"/>
                <w:i/>
                <w:noProof/>
                <w:color w:val="000000"/>
                <w:sz w:val="16"/>
              </w:rPr>
              <w:t>en Mio EUR</w:t>
            </w:r>
          </w:p>
        </w:tc>
      </w:tr>
      <w:tr>
        <w:trPr>
          <w:trHeight w:val="255"/>
        </w:trPr>
        <w:tc>
          <w:tcPr>
            <w:tcW w:w="5432" w:type="dxa"/>
            <w:tcBorders>
              <w:top w:val="nil"/>
              <w:left w:val="nil"/>
              <w:bottom w:val="nil"/>
              <w:right w:val="nil"/>
              <w:tl2br w:val="nil"/>
              <w:tr2bl w:val="nil"/>
            </w:tcBorders>
            <w:shd w:val="solid" w:color="016794" w:fill="FFFFFF"/>
            <w:tcMar>
              <w:left w:w="60" w:type="dxa"/>
              <w:right w:w="60" w:type="dxa"/>
            </w:tcMar>
            <w:vAlign w:val="center"/>
          </w:tcPr>
          <w:p>
            <w:pPr>
              <w:pStyle w:val="DMETW36764BIPFVH"/>
              <w:rPr>
                <w:rFonts w:ascii="Verdana" w:eastAsia="Verdana" w:hAnsi="Verdana" w:cs="Verdana"/>
                <w:noProof/>
                <w:color w:val="FFFFFF"/>
              </w:rPr>
            </w:pPr>
            <w:r>
              <w:rPr>
                <w:rFonts w:ascii="Verdana" w:hAnsi="Verdana"/>
                <w:noProof/>
                <w:color w:val="FFFFFF"/>
              </w:rPr>
              <w:t>Type d’actif financier</w:t>
            </w:r>
          </w:p>
        </w:tc>
        <w:tc>
          <w:tcPr>
            <w:tcW w:w="2214" w:type="dxa"/>
            <w:tcBorders>
              <w:top w:val="nil"/>
              <w:left w:val="nil"/>
              <w:bottom w:val="nil"/>
              <w:right w:val="nil"/>
              <w:tl2br w:val="nil"/>
              <w:tr2bl w:val="nil"/>
            </w:tcBorders>
            <w:shd w:val="solid" w:color="016794" w:fill="FFFFFF"/>
            <w:tcMar>
              <w:left w:w="60" w:type="dxa"/>
              <w:right w:w="60" w:type="dxa"/>
            </w:tcMar>
            <w:vAlign w:val="center"/>
          </w:tcPr>
          <w:p>
            <w:pPr>
              <w:pStyle w:val="DMETW36764BIPFVH"/>
              <w:jc w:val="right"/>
              <w:rPr>
                <w:rFonts w:ascii="Verdana" w:eastAsia="Verdana" w:hAnsi="Verdana" w:cs="Verdana"/>
                <w:noProof/>
                <w:color w:val="FFFFFF"/>
              </w:rPr>
            </w:pPr>
            <w:r>
              <w:rPr>
                <w:rFonts w:ascii="Verdana" w:hAnsi="Verdana"/>
                <w:noProof/>
                <w:color w:val="FFFFFF"/>
              </w:rPr>
              <w:t>31.12.2025</w:t>
            </w:r>
          </w:p>
        </w:tc>
        <w:tc>
          <w:tcPr>
            <w:tcW w:w="2112" w:type="dxa"/>
            <w:tcBorders>
              <w:top w:val="nil"/>
              <w:left w:val="nil"/>
              <w:bottom w:val="nil"/>
              <w:right w:val="nil"/>
              <w:tl2br w:val="nil"/>
              <w:tr2bl w:val="nil"/>
            </w:tcBorders>
            <w:shd w:val="solid" w:color="016794" w:fill="FFFFFF"/>
            <w:tcMar>
              <w:left w:w="60" w:type="dxa"/>
              <w:right w:w="60" w:type="dxa"/>
            </w:tcMar>
            <w:vAlign w:val="center"/>
          </w:tcPr>
          <w:p>
            <w:pPr>
              <w:pStyle w:val="DMETW36764BIPFVH"/>
              <w:jc w:val="right"/>
              <w:rPr>
                <w:rFonts w:ascii="Verdana" w:eastAsia="Verdana" w:hAnsi="Verdana" w:cs="Verdana"/>
                <w:noProof/>
                <w:color w:val="FFFFFF"/>
              </w:rPr>
            </w:pPr>
            <w:r>
              <w:rPr>
                <w:rFonts w:ascii="Verdana" w:hAnsi="Verdana"/>
                <w:noProof/>
                <w:color w:val="FFFFFF"/>
              </w:rPr>
              <w:t>31.12.2024</w:t>
            </w:r>
          </w:p>
        </w:tc>
      </w:tr>
      <w:tr>
        <w:trPr>
          <w:trHeight w:val="255"/>
        </w:trPr>
        <w:tc>
          <w:tcPr>
            <w:tcW w:w="5432" w:type="dxa"/>
            <w:tcBorders>
              <w:top w:val="nil"/>
              <w:left w:val="nil"/>
              <w:bottom w:val="nil"/>
              <w:right w:val="nil"/>
              <w:tl2br w:val="nil"/>
              <w:tr2bl w:val="nil"/>
            </w:tcBorders>
            <w:tcMar>
              <w:left w:w="60" w:type="dxa"/>
              <w:right w:w="60" w:type="dxa"/>
            </w:tcMar>
            <w:vAlign w:val="center"/>
          </w:tcPr>
          <w:p>
            <w:pPr>
              <w:pStyle w:val="DMETW36764BIPFVH"/>
              <w:rPr>
                <w:rFonts w:ascii="Verdana" w:eastAsia="Verdana" w:hAnsi="Verdana" w:cs="Verdana"/>
                <w:i/>
                <w:noProof/>
                <w:color w:val="000000"/>
                <w:sz w:val="18"/>
              </w:rPr>
            </w:pPr>
            <w:r>
              <w:rPr>
                <w:rFonts w:ascii="Verdana" w:hAnsi="Verdana"/>
                <w:i/>
                <w:noProof/>
                <w:color w:val="000000"/>
                <w:sz w:val="18"/>
              </w:rPr>
              <w:t>Niveau 1: prix cotés sur des marchés actifs</w:t>
            </w:r>
          </w:p>
        </w:tc>
        <w:tc>
          <w:tcPr>
            <w:tcW w:w="2214" w:type="dxa"/>
            <w:tcBorders>
              <w:top w:val="nil"/>
              <w:left w:val="nil"/>
              <w:bottom w:val="nil"/>
              <w:right w:val="nil"/>
              <w:tl2br w:val="nil"/>
              <w:tr2bl w:val="nil"/>
            </w:tcBorders>
            <w:tcMar>
              <w:left w:w="60" w:type="dxa"/>
              <w:right w:w="60" w:type="dxa"/>
            </w:tcMar>
            <w:vAlign w:val="center"/>
          </w:tcPr>
          <w:p>
            <w:pPr>
              <w:pStyle w:val="DMETW36764BIPFVH"/>
              <w:jc w:val="right"/>
              <w:rPr>
                <w:rFonts w:ascii="Verdana" w:eastAsia="Verdana" w:hAnsi="Verdana" w:cs="Verdana"/>
                <w:i/>
                <w:noProof/>
                <w:color w:val="000000"/>
                <w:sz w:val="18"/>
              </w:rPr>
            </w:pPr>
            <w:r>
              <w:rPr>
                <w:rFonts w:ascii="Verdana" w:hAnsi="Verdana"/>
                <w:i/>
                <w:noProof/>
                <w:color w:val="000000"/>
                <w:sz w:val="18"/>
              </w:rPr>
              <w:t>44 447</w:t>
            </w:r>
          </w:p>
        </w:tc>
        <w:tc>
          <w:tcPr>
            <w:tcW w:w="2112" w:type="dxa"/>
            <w:tcBorders>
              <w:top w:val="nil"/>
              <w:left w:val="nil"/>
              <w:bottom w:val="nil"/>
              <w:right w:val="nil"/>
              <w:tl2br w:val="nil"/>
              <w:tr2bl w:val="nil"/>
            </w:tcBorders>
            <w:tcMar>
              <w:left w:w="60" w:type="dxa"/>
              <w:right w:w="60" w:type="dxa"/>
            </w:tcMar>
            <w:vAlign w:val="center"/>
          </w:tcPr>
          <w:p>
            <w:pPr>
              <w:pStyle w:val="DMETW36764BIPFVH"/>
              <w:jc w:val="right"/>
              <w:rPr>
                <w:rFonts w:ascii="Verdana" w:eastAsia="Verdana" w:hAnsi="Verdana" w:cs="Verdana"/>
                <w:i/>
                <w:noProof/>
                <w:color w:val="000000"/>
                <w:sz w:val="18"/>
              </w:rPr>
            </w:pPr>
            <w:r>
              <w:rPr>
                <w:rFonts w:ascii="Verdana" w:hAnsi="Verdana"/>
                <w:i/>
                <w:noProof/>
                <w:color w:val="000000"/>
                <w:sz w:val="18"/>
              </w:rPr>
              <w:t>37 559</w:t>
            </w:r>
          </w:p>
        </w:tc>
      </w:tr>
      <w:tr>
        <w:trPr>
          <w:trHeight w:val="255"/>
        </w:trPr>
        <w:tc>
          <w:tcPr>
            <w:tcW w:w="5432" w:type="dxa"/>
            <w:tcBorders>
              <w:top w:val="nil"/>
              <w:left w:val="nil"/>
              <w:bottom w:val="nil"/>
              <w:right w:val="nil"/>
              <w:tl2br w:val="nil"/>
              <w:tr2bl w:val="nil"/>
            </w:tcBorders>
            <w:tcMar>
              <w:left w:w="60" w:type="dxa"/>
              <w:right w:w="60" w:type="dxa"/>
            </w:tcMar>
            <w:vAlign w:val="center"/>
          </w:tcPr>
          <w:p>
            <w:pPr>
              <w:pStyle w:val="DMETW36764BIPFVH"/>
              <w:rPr>
                <w:rFonts w:ascii="Verdana" w:eastAsia="Verdana" w:hAnsi="Verdana" w:cs="Verdana"/>
                <w:i/>
                <w:noProof/>
                <w:color w:val="000000"/>
                <w:sz w:val="18"/>
              </w:rPr>
            </w:pPr>
            <w:r>
              <w:rPr>
                <w:rFonts w:ascii="Verdana" w:hAnsi="Verdana"/>
                <w:i/>
                <w:noProof/>
                <w:color w:val="000000"/>
                <w:sz w:val="18"/>
              </w:rPr>
              <w:t>Niveau 2: données observables autres que les prix cotés</w:t>
            </w:r>
          </w:p>
        </w:tc>
        <w:tc>
          <w:tcPr>
            <w:tcW w:w="2214" w:type="dxa"/>
            <w:tcBorders>
              <w:top w:val="nil"/>
              <w:left w:val="nil"/>
              <w:bottom w:val="nil"/>
              <w:right w:val="nil"/>
              <w:tl2br w:val="nil"/>
              <w:tr2bl w:val="nil"/>
            </w:tcBorders>
            <w:tcMar>
              <w:left w:w="60" w:type="dxa"/>
              <w:right w:w="60" w:type="dxa"/>
            </w:tcMar>
            <w:vAlign w:val="center"/>
          </w:tcPr>
          <w:p>
            <w:pPr>
              <w:pStyle w:val="DMETW36764BIPFVH"/>
              <w:jc w:val="right"/>
              <w:rPr>
                <w:rFonts w:ascii="Verdana" w:eastAsia="Verdana" w:hAnsi="Verdana" w:cs="Verdana"/>
                <w:i/>
                <w:noProof/>
                <w:color w:val="000000"/>
                <w:sz w:val="18"/>
              </w:rPr>
            </w:pPr>
            <w:r>
              <w:rPr>
                <w:rFonts w:ascii="Verdana" w:hAnsi="Verdana"/>
                <w:i/>
                <w:noProof/>
                <w:color w:val="000000"/>
                <w:sz w:val="18"/>
              </w:rPr>
              <w:t>3 150</w:t>
            </w:r>
          </w:p>
        </w:tc>
        <w:tc>
          <w:tcPr>
            <w:tcW w:w="2112" w:type="dxa"/>
            <w:tcBorders>
              <w:top w:val="nil"/>
              <w:left w:val="nil"/>
              <w:bottom w:val="nil"/>
              <w:right w:val="nil"/>
              <w:tl2br w:val="nil"/>
              <w:tr2bl w:val="nil"/>
            </w:tcBorders>
            <w:tcMar>
              <w:left w:w="60" w:type="dxa"/>
              <w:right w:w="60" w:type="dxa"/>
            </w:tcMar>
            <w:vAlign w:val="center"/>
          </w:tcPr>
          <w:p>
            <w:pPr>
              <w:pStyle w:val="DMETW36764BIPFVH"/>
              <w:jc w:val="right"/>
              <w:rPr>
                <w:rFonts w:ascii="Verdana" w:eastAsia="Verdana" w:hAnsi="Verdana" w:cs="Verdana"/>
                <w:i/>
                <w:noProof/>
                <w:color w:val="000000"/>
                <w:sz w:val="18"/>
              </w:rPr>
            </w:pPr>
            <w:r>
              <w:rPr>
                <w:rFonts w:ascii="Verdana" w:hAnsi="Verdana"/>
                <w:i/>
                <w:noProof/>
                <w:color w:val="000000"/>
                <w:sz w:val="18"/>
              </w:rPr>
              <w:t>3 098</w:t>
            </w:r>
          </w:p>
        </w:tc>
      </w:tr>
      <w:tr>
        <w:trPr>
          <w:trHeight w:val="255"/>
        </w:trPr>
        <w:tc>
          <w:tcPr>
            <w:tcW w:w="5432" w:type="dxa"/>
            <w:tcBorders>
              <w:top w:val="nil"/>
              <w:left w:val="nil"/>
              <w:bottom w:val="single" w:sz="4" w:space="0" w:color="016794"/>
              <w:right w:val="nil"/>
              <w:tl2br w:val="nil"/>
              <w:tr2bl w:val="nil"/>
            </w:tcBorders>
            <w:tcMar>
              <w:left w:w="60" w:type="dxa"/>
              <w:right w:w="60" w:type="dxa"/>
            </w:tcMar>
            <w:vAlign w:val="center"/>
          </w:tcPr>
          <w:p>
            <w:pPr>
              <w:pStyle w:val="DMETW36764BIPFVH"/>
              <w:rPr>
                <w:rFonts w:ascii="Verdana" w:eastAsia="Verdana" w:hAnsi="Verdana" w:cs="Verdana"/>
                <w:i/>
                <w:noProof/>
                <w:color w:val="000000"/>
                <w:sz w:val="18"/>
              </w:rPr>
            </w:pPr>
            <w:r>
              <w:rPr>
                <w:rFonts w:ascii="Verdana" w:hAnsi="Verdana"/>
                <w:i/>
                <w:noProof/>
                <w:color w:val="000000"/>
                <w:sz w:val="18"/>
              </w:rPr>
              <w:t>Niveau 3: techniques d’évaluation utilisant des données qui ne sont pas fondées sur des données de marché observables</w:t>
            </w:r>
          </w:p>
        </w:tc>
        <w:tc>
          <w:tcPr>
            <w:tcW w:w="2214" w:type="dxa"/>
            <w:tcBorders>
              <w:top w:val="nil"/>
              <w:left w:val="nil"/>
              <w:bottom w:val="single" w:sz="4" w:space="0" w:color="016794"/>
              <w:right w:val="nil"/>
              <w:tl2br w:val="nil"/>
              <w:tr2bl w:val="nil"/>
            </w:tcBorders>
            <w:tcMar>
              <w:left w:w="60" w:type="dxa"/>
              <w:right w:w="60" w:type="dxa"/>
            </w:tcMar>
            <w:vAlign w:val="center"/>
          </w:tcPr>
          <w:p>
            <w:pPr>
              <w:pStyle w:val="DMETW36764BIPFVH"/>
              <w:jc w:val="right"/>
              <w:rPr>
                <w:rFonts w:ascii="Verdana" w:eastAsia="Verdana" w:hAnsi="Verdana" w:cs="Verdana"/>
                <w:i/>
                <w:noProof/>
                <w:color w:val="000000"/>
                <w:sz w:val="18"/>
              </w:rPr>
            </w:pPr>
            <w:r>
              <w:rPr>
                <w:rFonts w:ascii="Verdana" w:hAnsi="Verdana"/>
                <w:i/>
                <w:noProof/>
                <w:color w:val="000000"/>
                <w:sz w:val="18"/>
              </w:rPr>
              <w:t>3 483</w:t>
            </w:r>
          </w:p>
        </w:tc>
        <w:tc>
          <w:tcPr>
            <w:tcW w:w="2112" w:type="dxa"/>
            <w:tcBorders>
              <w:top w:val="nil"/>
              <w:left w:val="nil"/>
              <w:bottom w:val="single" w:sz="4" w:space="0" w:color="016794"/>
              <w:right w:val="nil"/>
              <w:tl2br w:val="nil"/>
              <w:tr2bl w:val="nil"/>
            </w:tcBorders>
            <w:tcMar>
              <w:left w:w="60" w:type="dxa"/>
              <w:right w:w="60" w:type="dxa"/>
            </w:tcMar>
            <w:vAlign w:val="center"/>
          </w:tcPr>
          <w:p>
            <w:pPr>
              <w:pStyle w:val="DMETW36764BIPFVH"/>
              <w:jc w:val="right"/>
              <w:rPr>
                <w:rFonts w:ascii="Verdana" w:eastAsia="Verdana" w:hAnsi="Verdana" w:cs="Verdana"/>
                <w:i/>
                <w:noProof/>
                <w:color w:val="000000"/>
                <w:sz w:val="18"/>
              </w:rPr>
            </w:pPr>
            <w:r>
              <w:rPr>
                <w:rFonts w:ascii="Verdana" w:hAnsi="Verdana"/>
                <w:i/>
                <w:noProof/>
                <w:color w:val="000000"/>
                <w:sz w:val="18"/>
              </w:rPr>
              <w:t>2 991</w:t>
            </w:r>
          </w:p>
        </w:tc>
      </w:tr>
      <w:tr>
        <w:trPr>
          <w:trHeight w:val="255"/>
        </w:trPr>
        <w:tc>
          <w:tcPr>
            <w:tcW w:w="5432"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64BIPFVH"/>
              <w:rPr>
                <w:rFonts w:ascii="Verdana" w:eastAsia="Verdana" w:hAnsi="Verdana" w:cs="Verdana"/>
                <w:b/>
                <w:noProof/>
                <w:color w:val="000000"/>
                <w:sz w:val="18"/>
              </w:rPr>
            </w:pPr>
            <w:r>
              <w:rPr>
                <w:rFonts w:ascii="Verdana" w:hAnsi="Verdana"/>
                <w:b/>
                <w:noProof/>
                <w:color w:val="000000"/>
                <w:sz w:val="18"/>
              </w:rPr>
              <w:t>Total</w:t>
            </w:r>
          </w:p>
        </w:tc>
        <w:tc>
          <w:tcPr>
            <w:tcW w:w="2214"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64BIPFVH"/>
              <w:jc w:val="right"/>
              <w:rPr>
                <w:rFonts w:ascii="Verdana" w:eastAsia="Verdana" w:hAnsi="Verdana" w:cs="Verdana"/>
                <w:b/>
                <w:noProof/>
                <w:color w:val="000000"/>
                <w:sz w:val="18"/>
              </w:rPr>
            </w:pPr>
            <w:r>
              <w:rPr>
                <w:rFonts w:ascii="Verdana" w:hAnsi="Verdana"/>
                <w:b/>
                <w:noProof/>
                <w:color w:val="000000"/>
                <w:sz w:val="18"/>
              </w:rPr>
              <w:t>51 080</w:t>
            </w:r>
          </w:p>
        </w:tc>
        <w:tc>
          <w:tcPr>
            <w:tcW w:w="2112"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64BIPFVH"/>
              <w:jc w:val="right"/>
              <w:rPr>
                <w:rFonts w:ascii="Verdana" w:eastAsia="Verdana" w:hAnsi="Verdana" w:cs="Verdana"/>
                <w:b/>
                <w:noProof/>
                <w:color w:val="000000"/>
                <w:sz w:val="18"/>
              </w:rPr>
            </w:pPr>
            <w:r>
              <w:rPr>
                <w:rFonts w:ascii="Verdana" w:hAnsi="Verdana"/>
                <w:b/>
                <w:noProof/>
                <w:color w:val="000000"/>
                <w:sz w:val="18"/>
              </w:rPr>
              <w:t>43 648</w:t>
            </w:r>
          </w:p>
        </w:tc>
      </w:tr>
    </w:tbl>
    <w:p>
      <w:pPr>
        <w:pStyle w:val="HEADER5"/>
        <w:rPr>
          <w:noProof/>
        </w:rPr>
      </w:pPr>
    </w:p>
    <w:p>
      <w:pPr>
        <w:pStyle w:val="DGTextstand-alone"/>
      </w:pPr>
      <w:r>
        <w:t>Au cours de la période, il n’y a pas eu de transfert entre le niveau 1 et le niveau 2 de la hiérarchie des justes valeurs.</w:t>
      </w:r>
    </w:p>
    <w:p>
      <w:pPr>
        <w:pStyle w:val="HEADER5"/>
        <w:rPr>
          <w:noProof/>
        </w:rPr>
      </w:pPr>
      <w:r>
        <w:rPr>
          <w:noProof/>
        </w:rPr>
        <w:t>Rapprochement des actifs financiers non dérivés évalués à l’aide de techniques d’évaluation utilisant des données qui ne sont pas fondées sur des données de marché observables (niveau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8"/>
        <w:gridCol w:w="3690"/>
      </w:tblGrid>
      <w:tr>
        <w:trPr>
          <w:trHeight w:val="255"/>
        </w:trPr>
        <w:tc>
          <w:tcPr>
            <w:tcW w:w="6068" w:type="dxa"/>
            <w:tcBorders>
              <w:top w:val="nil"/>
              <w:left w:val="nil"/>
              <w:bottom w:val="nil"/>
              <w:right w:val="nil"/>
              <w:tl2br w:val="nil"/>
              <w:tr2bl w:val="nil"/>
            </w:tcBorders>
            <w:tcMar>
              <w:left w:w="60" w:type="dxa"/>
              <w:right w:w="60" w:type="dxa"/>
            </w:tcMar>
            <w:vAlign w:val="bottom"/>
          </w:tcPr>
          <w:p>
            <w:pPr>
              <w:pStyle w:val="DMETW36627BIPRECONONDFA"/>
              <w:rPr>
                <w:rFonts w:ascii="Verdana" w:eastAsia="Verdana" w:hAnsi="Verdana" w:cs="Verdana"/>
                <w:noProof/>
                <w:color w:val="000000"/>
                <w:sz w:val="18"/>
              </w:rPr>
            </w:pPr>
            <w:bookmarkStart w:id="112" w:name="DOC_TBL00016_1_1"/>
            <w:bookmarkEnd w:id="112"/>
          </w:p>
        </w:tc>
        <w:tc>
          <w:tcPr>
            <w:tcW w:w="3690" w:type="dxa"/>
            <w:tcBorders>
              <w:top w:val="nil"/>
              <w:left w:val="nil"/>
              <w:bottom w:val="nil"/>
              <w:right w:val="nil"/>
              <w:tl2br w:val="nil"/>
              <w:tr2bl w:val="nil"/>
            </w:tcBorders>
            <w:tcMar>
              <w:left w:w="60" w:type="dxa"/>
              <w:right w:w="60" w:type="dxa"/>
            </w:tcMar>
            <w:vAlign w:val="bottom"/>
          </w:tcPr>
          <w:p>
            <w:pPr>
              <w:pStyle w:val="DMETW36627BIPRECONONDFA"/>
              <w:jc w:val="right"/>
              <w:rPr>
                <w:rFonts w:ascii="Verdana" w:eastAsia="Verdana" w:hAnsi="Verdana" w:cs="Verdana"/>
                <w:i/>
                <w:noProof/>
                <w:color w:val="000000"/>
                <w:sz w:val="18"/>
              </w:rPr>
            </w:pPr>
            <w:r>
              <w:rPr>
                <w:rFonts w:ascii="Verdana" w:hAnsi="Verdana"/>
                <w:i/>
                <w:noProof/>
                <w:color w:val="000000"/>
                <w:sz w:val="18"/>
              </w:rPr>
              <w:t>en Mio EUR</w:t>
            </w:r>
          </w:p>
        </w:tc>
      </w:tr>
      <w:tr>
        <w:trPr>
          <w:trHeight w:val="255"/>
        </w:trPr>
        <w:tc>
          <w:tcPr>
            <w:tcW w:w="6068" w:type="dxa"/>
            <w:tcBorders>
              <w:top w:val="nil"/>
              <w:left w:val="nil"/>
              <w:bottom w:val="nil"/>
              <w:right w:val="nil"/>
              <w:tl2br w:val="nil"/>
              <w:tr2bl w:val="nil"/>
            </w:tcBorders>
            <w:shd w:val="solid" w:color="016794" w:fill="FFFFFF"/>
            <w:tcMar>
              <w:left w:w="60" w:type="dxa"/>
              <w:right w:w="60" w:type="dxa"/>
            </w:tcMar>
            <w:vAlign w:val="center"/>
          </w:tcPr>
          <w:p>
            <w:pPr>
              <w:pStyle w:val="DMETW36627BIPRECONONDFA"/>
              <w:rPr>
                <w:rFonts w:ascii="Verdana" w:eastAsia="Verdana" w:hAnsi="Verdana" w:cs="Verdana"/>
                <w:noProof/>
                <w:color w:val="FFFFFF"/>
                <w:sz w:val="18"/>
              </w:rPr>
            </w:pPr>
            <w:r>
              <w:rPr>
                <w:rFonts w:ascii="Verdana" w:hAnsi="Verdana"/>
                <w:noProof/>
                <w:color w:val="FFFFFF"/>
                <w:sz w:val="18"/>
              </w:rPr>
              <w:t>Variations de la juste valeur</w:t>
            </w:r>
          </w:p>
        </w:tc>
        <w:tc>
          <w:tcPr>
            <w:tcW w:w="3690" w:type="dxa"/>
            <w:tcBorders>
              <w:top w:val="nil"/>
              <w:left w:val="nil"/>
              <w:bottom w:val="nil"/>
              <w:right w:val="nil"/>
              <w:tl2br w:val="nil"/>
              <w:tr2bl w:val="nil"/>
            </w:tcBorders>
            <w:shd w:val="solid" w:color="016794" w:fill="FFFFFF"/>
            <w:tcMar>
              <w:left w:w="60" w:type="dxa"/>
              <w:right w:w="60" w:type="dxa"/>
            </w:tcMar>
            <w:vAlign w:val="center"/>
          </w:tcPr>
          <w:p>
            <w:pPr>
              <w:pStyle w:val="DMETW36627BIPRECONONDFA"/>
              <w:rPr>
                <w:rFonts w:ascii="Verdana" w:eastAsia="Verdana" w:hAnsi="Verdana" w:cs="Verdana"/>
                <w:noProof/>
                <w:color w:val="FFFFFF"/>
                <w:sz w:val="18"/>
                <w:lang w:bidi="en-GB"/>
              </w:rPr>
            </w:pPr>
          </w:p>
        </w:tc>
      </w:tr>
      <w:tr>
        <w:trPr>
          <w:trHeight w:val="255"/>
        </w:trPr>
        <w:tc>
          <w:tcPr>
            <w:tcW w:w="6068" w:type="dxa"/>
            <w:tcBorders>
              <w:top w:val="nil"/>
              <w:left w:val="nil"/>
              <w:bottom w:val="nil"/>
              <w:right w:val="nil"/>
              <w:tl2br w:val="nil"/>
              <w:tr2bl w:val="nil"/>
            </w:tcBorders>
            <w:tcMar>
              <w:left w:w="60" w:type="dxa"/>
              <w:right w:w="60" w:type="dxa"/>
            </w:tcMar>
            <w:vAlign w:val="center"/>
          </w:tcPr>
          <w:p>
            <w:pPr>
              <w:pStyle w:val="DMETW36627BIPRECONONDFA"/>
              <w:rPr>
                <w:rFonts w:ascii="Verdana" w:eastAsia="Verdana" w:hAnsi="Verdana" w:cs="Verdana"/>
                <w:b/>
                <w:noProof/>
                <w:color w:val="000000"/>
                <w:sz w:val="18"/>
              </w:rPr>
            </w:pPr>
            <w:r>
              <w:rPr>
                <w:rFonts w:ascii="Verdana" w:hAnsi="Verdana"/>
                <w:b/>
                <w:noProof/>
                <w:color w:val="000000"/>
                <w:sz w:val="18"/>
              </w:rPr>
              <w:t>Solde d’ouverture au 1.1.2025</w:t>
            </w:r>
          </w:p>
        </w:tc>
        <w:tc>
          <w:tcPr>
            <w:tcW w:w="3690" w:type="dxa"/>
            <w:tcBorders>
              <w:top w:val="nil"/>
              <w:left w:val="nil"/>
              <w:bottom w:val="nil"/>
              <w:right w:val="nil"/>
              <w:tl2br w:val="nil"/>
              <w:tr2bl w:val="nil"/>
            </w:tcBorders>
            <w:tcMar>
              <w:left w:w="60" w:type="dxa"/>
              <w:right w:w="60" w:type="dxa"/>
            </w:tcMar>
            <w:vAlign w:val="bottom"/>
          </w:tcPr>
          <w:p>
            <w:pPr>
              <w:pStyle w:val="DMETW36627BIPRECONONDFA"/>
              <w:jc w:val="right"/>
              <w:rPr>
                <w:rFonts w:ascii="Verdana" w:eastAsia="Verdana" w:hAnsi="Verdana" w:cs="Verdana"/>
                <w:b/>
                <w:noProof/>
                <w:color w:val="000000"/>
                <w:sz w:val="18"/>
              </w:rPr>
            </w:pPr>
            <w:r>
              <w:rPr>
                <w:rFonts w:ascii="Verdana" w:hAnsi="Verdana"/>
                <w:b/>
                <w:noProof/>
                <w:color w:val="000000"/>
                <w:sz w:val="18"/>
              </w:rPr>
              <w:t>2 991</w:t>
            </w:r>
          </w:p>
        </w:tc>
      </w:tr>
      <w:tr>
        <w:trPr>
          <w:trHeight w:val="255"/>
        </w:trPr>
        <w:tc>
          <w:tcPr>
            <w:tcW w:w="6068" w:type="dxa"/>
            <w:tcBorders>
              <w:top w:val="nil"/>
              <w:left w:val="nil"/>
              <w:bottom w:val="nil"/>
              <w:right w:val="nil"/>
              <w:tl2br w:val="nil"/>
              <w:tr2bl w:val="nil"/>
            </w:tcBorders>
            <w:tcMar>
              <w:left w:w="60" w:type="dxa"/>
              <w:right w:w="60" w:type="dxa"/>
            </w:tcMar>
            <w:vAlign w:val="center"/>
          </w:tcPr>
          <w:p>
            <w:pPr>
              <w:pStyle w:val="DMETW36627BIPRECONONDFA"/>
              <w:rPr>
                <w:rFonts w:ascii="Verdana" w:eastAsia="Verdana" w:hAnsi="Verdana" w:cs="Verdana"/>
                <w:i/>
                <w:noProof/>
                <w:color w:val="000000"/>
                <w:sz w:val="18"/>
              </w:rPr>
            </w:pPr>
            <w:r>
              <w:rPr>
                <w:rFonts w:ascii="Verdana" w:hAnsi="Verdana"/>
                <w:i/>
                <w:noProof/>
                <w:color w:val="000000"/>
                <w:sz w:val="18"/>
              </w:rPr>
              <w:t>Investissements pendant la période</w:t>
            </w:r>
          </w:p>
        </w:tc>
        <w:tc>
          <w:tcPr>
            <w:tcW w:w="3690" w:type="dxa"/>
            <w:tcBorders>
              <w:top w:val="nil"/>
              <w:left w:val="nil"/>
              <w:bottom w:val="nil"/>
              <w:right w:val="nil"/>
              <w:tl2br w:val="nil"/>
              <w:tr2bl w:val="nil"/>
            </w:tcBorders>
            <w:tcMar>
              <w:left w:w="60" w:type="dxa"/>
              <w:right w:w="60" w:type="dxa"/>
            </w:tcMar>
            <w:vAlign w:val="bottom"/>
          </w:tcPr>
          <w:p>
            <w:pPr>
              <w:pStyle w:val="DMETW36627BIPRECONONDFA"/>
              <w:jc w:val="right"/>
              <w:rPr>
                <w:rFonts w:ascii="Verdana" w:eastAsia="Verdana" w:hAnsi="Verdana" w:cs="Verdana"/>
                <w:i/>
                <w:noProof/>
                <w:color w:val="000000"/>
                <w:sz w:val="18"/>
              </w:rPr>
            </w:pPr>
            <w:r>
              <w:rPr>
                <w:rFonts w:ascii="Verdana" w:hAnsi="Verdana"/>
                <w:i/>
                <w:noProof/>
                <w:color w:val="000000"/>
                <w:sz w:val="18"/>
              </w:rPr>
              <w:t xml:space="preserve"> 699</w:t>
            </w:r>
          </w:p>
        </w:tc>
      </w:tr>
      <w:tr>
        <w:trPr>
          <w:trHeight w:val="255"/>
        </w:trPr>
        <w:tc>
          <w:tcPr>
            <w:tcW w:w="6068" w:type="dxa"/>
            <w:tcBorders>
              <w:top w:val="nil"/>
              <w:left w:val="nil"/>
              <w:bottom w:val="nil"/>
              <w:right w:val="nil"/>
              <w:tl2br w:val="nil"/>
              <w:tr2bl w:val="nil"/>
            </w:tcBorders>
            <w:tcMar>
              <w:left w:w="60" w:type="dxa"/>
              <w:right w:w="60" w:type="dxa"/>
            </w:tcMar>
            <w:vAlign w:val="center"/>
          </w:tcPr>
          <w:p>
            <w:pPr>
              <w:pStyle w:val="DMETW36627BIPRECONONDFA"/>
              <w:rPr>
                <w:rFonts w:ascii="Verdana" w:eastAsia="Verdana" w:hAnsi="Verdana" w:cs="Verdana"/>
                <w:i/>
                <w:noProof/>
                <w:color w:val="000000"/>
                <w:sz w:val="18"/>
              </w:rPr>
            </w:pPr>
            <w:r>
              <w:rPr>
                <w:rFonts w:ascii="Verdana" w:hAnsi="Verdana"/>
                <w:i/>
                <w:noProof/>
                <w:color w:val="000000"/>
                <w:sz w:val="18"/>
              </w:rPr>
              <w:t>Remboursements de capital</w:t>
            </w:r>
          </w:p>
        </w:tc>
        <w:tc>
          <w:tcPr>
            <w:tcW w:w="3690" w:type="dxa"/>
            <w:tcBorders>
              <w:top w:val="nil"/>
              <w:left w:val="nil"/>
              <w:bottom w:val="nil"/>
              <w:right w:val="nil"/>
              <w:tl2br w:val="nil"/>
              <w:tr2bl w:val="nil"/>
            </w:tcBorders>
            <w:tcMar>
              <w:left w:w="60" w:type="dxa"/>
              <w:right w:w="60" w:type="dxa"/>
            </w:tcMar>
            <w:vAlign w:val="bottom"/>
          </w:tcPr>
          <w:p>
            <w:pPr>
              <w:pStyle w:val="DMETW36627BIPRECONONDFA"/>
              <w:jc w:val="right"/>
              <w:rPr>
                <w:rFonts w:ascii="Verdana" w:eastAsia="Verdana" w:hAnsi="Verdana" w:cs="Verdana"/>
                <w:i/>
                <w:noProof/>
                <w:color w:val="000000"/>
                <w:sz w:val="18"/>
              </w:rPr>
            </w:pPr>
            <w:r>
              <w:rPr>
                <w:rFonts w:ascii="Verdana" w:hAnsi="Verdana"/>
                <w:i/>
                <w:noProof/>
                <w:color w:val="000000"/>
                <w:sz w:val="18"/>
              </w:rPr>
              <w:t xml:space="preserve"> (97)</w:t>
            </w:r>
          </w:p>
        </w:tc>
      </w:tr>
      <w:tr>
        <w:trPr>
          <w:trHeight w:val="255"/>
        </w:trPr>
        <w:tc>
          <w:tcPr>
            <w:tcW w:w="6068" w:type="dxa"/>
            <w:tcBorders>
              <w:top w:val="nil"/>
              <w:left w:val="nil"/>
              <w:bottom w:val="nil"/>
              <w:right w:val="nil"/>
              <w:tl2br w:val="nil"/>
              <w:tr2bl w:val="nil"/>
            </w:tcBorders>
            <w:tcMar>
              <w:left w:w="60" w:type="dxa"/>
              <w:right w:w="60" w:type="dxa"/>
            </w:tcMar>
            <w:vAlign w:val="center"/>
          </w:tcPr>
          <w:p>
            <w:pPr>
              <w:pStyle w:val="DMETW36627BIPRECONONDFA"/>
              <w:rPr>
                <w:rFonts w:ascii="Verdana" w:eastAsia="Verdana" w:hAnsi="Verdana" w:cs="Verdana"/>
                <w:i/>
                <w:noProof/>
                <w:color w:val="000000"/>
                <w:sz w:val="18"/>
              </w:rPr>
            </w:pPr>
            <w:r>
              <w:rPr>
                <w:rFonts w:ascii="Verdana" w:hAnsi="Verdana"/>
                <w:i/>
                <w:noProof/>
                <w:color w:val="000000"/>
                <w:sz w:val="18"/>
              </w:rPr>
              <w:t xml:space="preserve">Recettes réglées </w:t>
            </w:r>
          </w:p>
        </w:tc>
        <w:tc>
          <w:tcPr>
            <w:tcW w:w="3690" w:type="dxa"/>
            <w:tcBorders>
              <w:top w:val="nil"/>
              <w:left w:val="nil"/>
              <w:bottom w:val="nil"/>
              <w:right w:val="nil"/>
              <w:tl2br w:val="nil"/>
              <w:tr2bl w:val="nil"/>
            </w:tcBorders>
            <w:tcMar>
              <w:left w:w="60" w:type="dxa"/>
              <w:right w:w="60" w:type="dxa"/>
            </w:tcMar>
            <w:vAlign w:val="bottom"/>
          </w:tcPr>
          <w:p>
            <w:pPr>
              <w:pStyle w:val="DMETW36627BIPRECONONDFA"/>
              <w:jc w:val="right"/>
              <w:rPr>
                <w:rFonts w:ascii="Verdana" w:eastAsia="Verdana" w:hAnsi="Verdana" w:cs="Verdana"/>
                <w:i/>
                <w:noProof/>
                <w:color w:val="000000"/>
                <w:sz w:val="18"/>
              </w:rPr>
            </w:pPr>
            <w:r>
              <w:rPr>
                <w:rFonts w:ascii="Verdana" w:hAnsi="Verdana"/>
                <w:i/>
                <w:noProof/>
                <w:color w:val="000000"/>
                <w:sz w:val="18"/>
              </w:rPr>
              <w:t xml:space="preserve"> (19)</w:t>
            </w:r>
          </w:p>
        </w:tc>
      </w:tr>
      <w:tr>
        <w:trPr>
          <w:trHeight w:val="255"/>
        </w:trPr>
        <w:tc>
          <w:tcPr>
            <w:tcW w:w="6068" w:type="dxa"/>
            <w:tcBorders>
              <w:top w:val="nil"/>
              <w:left w:val="nil"/>
              <w:bottom w:val="nil"/>
              <w:right w:val="nil"/>
              <w:tl2br w:val="nil"/>
              <w:tr2bl w:val="nil"/>
            </w:tcBorders>
            <w:tcMar>
              <w:left w:w="60" w:type="dxa"/>
              <w:right w:w="60" w:type="dxa"/>
            </w:tcMar>
            <w:vAlign w:val="center"/>
          </w:tcPr>
          <w:p>
            <w:pPr>
              <w:pStyle w:val="DMETW36627BIPRECONONDFA"/>
              <w:rPr>
                <w:rFonts w:ascii="Verdana" w:eastAsia="Verdana" w:hAnsi="Verdana" w:cs="Verdana"/>
                <w:i/>
                <w:noProof/>
                <w:color w:val="000000"/>
                <w:sz w:val="18"/>
              </w:rPr>
            </w:pPr>
            <w:r>
              <w:rPr>
                <w:rFonts w:ascii="Verdana" w:hAnsi="Verdana"/>
                <w:i/>
                <w:noProof/>
                <w:color w:val="000000"/>
                <w:sz w:val="18"/>
              </w:rPr>
              <w:t>Plus-values et moins-values pour la période comptabilisées en excédent ou déficit</w:t>
            </w:r>
          </w:p>
        </w:tc>
        <w:tc>
          <w:tcPr>
            <w:tcW w:w="3690" w:type="dxa"/>
            <w:tcBorders>
              <w:top w:val="nil"/>
              <w:left w:val="nil"/>
              <w:bottom w:val="nil"/>
              <w:right w:val="nil"/>
              <w:tl2br w:val="nil"/>
              <w:tr2bl w:val="nil"/>
            </w:tcBorders>
            <w:tcMar>
              <w:left w:w="60" w:type="dxa"/>
              <w:right w:w="60" w:type="dxa"/>
            </w:tcMar>
            <w:vAlign w:val="bottom"/>
          </w:tcPr>
          <w:p>
            <w:pPr>
              <w:pStyle w:val="DMETW36627BIPRECONONDFA"/>
              <w:jc w:val="right"/>
              <w:rPr>
                <w:rFonts w:ascii="Verdana" w:eastAsia="Verdana" w:hAnsi="Verdana" w:cs="Verdana"/>
                <w:i/>
                <w:noProof/>
                <w:color w:val="000000"/>
                <w:sz w:val="18"/>
              </w:rPr>
            </w:pPr>
            <w:r>
              <w:rPr>
                <w:rFonts w:ascii="Verdana" w:hAnsi="Verdana"/>
                <w:i/>
                <w:noProof/>
                <w:color w:val="000000"/>
                <w:sz w:val="18"/>
              </w:rPr>
              <w:t xml:space="preserve"> (90)</w:t>
            </w:r>
          </w:p>
        </w:tc>
      </w:tr>
      <w:tr>
        <w:trPr>
          <w:trHeight w:val="255"/>
        </w:trPr>
        <w:tc>
          <w:tcPr>
            <w:tcW w:w="6068" w:type="dxa"/>
            <w:tcBorders>
              <w:top w:val="nil"/>
              <w:left w:val="nil"/>
              <w:bottom w:val="nil"/>
              <w:right w:val="nil"/>
              <w:tl2br w:val="nil"/>
              <w:tr2bl w:val="nil"/>
            </w:tcBorders>
            <w:tcMar>
              <w:left w:w="60" w:type="dxa"/>
              <w:right w:w="60" w:type="dxa"/>
            </w:tcMar>
            <w:vAlign w:val="center"/>
          </w:tcPr>
          <w:p>
            <w:pPr>
              <w:pStyle w:val="DMETW36627BIPRECONONDFA"/>
              <w:rPr>
                <w:rFonts w:ascii="Verdana" w:eastAsia="Verdana" w:hAnsi="Verdana" w:cs="Verdana"/>
                <w:i/>
                <w:noProof/>
                <w:color w:val="000000"/>
                <w:sz w:val="18"/>
              </w:rPr>
            </w:pPr>
            <w:r>
              <w:rPr>
                <w:rFonts w:ascii="Verdana" w:hAnsi="Verdana"/>
                <w:i/>
                <w:noProof/>
                <w:color w:val="000000"/>
                <w:sz w:val="18"/>
              </w:rPr>
              <w:t xml:space="preserve">Transferts vers le niveau 3 </w:t>
            </w:r>
          </w:p>
        </w:tc>
        <w:tc>
          <w:tcPr>
            <w:tcW w:w="3690" w:type="dxa"/>
            <w:tcBorders>
              <w:top w:val="nil"/>
              <w:left w:val="nil"/>
              <w:bottom w:val="nil"/>
              <w:right w:val="nil"/>
              <w:tl2br w:val="nil"/>
              <w:tr2bl w:val="nil"/>
            </w:tcBorders>
            <w:tcMar>
              <w:left w:w="60" w:type="dxa"/>
              <w:right w:w="60" w:type="dxa"/>
            </w:tcMar>
            <w:vAlign w:val="bottom"/>
          </w:tcPr>
          <w:p>
            <w:pPr>
              <w:pStyle w:val="DMETW36627BIPRECONONDFA"/>
              <w:jc w:val="right"/>
              <w:rPr>
                <w:rFonts w:ascii="Verdana" w:eastAsia="Verdana" w:hAnsi="Verdana" w:cs="Verdana"/>
                <w:i/>
                <w:noProof/>
                <w:color w:val="000000"/>
                <w:sz w:val="18"/>
              </w:rPr>
            </w:pPr>
            <w:r>
              <w:rPr>
                <w:rFonts w:ascii="Verdana" w:hAnsi="Verdana"/>
                <w:i/>
                <w:noProof/>
                <w:color w:val="000000"/>
                <w:sz w:val="18"/>
              </w:rPr>
              <w:t>–</w:t>
            </w:r>
          </w:p>
        </w:tc>
      </w:tr>
      <w:tr>
        <w:trPr>
          <w:trHeight w:val="255"/>
        </w:trPr>
        <w:tc>
          <w:tcPr>
            <w:tcW w:w="6068" w:type="dxa"/>
            <w:tcBorders>
              <w:top w:val="nil"/>
              <w:left w:val="nil"/>
              <w:bottom w:val="nil"/>
              <w:right w:val="nil"/>
              <w:tl2br w:val="nil"/>
              <w:tr2bl w:val="nil"/>
            </w:tcBorders>
            <w:tcMar>
              <w:left w:w="60" w:type="dxa"/>
              <w:right w:w="60" w:type="dxa"/>
            </w:tcMar>
            <w:vAlign w:val="center"/>
          </w:tcPr>
          <w:p>
            <w:pPr>
              <w:pStyle w:val="DMETW36627BIPRECONONDFA"/>
              <w:rPr>
                <w:rFonts w:ascii="Verdana" w:eastAsia="Verdana" w:hAnsi="Verdana" w:cs="Verdana"/>
                <w:i/>
                <w:noProof/>
                <w:color w:val="000000"/>
                <w:sz w:val="18"/>
              </w:rPr>
            </w:pPr>
            <w:r>
              <w:rPr>
                <w:rFonts w:ascii="Verdana" w:hAnsi="Verdana"/>
                <w:i/>
                <w:noProof/>
                <w:color w:val="000000"/>
                <w:sz w:val="18"/>
              </w:rPr>
              <w:t xml:space="preserve">Transferts depuis le niveau 3 </w:t>
            </w:r>
          </w:p>
        </w:tc>
        <w:tc>
          <w:tcPr>
            <w:tcW w:w="3690" w:type="dxa"/>
            <w:tcBorders>
              <w:top w:val="nil"/>
              <w:left w:val="nil"/>
              <w:bottom w:val="nil"/>
              <w:right w:val="nil"/>
              <w:tl2br w:val="nil"/>
              <w:tr2bl w:val="nil"/>
            </w:tcBorders>
            <w:tcMar>
              <w:left w:w="60" w:type="dxa"/>
              <w:right w:w="60" w:type="dxa"/>
            </w:tcMar>
            <w:vAlign w:val="bottom"/>
          </w:tcPr>
          <w:p>
            <w:pPr>
              <w:pStyle w:val="DMETW36627BIPRECONONDFA"/>
              <w:jc w:val="right"/>
              <w:rPr>
                <w:rFonts w:ascii="Verdana" w:eastAsia="Verdana" w:hAnsi="Verdana" w:cs="Verdana"/>
                <w:i/>
                <w:noProof/>
                <w:color w:val="000000"/>
                <w:sz w:val="18"/>
              </w:rPr>
            </w:pPr>
            <w:r>
              <w:rPr>
                <w:rFonts w:ascii="Verdana" w:hAnsi="Verdana"/>
                <w:i/>
                <w:noProof/>
                <w:color w:val="000000"/>
                <w:sz w:val="18"/>
              </w:rPr>
              <w:t>–</w:t>
            </w:r>
          </w:p>
        </w:tc>
      </w:tr>
      <w:tr>
        <w:trPr>
          <w:trHeight w:val="255"/>
        </w:trPr>
        <w:tc>
          <w:tcPr>
            <w:tcW w:w="6068" w:type="dxa"/>
            <w:tcBorders>
              <w:top w:val="nil"/>
              <w:left w:val="nil"/>
              <w:bottom w:val="single" w:sz="4" w:space="0" w:color="016794"/>
              <w:right w:val="nil"/>
              <w:tl2br w:val="nil"/>
              <w:tr2bl w:val="nil"/>
            </w:tcBorders>
            <w:tcMar>
              <w:left w:w="60" w:type="dxa"/>
              <w:right w:w="60" w:type="dxa"/>
            </w:tcMar>
            <w:vAlign w:val="center"/>
          </w:tcPr>
          <w:p>
            <w:pPr>
              <w:pStyle w:val="DMETW36627BIPRECONONDFA"/>
              <w:rPr>
                <w:rFonts w:ascii="Verdana" w:eastAsia="Verdana" w:hAnsi="Verdana" w:cs="Verdana"/>
                <w:i/>
                <w:noProof/>
                <w:color w:val="000000"/>
                <w:sz w:val="18"/>
              </w:rPr>
            </w:pPr>
            <w:r>
              <w:rPr>
                <w:rFonts w:ascii="Verdana" w:hAnsi="Verdana"/>
                <w:i/>
                <w:noProof/>
                <w:color w:val="000000"/>
                <w:sz w:val="18"/>
              </w:rPr>
              <w:t>Autres</w:t>
            </w:r>
          </w:p>
        </w:tc>
        <w:tc>
          <w:tcPr>
            <w:tcW w:w="3690" w:type="dxa"/>
            <w:tcBorders>
              <w:top w:val="nil"/>
              <w:left w:val="nil"/>
              <w:bottom w:val="single" w:sz="4" w:space="0" w:color="016794"/>
              <w:right w:val="nil"/>
              <w:tl2br w:val="nil"/>
              <w:tr2bl w:val="nil"/>
            </w:tcBorders>
            <w:tcMar>
              <w:left w:w="60" w:type="dxa"/>
              <w:right w:w="60" w:type="dxa"/>
            </w:tcMar>
            <w:vAlign w:val="bottom"/>
          </w:tcPr>
          <w:p>
            <w:pPr>
              <w:pStyle w:val="DMETW36627BIPRECONONDFA"/>
              <w:jc w:val="right"/>
              <w:rPr>
                <w:rFonts w:ascii="Verdana" w:eastAsia="Verdana" w:hAnsi="Verdana" w:cs="Verdana"/>
                <w:i/>
                <w:noProof/>
                <w:color w:val="000000"/>
                <w:sz w:val="18"/>
              </w:rPr>
            </w:pPr>
            <w:r>
              <w:rPr>
                <w:rFonts w:ascii="Verdana" w:hAnsi="Verdana"/>
                <w:i/>
                <w:noProof/>
                <w:color w:val="000000"/>
                <w:sz w:val="18"/>
              </w:rPr>
              <w:t>–</w:t>
            </w:r>
          </w:p>
        </w:tc>
      </w:tr>
      <w:tr>
        <w:trPr>
          <w:trHeight w:val="255"/>
        </w:trPr>
        <w:tc>
          <w:tcPr>
            <w:tcW w:w="606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27BIPRECONONDFA"/>
              <w:rPr>
                <w:rFonts w:ascii="Verdana" w:eastAsia="Verdana" w:hAnsi="Verdana" w:cs="Verdana"/>
                <w:b/>
                <w:noProof/>
                <w:color w:val="000000"/>
                <w:sz w:val="18"/>
              </w:rPr>
            </w:pPr>
            <w:r>
              <w:rPr>
                <w:rFonts w:ascii="Verdana" w:hAnsi="Verdana"/>
                <w:b/>
                <w:noProof/>
                <w:color w:val="000000"/>
                <w:sz w:val="18"/>
              </w:rPr>
              <w:t>Solde de clôture au 31.12.2025</w:t>
            </w:r>
          </w:p>
        </w:tc>
        <w:tc>
          <w:tcPr>
            <w:tcW w:w="3690"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627BIPRECONONDFA"/>
              <w:jc w:val="right"/>
              <w:rPr>
                <w:rFonts w:ascii="Verdana" w:eastAsia="Verdana" w:hAnsi="Verdana" w:cs="Verdana"/>
                <w:b/>
                <w:noProof/>
                <w:color w:val="000000"/>
                <w:sz w:val="18"/>
              </w:rPr>
            </w:pPr>
            <w:r>
              <w:rPr>
                <w:rFonts w:ascii="Verdana" w:hAnsi="Verdana"/>
                <w:b/>
                <w:noProof/>
                <w:color w:val="000000"/>
                <w:sz w:val="18"/>
              </w:rPr>
              <w:t>3 483</w:t>
            </w:r>
          </w:p>
        </w:tc>
      </w:tr>
    </w:tbl>
    <w:p>
      <w:pPr>
        <w:pStyle w:val="HEADER4NOTES"/>
        <w:numPr>
          <w:ilvl w:val="3"/>
          <w:numId w:val="15"/>
        </w:numPr>
        <w:rPr>
          <w:noProof/>
        </w:rPr>
      </w:pPr>
      <w:r>
        <w:rPr>
          <w:noProof/>
        </w:rPr>
        <w:t>Actifs et passifs financiers dérivés à la JVCR</w:t>
      </w:r>
    </w:p>
    <w:p>
      <w:pPr>
        <w:pStyle w:val="HEADER5"/>
        <w:rPr>
          <w:noProof/>
        </w:rPr>
      </w:pPr>
      <w:r>
        <w:rPr>
          <w:noProof/>
        </w:rPr>
        <w:lastRenderedPageBreak/>
        <w:t>Actifs et passifs financiers dérivés à la JVCR par type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5"/>
        <w:gridCol w:w="1376"/>
        <w:gridCol w:w="1176"/>
        <w:gridCol w:w="1097"/>
        <w:gridCol w:w="1171"/>
        <w:gridCol w:w="850"/>
        <w:gridCol w:w="1193"/>
      </w:tblGrid>
      <w:tr>
        <w:trPr>
          <w:trHeight w:val="255"/>
        </w:trPr>
        <w:tc>
          <w:tcPr>
            <w:tcW w:w="2895" w:type="dxa"/>
            <w:tcBorders>
              <w:top w:val="nil"/>
              <w:left w:val="nil"/>
              <w:bottom w:val="nil"/>
              <w:right w:val="nil"/>
              <w:tl2br w:val="nil"/>
              <w:tr2bl w:val="nil"/>
            </w:tcBorders>
            <w:tcMar>
              <w:left w:w="60" w:type="dxa"/>
              <w:right w:w="60" w:type="dxa"/>
            </w:tcMar>
            <w:vAlign w:val="bottom"/>
          </w:tcPr>
          <w:p>
            <w:pPr>
              <w:pStyle w:val="DMETW36627BIPFAFVDBT"/>
              <w:rPr>
                <w:rFonts w:ascii="Verdana" w:eastAsia="Verdana" w:hAnsi="Verdana" w:cs="Verdana"/>
                <w:noProof/>
                <w:color w:val="000000"/>
                <w:sz w:val="18"/>
              </w:rPr>
            </w:pPr>
            <w:bookmarkStart w:id="113" w:name="DOC_TBL00017_1_1"/>
            <w:bookmarkEnd w:id="113"/>
          </w:p>
        </w:tc>
        <w:tc>
          <w:tcPr>
            <w:tcW w:w="1376" w:type="dxa"/>
            <w:tcBorders>
              <w:top w:val="nil"/>
              <w:left w:val="nil"/>
              <w:bottom w:val="nil"/>
              <w:right w:val="nil"/>
              <w:tl2br w:val="nil"/>
              <w:tr2bl w:val="nil"/>
            </w:tcBorders>
            <w:tcMar>
              <w:left w:w="60" w:type="dxa"/>
              <w:right w:w="60" w:type="dxa"/>
            </w:tcMar>
            <w:vAlign w:val="bottom"/>
          </w:tcPr>
          <w:p>
            <w:pPr>
              <w:pStyle w:val="DMETW36627BIPFAFVDBT"/>
              <w:rPr>
                <w:rFonts w:ascii="Verdana" w:eastAsia="Verdana" w:hAnsi="Verdana" w:cs="Verdana"/>
                <w:noProof/>
                <w:color w:val="000000"/>
                <w:sz w:val="18"/>
              </w:rPr>
            </w:pPr>
          </w:p>
        </w:tc>
        <w:tc>
          <w:tcPr>
            <w:tcW w:w="1176" w:type="dxa"/>
            <w:tcBorders>
              <w:top w:val="nil"/>
              <w:left w:val="nil"/>
              <w:bottom w:val="nil"/>
              <w:right w:val="nil"/>
              <w:tl2br w:val="nil"/>
              <w:tr2bl w:val="nil"/>
            </w:tcBorders>
            <w:tcMar>
              <w:left w:w="60" w:type="dxa"/>
              <w:right w:w="60" w:type="dxa"/>
            </w:tcMar>
            <w:vAlign w:val="bottom"/>
          </w:tcPr>
          <w:p>
            <w:pPr>
              <w:pStyle w:val="DMETW36627BIPFAFVDBT"/>
              <w:rPr>
                <w:rFonts w:ascii="Verdana" w:eastAsia="Verdana" w:hAnsi="Verdana" w:cs="Verdana"/>
                <w:noProof/>
                <w:color w:val="000000"/>
                <w:sz w:val="18"/>
              </w:rPr>
            </w:pPr>
          </w:p>
        </w:tc>
        <w:tc>
          <w:tcPr>
            <w:tcW w:w="1097" w:type="dxa"/>
            <w:tcBorders>
              <w:top w:val="nil"/>
              <w:left w:val="nil"/>
              <w:bottom w:val="nil"/>
              <w:right w:val="nil"/>
              <w:tl2br w:val="nil"/>
              <w:tr2bl w:val="nil"/>
            </w:tcBorders>
            <w:tcMar>
              <w:left w:w="60" w:type="dxa"/>
              <w:right w:w="60" w:type="dxa"/>
            </w:tcMar>
            <w:vAlign w:val="bottom"/>
          </w:tcPr>
          <w:p>
            <w:pPr>
              <w:pStyle w:val="DMETW36627BIPFAFVDBT"/>
              <w:rPr>
                <w:rFonts w:ascii="Verdana" w:eastAsia="Verdana" w:hAnsi="Verdana" w:cs="Verdana"/>
                <w:noProof/>
                <w:color w:val="000000"/>
                <w:sz w:val="18"/>
              </w:rPr>
            </w:pPr>
          </w:p>
        </w:tc>
        <w:tc>
          <w:tcPr>
            <w:tcW w:w="1171" w:type="dxa"/>
            <w:tcBorders>
              <w:top w:val="nil"/>
              <w:left w:val="nil"/>
              <w:bottom w:val="nil"/>
              <w:right w:val="nil"/>
              <w:tl2br w:val="nil"/>
              <w:tr2bl w:val="nil"/>
            </w:tcBorders>
            <w:tcMar>
              <w:left w:w="60" w:type="dxa"/>
              <w:right w:w="60" w:type="dxa"/>
            </w:tcMar>
            <w:vAlign w:val="bottom"/>
          </w:tcPr>
          <w:p>
            <w:pPr>
              <w:pStyle w:val="DMETW36627BIPFAFVDBT"/>
              <w:jc w:val="right"/>
              <w:rPr>
                <w:rFonts w:ascii="Verdana" w:eastAsia="Verdana" w:hAnsi="Verdana" w:cs="Verdana"/>
                <w:i/>
                <w:noProof/>
                <w:color w:val="000000"/>
                <w:sz w:val="18"/>
              </w:rPr>
            </w:pPr>
          </w:p>
        </w:tc>
        <w:tc>
          <w:tcPr>
            <w:tcW w:w="850" w:type="dxa"/>
            <w:tcBorders>
              <w:top w:val="nil"/>
              <w:left w:val="nil"/>
              <w:bottom w:val="nil"/>
              <w:right w:val="nil"/>
              <w:tl2br w:val="nil"/>
              <w:tr2bl w:val="nil"/>
            </w:tcBorders>
            <w:tcMar>
              <w:left w:w="60" w:type="dxa"/>
              <w:right w:w="60" w:type="dxa"/>
            </w:tcMar>
            <w:vAlign w:val="bottom"/>
          </w:tcPr>
          <w:p>
            <w:pPr>
              <w:pStyle w:val="DMETW36627BIPFAFVDBT"/>
              <w:rPr>
                <w:rFonts w:ascii="Verdana" w:eastAsia="Verdana" w:hAnsi="Verdana" w:cs="Verdana"/>
                <w:noProof/>
                <w:color w:val="000000"/>
                <w:sz w:val="18"/>
              </w:rPr>
            </w:pPr>
          </w:p>
        </w:tc>
        <w:tc>
          <w:tcPr>
            <w:tcW w:w="1193" w:type="dxa"/>
            <w:tcBorders>
              <w:top w:val="nil"/>
              <w:left w:val="nil"/>
              <w:bottom w:val="nil"/>
              <w:right w:val="nil"/>
              <w:tl2br w:val="nil"/>
              <w:tr2bl w:val="nil"/>
            </w:tcBorders>
            <w:tcMar>
              <w:left w:w="60" w:type="dxa"/>
              <w:right w:w="60" w:type="dxa"/>
            </w:tcMar>
            <w:vAlign w:val="bottom"/>
          </w:tcPr>
          <w:p>
            <w:pPr>
              <w:pStyle w:val="DMETW36627BIPFAFVDBT"/>
              <w:jc w:val="right"/>
              <w:rPr>
                <w:rFonts w:ascii="Verdana" w:eastAsia="Verdana" w:hAnsi="Verdana" w:cs="Verdana"/>
                <w:i/>
                <w:noProof/>
                <w:color w:val="000000"/>
                <w:sz w:val="18"/>
              </w:rPr>
            </w:pPr>
            <w:r>
              <w:rPr>
                <w:rFonts w:ascii="Verdana" w:hAnsi="Verdana"/>
                <w:i/>
                <w:noProof/>
                <w:color w:val="000000"/>
                <w:sz w:val="18"/>
              </w:rPr>
              <w:t>en Mio EUR</w:t>
            </w:r>
          </w:p>
        </w:tc>
      </w:tr>
      <w:tr>
        <w:trPr>
          <w:trHeight w:val="255"/>
        </w:trPr>
        <w:tc>
          <w:tcPr>
            <w:tcW w:w="2895" w:type="dxa"/>
            <w:tcBorders>
              <w:top w:val="nil"/>
              <w:left w:val="nil"/>
              <w:bottom w:val="nil"/>
              <w:right w:val="nil"/>
              <w:tl2br w:val="nil"/>
              <w:tr2bl w:val="nil"/>
            </w:tcBorders>
            <w:shd w:val="solid" w:color="016794" w:fill="FFFFFF"/>
            <w:tcMar>
              <w:left w:w="60" w:type="dxa"/>
              <w:right w:w="60" w:type="dxa"/>
            </w:tcMar>
            <w:vAlign w:val="center"/>
          </w:tcPr>
          <w:p>
            <w:pPr>
              <w:pStyle w:val="DMETW36627BIPFAFVDBT"/>
              <w:rPr>
                <w:rFonts w:ascii="Verdana" w:eastAsia="Verdana" w:hAnsi="Verdana" w:cs="Verdana"/>
                <w:noProof/>
                <w:color w:val="FFFFFF"/>
                <w:sz w:val="18"/>
              </w:rPr>
            </w:pPr>
            <w:r>
              <w:rPr>
                <w:rFonts w:ascii="Verdana" w:hAnsi="Verdana"/>
                <w:noProof/>
                <w:color w:val="FFFFFF"/>
                <w:sz w:val="18"/>
              </w:rPr>
              <w:t>Type de dérivé</w:t>
            </w:r>
          </w:p>
        </w:tc>
        <w:tc>
          <w:tcPr>
            <w:tcW w:w="1376" w:type="dxa"/>
            <w:gridSpan w:val="3"/>
            <w:tcBorders>
              <w:top w:val="nil"/>
              <w:left w:val="nil"/>
              <w:bottom w:val="nil"/>
              <w:right w:val="nil"/>
              <w:tl2br w:val="nil"/>
              <w:tr2bl w:val="nil"/>
            </w:tcBorders>
            <w:shd w:val="solid" w:color="016794" w:fill="FFFFFF"/>
            <w:tcMar>
              <w:left w:w="60" w:type="dxa"/>
              <w:right w:w="60" w:type="dxa"/>
            </w:tcMar>
            <w:vAlign w:val="center"/>
          </w:tcPr>
          <w:p>
            <w:pPr>
              <w:pStyle w:val="DMETW36627BIPFAFVDBT"/>
              <w:rPr>
                <w:rFonts w:ascii="Verdana" w:eastAsia="Verdana" w:hAnsi="Verdana" w:cs="Verdana"/>
                <w:noProof/>
                <w:color w:val="FFFFFF"/>
                <w:sz w:val="18"/>
              </w:rPr>
            </w:pPr>
            <w:r>
              <w:rPr>
                <w:rFonts w:ascii="Verdana" w:hAnsi="Verdana"/>
                <w:noProof/>
                <w:color w:val="FFFFFF"/>
                <w:sz w:val="18"/>
              </w:rPr>
              <w:t>31.12.2025</w:t>
            </w:r>
          </w:p>
        </w:tc>
        <w:tc>
          <w:tcPr>
            <w:tcW w:w="1171" w:type="dxa"/>
            <w:gridSpan w:val="3"/>
            <w:tcBorders>
              <w:top w:val="nil"/>
              <w:left w:val="nil"/>
              <w:bottom w:val="nil"/>
              <w:right w:val="nil"/>
              <w:tl2br w:val="nil"/>
              <w:tr2bl w:val="nil"/>
            </w:tcBorders>
            <w:shd w:val="solid" w:color="016794" w:fill="FFFFFF"/>
            <w:tcMar>
              <w:left w:w="60" w:type="dxa"/>
              <w:right w:w="60" w:type="dxa"/>
            </w:tcMar>
            <w:vAlign w:val="center"/>
          </w:tcPr>
          <w:p>
            <w:pPr>
              <w:pStyle w:val="DMETW36627BIPFAFVDBT"/>
              <w:rPr>
                <w:rFonts w:ascii="Verdana" w:eastAsia="Verdana" w:hAnsi="Verdana" w:cs="Verdana"/>
                <w:noProof/>
                <w:color w:val="FFFFFF"/>
                <w:sz w:val="18"/>
              </w:rPr>
            </w:pPr>
            <w:r>
              <w:rPr>
                <w:rFonts w:ascii="Verdana" w:hAnsi="Verdana"/>
                <w:noProof/>
                <w:color w:val="FFFFFF"/>
                <w:sz w:val="18"/>
              </w:rPr>
              <w:t>31.12.2024</w:t>
            </w:r>
          </w:p>
        </w:tc>
      </w:tr>
      <w:tr>
        <w:trPr>
          <w:trHeight w:val="255"/>
        </w:trPr>
        <w:tc>
          <w:tcPr>
            <w:tcW w:w="2895" w:type="dxa"/>
            <w:tcBorders>
              <w:top w:val="nil"/>
              <w:left w:val="nil"/>
              <w:bottom w:val="nil"/>
              <w:right w:val="nil"/>
              <w:tl2br w:val="nil"/>
              <w:tr2bl w:val="nil"/>
            </w:tcBorders>
            <w:shd w:val="solid" w:color="016794" w:fill="FFFFFF"/>
            <w:tcMar>
              <w:left w:w="60" w:type="dxa"/>
              <w:right w:w="60" w:type="dxa"/>
            </w:tcMar>
            <w:vAlign w:val="center"/>
          </w:tcPr>
          <w:p>
            <w:pPr>
              <w:pStyle w:val="DMETW36627BIPFAFVDBT"/>
              <w:rPr>
                <w:rFonts w:ascii="Verdana" w:eastAsia="Verdana" w:hAnsi="Verdana" w:cs="Verdana"/>
                <w:noProof/>
                <w:color w:val="FFFFFF"/>
                <w:sz w:val="18"/>
              </w:rPr>
            </w:pPr>
          </w:p>
        </w:tc>
        <w:tc>
          <w:tcPr>
            <w:tcW w:w="1376" w:type="dxa"/>
            <w:tcBorders>
              <w:top w:val="nil"/>
              <w:left w:val="nil"/>
              <w:bottom w:val="nil"/>
              <w:right w:val="nil"/>
              <w:tl2br w:val="nil"/>
              <w:tr2bl w:val="nil"/>
            </w:tcBorders>
            <w:shd w:val="solid" w:color="4C91D0" w:fill="FFFFFF"/>
            <w:tcMar>
              <w:left w:w="60" w:type="dxa"/>
              <w:right w:w="60" w:type="dxa"/>
            </w:tcMar>
            <w:vAlign w:val="center"/>
          </w:tcPr>
          <w:p>
            <w:pPr>
              <w:pStyle w:val="DMETW36627BIPFAFVDBT"/>
              <w:jc w:val="right"/>
              <w:rPr>
                <w:rFonts w:ascii="Verdana" w:eastAsia="Verdana" w:hAnsi="Verdana" w:cs="Verdana"/>
                <w:noProof/>
                <w:color w:val="FFFFFF"/>
                <w:sz w:val="18"/>
              </w:rPr>
            </w:pPr>
            <w:r>
              <w:rPr>
                <w:rFonts w:ascii="Verdana" w:hAnsi="Verdana"/>
                <w:noProof/>
                <w:color w:val="FFFFFF"/>
                <w:sz w:val="18"/>
              </w:rPr>
              <w:t xml:space="preserve">Montant notionnel </w:t>
            </w:r>
          </w:p>
        </w:tc>
        <w:tc>
          <w:tcPr>
            <w:tcW w:w="1176" w:type="dxa"/>
            <w:tcBorders>
              <w:top w:val="nil"/>
              <w:left w:val="nil"/>
              <w:bottom w:val="nil"/>
              <w:right w:val="nil"/>
              <w:tl2br w:val="nil"/>
              <w:tr2bl w:val="nil"/>
            </w:tcBorders>
            <w:shd w:val="solid" w:color="4C91D0" w:fill="FFFFFF"/>
            <w:tcMar>
              <w:left w:w="60" w:type="dxa"/>
              <w:right w:w="60" w:type="dxa"/>
            </w:tcMar>
            <w:vAlign w:val="center"/>
          </w:tcPr>
          <w:p>
            <w:pPr>
              <w:pStyle w:val="DMETW36627BIPFAFVDBT"/>
              <w:jc w:val="right"/>
              <w:rPr>
                <w:rFonts w:ascii="Verdana" w:eastAsia="Verdana" w:hAnsi="Verdana" w:cs="Verdana"/>
                <w:noProof/>
                <w:color w:val="FFFFFF"/>
                <w:sz w:val="18"/>
              </w:rPr>
            </w:pPr>
            <w:r>
              <w:rPr>
                <w:rFonts w:ascii="Verdana" w:hAnsi="Verdana"/>
                <w:noProof/>
                <w:color w:val="FFFFFF"/>
                <w:sz w:val="18"/>
              </w:rPr>
              <w:t>Actif à la juste valeur</w:t>
            </w:r>
          </w:p>
        </w:tc>
        <w:tc>
          <w:tcPr>
            <w:tcW w:w="1097" w:type="dxa"/>
            <w:tcBorders>
              <w:top w:val="nil"/>
              <w:left w:val="nil"/>
              <w:bottom w:val="nil"/>
              <w:right w:val="nil"/>
              <w:tl2br w:val="nil"/>
              <w:tr2bl w:val="nil"/>
            </w:tcBorders>
            <w:shd w:val="solid" w:color="4C91D0" w:fill="FFFFFF"/>
            <w:tcMar>
              <w:left w:w="60" w:type="dxa"/>
              <w:right w:w="60" w:type="dxa"/>
            </w:tcMar>
            <w:vAlign w:val="center"/>
          </w:tcPr>
          <w:p>
            <w:pPr>
              <w:pStyle w:val="DMETW36627BIPFAFVDBT"/>
              <w:jc w:val="right"/>
              <w:rPr>
                <w:rFonts w:ascii="Verdana" w:eastAsia="Verdana" w:hAnsi="Verdana" w:cs="Verdana"/>
                <w:noProof/>
                <w:color w:val="FFFFFF"/>
                <w:sz w:val="18"/>
              </w:rPr>
            </w:pPr>
            <w:r>
              <w:rPr>
                <w:rFonts w:ascii="Verdana" w:hAnsi="Verdana"/>
                <w:noProof/>
                <w:color w:val="FFFFFF"/>
                <w:sz w:val="18"/>
              </w:rPr>
              <w:t>Passif à la juste valeur</w:t>
            </w:r>
          </w:p>
        </w:tc>
        <w:tc>
          <w:tcPr>
            <w:tcW w:w="1171" w:type="dxa"/>
            <w:tcBorders>
              <w:top w:val="nil"/>
              <w:left w:val="nil"/>
              <w:bottom w:val="nil"/>
              <w:right w:val="nil"/>
              <w:tl2br w:val="nil"/>
              <w:tr2bl w:val="nil"/>
            </w:tcBorders>
            <w:shd w:val="solid" w:color="4C91D0" w:fill="FFFFFF"/>
            <w:tcMar>
              <w:left w:w="60" w:type="dxa"/>
              <w:right w:w="60" w:type="dxa"/>
            </w:tcMar>
            <w:vAlign w:val="center"/>
          </w:tcPr>
          <w:p>
            <w:pPr>
              <w:pStyle w:val="DMETW36627BIPFAFVDBT"/>
              <w:jc w:val="right"/>
              <w:rPr>
                <w:rFonts w:ascii="Verdana" w:eastAsia="Verdana" w:hAnsi="Verdana" w:cs="Verdana"/>
                <w:noProof/>
                <w:color w:val="FFFFFF"/>
                <w:sz w:val="18"/>
              </w:rPr>
            </w:pPr>
            <w:r>
              <w:rPr>
                <w:rFonts w:ascii="Verdana" w:hAnsi="Verdana"/>
                <w:noProof/>
                <w:color w:val="FFFFFF"/>
                <w:sz w:val="18"/>
              </w:rPr>
              <w:t xml:space="preserve">Montant notionnel </w:t>
            </w:r>
          </w:p>
        </w:tc>
        <w:tc>
          <w:tcPr>
            <w:tcW w:w="850" w:type="dxa"/>
            <w:tcBorders>
              <w:top w:val="nil"/>
              <w:left w:val="nil"/>
              <w:bottom w:val="nil"/>
              <w:right w:val="nil"/>
              <w:tl2br w:val="nil"/>
              <w:tr2bl w:val="nil"/>
            </w:tcBorders>
            <w:shd w:val="solid" w:color="4C91D0" w:fill="FFFFFF"/>
            <w:tcMar>
              <w:left w:w="60" w:type="dxa"/>
              <w:right w:w="60" w:type="dxa"/>
            </w:tcMar>
            <w:vAlign w:val="center"/>
          </w:tcPr>
          <w:p>
            <w:pPr>
              <w:pStyle w:val="DMETW36627BIPFAFVDBT"/>
              <w:jc w:val="right"/>
              <w:rPr>
                <w:rFonts w:ascii="Verdana" w:eastAsia="Verdana" w:hAnsi="Verdana" w:cs="Verdana"/>
                <w:noProof/>
                <w:color w:val="FFFFFF"/>
                <w:sz w:val="18"/>
              </w:rPr>
            </w:pPr>
            <w:r>
              <w:rPr>
                <w:rFonts w:ascii="Verdana" w:hAnsi="Verdana"/>
                <w:noProof/>
                <w:color w:val="FFFFFF"/>
                <w:sz w:val="18"/>
              </w:rPr>
              <w:t>Actif à la juste valeur</w:t>
            </w:r>
          </w:p>
        </w:tc>
        <w:tc>
          <w:tcPr>
            <w:tcW w:w="1193" w:type="dxa"/>
            <w:tcBorders>
              <w:top w:val="nil"/>
              <w:left w:val="nil"/>
              <w:bottom w:val="nil"/>
              <w:right w:val="nil"/>
              <w:tl2br w:val="nil"/>
              <w:tr2bl w:val="nil"/>
            </w:tcBorders>
            <w:shd w:val="solid" w:color="4C91D0" w:fill="FFFFFF"/>
            <w:tcMar>
              <w:left w:w="60" w:type="dxa"/>
              <w:right w:w="60" w:type="dxa"/>
            </w:tcMar>
            <w:vAlign w:val="center"/>
          </w:tcPr>
          <w:p>
            <w:pPr>
              <w:pStyle w:val="DMETW36627BIPFAFVDBT"/>
              <w:jc w:val="right"/>
              <w:rPr>
                <w:rFonts w:ascii="Verdana" w:eastAsia="Verdana" w:hAnsi="Verdana" w:cs="Verdana"/>
                <w:noProof/>
                <w:color w:val="FFFFFF"/>
                <w:sz w:val="18"/>
              </w:rPr>
            </w:pPr>
            <w:r>
              <w:rPr>
                <w:rFonts w:ascii="Verdana" w:hAnsi="Verdana"/>
                <w:noProof/>
                <w:color w:val="FFFFFF"/>
                <w:sz w:val="18"/>
              </w:rPr>
              <w:t>Passif à la juste valeur</w:t>
            </w:r>
          </w:p>
        </w:tc>
      </w:tr>
      <w:tr>
        <w:trPr>
          <w:trHeight w:val="255"/>
        </w:trPr>
        <w:tc>
          <w:tcPr>
            <w:tcW w:w="2895" w:type="dxa"/>
            <w:tcBorders>
              <w:top w:val="nil"/>
              <w:left w:val="nil"/>
              <w:bottom w:val="nil"/>
              <w:right w:val="nil"/>
              <w:tl2br w:val="nil"/>
              <w:tr2bl w:val="nil"/>
            </w:tcBorders>
            <w:tcMar>
              <w:left w:w="60" w:type="dxa"/>
              <w:right w:w="60" w:type="dxa"/>
            </w:tcMar>
            <w:vAlign w:val="center"/>
          </w:tcPr>
          <w:p>
            <w:pPr>
              <w:pStyle w:val="DMETW36627BIPFAFVDBT"/>
              <w:rPr>
                <w:rFonts w:ascii="Verdana" w:eastAsia="Verdana" w:hAnsi="Verdana" w:cs="Verdana"/>
                <w:i/>
                <w:noProof/>
                <w:color w:val="000000"/>
                <w:sz w:val="18"/>
              </w:rPr>
            </w:pPr>
            <w:r>
              <w:rPr>
                <w:rFonts w:ascii="Verdana" w:hAnsi="Verdana"/>
                <w:i/>
                <w:noProof/>
                <w:color w:val="000000"/>
                <w:sz w:val="18"/>
              </w:rPr>
              <w:t>Garantie sur portefeuille d’instruments de fonds propres</w:t>
            </w:r>
          </w:p>
        </w:tc>
        <w:tc>
          <w:tcPr>
            <w:tcW w:w="1376" w:type="dxa"/>
            <w:tcBorders>
              <w:top w:val="nil"/>
              <w:left w:val="nil"/>
              <w:bottom w:val="nil"/>
              <w:right w:val="nil"/>
              <w:tl2br w:val="nil"/>
              <w:tr2bl w:val="nil"/>
            </w:tcBorders>
            <w:tcMar>
              <w:left w:w="60" w:type="dxa"/>
              <w:right w:w="60" w:type="dxa"/>
            </w:tcMar>
            <w:vAlign w:val="bottom"/>
          </w:tcPr>
          <w:p>
            <w:pPr>
              <w:pStyle w:val="DMETW36627BIPFAFVDBT"/>
              <w:jc w:val="right"/>
              <w:rPr>
                <w:rFonts w:ascii="Verdana" w:eastAsia="Verdana" w:hAnsi="Verdana" w:cs="Verdana"/>
                <w:i/>
                <w:noProof/>
                <w:color w:val="000000"/>
                <w:sz w:val="18"/>
              </w:rPr>
            </w:pPr>
            <w:r>
              <w:rPr>
                <w:rFonts w:ascii="Verdana" w:hAnsi="Verdana"/>
                <w:i/>
                <w:noProof/>
                <w:color w:val="000000"/>
                <w:sz w:val="18"/>
              </w:rPr>
              <w:t>6 951</w:t>
            </w:r>
          </w:p>
        </w:tc>
        <w:tc>
          <w:tcPr>
            <w:tcW w:w="1176" w:type="dxa"/>
            <w:tcBorders>
              <w:top w:val="nil"/>
              <w:left w:val="nil"/>
              <w:bottom w:val="nil"/>
              <w:right w:val="nil"/>
              <w:tl2br w:val="nil"/>
              <w:tr2bl w:val="nil"/>
            </w:tcBorders>
            <w:tcMar>
              <w:left w:w="60" w:type="dxa"/>
              <w:right w:w="60" w:type="dxa"/>
            </w:tcMar>
            <w:vAlign w:val="bottom"/>
          </w:tcPr>
          <w:p>
            <w:pPr>
              <w:pStyle w:val="DMETW36627BIPFAFVDBT"/>
              <w:jc w:val="right"/>
              <w:rPr>
                <w:rFonts w:ascii="Verdana" w:eastAsia="Verdana" w:hAnsi="Verdana" w:cs="Verdana"/>
                <w:i/>
                <w:noProof/>
                <w:color w:val="000000"/>
                <w:sz w:val="18"/>
              </w:rPr>
            </w:pPr>
            <w:r>
              <w:rPr>
                <w:rFonts w:ascii="Verdana" w:hAnsi="Verdana"/>
                <w:i/>
                <w:noProof/>
                <w:color w:val="000000"/>
                <w:sz w:val="18"/>
              </w:rPr>
              <w:t>1 568</w:t>
            </w:r>
          </w:p>
        </w:tc>
        <w:tc>
          <w:tcPr>
            <w:tcW w:w="1097" w:type="dxa"/>
            <w:tcBorders>
              <w:top w:val="nil"/>
              <w:left w:val="nil"/>
              <w:bottom w:val="nil"/>
              <w:right w:val="nil"/>
              <w:tl2br w:val="nil"/>
              <w:tr2bl w:val="nil"/>
            </w:tcBorders>
            <w:tcMar>
              <w:left w:w="60" w:type="dxa"/>
              <w:right w:w="60" w:type="dxa"/>
            </w:tcMar>
            <w:vAlign w:val="bottom"/>
          </w:tcPr>
          <w:p>
            <w:pPr>
              <w:pStyle w:val="DMETW36627BIPFAFVDBT"/>
              <w:jc w:val="right"/>
              <w:rPr>
                <w:rFonts w:ascii="Verdana" w:eastAsia="Verdana" w:hAnsi="Verdana" w:cs="Verdana"/>
                <w:i/>
                <w:noProof/>
                <w:color w:val="000000"/>
                <w:sz w:val="18"/>
              </w:rPr>
            </w:pPr>
            <w:r>
              <w:rPr>
                <w:rFonts w:ascii="Verdana" w:hAnsi="Verdana"/>
                <w:i/>
                <w:noProof/>
                <w:color w:val="000000"/>
                <w:sz w:val="18"/>
              </w:rPr>
              <w:t xml:space="preserve"> (52)</w:t>
            </w:r>
          </w:p>
        </w:tc>
        <w:tc>
          <w:tcPr>
            <w:tcW w:w="1171" w:type="dxa"/>
            <w:tcBorders>
              <w:top w:val="nil"/>
              <w:left w:val="nil"/>
              <w:bottom w:val="nil"/>
              <w:right w:val="nil"/>
              <w:tl2br w:val="nil"/>
              <w:tr2bl w:val="nil"/>
            </w:tcBorders>
            <w:tcMar>
              <w:left w:w="60" w:type="dxa"/>
              <w:right w:w="60" w:type="dxa"/>
            </w:tcMar>
            <w:vAlign w:val="bottom"/>
          </w:tcPr>
          <w:p>
            <w:pPr>
              <w:pStyle w:val="DMETW36627BIPFAFVDBT"/>
              <w:jc w:val="right"/>
              <w:rPr>
                <w:rFonts w:ascii="Verdana" w:eastAsia="Verdana" w:hAnsi="Verdana" w:cs="Verdana"/>
                <w:i/>
                <w:noProof/>
                <w:color w:val="000000"/>
                <w:sz w:val="18"/>
              </w:rPr>
            </w:pPr>
            <w:r>
              <w:rPr>
                <w:rFonts w:ascii="Verdana" w:hAnsi="Verdana"/>
                <w:i/>
                <w:noProof/>
                <w:color w:val="000000"/>
                <w:sz w:val="18"/>
              </w:rPr>
              <w:t>6 057</w:t>
            </w:r>
          </w:p>
        </w:tc>
        <w:tc>
          <w:tcPr>
            <w:tcW w:w="850" w:type="dxa"/>
            <w:tcBorders>
              <w:top w:val="nil"/>
              <w:left w:val="nil"/>
              <w:bottom w:val="nil"/>
              <w:right w:val="nil"/>
              <w:tl2br w:val="nil"/>
              <w:tr2bl w:val="nil"/>
            </w:tcBorders>
            <w:tcMar>
              <w:left w:w="60" w:type="dxa"/>
              <w:right w:w="60" w:type="dxa"/>
            </w:tcMar>
            <w:vAlign w:val="bottom"/>
          </w:tcPr>
          <w:p>
            <w:pPr>
              <w:pStyle w:val="DMETW36627BIPFAFVDBT"/>
              <w:jc w:val="right"/>
              <w:rPr>
                <w:rFonts w:ascii="Verdana" w:eastAsia="Verdana" w:hAnsi="Verdana" w:cs="Verdana"/>
                <w:i/>
                <w:noProof/>
                <w:color w:val="000000"/>
                <w:sz w:val="18"/>
              </w:rPr>
            </w:pPr>
            <w:r>
              <w:rPr>
                <w:rFonts w:ascii="Verdana" w:hAnsi="Verdana"/>
                <w:i/>
                <w:noProof/>
                <w:color w:val="000000"/>
                <w:sz w:val="18"/>
              </w:rPr>
              <w:t>1 110</w:t>
            </w:r>
          </w:p>
        </w:tc>
        <w:tc>
          <w:tcPr>
            <w:tcW w:w="1193" w:type="dxa"/>
            <w:tcBorders>
              <w:top w:val="nil"/>
              <w:left w:val="nil"/>
              <w:bottom w:val="nil"/>
              <w:right w:val="nil"/>
              <w:tl2br w:val="nil"/>
              <w:tr2bl w:val="nil"/>
            </w:tcBorders>
            <w:tcMar>
              <w:left w:w="60" w:type="dxa"/>
              <w:right w:w="60" w:type="dxa"/>
            </w:tcMar>
            <w:vAlign w:val="bottom"/>
          </w:tcPr>
          <w:p>
            <w:pPr>
              <w:pStyle w:val="DMETW36627BIPFAFVDBT"/>
              <w:jc w:val="right"/>
              <w:rPr>
                <w:rFonts w:ascii="Verdana" w:eastAsia="Verdana" w:hAnsi="Verdana" w:cs="Verdana"/>
                <w:i/>
                <w:noProof/>
                <w:color w:val="000000"/>
                <w:sz w:val="18"/>
              </w:rPr>
            </w:pPr>
            <w:r>
              <w:rPr>
                <w:rFonts w:ascii="Verdana" w:hAnsi="Verdana"/>
                <w:i/>
                <w:noProof/>
                <w:color w:val="000000"/>
                <w:sz w:val="18"/>
              </w:rPr>
              <w:t xml:space="preserve"> (60)</w:t>
            </w:r>
          </w:p>
        </w:tc>
      </w:tr>
      <w:tr>
        <w:trPr>
          <w:trHeight w:val="255"/>
        </w:trPr>
        <w:tc>
          <w:tcPr>
            <w:tcW w:w="2895" w:type="dxa"/>
            <w:tcBorders>
              <w:top w:val="nil"/>
              <w:left w:val="nil"/>
              <w:bottom w:val="single" w:sz="4" w:space="0" w:color="016794"/>
              <w:right w:val="nil"/>
              <w:tl2br w:val="nil"/>
              <w:tr2bl w:val="nil"/>
            </w:tcBorders>
            <w:tcMar>
              <w:left w:w="60" w:type="dxa"/>
              <w:right w:w="60" w:type="dxa"/>
            </w:tcMar>
            <w:vAlign w:val="center"/>
          </w:tcPr>
          <w:p>
            <w:pPr>
              <w:pStyle w:val="DMETW36627BIPFAFVDBT"/>
              <w:rPr>
                <w:rFonts w:ascii="Verdana" w:eastAsia="Verdana" w:hAnsi="Verdana" w:cs="Verdana"/>
                <w:i/>
                <w:noProof/>
                <w:color w:val="000000"/>
                <w:sz w:val="18"/>
              </w:rPr>
            </w:pPr>
            <w:r>
              <w:rPr>
                <w:rFonts w:ascii="Verdana" w:hAnsi="Verdana"/>
                <w:i/>
                <w:noProof/>
                <w:color w:val="000000"/>
                <w:sz w:val="18"/>
              </w:rPr>
              <w:t>Dérivés de change</w:t>
            </w:r>
          </w:p>
        </w:tc>
        <w:tc>
          <w:tcPr>
            <w:tcW w:w="1376" w:type="dxa"/>
            <w:tcBorders>
              <w:top w:val="nil"/>
              <w:left w:val="nil"/>
              <w:bottom w:val="single" w:sz="4" w:space="0" w:color="016794"/>
              <w:right w:val="nil"/>
              <w:tl2br w:val="nil"/>
              <w:tr2bl w:val="nil"/>
            </w:tcBorders>
            <w:tcMar>
              <w:left w:w="60" w:type="dxa"/>
              <w:right w:w="60" w:type="dxa"/>
            </w:tcMar>
            <w:vAlign w:val="bottom"/>
          </w:tcPr>
          <w:p>
            <w:pPr>
              <w:pStyle w:val="DMETW36627BIPFAFVDBT"/>
              <w:jc w:val="right"/>
              <w:rPr>
                <w:rFonts w:ascii="Verdana" w:eastAsia="Verdana" w:hAnsi="Verdana" w:cs="Verdana"/>
                <w:i/>
                <w:noProof/>
                <w:color w:val="000000"/>
                <w:sz w:val="18"/>
              </w:rPr>
            </w:pPr>
            <w:r>
              <w:rPr>
                <w:rFonts w:ascii="Verdana" w:hAnsi="Verdana"/>
                <w:i/>
                <w:noProof/>
                <w:color w:val="000000"/>
                <w:sz w:val="18"/>
              </w:rPr>
              <w:t>1 910</w:t>
            </w:r>
          </w:p>
        </w:tc>
        <w:tc>
          <w:tcPr>
            <w:tcW w:w="1176" w:type="dxa"/>
            <w:tcBorders>
              <w:top w:val="nil"/>
              <w:left w:val="nil"/>
              <w:bottom w:val="single" w:sz="4" w:space="0" w:color="016794"/>
              <w:right w:val="nil"/>
              <w:tl2br w:val="nil"/>
              <w:tr2bl w:val="nil"/>
            </w:tcBorders>
            <w:tcMar>
              <w:left w:w="60" w:type="dxa"/>
              <w:right w:w="60" w:type="dxa"/>
            </w:tcMar>
            <w:vAlign w:val="bottom"/>
          </w:tcPr>
          <w:p>
            <w:pPr>
              <w:pStyle w:val="DMETW36627BIPFAFVDBT"/>
              <w:jc w:val="right"/>
              <w:rPr>
                <w:rFonts w:ascii="Verdana" w:eastAsia="Verdana" w:hAnsi="Verdana" w:cs="Verdana"/>
                <w:i/>
                <w:noProof/>
                <w:color w:val="000000"/>
                <w:sz w:val="18"/>
              </w:rPr>
            </w:pPr>
            <w:r>
              <w:rPr>
                <w:rFonts w:ascii="Verdana" w:hAnsi="Verdana"/>
                <w:i/>
                <w:noProof/>
                <w:color w:val="000000"/>
                <w:sz w:val="18"/>
              </w:rPr>
              <w:t xml:space="preserve"> 17</w:t>
            </w:r>
          </w:p>
        </w:tc>
        <w:tc>
          <w:tcPr>
            <w:tcW w:w="1097" w:type="dxa"/>
            <w:tcBorders>
              <w:top w:val="nil"/>
              <w:left w:val="nil"/>
              <w:bottom w:val="single" w:sz="4" w:space="0" w:color="016794"/>
              <w:right w:val="nil"/>
              <w:tl2br w:val="nil"/>
              <w:tr2bl w:val="nil"/>
            </w:tcBorders>
            <w:tcMar>
              <w:left w:w="60" w:type="dxa"/>
              <w:right w:w="60" w:type="dxa"/>
            </w:tcMar>
            <w:vAlign w:val="bottom"/>
          </w:tcPr>
          <w:p>
            <w:pPr>
              <w:pStyle w:val="DMETW36627BIPFAFVDBT"/>
              <w:jc w:val="right"/>
              <w:rPr>
                <w:rFonts w:ascii="Verdana" w:eastAsia="Verdana" w:hAnsi="Verdana" w:cs="Verdana"/>
                <w:i/>
                <w:noProof/>
                <w:color w:val="000000"/>
                <w:sz w:val="18"/>
              </w:rPr>
            </w:pPr>
            <w:r>
              <w:rPr>
                <w:rFonts w:ascii="Verdana" w:hAnsi="Verdana"/>
                <w:i/>
                <w:noProof/>
                <w:color w:val="000000"/>
                <w:sz w:val="18"/>
              </w:rPr>
              <w:t xml:space="preserve"> (9)</w:t>
            </w:r>
          </w:p>
        </w:tc>
        <w:tc>
          <w:tcPr>
            <w:tcW w:w="1171" w:type="dxa"/>
            <w:tcBorders>
              <w:top w:val="nil"/>
              <w:left w:val="nil"/>
              <w:bottom w:val="single" w:sz="4" w:space="0" w:color="016794"/>
              <w:right w:val="nil"/>
              <w:tl2br w:val="nil"/>
              <w:tr2bl w:val="nil"/>
            </w:tcBorders>
            <w:tcMar>
              <w:left w:w="60" w:type="dxa"/>
              <w:right w:w="60" w:type="dxa"/>
            </w:tcMar>
            <w:vAlign w:val="bottom"/>
          </w:tcPr>
          <w:p>
            <w:pPr>
              <w:pStyle w:val="DMETW36627BIPFAFVDBT"/>
              <w:jc w:val="right"/>
              <w:rPr>
                <w:rFonts w:ascii="Verdana" w:eastAsia="Verdana" w:hAnsi="Verdana" w:cs="Verdana"/>
                <w:i/>
                <w:noProof/>
                <w:color w:val="000000"/>
                <w:sz w:val="18"/>
              </w:rPr>
            </w:pPr>
            <w:r>
              <w:rPr>
                <w:rFonts w:ascii="Verdana" w:hAnsi="Verdana"/>
                <w:i/>
                <w:noProof/>
                <w:color w:val="000000"/>
                <w:sz w:val="18"/>
              </w:rPr>
              <w:t>2 417</w:t>
            </w:r>
          </w:p>
        </w:tc>
        <w:tc>
          <w:tcPr>
            <w:tcW w:w="850" w:type="dxa"/>
            <w:tcBorders>
              <w:top w:val="nil"/>
              <w:left w:val="nil"/>
              <w:bottom w:val="single" w:sz="4" w:space="0" w:color="016794"/>
              <w:right w:val="nil"/>
              <w:tl2br w:val="nil"/>
              <w:tr2bl w:val="nil"/>
            </w:tcBorders>
            <w:tcMar>
              <w:left w:w="60" w:type="dxa"/>
              <w:right w:w="60" w:type="dxa"/>
            </w:tcMar>
            <w:vAlign w:val="bottom"/>
          </w:tcPr>
          <w:p>
            <w:pPr>
              <w:pStyle w:val="DMETW36627BIPFAFVDBT"/>
              <w:jc w:val="right"/>
              <w:rPr>
                <w:rFonts w:ascii="Verdana" w:eastAsia="Verdana" w:hAnsi="Verdana" w:cs="Verdana"/>
                <w:i/>
                <w:noProof/>
                <w:color w:val="000000"/>
                <w:sz w:val="18"/>
              </w:rPr>
            </w:pPr>
            <w:r>
              <w:rPr>
                <w:rFonts w:ascii="Verdana" w:hAnsi="Verdana"/>
                <w:i/>
                <w:noProof/>
                <w:color w:val="000000"/>
                <w:sz w:val="18"/>
              </w:rPr>
              <w:t>–</w:t>
            </w:r>
          </w:p>
        </w:tc>
        <w:tc>
          <w:tcPr>
            <w:tcW w:w="1193" w:type="dxa"/>
            <w:tcBorders>
              <w:top w:val="nil"/>
              <w:left w:val="nil"/>
              <w:bottom w:val="single" w:sz="4" w:space="0" w:color="016794"/>
              <w:right w:val="nil"/>
              <w:tl2br w:val="nil"/>
              <w:tr2bl w:val="nil"/>
            </w:tcBorders>
            <w:tcMar>
              <w:left w:w="60" w:type="dxa"/>
              <w:right w:w="60" w:type="dxa"/>
            </w:tcMar>
            <w:vAlign w:val="bottom"/>
          </w:tcPr>
          <w:p>
            <w:pPr>
              <w:pStyle w:val="DMETW36627BIPFAFVDBT"/>
              <w:jc w:val="right"/>
              <w:rPr>
                <w:rFonts w:ascii="Verdana" w:eastAsia="Verdana" w:hAnsi="Verdana" w:cs="Verdana"/>
                <w:i/>
                <w:noProof/>
                <w:color w:val="000000"/>
                <w:sz w:val="18"/>
              </w:rPr>
            </w:pPr>
            <w:r>
              <w:rPr>
                <w:rFonts w:ascii="Verdana" w:hAnsi="Verdana"/>
                <w:i/>
                <w:noProof/>
                <w:color w:val="000000"/>
                <w:sz w:val="18"/>
              </w:rPr>
              <w:t xml:space="preserve"> (38)</w:t>
            </w:r>
          </w:p>
        </w:tc>
      </w:tr>
      <w:tr>
        <w:trPr>
          <w:trHeight w:val="255"/>
        </w:trPr>
        <w:tc>
          <w:tcPr>
            <w:tcW w:w="289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27BIPFAFVDBT"/>
              <w:rPr>
                <w:rFonts w:ascii="Verdana" w:eastAsia="Verdana" w:hAnsi="Verdana" w:cs="Verdana"/>
                <w:b/>
                <w:noProof/>
                <w:color w:val="000000"/>
                <w:sz w:val="18"/>
              </w:rPr>
            </w:pPr>
            <w:r>
              <w:rPr>
                <w:rFonts w:ascii="Verdana" w:hAnsi="Verdana"/>
                <w:b/>
                <w:noProof/>
                <w:color w:val="000000"/>
                <w:sz w:val="18"/>
              </w:rPr>
              <w:t>Total</w:t>
            </w:r>
          </w:p>
        </w:tc>
        <w:tc>
          <w:tcPr>
            <w:tcW w:w="1376"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627BIPFAFVDBT"/>
              <w:jc w:val="right"/>
              <w:rPr>
                <w:rFonts w:ascii="Verdana" w:eastAsia="Verdana" w:hAnsi="Verdana" w:cs="Verdana"/>
                <w:b/>
                <w:noProof/>
                <w:color w:val="000000"/>
                <w:sz w:val="18"/>
              </w:rPr>
            </w:pPr>
            <w:r>
              <w:rPr>
                <w:rFonts w:ascii="Verdana" w:hAnsi="Verdana"/>
                <w:b/>
                <w:noProof/>
                <w:color w:val="000000"/>
                <w:sz w:val="18"/>
              </w:rPr>
              <w:t>8 861</w:t>
            </w:r>
          </w:p>
        </w:tc>
        <w:tc>
          <w:tcPr>
            <w:tcW w:w="1176"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627BIPFAFVDBT"/>
              <w:jc w:val="right"/>
              <w:rPr>
                <w:rFonts w:ascii="Verdana" w:eastAsia="Verdana" w:hAnsi="Verdana" w:cs="Verdana"/>
                <w:b/>
                <w:noProof/>
                <w:color w:val="000000"/>
                <w:sz w:val="18"/>
              </w:rPr>
            </w:pPr>
            <w:r>
              <w:rPr>
                <w:rFonts w:ascii="Verdana" w:hAnsi="Verdana"/>
                <w:b/>
                <w:noProof/>
                <w:color w:val="000000"/>
                <w:sz w:val="18"/>
              </w:rPr>
              <w:t>1 585</w:t>
            </w:r>
          </w:p>
        </w:tc>
        <w:tc>
          <w:tcPr>
            <w:tcW w:w="1097"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627BIPFAFVDBT"/>
              <w:jc w:val="right"/>
              <w:rPr>
                <w:rFonts w:ascii="Verdana" w:eastAsia="Verdana" w:hAnsi="Verdana" w:cs="Verdana"/>
                <w:b/>
                <w:noProof/>
                <w:color w:val="000000"/>
                <w:sz w:val="18"/>
              </w:rPr>
            </w:pPr>
            <w:r>
              <w:rPr>
                <w:rFonts w:ascii="Verdana" w:hAnsi="Verdana"/>
                <w:b/>
                <w:noProof/>
                <w:color w:val="000000"/>
                <w:sz w:val="18"/>
              </w:rPr>
              <w:t xml:space="preserve"> (62)</w:t>
            </w:r>
          </w:p>
        </w:tc>
        <w:tc>
          <w:tcPr>
            <w:tcW w:w="1171"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627BIPFAFVDBT"/>
              <w:jc w:val="right"/>
              <w:rPr>
                <w:rFonts w:ascii="Verdana" w:eastAsia="Verdana" w:hAnsi="Verdana" w:cs="Verdana"/>
                <w:b/>
                <w:noProof/>
                <w:color w:val="000000"/>
                <w:sz w:val="18"/>
              </w:rPr>
            </w:pPr>
            <w:r>
              <w:rPr>
                <w:rFonts w:ascii="Verdana" w:hAnsi="Verdana"/>
                <w:b/>
                <w:noProof/>
                <w:color w:val="000000"/>
                <w:sz w:val="18"/>
              </w:rPr>
              <w:t>8 474</w:t>
            </w:r>
          </w:p>
        </w:tc>
        <w:tc>
          <w:tcPr>
            <w:tcW w:w="850"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627BIPFAFVDBT"/>
              <w:jc w:val="right"/>
              <w:rPr>
                <w:rFonts w:ascii="Verdana" w:eastAsia="Verdana" w:hAnsi="Verdana" w:cs="Verdana"/>
                <w:b/>
                <w:noProof/>
                <w:color w:val="000000"/>
                <w:sz w:val="18"/>
              </w:rPr>
            </w:pPr>
            <w:r>
              <w:rPr>
                <w:rFonts w:ascii="Verdana" w:hAnsi="Verdana"/>
                <w:b/>
                <w:noProof/>
                <w:color w:val="000000"/>
                <w:sz w:val="18"/>
              </w:rPr>
              <w:t>1 110</w:t>
            </w:r>
          </w:p>
        </w:tc>
        <w:tc>
          <w:tcPr>
            <w:tcW w:w="1193"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627BIPFAFVDBT"/>
              <w:jc w:val="right"/>
              <w:rPr>
                <w:rFonts w:ascii="Verdana" w:eastAsia="Verdana" w:hAnsi="Verdana" w:cs="Verdana"/>
                <w:b/>
                <w:noProof/>
                <w:color w:val="000000"/>
                <w:sz w:val="18"/>
              </w:rPr>
            </w:pPr>
            <w:r>
              <w:rPr>
                <w:rFonts w:ascii="Verdana" w:hAnsi="Verdana"/>
                <w:b/>
                <w:noProof/>
                <w:color w:val="000000"/>
                <w:sz w:val="18"/>
              </w:rPr>
              <w:t xml:space="preserve"> (98)</w:t>
            </w:r>
          </w:p>
        </w:tc>
      </w:tr>
      <w:tr>
        <w:trPr>
          <w:trHeight w:val="255"/>
        </w:trPr>
        <w:tc>
          <w:tcPr>
            <w:tcW w:w="2895" w:type="dxa"/>
            <w:tcBorders>
              <w:top w:val="single" w:sz="4" w:space="0" w:color="016794"/>
              <w:left w:val="nil"/>
              <w:bottom w:val="nil"/>
              <w:right w:val="nil"/>
              <w:tl2br w:val="nil"/>
              <w:tr2bl w:val="nil"/>
            </w:tcBorders>
            <w:tcMar>
              <w:left w:w="60" w:type="dxa"/>
              <w:right w:w="60" w:type="dxa"/>
            </w:tcMar>
            <w:vAlign w:val="center"/>
          </w:tcPr>
          <w:p>
            <w:pPr>
              <w:pStyle w:val="DMETW36627BIPFAFVDBT"/>
              <w:rPr>
                <w:rFonts w:ascii="Verdana" w:eastAsia="Verdana" w:hAnsi="Verdana" w:cs="Verdana"/>
                <w:i/>
                <w:noProof/>
                <w:color w:val="016794"/>
                <w:sz w:val="18"/>
              </w:rPr>
            </w:pPr>
            <w:r>
              <w:rPr>
                <w:rFonts w:ascii="Verdana" w:hAnsi="Verdana"/>
                <w:i/>
                <w:noProof/>
                <w:color w:val="016794"/>
                <w:sz w:val="18"/>
              </w:rPr>
              <w:t>Non courant</w:t>
            </w:r>
          </w:p>
        </w:tc>
        <w:tc>
          <w:tcPr>
            <w:tcW w:w="1376" w:type="dxa"/>
            <w:tcBorders>
              <w:top w:val="single" w:sz="4" w:space="0" w:color="016794"/>
              <w:left w:val="nil"/>
              <w:bottom w:val="nil"/>
              <w:right w:val="nil"/>
              <w:tl2br w:val="nil"/>
              <w:tr2bl w:val="nil"/>
            </w:tcBorders>
            <w:tcMar>
              <w:left w:w="60" w:type="dxa"/>
              <w:right w:w="60" w:type="dxa"/>
            </w:tcMar>
            <w:vAlign w:val="bottom"/>
          </w:tcPr>
          <w:p>
            <w:pPr>
              <w:pStyle w:val="DMETW36627BIPFAFVDBT"/>
              <w:jc w:val="right"/>
              <w:rPr>
                <w:rFonts w:ascii="Verdana" w:eastAsia="Verdana" w:hAnsi="Verdana" w:cs="Verdana"/>
                <w:i/>
                <w:noProof/>
                <w:color w:val="016794"/>
                <w:sz w:val="18"/>
              </w:rPr>
            </w:pPr>
          </w:p>
        </w:tc>
        <w:tc>
          <w:tcPr>
            <w:tcW w:w="1176" w:type="dxa"/>
            <w:tcBorders>
              <w:top w:val="single" w:sz="4" w:space="0" w:color="016794"/>
              <w:left w:val="nil"/>
              <w:bottom w:val="nil"/>
              <w:right w:val="nil"/>
              <w:tl2br w:val="nil"/>
              <w:tr2bl w:val="nil"/>
            </w:tcBorders>
            <w:tcMar>
              <w:left w:w="60" w:type="dxa"/>
              <w:right w:w="60" w:type="dxa"/>
            </w:tcMar>
            <w:vAlign w:val="bottom"/>
          </w:tcPr>
          <w:p>
            <w:pPr>
              <w:pStyle w:val="DMETW36627BIPFAFVDBT"/>
              <w:jc w:val="right"/>
              <w:rPr>
                <w:rFonts w:ascii="Verdana" w:eastAsia="Verdana" w:hAnsi="Verdana" w:cs="Verdana"/>
                <w:i/>
                <w:noProof/>
                <w:color w:val="016794"/>
                <w:sz w:val="18"/>
              </w:rPr>
            </w:pPr>
            <w:r>
              <w:rPr>
                <w:rFonts w:ascii="Verdana" w:hAnsi="Verdana"/>
                <w:i/>
                <w:noProof/>
                <w:color w:val="016794"/>
                <w:sz w:val="18"/>
              </w:rPr>
              <w:t>1 569</w:t>
            </w:r>
          </w:p>
        </w:tc>
        <w:tc>
          <w:tcPr>
            <w:tcW w:w="1097" w:type="dxa"/>
            <w:tcBorders>
              <w:top w:val="single" w:sz="4" w:space="0" w:color="016794"/>
              <w:left w:val="nil"/>
              <w:bottom w:val="nil"/>
              <w:right w:val="nil"/>
              <w:tl2br w:val="nil"/>
              <w:tr2bl w:val="nil"/>
            </w:tcBorders>
            <w:tcMar>
              <w:left w:w="60" w:type="dxa"/>
              <w:right w:w="60" w:type="dxa"/>
            </w:tcMar>
            <w:vAlign w:val="bottom"/>
          </w:tcPr>
          <w:p>
            <w:pPr>
              <w:pStyle w:val="DMETW36627BIPFAFVDBT"/>
              <w:jc w:val="right"/>
              <w:rPr>
                <w:rFonts w:ascii="Verdana" w:eastAsia="Verdana" w:hAnsi="Verdana" w:cs="Verdana"/>
                <w:i/>
                <w:noProof/>
                <w:color w:val="016794"/>
                <w:sz w:val="18"/>
              </w:rPr>
            </w:pPr>
            <w:r>
              <w:rPr>
                <w:rFonts w:ascii="Verdana" w:hAnsi="Verdana"/>
                <w:i/>
                <w:noProof/>
                <w:color w:val="016794"/>
                <w:sz w:val="18"/>
              </w:rPr>
              <w:t xml:space="preserve"> (9)</w:t>
            </w:r>
          </w:p>
        </w:tc>
        <w:tc>
          <w:tcPr>
            <w:tcW w:w="1171" w:type="dxa"/>
            <w:tcBorders>
              <w:top w:val="single" w:sz="4" w:space="0" w:color="016794"/>
              <w:left w:val="nil"/>
              <w:bottom w:val="nil"/>
              <w:right w:val="nil"/>
              <w:tl2br w:val="nil"/>
              <w:tr2bl w:val="nil"/>
            </w:tcBorders>
            <w:tcMar>
              <w:left w:w="60" w:type="dxa"/>
              <w:right w:w="60" w:type="dxa"/>
            </w:tcMar>
            <w:vAlign w:val="bottom"/>
          </w:tcPr>
          <w:p>
            <w:pPr>
              <w:pStyle w:val="DMETW36627BIPFAFVDBT"/>
              <w:jc w:val="right"/>
              <w:rPr>
                <w:rFonts w:ascii="Verdana" w:eastAsia="Verdana" w:hAnsi="Verdana" w:cs="Verdana"/>
                <w:i/>
                <w:noProof/>
                <w:color w:val="016794"/>
                <w:sz w:val="18"/>
              </w:rPr>
            </w:pPr>
          </w:p>
        </w:tc>
        <w:tc>
          <w:tcPr>
            <w:tcW w:w="850" w:type="dxa"/>
            <w:tcBorders>
              <w:top w:val="single" w:sz="4" w:space="0" w:color="016794"/>
              <w:left w:val="nil"/>
              <w:bottom w:val="nil"/>
              <w:right w:val="nil"/>
              <w:tl2br w:val="nil"/>
              <w:tr2bl w:val="nil"/>
            </w:tcBorders>
            <w:tcMar>
              <w:left w:w="60" w:type="dxa"/>
              <w:right w:w="60" w:type="dxa"/>
            </w:tcMar>
            <w:vAlign w:val="bottom"/>
          </w:tcPr>
          <w:p>
            <w:pPr>
              <w:pStyle w:val="DMETW36627BIPFAFVDBT"/>
              <w:jc w:val="right"/>
              <w:rPr>
                <w:rFonts w:ascii="Verdana" w:eastAsia="Verdana" w:hAnsi="Verdana" w:cs="Verdana"/>
                <w:i/>
                <w:noProof/>
                <w:color w:val="016794"/>
                <w:sz w:val="18"/>
              </w:rPr>
            </w:pPr>
            <w:r>
              <w:rPr>
                <w:rFonts w:ascii="Verdana" w:hAnsi="Verdana"/>
                <w:i/>
                <w:noProof/>
                <w:color w:val="016794"/>
                <w:sz w:val="18"/>
              </w:rPr>
              <w:t>1 110</w:t>
            </w:r>
          </w:p>
        </w:tc>
        <w:tc>
          <w:tcPr>
            <w:tcW w:w="1193" w:type="dxa"/>
            <w:tcBorders>
              <w:top w:val="single" w:sz="4" w:space="0" w:color="016794"/>
              <w:left w:val="nil"/>
              <w:bottom w:val="nil"/>
              <w:right w:val="nil"/>
              <w:tl2br w:val="nil"/>
              <w:tr2bl w:val="nil"/>
            </w:tcBorders>
            <w:tcMar>
              <w:left w:w="60" w:type="dxa"/>
              <w:right w:w="60" w:type="dxa"/>
            </w:tcMar>
            <w:vAlign w:val="bottom"/>
          </w:tcPr>
          <w:p>
            <w:pPr>
              <w:pStyle w:val="DMETW36627BIPFAFVDBT"/>
              <w:jc w:val="right"/>
              <w:rPr>
                <w:rFonts w:ascii="Verdana" w:eastAsia="Verdana" w:hAnsi="Verdana" w:cs="Verdana"/>
                <w:i/>
                <w:noProof/>
                <w:color w:val="016794"/>
                <w:sz w:val="18"/>
              </w:rPr>
            </w:pPr>
            <w:r>
              <w:rPr>
                <w:rFonts w:ascii="Verdana" w:hAnsi="Verdana"/>
                <w:i/>
                <w:noProof/>
                <w:color w:val="016794"/>
                <w:sz w:val="18"/>
              </w:rPr>
              <w:t xml:space="preserve"> (13)</w:t>
            </w:r>
          </w:p>
        </w:tc>
      </w:tr>
      <w:tr>
        <w:trPr>
          <w:trHeight w:val="255"/>
        </w:trPr>
        <w:tc>
          <w:tcPr>
            <w:tcW w:w="2895" w:type="dxa"/>
            <w:tcBorders>
              <w:top w:val="nil"/>
              <w:left w:val="nil"/>
              <w:bottom w:val="nil"/>
              <w:right w:val="nil"/>
              <w:tl2br w:val="nil"/>
              <w:tr2bl w:val="nil"/>
            </w:tcBorders>
            <w:tcMar>
              <w:left w:w="60" w:type="dxa"/>
              <w:right w:w="60" w:type="dxa"/>
            </w:tcMar>
            <w:vAlign w:val="center"/>
          </w:tcPr>
          <w:p>
            <w:pPr>
              <w:pStyle w:val="DMETW36627BIPFAFVDBT"/>
              <w:rPr>
                <w:rFonts w:ascii="Verdana" w:eastAsia="Verdana" w:hAnsi="Verdana" w:cs="Verdana"/>
                <w:i/>
                <w:noProof/>
                <w:color w:val="016794"/>
                <w:sz w:val="18"/>
              </w:rPr>
            </w:pPr>
            <w:r>
              <w:rPr>
                <w:rFonts w:ascii="Verdana" w:hAnsi="Verdana"/>
                <w:i/>
                <w:noProof/>
                <w:color w:val="016794"/>
                <w:sz w:val="18"/>
              </w:rPr>
              <w:t>Courant</w:t>
            </w:r>
          </w:p>
        </w:tc>
        <w:tc>
          <w:tcPr>
            <w:tcW w:w="1376" w:type="dxa"/>
            <w:tcBorders>
              <w:top w:val="nil"/>
              <w:left w:val="nil"/>
              <w:bottom w:val="nil"/>
              <w:right w:val="nil"/>
              <w:tl2br w:val="nil"/>
              <w:tr2bl w:val="nil"/>
            </w:tcBorders>
            <w:tcMar>
              <w:left w:w="60" w:type="dxa"/>
              <w:right w:w="60" w:type="dxa"/>
            </w:tcMar>
            <w:vAlign w:val="bottom"/>
          </w:tcPr>
          <w:p>
            <w:pPr>
              <w:pStyle w:val="DMETW36627BIPFAFVDBT"/>
              <w:jc w:val="right"/>
              <w:rPr>
                <w:rFonts w:ascii="Verdana" w:eastAsia="Verdana" w:hAnsi="Verdana" w:cs="Verdana"/>
                <w:i/>
                <w:noProof/>
                <w:color w:val="016794"/>
                <w:sz w:val="18"/>
              </w:rPr>
            </w:pPr>
          </w:p>
        </w:tc>
        <w:tc>
          <w:tcPr>
            <w:tcW w:w="1176" w:type="dxa"/>
            <w:tcBorders>
              <w:top w:val="nil"/>
              <w:left w:val="nil"/>
              <w:bottom w:val="nil"/>
              <w:right w:val="nil"/>
              <w:tl2br w:val="nil"/>
              <w:tr2bl w:val="nil"/>
            </w:tcBorders>
            <w:tcMar>
              <w:left w:w="60" w:type="dxa"/>
              <w:right w:w="60" w:type="dxa"/>
            </w:tcMar>
            <w:vAlign w:val="bottom"/>
          </w:tcPr>
          <w:p>
            <w:pPr>
              <w:pStyle w:val="DMETW36627BIPFAFVDBT"/>
              <w:jc w:val="right"/>
              <w:rPr>
                <w:rFonts w:ascii="Verdana" w:eastAsia="Verdana" w:hAnsi="Verdana" w:cs="Verdana"/>
                <w:i/>
                <w:noProof/>
                <w:color w:val="016794"/>
                <w:sz w:val="18"/>
              </w:rPr>
            </w:pPr>
            <w:r>
              <w:rPr>
                <w:rFonts w:ascii="Verdana" w:hAnsi="Verdana"/>
                <w:i/>
                <w:noProof/>
                <w:color w:val="016794"/>
                <w:sz w:val="18"/>
              </w:rPr>
              <w:t xml:space="preserve"> 17</w:t>
            </w:r>
          </w:p>
        </w:tc>
        <w:tc>
          <w:tcPr>
            <w:tcW w:w="1097" w:type="dxa"/>
            <w:tcBorders>
              <w:top w:val="nil"/>
              <w:left w:val="nil"/>
              <w:bottom w:val="nil"/>
              <w:right w:val="nil"/>
              <w:tl2br w:val="nil"/>
              <w:tr2bl w:val="nil"/>
            </w:tcBorders>
            <w:tcMar>
              <w:left w:w="60" w:type="dxa"/>
              <w:right w:w="60" w:type="dxa"/>
            </w:tcMar>
            <w:vAlign w:val="bottom"/>
          </w:tcPr>
          <w:p>
            <w:pPr>
              <w:pStyle w:val="DMETW36627BIPFAFVDBT"/>
              <w:jc w:val="right"/>
              <w:rPr>
                <w:rFonts w:ascii="Verdana" w:eastAsia="Verdana" w:hAnsi="Verdana" w:cs="Verdana"/>
                <w:i/>
                <w:noProof/>
                <w:color w:val="016794"/>
                <w:sz w:val="18"/>
              </w:rPr>
            </w:pPr>
            <w:r>
              <w:rPr>
                <w:rFonts w:ascii="Verdana" w:hAnsi="Verdana"/>
                <w:i/>
                <w:noProof/>
                <w:color w:val="016794"/>
                <w:sz w:val="18"/>
              </w:rPr>
              <w:t xml:space="preserve"> (53)</w:t>
            </w:r>
          </w:p>
        </w:tc>
        <w:tc>
          <w:tcPr>
            <w:tcW w:w="1171" w:type="dxa"/>
            <w:tcBorders>
              <w:top w:val="nil"/>
              <w:left w:val="nil"/>
              <w:bottom w:val="nil"/>
              <w:right w:val="nil"/>
              <w:tl2br w:val="nil"/>
              <w:tr2bl w:val="nil"/>
            </w:tcBorders>
            <w:tcMar>
              <w:left w:w="60" w:type="dxa"/>
              <w:right w:w="60" w:type="dxa"/>
            </w:tcMar>
            <w:vAlign w:val="bottom"/>
          </w:tcPr>
          <w:p>
            <w:pPr>
              <w:pStyle w:val="DMETW36627BIPFAFVDBT"/>
              <w:jc w:val="right"/>
              <w:rPr>
                <w:rFonts w:ascii="Verdana" w:eastAsia="Verdana" w:hAnsi="Verdana" w:cs="Verdana"/>
                <w:i/>
                <w:noProof/>
                <w:color w:val="016794"/>
                <w:sz w:val="18"/>
              </w:rPr>
            </w:pPr>
          </w:p>
        </w:tc>
        <w:tc>
          <w:tcPr>
            <w:tcW w:w="850" w:type="dxa"/>
            <w:tcBorders>
              <w:top w:val="nil"/>
              <w:left w:val="nil"/>
              <w:bottom w:val="nil"/>
              <w:right w:val="nil"/>
              <w:tl2br w:val="nil"/>
              <w:tr2bl w:val="nil"/>
            </w:tcBorders>
            <w:tcMar>
              <w:left w:w="60" w:type="dxa"/>
              <w:right w:w="60" w:type="dxa"/>
            </w:tcMar>
            <w:vAlign w:val="bottom"/>
          </w:tcPr>
          <w:p>
            <w:pPr>
              <w:pStyle w:val="DMETW36627BIPFAFVDBT"/>
              <w:jc w:val="right"/>
              <w:rPr>
                <w:rFonts w:ascii="Verdana" w:eastAsia="Verdana" w:hAnsi="Verdana" w:cs="Verdana"/>
                <w:i/>
                <w:noProof/>
                <w:color w:val="016794"/>
                <w:sz w:val="18"/>
              </w:rPr>
            </w:pPr>
            <w:r>
              <w:rPr>
                <w:rFonts w:ascii="Verdana" w:hAnsi="Verdana"/>
                <w:i/>
                <w:noProof/>
                <w:color w:val="016794"/>
                <w:sz w:val="18"/>
              </w:rPr>
              <w:t>–</w:t>
            </w:r>
          </w:p>
        </w:tc>
        <w:tc>
          <w:tcPr>
            <w:tcW w:w="1193" w:type="dxa"/>
            <w:tcBorders>
              <w:top w:val="nil"/>
              <w:left w:val="nil"/>
              <w:bottom w:val="nil"/>
              <w:right w:val="nil"/>
              <w:tl2br w:val="nil"/>
              <w:tr2bl w:val="nil"/>
            </w:tcBorders>
            <w:tcMar>
              <w:left w:w="60" w:type="dxa"/>
              <w:right w:w="60" w:type="dxa"/>
            </w:tcMar>
            <w:vAlign w:val="bottom"/>
          </w:tcPr>
          <w:p>
            <w:pPr>
              <w:pStyle w:val="DMETW36627BIPFAFVDBT"/>
              <w:jc w:val="right"/>
              <w:rPr>
                <w:rFonts w:ascii="Verdana" w:eastAsia="Verdana" w:hAnsi="Verdana" w:cs="Verdana"/>
                <w:i/>
                <w:noProof/>
                <w:color w:val="016794"/>
                <w:sz w:val="18"/>
              </w:rPr>
            </w:pPr>
            <w:r>
              <w:rPr>
                <w:rFonts w:ascii="Verdana" w:hAnsi="Verdana"/>
                <w:i/>
                <w:noProof/>
                <w:color w:val="016794"/>
                <w:sz w:val="18"/>
              </w:rPr>
              <w:t xml:space="preserve"> (84)</w:t>
            </w:r>
          </w:p>
        </w:tc>
      </w:tr>
    </w:tbl>
    <w:p>
      <w:pPr>
        <w:pStyle w:val="HEADER5"/>
        <w:spacing w:before="240"/>
        <w:rPr>
          <w:noProof/>
        </w:rPr>
      </w:pPr>
      <w:r>
        <w:rPr>
          <w:noProof/>
        </w:rPr>
        <w:t>Garanties sur portefeuilles d’instruments de fonds propres</w:t>
      </w:r>
    </w:p>
    <w:p>
      <w:pPr>
        <w:pStyle w:val="DGTextstand-alone"/>
      </w:pPr>
      <w:r>
        <w:t>La rubrique «Garantie sur portefeuille d’instruments de fonds propres» comprend les garanties données par l’UE aux institutions financières sur des portefeuilles d’investissements de fonds propres. Ces garanties sont classées comme instruments financiers dérivés et sont comptabilisées comme actifs financiers ou passifs financiers à la JVCR, étant donné qu’elles ne répondent pas à la définition d’un passif lié à une garantie financière – voir note </w:t>
      </w:r>
      <w:r>
        <w:rPr>
          <w:b/>
          <w:bCs/>
        </w:rPr>
        <w:t>1.5.12</w:t>
      </w:r>
      <w:r>
        <w:t>. L’actif ou le passif financier de l’UE est évalué sur la base de la valeur des investissements sous-jacents.</w:t>
      </w:r>
    </w:p>
    <w:p>
      <w:pPr>
        <w:pStyle w:val="DGTextstand-alone"/>
      </w:pPr>
      <w:r>
        <w:t>Le montant total représente principalement la garantie au titre de l’EFSI accordée par l’UE au groupe BEI, les investissements en fonds propres sous-jacents décaissés par la BEI et le FEI s’élevant à 3,6 milliards d’EUR (contre 3,8 milliards d’EUR en 2024). La juste valeur de la garantie de l’UE sur les portefeuilles d’instruments de fonds propres de l’EFSI s’élevait à 1,4 milliard d’EUR (contre 1,1 milliard d’EUR en 2024).</w:t>
      </w:r>
    </w:p>
    <w:p>
      <w:pPr>
        <w:pStyle w:val="HEADER5"/>
        <w:spacing w:before="240"/>
        <w:rPr>
          <w:noProof/>
        </w:rPr>
      </w:pPr>
      <w:r>
        <w:rPr>
          <w:noProof/>
        </w:rPr>
        <w:t xml:space="preserve">Produits dérivés de change </w:t>
      </w:r>
    </w:p>
    <w:p>
      <w:pPr>
        <w:pStyle w:val="DGTextstand-alone"/>
      </w:pPr>
      <w:r>
        <w:t xml:space="preserve">L’UE conclut des contrats de change à terme afin de couvrir le risque de change lié aux titres de créance libellés en USD détenus dans le FCP. En vertu de ces contrats, l’UE paie le montant notionnel convenu dans le contrat en devise («branche payeur»), tel qu’il apparaît dans le tableau figurant ci-dessus, et recevra le montant notionnel en EUR («branche receveur») à la date d’échéance. </w:t>
      </w:r>
    </w:p>
    <w:p>
      <w:pPr>
        <w:pStyle w:val="DGTextstand-alone"/>
      </w:pPr>
      <w:r>
        <w:t>Cette rubrique comprend également l’effet des activités de couverture du risque de change dans le cadre de la garantie InvestEU et les cas où l’UE garantit le risque de change.</w:t>
      </w:r>
    </w:p>
    <w:p>
      <w:pPr>
        <w:pStyle w:val="HEADER5"/>
        <w:rPr>
          <w:noProof/>
        </w:rPr>
      </w:pPr>
      <w:r>
        <w:rPr>
          <w:noProof/>
        </w:rPr>
        <w:t>Hiérarchie des justes valeurs des actifs et des passifs financiers dérivés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05"/>
        <w:gridCol w:w="1431"/>
        <w:gridCol w:w="1431"/>
        <w:gridCol w:w="1431"/>
        <w:gridCol w:w="1460"/>
      </w:tblGrid>
      <w:tr>
        <w:trPr>
          <w:trHeight w:val="255"/>
        </w:trPr>
        <w:tc>
          <w:tcPr>
            <w:tcW w:w="4005" w:type="dxa"/>
            <w:tcBorders>
              <w:top w:val="nil"/>
              <w:left w:val="nil"/>
              <w:bottom w:val="nil"/>
              <w:right w:val="nil"/>
              <w:tl2br w:val="nil"/>
              <w:tr2bl w:val="nil"/>
            </w:tcBorders>
            <w:tcMar>
              <w:left w:w="60" w:type="dxa"/>
              <w:right w:w="60" w:type="dxa"/>
            </w:tcMar>
            <w:vAlign w:val="bottom"/>
          </w:tcPr>
          <w:p>
            <w:pPr>
              <w:pStyle w:val="DMETW36627BIPFVHDFAL"/>
              <w:rPr>
                <w:rFonts w:ascii="Verdana" w:eastAsia="Verdana" w:hAnsi="Verdana" w:cs="Verdana"/>
                <w:noProof/>
                <w:color w:val="000000"/>
                <w:sz w:val="18"/>
              </w:rPr>
            </w:pPr>
            <w:bookmarkStart w:id="114" w:name="DOC_TBL00018_1_1"/>
            <w:bookmarkEnd w:id="114"/>
          </w:p>
        </w:tc>
        <w:tc>
          <w:tcPr>
            <w:tcW w:w="1431" w:type="dxa"/>
            <w:tcBorders>
              <w:top w:val="nil"/>
              <w:left w:val="nil"/>
              <w:bottom w:val="nil"/>
              <w:right w:val="nil"/>
              <w:tl2br w:val="nil"/>
              <w:tr2bl w:val="nil"/>
            </w:tcBorders>
            <w:tcMar>
              <w:left w:w="60" w:type="dxa"/>
              <w:right w:w="60" w:type="dxa"/>
            </w:tcMar>
            <w:vAlign w:val="bottom"/>
          </w:tcPr>
          <w:p>
            <w:pPr>
              <w:pStyle w:val="DMETW36627BIPFVHDFAL"/>
              <w:rPr>
                <w:rFonts w:ascii="Verdana" w:eastAsia="Verdana" w:hAnsi="Verdana" w:cs="Verdana"/>
                <w:noProof/>
                <w:color w:val="000000"/>
                <w:sz w:val="18"/>
              </w:rPr>
            </w:pPr>
          </w:p>
        </w:tc>
        <w:tc>
          <w:tcPr>
            <w:tcW w:w="1431" w:type="dxa"/>
            <w:tcBorders>
              <w:top w:val="nil"/>
              <w:left w:val="nil"/>
              <w:bottom w:val="nil"/>
              <w:right w:val="nil"/>
              <w:tl2br w:val="nil"/>
              <w:tr2bl w:val="nil"/>
            </w:tcBorders>
            <w:tcMar>
              <w:left w:w="60" w:type="dxa"/>
              <w:right w:w="60" w:type="dxa"/>
            </w:tcMar>
            <w:vAlign w:val="bottom"/>
          </w:tcPr>
          <w:p>
            <w:pPr>
              <w:pStyle w:val="DMETW36627BIPFVHDFAL"/>
              <w:rPr>
                <w:rFonts w:ascii="Verdana" w:eastAsia="Verdana" w:hAnsi="Verdana" w:cs="Verdana"/>
                <w:noProof/>
                <w:color w:val="000000"/>
                <w:sz w:val="18"/>
              </w:rPr>
            </w:pPr>
          </w:p>
        </w:tc>
        <w:tc>
          <w:tcPr>
            <w:tcW w:w="1431" w:type="dxa"/>
            <w:tcBorders>
              <w:top w:val="nil"/>
              <w:left w:val="nil"/>
              <w:bottom w:val="nil"/>
              <w:right w:val="nil"/>
              <w:tl2br w:val="nil"/>
              <w:tr2bl w:val="nil"/>
            </w:tcBorders>
            <w:tcMar>
              <w:left w:w="60" w:type="dxa"/>
              <w:right w:w="60" w:type="dxa"/>
            </w:tcMar>
            <w:vAlign w:val="bottom"/>
          </w:tcPr>
          <w:p>
            <w:pPr>
              <w:pStyle w:val="DMETW36627BIPFVHDFAL"/>
              <w:rPr>
                <w:rFonts w:ascii="Verdana" w:eastAsia="Verdana" w:hAnsi="Verdana" w:cs="Verdana"/>
                <w:noProof/>
                <w:color w:val="000000"/>
                <w:sz w:val="18"/>
              </w:rPr>
            </w:pPr>
          </w:p>
        </w:tc>
        <w:tc>
          <w:tcPr>
            <w:tcW w:w="1460" w:type="dxa"/>
            <w:tcBorders>
              <w:top w:val="nil"/>
              <w:left w:val="nil"/>
              <w:bottom w:val="nil"/>
              <w:right w:val="nil"/>
              <w:tl2br w:val="nil"/>
              <w:tr2bl w:val="nil"/>
            </w:tcBorders>
            <w:tcMar>
              <w:left w:w="60" w:type="dxa"/>
              <w:right w:w="60" w:type="dxa"/>
            </w:tcMar>
            <w:vAlign w:val="bottom"/>
          </w:tcPr>
          <w:p>
            <w:pPr>
              <w:pStyle w:val="DMETW36627BIPFVHDFAL"/>
              <w:jc w:val="right"/>
              <w:rPr>
                <w:rFonts w:ascii="Verdana" w:eastAsia="Verdana" w:hAnsi="Verdana" w:cs="Verdana"/>
                <w:i/>
                <w:noProof/>
                <w:color w:val="000000"/>
                <w:sz w:val="18"/>
              </w:rPr>
            </w:pPr>
            <w:r>
              <w:rPr>
                <w:rFonts w:ascii="Verdana" w:hAnsi="Verdana"/>
                <w:i/>
                <w:noProof/>
                <w:color w:val="000000"/>
                <w:sz w:val="18"/>
              </w:rPr>
              <w:t>en Mio EUR</w:t>
            </w:r>
          </w:p>
        </w:tc>
      </w:tr>
      <w:tr>
        <w:trPr>
          <w:trHeight w:val="255"/>
        </w:trPr>
        <w:tc>
          <w:tcPr>
            <w:tcW w:w="4005" w:type="dxa"/>
            <w:tcBorders>
              <w:top w:val="nil"/>
              <w:left w:val="nil"/>
              <w:bottom w:val="nil"/>
              <w:right w:val="nil"/>
              <w:tl2br w:val="nil"/>
              <w:tr2bl w:val="nil"/>
            </w:tcBorders>
            <w:shd w:val="solid" w:color="016794" w:fill="FFFFFF"/>
            <w:tcMar>
              <w:left w:w="60" w:type="dxa"/>
              <w:right w:w="60" w:type="dxa"/>
            </w:tcMar>
            <w:vAlign w:val="center"/>
          </w:tcPr>
          <w:p>
            <w:pPr>
              <w:pStyle w:val="DMETW36627BIPFVHDFAL"/>
              <w:rPr>
                <w:rFonts w:ascii="Verdana" w:eastAsia="Verdana" w:hAnsi="Verdana" w:cs="Verdana"/>
                <w:noProof/>
                <w:color w:val="FFFFFF"/>
                <w:sz w:val="18"/>
              </w:rPr>
            </w:pPr>
            <w:r>
              <w:rPr>
                <w:rFonts w:ascii="Verdana" w:hAnsi="Verdana"/>
                <w:noProof/>
                <w:color w:val="FFFFFF"/>
                <w:sz w:val="18"/>
              </w:rPr>
              <w:t>Type de dérivé</w:t>
            </w:r>
          </w:p>
        </w:tc>
        <w:tc>
          <w:tcPr>
            <w:tcW w:w="1431" w:type="dxa"/>
            <w:tcBorders>
              <w:top w:val="nil"/>
              <w:left w:val="nil"/>
              <w:bottom w:val="nil"/>
              <w:right w:val="nil"/>
              <w:tl2br w:val="nil"/>
              <w:tr2bl w:val="nil"/>
            </w:tcBorders>
            <w:shd w:val="solid" w:color="016794" w:fill="FFFFFF"/>
            <w:tcMar>
              <w:left w:w="60" w:type="dxa"/>
              <w:right w:w="60" w:type="dxa"/>
            </w:tcMar>
            <w:vAlign w:val="center"/>
          </w:tcPr>
          <w:p>
            <w:pPr>
              <w:pStyle w:val="DMETW36627BIPFVHDFAL"/>
              <w:jc w:val="center"/>
              <w:rPr>
                <w:rFonts w:ascii="Verdana" w:eastAsia="Verdana" w:hAnsi="Verdana" w:cs="Verdana"/>
                <w:noProof/>
                <w:color w:val="FFFFFF"/>
                <w:sz w:val="18"/>
              </w:rPr>
            </w:pPr>
            <w:r>
              <w:rPr>
                <w:rFonts w:ascii="Verdana" w:hAnsi="Verdana"/>
                <w:noProof/>
                <w:color w:val="FFFFFF"/>
                <w:sz w:val="18"/>
              </w:rPr>
              <w:t>31.12.2025</w:t>
            </w:r>
          </w:p>
        </w:tc>
        <w:tc>
          <w:tcPr>
            <w:tcW w:w="1431" w:type="dxa"/>
            <w:tcBorders>
              <w:top w:val="nil"/>
              <w:left w:val="nil"/>
              <w:bottom w:val="nil"/>
              <w:right w:val="nil"/>
              <w:tl2br w:val="nil"/>
              <w:tr2bl w:val="nil"/>
            </w:tcBorders>
            <w:shd w:val="solid" w:color="016794" w:fill="FFFFFF"/>
            <w:tcMar>
              <w:left w:w="60" w:type="dxa"/>
              <w:right w:w="60" w:type="dxa"/>
            </w:tcMar>
            <w:vAlign w:val="center"/>
          </w:tcPr>
          <w:p>
            <w:pPr>
              <w:pStyle w:val="DMETW36627BIPFVHDFAL"/>
              <w:jc w:val="center"/>
              <w:rPr>
                <w:rFonts w:ascii="Verdana" w:eastAsia="Verdana" w:hAnsi="Verdana" w:cs="Verdana"/>
                <w:noProof/>
                <w:color w:val="FFFFFF"/>
                <w:sz w:val="18"/>
              </w:rPr>
            </w:pPr>
          </w:p>
        </w:tc>
        <w:tc>
          <w:tcPr>
            <w:tcW w:w="1431" w:type="dxa"/>
            <w:tcBorders>
              <w:top w:val="nil"/>
              <w:left w:val="nil"/>
              <w:bottom w:val="nil"/>
              <w:right w:val="nil"/>
              <w:tl2br w:val="nil"/>
              <w:tr2bl w:val="nil"/>
            </w:tcBorders>
            <w:shd w:val="solid" w:color="016794" w:fill="FFFFFF"/>
            <w:tcMar>
              <w:left w:w="60" w:type="dxa"/>
              <w:right w:w="60" w:type="dxa"/>
            </w:tcMar>
            <w:vAlign w:val="center"/>
          </w:tcPr>
          <w:p>
            <w:pPr>
              <w:pStyle w:val="DMETW36627BIPFVHDFAL"/>
              <w:jc w:val="center"/>
              <w:rPr>
                <w:rFonts w:ascii="Verdana" w:eastAsia="Verdana" w:hAnsi="Verdana" w:cs="Verdana"/>
                <w:noProof/>
                <w:color w:val="FFFFFF"/>
                <w:sz w:val="18"/>
              </w:rPr>
            </w:pPr>
            <w:r>
              <w:rPr>
                <w:rFonts w:ascii="Verdana" w:hAnsi="Verdana"/>
                <w:noProof/>
                <w:color w:val="FFFFFF"/>
                <w:sz w:val="18"/>
              </w:rPr>
              <w:t>31.12.2024</w:t>
            </w:r>
          </w:p>
        </w:tc>
        <w:tc>
          <w:tcPr>
            <w:tcW w:w="1460" w:type="dxa"/>
            <w:tcBorders>
              <w:top w:val="nil"/>
              <w:left w:val="nil"/>
              <w:bottom w:val="nil"/>
              <w:right w:val="nil"/>
              <w:tl2br w:val="nil"/>
              <w:tr2bl w:val="nil"/>
            </w:tcBorders>
            <w:shd w:val="solid" w:color="016794" w:fill="FFFFFF"/>
            <w:tcMar>
              <w:left w:w="60" w:type="dxa"/>
              <w:right w:w="60" w:type="dxa"/>
            </w:tcMar>
            <w:vAlign w:val="center"/>
          </w:tcPr>
          <w:p>
            <w:pPr>
              <w:pStyle w:val="DMETW36627BIPFVHDFAL"/>
              <w:jc w:val="center"/>
              <w:rPr>
                <w:rFonts w:ascii="Verdana" w:eastAsia="Verdana" w:hAnsi="Verdana" w:cs="Verdana"/>
                <w:noProof/>
                <w:color w:val="FFFFFF"/>
                <w:sz w:val="18"/>
                <w:lang w:bidi="en-GB"/>
              </w:rPr>
            </w:pPr>
          </w:p>
        </w:tc>
      </w:tr>
      <w:tr>
        <w:trPr>
          <w:trHeight w:val="255"/>
        </w:trPr>
        <w:tc>
          <w:tcPr>
            <w:tcW w:w="4005" w:type="dxa"/>
            <w:tcBorders>
              <w:top w:val="nil"/>
              <w:left w:val="nil"/>
              <w:bottom w:val="nil"/>
              <w:right w:val="nil"/>
              <w:tl2br w:val="nil"/>
              <w:tr2bl w:val="nil"/>
            </w:tcBorders>
            <w:shd w:val="solid" w:color="016794" w:fill="FFFFFF"/>
            <w:tcMar>
              <w:left w:w="60" w:type="dxa"/>
              <w:right w:w="60" w:type="dxa"/>
            </w:tcMar>
            <w:vAlign w:val="center"/>
          </w:tcPr>
          <w:p>
            <w:pPr>
              <w:pStyle w:val="DMETW36627BIPFVHDFAL"/>
              <w:rPr>
                <w:rFonts w:ascii="Verdana" w:eastAsia="Verdana" w:hAnsi="Verdana" w:cs="Verdana"/>
                <w:noProof/>
                <w:color w:val="FFFFFF"/>
                <w:sz w:val="18"/>
              </w:rPr>
            </w:pPr>
          </w:p>
        </w:tc>
        <w:tc>
          <w:tcPr>
            <w:tcW w:w="1431" w:type="dxa"/>
            <w:tcBorders>
              <w:top w:val="nil"/>
              <w:left w:val="nil"/>
              <w:bottom w:val="nil"/>
              <w:right w:val="nil"/>
              <w:tl2br w:val="nil"/>
              <w:tr2bl w:val="nil"/>
            </w:tcBorders>
            <w:shd w:val="solid" w:color="4C91D0" w:fill="FFFFFF"/>
            <w:tcMar>
              <w:left w:w="60" w:type="dxa"/>
              <w:right w:w="60" w:type="dxa"/>
            </w:tcMar>
            <w:vAlign w:val="center"/>
          </w:tcPr>
          <w:p>
            <w:pPr>
              <w:pStyle w:val="DMETW36627BIPFVHDFAL"/>
              <w:jc w:val="right"/>
              <w:rPr>
                <w:rFonts w:ascii="Verdana" w:eastAsia="Verdana" w:hAnsi="Verdana" w:cs="Verdana"/>
                <w:noProof/>
                <w:color w:val="FFFFFF"/>
                <w:sz w:val="18"/>
              </w:rPr>
            </w:pPr>
            <w:r>
              <w:rPr>
                <w:rFonts w:ascii="Verdana" w:hAnsi="Verdana"/>
                <w:noProof/>
                <w:color w:val="FFFFFF"/>
                <w:sz w:val="18"/>
              </w:rPr>
              <w:t xml:space="preserve">Actif à la juste valeur </w:t>
            </w:r>
          </w:p>
        </w:tc>
        <w:tc>
          <w:tcPr>
            <w:tcW w:w="1431" w:type="dxa"/>
            <w:tcBorders>
              <w:top w:val="nil"/>
              <w:left w:val="nil"/>
              <w:bottom w:val="nil"/>
              <w:right w:val="nil"/>
              <w:tl2br w:val="nil"/>
              <w:tr2bl w:val="nil"/>
            </w:tcBorders>
            <w:shd w:val="solid" w:color="4C91D0" w:fill="FFFFFF"/>
            <w:tcMar>
              <w:left w:w="60" w:type="dxa"/>
              <w:right w:w="60" w:type="dxa"/>
            </w:tcMar>
            <w:vAlign w:val="center"/>
          </w:tcPr>
          <w:p>
            <w:pPr>
              <w:pStyle w:val="DMETW36627BIPFVHDFAL"/>
              <w:jc w:val="right"/>
              <w:rPr>
                <w:rFonts w:ascii="Verdana" w:eastAsia="Verdana" w:hAnsi="Verdana" w:cs="Verdana"/>
                <w:noProof/>
                <w:color w:val="FFFFFF"/>
                <w:sz w:val="18"/>
              </w:rPr>
            </w:pPr>
            <w:r>
              <w:rPr>
                <w:rFonts w:ascii="Verdana" w:hAnsi="Verdana"/>
                <w:noProof/>
                <w:color w:val="FFFFFF"/>
                <w:sz w:val="18"/>
              </w:rPr>
              <w:t xml:space="preserve">Passif à la juste valeur </w:t>
            </w:r>
          </w:p>
        </w:tc>
        <w:tc>
          <w:tcPr>
            <w:tcW w:w="1431" w:type="dxa"/>
            <w:tcBorders>
              <w:top w:val="nil"/>
              <w:left w:val="nil"/>
              <w:bottom w:val="nil"/>
              <w:right w:val="nil"/>
              <w:tl2br w:val="nil"/>
              <w:tr2bl w:val="nil"/>
            </w:tcBorders>
            <w:shd w:val="solid" w:color="4C91D0" w:fill="FFFFFF"/>
            <w:tcMar>
              <w:left w:w="60" w:type="dxa"/>
              <w:right w:w="60" w:type="dxa"/>
            </w:tcMar>
            <w:vAlign w:val="center"/>
          </w:tcPr>
          <w:p>
            <w:pPr>
              <w:pStyle w:val="DMETW36627BIPFVHDFAL"/>
              <w:jc w:val="right"/>
              <w:rPr>
                <w:rFonts w:ascii="Verdana" w:eastAsia="Verdana" w:hAnsi="Verdana" w:cs="Verdana"/>
                <w:noProof/>
                <w:color w:val="FFFFFF"/>
                <w:sz w:val="18"/>
              </w:rPr>
            </w:pPr>
            <w:r>
              <w:rPr>
                <w:rFonts w:ascii="Verdana" w:hAnsi="Verdana"/>
                <w:noProof/>
                <w:color w:val="FFFFFF"/>
                <w:sz w:val="18"/>
              </w:rPr>
              <w:t xml:space="preserve">Actif à la juste valeur </w:t>
            </w:r>
          </w:p>
        </w:tc>
        <w:tc>
          <w:tcPr>
            <w:tcW w:w="1460" w:type="dxa"/>
            <w:tcBorders>
              <w:top w:val="nil"/>
              <w:left w:val="nil"/>
              <w:bottom w:val="nil"/>
              <w:right w:val="nil"/>
              <w:tl2br w:val="nil"/>
              <w:tr2bl w:val="nil"/>
            </w:tcBorders>
            <w:shd w:val="solid" w:color="4C91D0" w:fill="FFFFFF"/>
            <w:tcMar>
              <w:left w:w="60" w:type="dxa"/>
              <w:right w:w="60" w:type="dxa"/>
            </w:tcMar>
            <w:vAlign w:val="center"/>
          </w:tcPr>
          <w:p>
            <w:pPr>
              <w:pStyle w:val="DMETW36627BIPFVHDFAL"/>
              <w:jc w:val="right"/>
              <w:rPr>
                <w:rFonts w:ascii="Verdana" w:eastAsia="Verdana" w:hAnsi="Verdana" w:cs="Verdana"/>
                <w:noProof/>
                <w:color w:val="FFFFFF"/>
                <w:sz w:val="18"/>
              </w:rPr>
            </w:pPr>
            <w:r>
              <w:rPr>
                <w:rFonts w:ascii="Verdana" w:hAnsi="Verdana"/>
                <w:noProof/>
                <w:color w:val="FFFFFF"/>
                <w:sz w:val="18"/>
              </w:rPr>
              <w:t xml:space="preserve">Passif à la juste valeur </w:t>
            </w:r>
          </w:p>
        </w:tc>
      </w:tr>
      <w:tr>
        <w:trPr>
          <w:trHeight w:val="255"/>
        </w:trPr>
        <w:tc>
          <w:tcPr>
            <w:tcW w:w="4005" w:type="dxa"/>
            <w:tcBorders>
              <w:top w:val="nil"/>
              <w:left w:val="nil"/>
              <w:bottom w:val="nil"/>
              <w:right w:val="nil"/>
              <w:tl2br w:val="nil"/>
              <w:tr2bl w:val="nil"/>
            </w:tcBorders>
            <w:tcMar>
              <w:left w:w="60" w:type="dxa"/>
              <w:right w:w="60" w:type="dxa"/>
            </w:tcMar>
            <w:vAlign w:val="center"/>
          </w:tcPr>
          <w:p>
            <w:pPr>
              <w:pStyle w:val="DMETW36627BIPFVHDFAL"/>
              <w:rPr>
                <w:rFonts w:ascii="Verdana" w:eastAsia="Verdana" w:hAnsi="Verdana" w:cs="Verdana"/>
                <w:i/>
                <w:noProof/>
                <w:color w:val="000000"/>
                <w:sz w:val="18"/>
              </w:rPr>
            </w:pPr>
            <w:r>
              <w:rPr>
                <w:rFonts w:ascii="Verdana" w:hAnsi="Verdana"/>
                <w:i/>
                <w:noProof/>
                <w:color w:val="000000"/>
                <w:sz w:val="18"/>
              </w:rPr>
              <w:t>Niveau 1: prix cotés sur des marchés actifs</w:t>
            </w:r>
          </w:p>
        </w:tc>
        <w:tc>
          <w:tcPr>
            <w:tcW w:w="1431" w:type="dxa"/>
            <w:tcBorders>
              <w:top w:val="nil"/>
              <w:left w:val="nil"/>
              <w:bottom w:val="nil"/>
              <w:right w:val="nil"/>
              <w:tl2br w:val="nil"/>
              <w:tr2bl w:val="nil"/>
            </w:tcBorders>
            <w:tcMar>
              <w:left w:w="60" w:type="dxa"/>
              <w:right w:w="60" w:type="dxa"/>
            </w:tcMar>
            <w:vAlign w:val="center"/>
          </w:tcPr>
          <w:p>
            <w:pPr>
              <w:pStyle w:val="DMETW36627BIPFVHDFAL"/>
              <w:jc w:val="right"/>
              <w:rPr>
                <w:rFonts w:ascii="Verdana" w:eastAsia="Verdana" w:hAnsi="Verdana" w:cs="Verdana"/>
                <w:i/>
                <w:noProof/>
                <w:color w:val="000000"/>
                <w:sz w:val="18"/>
              </w:rPr>
            </w:pPr>
            <w:r>
              <w:rPr>
                <w:rFonts w:ascii="Verdana" w:hAnsi="Verdana"/>
                <w:i/>
                <w:noProof/>
                <w:color w:val="000000"/>
                <w:sz w:val="18"/>
              </w:rPr>
              <w:t>–</w:t>
            </w:r>
          </w:p>
        </w:tc>
        <w:tc>
          <w:tcPr>
            <w:tcW w:w="1431" w:type="dxa"/>
            <w:tcBorders>
              <w:top w:val="nil"/>
              <w:left w:val="nil"/>
              <w:bottom w:val="nil"/>
              <w:right w:val="nil"/>
              <w:tl2br w:val="nil"/>
              <w:tr2bl w:val="nil"/>
            </w:tcBorders>
            <w:tcMar>
              <w:left w:w="60" w:type="dxa"/>
              <w:right w:w="60" w:type="dxa"/>
            </w:tcMar>
            <w:vAlign w:val="center"/>
          </w:tcPr>
          <w:p>
            <w:pPr>
              <w:pStyle w:val="DMETW36627BIPFVHDFAL"/>
              <w:jc w:val="right"/>
              <w:rPr>
                <w:rFonts w:ascii="Verdana" w:eastAsia="Verdana" w:hAnsi="Verdana" w:cs="Verdana"/>
                <w:i/>
                <w:noProof/>
                <w:color w:val="000000"/>
                <w:sz w:val="18"/>
              </w:rPr>
            </w:pPr>
            <w:r>
              <w:rPr>
                <w:rFonts w:ascii="Verdana" w:hAnsi="Verdana"/>
                <w:i/>
                <w:noProof/>
                <w:color w:val="000000"/>
                <w:sz w:val="18"/>
              </w:rPr>
              <w:t>–</w:t>
            </w:r>
          </w:p>
        </w:tc>
        <w:tc>
          <w:tcPr>
            <w:tcW w:w="1431" w:type="dxa"/>
            <w:tcBorders>
              <w:top w:val="nil"/>
              <w:left w:val="nil"/>
              <w:bottom w:val="nil"/>
              <w:right w:val="nil"/>
              <w:tl2br w:val="nil"/>
              <w:tr2bl w:val="nil"/>
            </w:tcBorders>
            <w:tcMar>
              <w:left w:w="60" w:type="dxa"/>
              <w:right w:w="60" w:type="dxa"/>
            </w:tcMar>
            <w:vAlign w:val="center"/>
          </w:tcPr>
          <w:p>
            <w:pPr>
              <w:pStyle w:val="DMETW36627BIPFVHDFAL"/>
              <w:jc w:val="right"/>
              <w:rPr>
                <w:rFonts w:ascii="Verdana" w:eastAsia="Verdana" w:hAnsi="Verdana" w:cs="Verdana"/>
                <w:i/>
                <w:noProof/>
                <w:color w:val="000000"/>
                <w:sz w:val="18"/>
              </w:rPr>
            </w:pPr>
            <w:r>
              <w:rPr>
                <w:rFonts w:ascii="Verdana" w:hAnsi="Verdana"/>
                <w:i/>
                <w:noProof/>
                <w:color w:val="000000"/>
                <w:sz w:val="18"/>
              </w:rPr>
              <w:t>–</w:t>
            </w:r>
          </w:p>
        </w:tc>
        <w:tc>
          <w:tcPr>
            <w:tcW w:w="1460" w:type="dxa"/>
            <w:tcBorders>
              <w:top w:val="nil"/>
              <w:left w:val="nil"/>
              <w:bottom w:val="nil"/>
              <w:right w:val="nil"/>
              <w:tl2br w:val="nil"/>
              <w:tr2bl w:val="nil"/>
            </w:tcBorders>
            <w:tcMar>
              <w:left w:w="60" w:type="dxa"/>
              <w:right w:w="60" w:type="dxa"/>
            </w:tcMar>
            <w:vAlign w:val="center"/>
          </w:tcPr>
          <w:p>
            <w:pPr>
              <w:pStyle w:val="DMETW36627BIPFVHDFAL"/>
              <w:jc w:val="right"/>
              <w:rPr>
                <w:rFonts w:ascii="Verdana" w:eastAsia="Verdana" w:hAnsi="Verdana" w:cs="Verdana"/>
                <w:i/>
                <w:noProof/>
                <w:color w:val="000000"/>
                <w:sz w:val="18"/>
              </w:rPr>
            </w:pPr>
            <w:r>
              <w:rPr>
                <w:rFonts w:ascii="Verdana" w:hAnsi="Verdana"/>
                <w:i/>
                <w:noProof/>
                <w:color w:val="000000"/>
                <w:sz w:val="18"/>
              </w:rPr>
              <w:t>–</w:t>
            </w:r>
          </w:p>
        </w:tc>
      </w:tr>
      <w:tr>
        <w:trPr>
          <w:trHeight w:val="255"/>
        </w:trPr>
        <w:tc>
          <w:tcPr>
            <w:tcW w:w="4005" w:type="dxa"/>
            <w:tcBorders>
              <w:top w:val="nil"/>
              <w:left w:val="nil"/>
              <w:bottom w:val="nil"/>
              <w:right w:val="nil"/>
              <w:tl2br w:val="nil"/>
              <w:tr2bl w:val="nil"/>
            </w:tcBorders>
            <w:tcMar>
              <w:left w:w="60" w:type="dxa"/>
              <w:right w:w="60" w:type="dxa"/>
            </w:tcMar>
            <w:vAlign w:val="center"/>
          </w:tcPr>
          <w:p>
            <w:pPr>
              <w:pStyle w:val="DMETW36627BIPFVHDFAL"/>
              <w:rPr>
                <w:rFonts w:ascii="Verdana" w:eastAsia="Verdana" w:hAnsi="Verdana" w:cs="Verdana"/>
                <w:i/>
                <w:noProof/>
                <w:color w:val="000000"/>
                <w:sz w:val="18"/>
              </w:rPr>
            </w:pPr>
            <w:r>
              <w:rPr>
                <w:rFonts w:ascii="Verdana" w:hAnsi="Verdana"/>
                <w:i/>
                <w:noProof/>
                <w:color w:val="000000"/>
                <w:sz w:val="18"/>
              </w:rPr>
              <w:t>Niveau 2: données observables autres que les prix cotés</w:t>
            </w:r>
          </w:p>
        </w:tc>
        <w:tc>
          <w:tcPr>
            <w:tcW w:w="1431" w:type="dxa"/>
            <w:tcBorders>
              <w:top w:val="nil"/>
              <w:left w:val="nil"/>
              <w:bottom w:val="nil"/>
              <w:right w:val="nil"/>
              <w:tl2br w:val="nil"/>
              <w:tr2bl w:val="nil"/>
            </w:tcBorders>
            <w:tcMar>
              <w:left w:w="60" w:type="dxa"/>
              <w:right w:w="60" w:type="dxa"/>
            </w:tcMar>
            <w:vAlign w:val="center"/>
          </w:tcPr>
          <w:p>
            <w:pPr>
              <w:pStyle w:val="DMETW36627BIPFVHDFAL"/>
              <w:jc w:val="right"/>
              <w:rPr>
                <w:rFonts w:ascii="Verdana" w:eastAsia="Verdana" w:hAnsi="Verdana" w:cs="Verdana"/>
                <w:i/>
                <w:noProof/>
                <w:color w:val="000000"/>
                <w:sz w:val="18"/>
              </w:rPr>
            </w:pPr>
            <w:r>
              <w:rPr>
                <w:rFonts w:ascii="Verdana" w:hAnsi="Verdana"/>
                <w:i/>
                <w:noProof/>
                <w:color w:val="000000"/>
                <w:sz w:val="18"/>
              </w:rPr>
              <w:t xml:space="preserve"> 17</w:t>
            </w:r>
          </w:p>
        </w:tc>
        <w:tc>
          <w:tcPr>
            <w:tcW w:w="1431" w:type="dxa"/>
            <w:tcBorders>
              <w:top w:val="nil"/>
              <w:left w:val="nil"/>
              <w:bottom w:val="nil"/>
              <w:right w:val="nil"/>
              <w:tl2br w:val="nil"/>
              <w:tr2bl w:val="nil"/>
            </w:tcBorders>
            <w:tcMar>
              <w:left w:w="60" w:type="dxa"/>
              <w:right w:w="60" w:type="dxa"/>
            </w:tcMar>
            <w:vAlign w:val="center"/>
          </w:tcPr>
          <w:p>
            <w:pPr>
              <w:pStyle w:val="DMETW36627BIPFVHDFAL"/>
              <w:jc w:val="right"/>
              <w:rPr>
                <w:rFonts w:ascii="Verdana" w:eastAsia="Verdana" w:hAnsi="Verdana" w:cs="Verdana"/>
                <w:i/>
                <w:noProof/>
                <w:color w:val="000000"/>
                <w:sz w:val="18"/>
              </w:rPr>
            </w:pPr>
            <w:r>
              <w:rPr>
                <w:rFonts w:ascii="Verdana" w:hAnsi="Verdana"/>
                <w:i/>
                <w:noProof/>
                <w:color w:val="000000"/>
                <w:sz w:val="18"/>
              </w:rPr>
              <w:t xml:space="preserve"> (7)</w:t>
            </w:r>
          </w:p>
        </w:tc>
        <w:tc>
          <w:tcPr>
            <w:tcW w:w="1431" w:type="dxa"/>
            <w:tcBorders>
              <w:top w:val="nil"/>
              <w:left w:val="nil"/>
              <w:bottom w:val="nil"/>
              <w:right w:val="nil"/>
              <w:tl2br w:val="nil"/>
              <w:tr2bl w:val="nil"/>
            </w:tcBorders>
            <w:tcMar>
              <w:left w:w="60" w:type="dxa"/>
              <w:right w:w="60" w:type="dxa"/>
            </w:tcMar>
            <w:vAlign w:val="center"/>
          </w:tcPr>
          <w:p>
            <w:pPr>
              <w:pStyle w:val="DMETW36627BIPFVHDFAL"/>
              <w:jc w:val="right"/>
              <w:rPr>
                <w:rFonts w:ascii="Verdana" w:eastAsia="Verdana" w:hAnsi="Verdana" w:cs="Verdana"/>
                <w:i/>
                <w:noProof/>
                <w:color w:val="000000"/>
                <w:sz w:val="18"/>
              </w:rPr>
            </w:pPr>
            <w:r>
              <w:rPr>
                <w:rFonts w:ascii="Verdana" w:hAnsi="Verdana"/>
                <w:i/>
                <w:noProof/>
                <w:color w:val="000000"/>
                <w:sz w:val="18"/>
              </w:rPr>
              <w:t>–</w:t>
            </w:r>
          </w:p>
        </w:tc>
        <w:tc>
          <w:tcPr>
            <w:tcW w:w="1460" w:type="dxa"/>
            <w:tcBorders>
              <w:top w:val="nil"/>
              <w:left w:val="nil"/>
              <w:bottom w:val="nil"/>
              <w:right w:val="nil"/>
              <w:tl2br w:val="nil"/>
              <w:tr2bl w:val="nil"/>
            </w:tcBorders>
            <w:tcMar>
              <w:left w:w="60" w:type="dxa"/>
              <w:right w:w="60" w:type="dxa"/>
            </w:tcMar>
            <w:vAlign w:val="center"/>
          </w:tcPr>
          <w:p>
            <w:pPr>
              <w:pStyle w:val="DMETW36627BIPFVHDFAL"/>
              <w:jc w:val="right"/>
              <w:rPr>
                <w:rFonts w:ascii="Verdana" w:eastAsia="Verdana" w:hAnsi="Verdana" w:cs="Verdana"/>
                <w:i/>
                <w:noProof/>
                <w:color w:val="000000"/>
                <w:sz w:val="18"/>
              </w:rPr>
            </w:pPr>
            <w:r>
              <w:rPr>
                <w:rFonts w:ascii="Verdana" w:hAnsi="Verdana"/>
                <w:i/>
                <w:noProof/>
                <w:color w:val="000000"/>
                <w:sz w:val="18"/>
              </w:rPr>
              <w:t xml:space="preserve"> (27)</w:t>
            </w:r>
          </w:p>
        </w:tc>
      </w:tr>
      <w:tr>
        <w:trPr>
          <w:trHeight w:val="255"/>
        </w:trPr>
        <w:tc>
          <w:tcPr>
            <w:tcW w:w="4005" w:type="dxa"/>
            <w:tcBorders>
              <w:top w:val="nil"/>
              <w:left w:val="nil"/>
              <w:bottom w:val="single" w:sz="4" w:space="0" w:color="016794"/>
              <w:right w:val="nil"/>
              <w:tl2br w:val="nil"/>
              <w:tr2bl w:val="nil"/>
            </w:tcBorders>
            <w:tcMar>
              <w:left w:w="60" w:type="dxa"/>
              <w:right w:w="60" w:type="dxa"/>
            </w:tcMar>
            <w:vAlign w:val="center"/>
          </w:tcPr>
          <w:p>
            <w:pPr>
              <w:pStyle w:val="DMETW36627BIPFVHDFAL"/>
              <w:rPr>
                <w:rFonts w:ascii="Verdana" w:eastAsia="Verdana" w:hAnsi="Verdana" w:cs="Verdana"/>
                <w:i/>
                <w:noProof/>
                <w:color w:val="000000"/>
                <w:sz w:val="18"/>
              </w:rPr>
            </w:pPr>
            <w:r>
              <w:rPr>
                <w:rFonts w:ascii="Verdana" w:hAnsi="Verdana"/>
                <w:i/>
                <w:noProof/>
                <w:color w:val="000000"/>
                <w:sz w:val="18"/>
              </w:rPr>
              <w:t>Niveau 3: techniques d’évaluation utilisant des données qui ne sont pas fondées sur des données de marché observables</w:t>
            </w:r>
          </w:p>
        </w:tc>
        <w:tc>
          <w:tcPr>
            <w:tcW w:w="1431" w:type="dxa"/>
            <w:tcBorders>
              <w:top w:val="nil"/>
              <w:left w:val="nil"/>
              <w:bottom w:val="single" w:sz="4" w:space="0" w:color="016794"/>
              <w:right w:val="nil"/>
              <w:tl2br w:val="nil"/>
              <w:tr2bl w:val="nil"/>
            </w:tcBorders>
            <w:tcMar>
              <w:left w:w="60" w:type="dxa"/>
              <w:right w:w="60" w:type="dxa"/>
            </w:tcMar>
            <w:vAlign w:val="center"/>
          </w:tcPr>
          <w:p>
            <w:pPr>
              <w:pStyle w:val="DMETW36627BIPFVHDFAL"/>
              <w:jc w:val="right"/>
              <w:rPr>
                <w:rFonts w:ascii="Verdana" w:eastAsia="Verdana" w:hAnsi="Verdana" w:cs="Verdana"/>
                <w:i/>
                <w:noProof/>
                <w:color w:val="000000"/>
                <w:sz w:val="18"/>
              </w:rPr>
            </w:pPr>
            <w:r>
              <w:rPr>
                <w:rFonts w:ascii="Verdana" w:hAnsi="Verdana"/>
                <w:i/>
                <w:noProof/>
                <w:color w:val="000000"/>
                <w:sz w:val="18"/>
              </w:rPr>
              <w:t>1 568</w:t>
            </w:r>
          </w:p>
        </w:tc>
        <w:tc>
          <w:tcPr>
            <w:tcW w:w="1431" w:type="dxa"/>
            <w:tcBorders>
              <w:top w:val="nil"/>
              <w:left w:val="nil"/>
              <w:bottom w:val="single" w:sz="4" w:space="0" w:color="016794"/>
              <w:right w:val="nil"/>
              <w:tl2br w:val="nil"/>
              <w:tr2bl w:val="nil"/>
            </w:tcBorders>
            <w:tcMar>
              <w:left w:w="60" w:type="dxa"/>
              <w:right w:w="60" w:type="dxa"/>
            </w:tcMar>
            <w:vAlign w:val="center"/>
          </w:tcPr>
          <w:p>
            <w:pPr>
              <w:pStyle w:val="DMETW36627BIPFVHDFAL"/>
              <w:jc w:val="right"/>
              <w:rPr>
                <w:rFonts w:ascii="Verdana" w:eastAsia="Verdana" w:hAnsi="Verdana" w:cs="Verdana"/>
                <w:i/>
                <w:noProof/>
                <w:color w:val="000000"/>
                <w:sz w:val="18"/>
              </w:rPr>
            </w:pPr>
            <w:r>
              <w:rPr>
                <w:rFonts w:ascii="Verdana" w:hAnsi="Verdana"/>
                <w:i/>
                <w:noProof/>
                <w:color w:val="000000"/>
                <w:sz w:val="18"/>
              </w:rPr>
              <w:t xml:space="preserve"> (55)</w:t>
            </w:r>
          </w:p>
        </w:tc>
        <w:tc>
          <w:tcPr>
            <w:tcW w:w="1431" w:type="dxa"/>
            <w:tcBorders>
              <w:top w:val="nil"/>
              <w:left w:val="nil"/>
              <w:bottom w:val="single" w:sz="4" w:space="0" w:color="016794"/>
              <w:right w:val="nil"/>
              <w:tl2br w:val="nil"/>
              <w:tr2bl w:val="nil"/>
            </w:tcBorders>
            <w:tcMar>
              <w:left w:w="60" w:type="dxa"/>
              <w:right w:w="60" w:type="dxa"/>
            </w:tcMar>
            <w:vAlign w:val="center"/>
          </w:tcPr>
          <w:p>
            <w:pPr>
              <w:pStyle w:val="DMETW36627BIPFVHDFAL"/>
              <w:jc w:val="right"/>
              <w:rPr>
                <w:rFonts w:ascii="Verdana" w:eastAsia="Verdana" w:hAnsi="Verdana" w:cs="Verdana"/>
                <w:i/>
                <w:noProof/>
                <w:color w:val="000000"/>
                <w:sz w:val="18"/>
              </w:rPr>
            </w:pPr>
            <w:r>
              <w:rPr>
                <w:rFonts w:ascii="Verdana" w:hAnsi="Verdana"/>
                <w:i/>
                <w:noProof/>
                <w:color w:val="000000"/>
                <w:sz w:val="18"/>
              </w:rPr>
              <w:t>1 110</w:t>
            </w:r>
          </w:p>
        </w:tc>
        <w:tc>
          <w:tcPr>
            <w:tcW w:w="1460" w:type="dxa"/>
            <w:tcBorders>
              <w:top w:val="nil"/>
              <w:left w:val="nil"/>
              <w:bottom w:val="single" w:sz="4" w:space="0" w:color="016794"/>
              <w:right w:val="nil"/>
              <w:tl2br w:val="nil"/>
              <w:tr2bl w:val="nil"/>
            </w:tcBorders>
            <w:tcMar>
              <w:left w:w="60" w:type="dxa"/>
              <w:right w:w="60" w:type="dxa"/>
            </w:tcMar>
            <w:vAlign w:val="center"/>
          </w:tcPr>
          <w:p>
            <w:pPr>
              <w:pStyle w:val="DMETW36627BIPFVHDFAL"/>
              <w:jc w:val="right"/>
              <w:rPr>
                <w:rFonts w:ascii="Verdana" w:eastAsia="Verdana" w:hAnsi="Verdana" w:cs="Verdana"/>
                <w:i/>
                <w:noProof/>
                <w:color w:val="000000"/>
                <w:sz w:val="18"/>
              </w:rPr>
            </w:pPr>
            <w:r>
              <w:rPr>
                <w:rFonts w:ascii="Verdana" w:hAnsi="Verdana"/>
                <w:i/>
                <w:noProof/>
                <w:color w:val="000000"/>
                <w:sz w:val="18"/>
              </w:rPr>
              <w:t xml:space="preserve"> (71)</w:t>
            </w:r>
          </w:p>
        </w:tc>
      </w:tr>
      <w:tr>
        <w:trPr>
          <w:trHeight w:val="255"/>
        </w:trPr>
        <w:tc>
          <w:tcPr>
            <w:tcW w:w="400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27BIPFVHDFAL"/>
              <w:rPr>
                <w:rFonts w:ascii="Verdana" w:eastAsia="Verdana" w:hAnsi="Verdana" w:cs="Verdana"/>
                <w:b/>
                <w:noProof/>
                <w:color w:val="000000"/>
                <w:sz w:val="18"/>
              </w:rPr>
            </w:pPr>
            <w:r>
              <w:rPr>
                <w:rFonts w:ascii="Verdana" w:hAnsi="Verdana"/>
                <w:b/>
                <w:noProof/>
                <w:color w:val="000000"/>
                <w:sz w:val="18"/>
              </w:rPr>
              <w:t>Total</w:t>
            </w:r>
          </w:p>
        </w:tc>
        <w:tc>
          <w:tcPr>
            <w:tcW w:w="143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27BIPFVHDFAL"/>
              <w:jc w:val="right"/>
              <w:rPr>
                <w:rFonts w:ascii="Verdana" w:eastAsia="Verdana" w:hAnsi="Verdana" w:cs="Verdana"/>
                <w:b/>
                <w:noProof/>
                <w:color w:val="000000"/>
                <w:sz w:val="18"/>
              </w:rPr>
            </w:pPr>
            <w:r>
              <w:rPr>
                <w:rFonts w:ascii="Verdana" w:hAnsi="Verdana"/>
                <w:b/>
                <w:noProof/>
                <w:color w:val="000000"/>
                <w:sz w:val="18"/>
              </w:rPr>
              <w:t>1 585</w:t>
            </w:r>
          </w:p>
        </w:tc>
        <w:tc>
          <w:tcPr>
            <w:tcW w:w="143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27BIPFVHDFAL"/>
              <w:jc w:val="right"/>
              <w:rPr>
                <w:rFonts w:ascii="Verdana" w:eastAsia="Verdana" w:hAnsi="Verdana" w:cs="Verdana"/>
                <w:b/>
                <w:noProof/>
                <w:color w:val="000000"/>
                <w:sz w:val="18"/>
              </w:rPr>
            </w:pPr>
            <w:r>
              <w:rPr>
                <w:rFonts w:ascii="Verdana" w:hAnsi="Verdana"/>
                <w:b/>
                <w:noProof/>
                <w:color w:val="000000"/>
                <w:sz w:val="18"/>
              </w:rPr>
              <w:t xml:space="preserve"> (62)</w:t>
            </w:r>
          </w:p>
        </w:tc>
        <w:tc>
          <w:tcPr>
            <w:tcW w:w="143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27BIPFVHDFAL"/>
              <w:jc w:val="right"/>
              <w:rPr>
                <w:rFonts w:ascii="Verdana" w:eastAsia="Verdana" w:hAnsi="Verdana" w:cs="Verdana"/>
                <w:b/>
                <w:noProof/>
                <w:color w:val="000000"/>
                <w:sz w:val="18"/>
              </w:rPr>
            </w:pPr>
            <w:r>
              <w:rPr>
                <w:rFonts w:ascii="Verdana" w:hAnsi="Verdana"/>
                <w:b/>
                <w:noProof/>
                <w:color w:val="000000"/>
                <w:sz w:val="18"/>
              </w:rPr>
              <w:t>1 110</w:t>
            </w:r>
          </w:p>
        </w:tc>
        <w:tc>
          <w:tcPr>
            <w:tcW w:w="146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27BIPFVHDFAL"/>
              <w:jc w:val="right"/>
              <w:rPr>
                <w:rFonts w:ascii="Verdana" w:eastAsia="Verdana" w:hAnsi="Verdana" w:cs="Verdana"/>
                <w:b/>
                <w:noProof/>
                <w:color w:val="000000"/>
                <w:sz w:val="18"/>
              </w:rPr>
            </w:pPr>
            <w:r>
              <w:rPr>
                <w:rFonts w:ascii="Verdana" w:hAnsi="Verdana"/>
                <w:b/>
                <w:noProof/>
                <w:color w:val="000000"/>
                <w:sz w:val="18"/>
              </w:rPr>
              <w:t xml:space="preserve"> (98)</w:t>
            </w:r>
          </w:p>
        </w:tc>
      </w:tr>
    </w:tbl>
    <w:p>
      <w:pPr>
        <w:pStyle w:val="DGTextstand-alone"/>
      </w:pPr>
      <w:r>
        <w:t>Il n’y a pas eu de transfert entre le niveau 1 et le niveau 2 au cours de la période. Les dérivés repris sous «Juste valeur», niveau 3, comprennent principalement des garanties sur portefeuilles d’instruments de fonds propres.</w:t>
      </w:r>
    </w:p>
    <w:p>
      <w:pPr>
        <w:pStyle w:val="HEADER5"/>
        <w:keepNext/>
        <w:rPr>
          <w:bCs/>
          <w:noProof/>
        </w:rPr>
      </w:pPr>
      <w:r>
        <w:rPr>
          <w:noProof/>
        </w:rPr>
        <w:lastRenderedPageBreak/>
        <w:t>Rapprochement des actifs et des passifs financiers dérivés évalués à l’aide de techniques d’évaluation utilisant des données qui ne sont pas fondées sur des données de marché observables (niveau 3)</w:t>
      </w:r>
    </w:p>
    <w:p>
      <w:pPr>
        <w:pStyle w:val="HEADER5"/>
        <w:keepNext/>
        <w:rPr>
          <w:bCs/>
          <w:noProof/>
        </w:rPr>
      </w:pP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8"/>
        <w:gridCol w:w="3690"/>
      </w:tblGrid>
      <w:tr>
        <w:trPr>
          <w:trHeight w:val="255"/>
        </w:trPr>
        <w:tc>
          <w:tcPr>
            <w:tcW w:w="6068" w:type="dxa"/>
            <w:tcBorders>
              <w:top w:val="nil"/>
              <w:left w:val="nil"/>
              <w:bottom w:val="nil"/>
              <w:right w:val="nil"/>
              <w:tl2br w:val="nil"/>
              <w:tr2bl w:val="nil"/>
            </w:tcBorders>
            <w:tcMar>
              <w:left w:w="60" w:type="dxa"/>
              <w:right w:w="60" w:type="dxa"/>
            </w:tcMar>
            <w:vAlign w:val="bottom"/>
          </w:tcPr>
          <w:p>
            <w:pPr>
              <w:pStyle w:val="DMETW36627BIPRECODER"/>
              <w:keepNext/>
              <w:rPr>
                <w:rFonts w:ascii="Verdana" w:eastAsia="Verdana" w:hAnsi="Verdana" w:cs="Verdana"/>
                <w:noProof/>
                <w:color w:val="000000"/>
                <w:sz w:val="18"/>
              </w:rPr>
            </w:pPr>
            <w:bookmarkStart w:id="115" w:name="DOC_TBL00025_1_1"/>
            <w:bookmarkEnd w:id="115"/>
          </w:p>
        </w:tc>
        <w:tc>
          <w:tcPr>
            <w:tcW w:w="3690" w:type="dxa"/>
            <w:tcBorders>
              <w:top w:val="nil"/>
              <w:left w:val="nil"/>
              <w:bottom w:val="nil"/>
              <w:right w:val="nil"/>
              <w:tl2br w:val="nil"/>
              <w:tr2bl w:val="nil"/>
            </w:tcBorders>
            <w:tcMar>
              <w:left w:w="60" w:type="dxa"/>
              <w:right w:w="60" w:type="dxa"/>
            </w:tcMar>
            <w:vAlign w:val="bottom"/>
          </w:tcPr>
          <w:p>
            <w:pPr>
              <w:pStyle w:val="DMETW36627BIPRECODER"/>
              <w:keepNext/>
              <w:jc w:val="right"/>
              <w:rPr>
                <w:rFonts w:ascii="Verdana" w:eastAsia="Verdana" w:hAnsi="Verdana" w:cs="Verdana"/>
                <w:i/>
                <w:noProof/>
                <w:color w:val="000000"/>
                <w:sz w:val="18"/>
              </w:rPr>
            </w:pPr>
            <w:r>
              <w:rPr>
                <w:rFonts w:ascii="Verdana" w:hAnsi="Verdana"/>
                <w:i/>
                <w:noProof/>
                <w:color w:val="000000"/>
                <w:sz w:val="18"/>
              </w:rPr>
              <w:t>en Mio EUR</w:t>
            </w:r>
          </w:p>
        </w:tc>
      </w:tr>
      <w:tr>
        <w:trPr>
          <w:trHeight w:val="255"/>
        </w:trPr>
        <w:tc>
          <w:tcPr>
            <w:tcW w:w="6068" w:type="dxa"/>
            <w:tcBorders>
              <w:top w:val="nil"/>
              <w:left w:val="nil"/>
              <w:bottom w:val="nil"/>
              <w:right w:val="nil"/>
              <w:tl2br w:val="nil"/>
              <w:tr2bl w:val="nil"/>
            </w:tcBorders>
            <w:shd w:val="solid" w:color="016794" w:fill="FFFFFF"/>
            <w:tcMar>
              <w:left w:w="60" w:type="dxa"/>
              <w:right w:w="60" w:type="dxa"/>
            </w:tcMar>
            <w:vAlign w:val="center"/>
          </w:tcPr>
          <w:p>
            <w:pPr>
              <w:pStyle w:val="DMETW36627BIPRECODER"/>
              <w:keepNext/>
              <w:rPr>
                <w:rFonts w:ascii="Verdana" w:eastAsia="Verdana" w:hAnsi="Verdana" w:cs="Verdana"/>
                <w:noProof/>
                <w:color w:val="FFFFFF"/>
                <w:sz w:val="18"/>
              </w:rPr>
            </w:pPr>
            <w:r>
              <w:rPr>
                <w:rFonts w:ascii="Verdana" w:hAnsi="Verdana"/>
                <w:noProof/>
                <w:color w:val="FFFFFF"/>
                <w:sz w:val="18"/>
              </w:rPr>
              <w:t>Variations de la juste valeur</w:t>
            </w:r>
          </w:p>
        </w:tc>
        <w:tc>
          <w:tcPr>
            <w:tcW w:w="3690" w:type="dxa"/>
            <w:tcBorders>
              <w:top w:val="nil"/>
              <w:left w:val="nil"/>
              <w:bottom w:val="nil"/>
              <w:right w:val="nil"/>
              <w:tl2br w:val="nil"/>
              <w:tr2bl w:val="nil"/>
            </w:tcBorders>
            <w:shd w:val="solid" w:color="016794" w:fill="FFFFFF"/>
            <w:tcMar>
              <w:left w:w="60" w:type="dxa"/>
              <w:right w:w="60" w:type="dxa"/>
            </w:tcMar>
            <w:vAlign w:val="center"/>
          </w:tcPr>
          <w:p>
            <w:pPr>
              <w:pStyle w:val="DMETW36627BIPRECODER"/>
              <w:keepNext/>
              <w:rPr>
                <w:rFonts w:ascii="Verdana" w:eastAsia="Verdana" w:hAnsi="Verdana" w:cs="Verdana"/>
                <w:noProof/>
                <w:color w:val="FFFFFF"/>
                <w:sz w:val="18"/>
                <w:lang w:bidi="en-GB"/>
              </w:rPr>
            </w:pPr>
          </w:p>
        </w:tc>
      </w:tr>
      <w:tr>
        <w:trPr>
          <w:trHeight w:val="255"/>
        </w:trPr>
        <w:tc>
          <w:tcPr>
            <w:tcW w:w="6068" w:type="dxa"/>
            <w:tcBorders>
              <w:top w:val="nil"/>
              <w:left w:val="nil"/>
              <w:bottom w:val="nil"/>
              <w:right w:val="nil"/>
              <w:tl2br w:val="nil"/>
              <w:tr2bl w:val="nil"/>
            </w:tcBorders>
            <w:tcMar>
              <w:left w:w="60" w:type="dxa"/>
              <w:right w:w="60" w:type="dxa"/>
            </w:tcMar>
            <w:vAlign w:val="center"/>
          </w:tcPr>
          <w:p>
            <w:pPr>
              <w:pStyle w:val="DMETW36627BIPRECODER"/>
              <w:keepNext/>
              <w:rPr>
                <w:rFonts w:ascii="Verdana" w:eastAsia="Verdana" w:hAnsi="Verdana" w:cs="Verdana"/>
                <w:b/>
                <w:noProof/>
                <w:color w:val="000000"/>
                <w:sz w:val="18"/>
              </w:rPr>
            </w:pPr>
            <w:r>
              <w:rPr>
                <w:rFonts w:ascii="Verdana" w:hAnsi="Verdana"/>
                <w:b/>
                <w:noProof/>
                <w:color w:val="000000"/>
                <w:sz w:val="18"/>
              </w:rPr>
              <w:t>Solde d’ouverture, actif/(passif), au 1.1.2025</w:t>
            </w:r>
          </w:p>
        </w:tc>
        <w:tc>
          <w:tcPr>
            <w:tcW w:w="3690" w:type="dxa"/>
            <w:tcBorders>
              <w:top w:val="nil"/>
              <w:left w:val="nil"/>
              <w:bottom w:val="nil"/>
              <w:right w:val="nil"/>
              <w:tl2br w:val="nil"/>
              <w:tr2bl w:val="nil"/>
            </w:tcBorders>
            <w:tcMar>
              <w:left w:w="60" w:type="dxa"/>
              <w:right w:w="60" w:type="dxa"/>
            </w:tcMar>
            <w:vAlign w:val="center"/>
          </w:tcPr>
          <w:p>
            <w:pPr>
              <w:pStyle w:val="DMETW36627BIPRECODER"/>
              <w:keepNext/>
              <w:jc w:val="right"/>
              <w:rPr>
                <w:rFonts w:ascii="Verdana" w:eastAsia="Verdana" w:hAnsi="Verdana" w:cs="Verdana"/>
                <w:b/>
                <w:noProof/>
                <w:color w:val="000000"/>
                <w:sz w:val="18"/>
              </w:rPr>
            </w:pPr>
            <w:r>
              <w:rPr>
                <w:rFonts w:ascii="Verdana" w:hAnsi="Verdana"/>
                <w:b/>
                <w:noProof/>
                <w:color w:val="000000"/>
                <w:sz w:val="18"/>
              </w:rPr>
              <w:t>1 039</w:t>
            </w:r>
          </w:p>
        </w:tc>
      </w:tr>
      <w:tr>
        <w:trPr>
          <w:trHeight w:val="255"/>
        </w:trPr>
        <w:tc>
          <w:tcPr>
            <w:tcW w:w="6068" w:type="dxa"/>
            <w:tcBorders>
              <w:top w:val="nil"/>
              <w:left w:val="nil"/>
              <w:bottom w:val="nil"/>
              <w:right w:val="nil"/>
              <w:tl2br w:val="nil"/>
              <w:tr2bl w:val="nil"/>
            </w:tcBorders>
            <w:tcMar>
              <w:left w:w="60" w:type="dxa"/>
              <w:right w:w="60" w:type="dxa"/>
            </w:tcMar>
            <w:vAlign w:val="center"/>
          </w:tcPr>
          <w:p>
            <w:pPr>
              <w:pStyle w:val="DMETW36627BIPRECODER"/>
              <w:rPr>
                <w:rFonts w:ascii="Verdana" w:eastAsia="Verdana" w:hAnsi="Verdana" w:cs="Verdana"/>
                <w:i/>
                <w:noProof/>
                <w:color w:val="000000"/>
                <w:sz w:val="18"/>
              </w:rPr>
            </w:pPr>
            <w:r>
              <w:rPr>
                <w:rFonts w:ascii="Verdana" w:hAnsi="Verdana"/>
                <w:i/>
                <w:noProof/>
                <w:color w:val="000000"/>
                <w:sz w:val="18"/>
              </w:rPr>
              <w:t>Demandes d’appels de garantie acquittées</w:t>
            </w:r>
          </w:p>
        </w:tc>
        <w:tc>
          <w:tcPr>
            <w:tcW w:w="3690" w:type="dxa"/>
            <w:tcBorders>
              <w:top w:val="nil"/>
              <w:left w:val="nil"/>
              <w:bottom w:val="nil"/>
              <w:right w:val="nil"/>
              <w:tl2br w:val="nil"/>
              <w:tr2bl w:val="nil"/>
            </w:tcBorders>
            <w:tcMar>
              <w:left w:w="60" w:type="dxa"/>
              <w:right w:w="60" w:type="dxa"/>
            </w:tcMar>
            <w:vAlign w:val="center"/>
          </w:tcPr>
          <w:p>
            <w:pPr>
              <w:pStyle w:val="DMETW36627BIPRECODER"/>
              <w:jc w:val="right"/>
              <w:rPr>
                <w:rFonts w:ascii="Verdana" w:eastAsia="Verdana" w:hAnsi="Verdana" w:cs="Verdana"/>
                <w:i/>
                <w:noProof/>
                <w:color w:val="000000"/>
                <w:sz w:val="18"/>
              </w:rPr>
            </w:pPr>
            <w:r>
              <w:rPr>
                <w:rFonts w:ascii="Verdana" w:hAnsi="Verdana"/>
                <w:i/>
                <w:noProof/>
                <w:color w:val="000000"/>
                <w:sz w:val="18"/>
              </w:rPr>
              <w:t xml:space="preserve"> 164</w:t>
            </w:r>
          </w:p>
        </w:tc>
      </w:tr>
      <w:tr>
        <w:trPr>
          <w:trHeight w:val="255"/>
        </w:trPr>
        <w:tc>
          <w:tcPr>
            <w:tcW w:w="6068" w:type="dxa"/>
            <w:tcBorders>
              <w:top w:val="nil"/>
              <w:left w:val="nil"/>
              <w:bottom w:val="nil"/>
              <w:right w:val="nil"/>
              <w:tl2br w:val="nil"/>
              <w:tr2bl w:val="nil"/>
            </w:tcBorders>
            <w:tcMar>
              <w:left w:w="60" w:type="dxa"/>
              <w:right w:w="60" w:type="dxa"/>
            </w:tcMar>
            <w:vAlign w:val="center"/>
          </w:tcPr>
          <w:p>
            <w:pPr>
              <w:pStyle w:val="DMETW36627BIPRECODER"/>
              <w:rPr>
                <w:rFonts w:ascii="Verdana" w:eastAsia="Verdana" w:hAnsi="Verdana" w:cs="Verdana"/>
                <w:i/>
                <w:noProof/>
                <w:color w:val="000000"/>
                <w:sz w:val="18"/>
              </w:rPr>
            </w:pPr>
            <w:r>
              <w:rPr>
                <w:rFonts w:ascii="Verdana" w:hAnsi="Verdana"/>
                <w:i/>
                <w:noProof/>
                <w:color w:val="000000"/>
                <w:sz w:val="18"/>
              </w:rPr>
              <w:t>Appels de garantie restitués</w:t>
            </w:r>
          </w:p>
        </w:tc>
        <w:tc>
          <w:tcPr>
            <w:tcW w:w="3690" w:type="dxa"/>
            <w:tcBorders>
              <w:top w:val="nil"/>
              <w:left w:val="nil"/>
              <w:bottom w:val="nil"/>
              <w:right w:val="nil"/>
              <w:tl2br w:val="nil"/>
              <w:tr2bl w:val="nil"/>
            </w:tcBorders>
            <w:tcMar>
              <w:left w:w="60" w:type="dxa"/>
              <w:right w:w="60" w:type="dxa"/>
            </w:tcMar>
            <w:vAlign w:val="center"/>
          </w:tcPr>
          <w:p>
            <w:pPr>
              <w:pStyle w:val="DMETW36627BIPRECODER"/>
              <w:jc w:val="right"/>
              <w:rPr>
                <w:rFonts w:ascii="Verdana" w:eastAsia="Verdana" w:hAnsi="Verdana" w:cs="Verdana"/>
                <w:i/>
                <w:noProof/>
                <w:color w:val="000000"/>
                <w:sz w:val="18"/>
              </w:rPr>
            </w:pPr>
            <w:r>
              <w:rPr>
                <w:rFonts w:ascii="Verdana" w:hAnsi="Verdana"/>
                <w:i/>
                <w:noProof/>
                <w:color w:val="000000"/>
                <w:sz w:val="18"/>
              </w:rPr>
              <w:t xml:space="preserve"> (44)</w:t>
            </w:r>
          </w:p>
        </w:tc>
      </w:tr>
      <w:tr>
        <w:trPr>
          <w:trHeight w:val="255"/>
        </w:trPr>
        <w:tc>
          <w:tcPr>
            <w:tcW w:w="6068" w:type="dxa"/>
            <w:tcBorders>
              <w:top w:val="nil"/>
              <w:left w:val="nil"/>
              <w:bottom w:val="nil"/>
              <w:right w:val="nil"/>
              <w:tl2br w:val="nil"/>
              <w:tr2bl w:val="nil"/>
            </w:tcBorders>
            <w:tcMar>
              <w:left w:w="60" w:type="dxa"/>
              <w:right w:w="60" w:type="dxa"/>
            </w:tcMar>
            <w:vAlign w:val="center"/>
          </w:tcPr>
          <w:p>
            <w:pPr>
              <w:pStyle w:val="DMETW36627BIPRECODER"/>
              <w:rPr>
                <w:rFonts w:ascii="Verdana" w:eastAsia="Verdana" w:hAnsi="Verdana" w:cs="Verdana"/>
                <w:i/>
                <w:noProof/>
                <w:color w:val="000000"/>
                <w:sz w:val="18"/>
              </w:rPr>
            </w:pPr>
            <w:r>
              <w:rPr>
                <w:rFonts w:ascii="Verdana" w:hAnsi="Verdana"/>
                <w:i/>
                <w:noProof/>
                <w:color w:val="000000"/>
                <w:sz w:val="18"/>
              </w:rPr>
              <w:t>Recettes provenant du règlement de la garantie</w:t>
            </w:r>
          </w:p>
        </w:tc>
        <w:tc>
          <w:tcPr>
            <w:tcW w:w="3690" w:type="dxa"/>
            <w:tcBorders>
              <w:top w:val="nil"/>
              <w:left w:val="nil"/>
              <w:bottom w:val="nil"/>
              <w:right w:val="nil"/>
              <w:tl2br w:val="nil"/>
              <w:tr2bl w:val="nil"/>
            </w:tcBorders>
            <w:tcMar>
              <w:left w:w="60" w:type="dxa"/>
              <w:right w:w="60" w:type="dxa"/>
            </w:tcMar>
            <w:vAlign w:val="center"/>
          </w:tcPr>
          <w:p>
            <w:pPr>
              <w:pStyle w:val="DMETW36627BIPRECODER"/>
              <w:jc w:val="right"/>
              <w:rPr>
                <w:rFonts w:ascii="Verdana" w:eastAsia="Verdana" w:hAnsi="Verdana" w:cs="Verdana"/>
                <w:i/>
                <w:noProof/>
                <w:color w:val="000000"/>
                <w:sz w:val="18"/>
              </w:rPr>
            </w:pPr>
            <w:r>
              <w:rPr>
                <w:rFonts w:ascii="Verdana" w:hAnsi="Verdana"/>
                <w:i/>
                <w:noProof/>
                <w:color w:val="000000"/>
                <w:sz w:val="18"/>
              </w:rPr>
              <w:t xml:space="preserve"> (154)</w:t>
            </w:r>
          </w:p>
        </w:tc>
      </w:tr>
      <w:tr>
        <w:trPr>
          <w:trHeight w:val="255"/>
        </w:trPr>
        <w:tc>
          <w:tcPr>
            <w:tcW w:w="6068" w:type="dxa"/>
            <w:tcBorders>
              <w:top w:val="nil"/>
              <w:left w:val="nil"/>
              <w:bottom w:val="nil"/>
              <w:right w:val="nil"/>
              <w:tl2br w:val="nil"/>
              <w:tr2bl w:val="nil"/>
            </w:tcBorders>
            <w:tcMar>
              <w:left w:w="60" w:type="dxa"/>
              <w:right w:w="60" w:type="dxa"/>
            </w:tcMar>
            <w:vAlign w:val="center"/>
          </w:tcPr>
          <w:p>
            <w:pPr>
              <w:pStyle w:val="DMETW36627BIPRECODER"/>
              <w:rPr>
                <w:rFonts w:ascii="Verdana" w:eastAsia="Verdana" w:hAnsi="Verdana" w:cs="Verdana"/>
                <w:i/>
                <w:noProof/>
                <w:color w:val="000000"/>
                <w:sz w:val="18"/>
              </w:rPr>
            </w:pPr>
            <w:r>
              <w:rPr>
                <w:rFonts w:ascii="Verdana" w:hAnsi="Verdana"/>
                <w:i/>
                <w:noProof/>
                <w:color w:val="000000"/>
                <w:sz w:val="18"/>
              </w:rPr>
              <w:t>Plus-values et moins-values pour la période comptabilisées en excédent ou déficit</w:t>
            </w:r>
          </w:p>
        </w:tc>
        <w:tc>
          <w:tcPr>
            <w:tcW w:w="3690" w:type="dxa"/>
            <w:tcBorders>
              <w:top w:val="nil"/>
              <w:left w:val="nil"/>
              <w:bottom w:val="nil"/>
              <w:right w:val="nil"/>
              <w:tl2br w:val="nil"/>
              <w:tr2bl w:val="nil"/>
            </w:tcBorders>
            <w:tcMar>
              <w:left w:w="60" w:type="dxa"/>
              <w:right w:w="60" w:type="dxa"/>
            </w:tcMar>
            <w:vAlign w:val="center"/>
          </w:tcPr>
          <w:p>
            <w:pPr>
              <w:pStyle w:val="DMETW36627BIPRECODER"/>
              <w:jc w:val="right"/>
              <w:rPr>
                <w:rFonts w:ascii="Verdana" w:eastAsia="Verdana" w:hAnsi="Verdana" w:cs="Verdana"/>
                <w:i/>
                <w:noProof/>
                <w:color w:val="000000"/>
                <w:sz w:val="18"/>
              </w:rPr>
            </w:pPr>
            <w:r>
              <w:rPr>
                <w:rFonts w:ascii="Verdana" w:hAnsi="Verdana"/>
                <w:i/>
                <w:noProof/>
                <w:color w:val="000000"/>
                <w:sz w:val="18"/>
              </w:rPr>
              <w:t xml:space="preserve"> 507</w:t>
            </w:r>
          </w:p>
        </w:tc>
      </w:tr>
      <w:tr>
        <w:trPr>
          <w:trHeight w:val="255"/>
        </w:trPr>
        <w:tc>
          <w:tcPr>
            <w:tcW w:w="6068" w:type="dxa"/>
            <w:tcBorders>
              <w:top w:val="nil"/>
              <w:left w:val="nil"/>
              <w:bottom w:val="nil"/>
              <w:right w:val="nil"/>
              <w:tl2br w:val="nil"/>
              <w:tr2bl w:val="nil"/>
            </w:tcBorders>
            <w:tcMar>
              <w:left w:w="60" w:type="dxa"/>
              <w:right w:w="60" w:type="dxa"/>
            </w:tcMar>
            <w:vAlign w:val="center"/>
          </w:tcPr>
          <w:p>
            <w:pPr>
              <w:pStyle w:val="DMETW36627BIPRECODER"/>
              <w:rPr>
                <w:rFonts w:ascii="Verdana" w:eastAsia="Verdana" w:hAnsi="Verdana" w:cs="Verdana"/>
                <w:i/>
                <w:noProof/>
                <w:color w:val="000000"/>
                <w:sz w:val="18"/>
              </w:rPr>
            </w:pPr>
            <w:r>
              <w:rPr>
                <w:rFonts w:ascii="Verdana" w:hAnsi="Verdana"/>
                <w:i/>
                <w:noProof/>
                <w:color w:val="000000"/>
                <w:sz w:val="18"/>
              </w:rPr>
              <w:t xml:space="preserve">Transferts vers le niveau 3 </w:t>
            </w:r>
          </w:p>
        </w:tc>
        <w:tc>
          <w:tcPr>
            <w:tcW w:w="3690" w:type="dxa"/>
            <w:tcBorders>
              <w:top w:val="nil"/>
              <w:left w:val="nil"/>
              <w:bottom w:val="nil"/>
              <w:right w:val="nil"/>
              <w:tl2br w:val="nil"/>
              <w:tr2bl w:val="nil"/>
            </w:tcBorders>
            <w:tcMar>
              <w:left w:w="60" w:type="dxa"/>
              <w:right w:w="60" w:type="dxa"/>
            </w:tcMar>
            <w:vAlign w:val="center"/>
          </w:tcPr>
          <w:p>
            <w:pPr>
              <w:pStyle w:val="DMETW36627BIPRECODER"/>
              <w:jc w:val="right"/>
              <w:rPr>
                <w:rFonts w:ascii="Verdana" w:eastAsia="Verdana" w:hAnsi="Verdana" w:cs="Verdana"/>
                <w:i/>
                <w:noProof/>
                <w:color w:val="000000"/>
                <w:sz w:val="18"/>
              </w:rPr>
            </w:pPr>
            <w:r>
              <w:rPr>
                <w:rFonts w:ascii="Verdana" w:hAnsi="Verdana"/>
                <w:i/>
                <w:noProof/>
                <w:color w:val="000000"/>
                <w:sz w:val="18"/>
              </w:rPr>
              <w:t>–</w:t>
            </w:r>
          </w:p>
        </w:tc>
      </w:tr>
      <w:tr>
        <w:trPr>
          <w:trHeight w:val="255"/>
        </w:trPr>
        <w:tc>
          <w:tcPr>
            <w:tcW w:w="6068" w:type="dxa"/>
            <w:tcBorders>
              <w:top w:val="nil"/>
              <w:left w:val="nil"/>
              <w:bottom w:val="nil"/>
              <w:right w:val="nil"/>
              <w:tl2br w:val="nil"/>
              <w:tr2bl w:val="nil"/>
            </w:tcBorders>
            <w:tcMar>
              <w:left w:w="60" w:type="dxa"/>
              <w:right w:w="60" w:type="dxa"/>
            </w:tcMar>
            <w:vAlign w:val="center"/>
          </w:tcPr>
          <w:p>
            <w:pPr>
              <w:pStyle w:val="DMETW36627BIPRECODER"/>
              <w:rPr>
                <w:rFonts w:ascii="Verdana" w:eastAsia="Verdana" w:hAnsi="Verdana" w:cs="Verdana"/>
                <w:i/>
                <w:noProof/>
                <w:color w:val="000000"/>
                <w:sz w:val="18"/>
              </w:rPr>
            </w:pPr>
            <w:r>
              <w:rPr>
                <w:rFonts w:ascii="Verdana" w:hAnsi="Verdana"/>
                <w:i/>
                <w:noProof/>
                <w:color w:val="000000"/>
                <w:sz w:val="18"/>
              </w:rPr>
              <w:t xml:space="preserve">Transferts depuis le niveau 3 </w:t>
            </w:r>
          </w:p>
        </w:tc>
        <w:tc>
          <w:tcPr>
            <w:tcW w:w="3690" w:type="dxa"/>
            <w:tcBorders>
              <w:top w:val="nil"/>
              <w:left w:val="nil"/>
              <w:bottom w:val="nil"/>
              <w:right w:val="nil"/>
              <w:tl2br w:val="nil"/>
              <w:tr2bl w:val="nil"/>
            </w:tcBorders>
            <w:tcMar>
              <w:left w:w="60" w:type="dxa"/>
              <w:right w:w="60" w:type="dxa"/>
            </w:tcMar>
            <w:vAlign w:val="center"/>
          </w:tcPr>
          <w:p>
            <w:pPr>
              <w:pStyle w:val="DMETW36627BIPRECODER"/>
              <w:jc w:val="right"/>
              <w:rPr>
                <w:rFonts w:ascii="Verdana" w:eastAsia="Verdana" w:hAnsi="Verdana" w:cs="Verdana"/>
                <w:i/>
                <w:noProof/>
                <w:color w:val="000000"/>
                <w:sz w:val="18"/>
              </w:rPr>
            </w:pPr>
            <w:r>
              <w:rPr>
                <w:rFonts w:ascii="Verdana" w:hAnsi="Verdana"/>
                <w:i/>
                <w:noProof/>
                <w:color w:val="000000"/>
                <w:sz w:val="18"/>
              </w:rPr>
              <w:t>–</w:t>
            </w:r>
          </w:p>
        </w:tc>
      </w:tr>
      <w:tr>
        <w:trPr>
          <w:trHeight w:val="255"/>
        </w:trPr>
        <w:tc>
          <w:tcPr>
            <w:tcW w:w="6068" w:type="dxa"/>
            <w:tcBorders>
              <w:top w:val="nil"/>
              <w:left w:val="nil"/>
              <w:bottom w:val="single" w:sz="4" w:space="0" w:color="016794"/>
              <w:right w:val="nil"/>
              <w:tl2br w:val="nil"/>
              <w:tr2bl w:val="nil"/>
            </w:tcBorders>
            <w:tcMar>
              <w:left w:w="60" w:type="dxa"/>
              <w:right w:w="60" w:type="dxa"/>
            </w:tcMar>
            <w:vAlign w:val="center"/>
          </w:tcPr>
          <w:p>
            <w:pPr>
              <w:pStyle w:val="DMETW36627BIPRECODER"/>
              <w:rPr>
                <w:rFonts w:ascii="Verdana" w:eastAsia="Verdana" w:hAnsi="Verdana" w:cs="Verdana"/>
                <w:i/>
                <w:noProof/>
                <w:color w:val="000000"/>
                <w:sz w:val="18"/>
              </w:rPr>
            </w:pPr>
            <w:r>
              <w:rPr>
                <w:rFonts w:ascii="Verdana" w:hAnsi="Verdana"/>
                <w:i/>
                <w:noProof/>
                <w:color w:val="000000"/>
                <w:sz w:val="18"/>
              </w:rPr>
              <w:t>Autres</w:t>
            </w:r>
          </w:p>
        </w:tc>
        <w:tc>
          <w:tcPr>
            <w:tcW w:w="3690" w:type="dxa"/>
            <w:tcBorders>
              <w:top w:val="nil"/>
              <w:left w:val="nil"/>
              <w:bottom w:val="single" w:sz="4" w:space="0" w:color="016794"/>
              <w:right w:val="nil"/>
              <w:tl2br w:val="nil"/>
              <w:tr2bl w:val="nil"/>
            </w:tcBorders>
            <w:tcMar>
              <w:left w:w="60" w:type="dxa"/>
              <w:right w:w="60" w:type="dxa"/>
            </w:tcMar>
            <w:vAlign w:val="center"/>
          </w:tcPr>
          <w:p>
            <w:pPr>
              <w:pStyle w:val="DMETW36627BIPRECODER"/>
              <w:jc w:val="right"/>
              <w:rPr>
                <w:rFonts w:ascii="Verdana" w:eastAsia="Verdana" w:hAnsi="Verdana" w:cs="Verdana"/>
                <w:i/>
                <w:noProof/>
                <w:color w:val="000000"/>
                <w:sz w:val="18"/>
              </w:rPr>
            </w:pPr>
            <w:r>
              <w:rPr>
                <w:rFonts w:ascii="Verdana" w:hAnsi="Verdana"/>
                <w:i/>
                <w:noProof/>
                <w:color w:val="000000"/>
                <w:sz w:val="18"/>
              </w:rPr>
              <w:t xml:space="preserve"> (0)</w:t>
            </w:r>
          </w:p>
        </w:tc>
      </w:tr>
      <w:tr>
        <w:trPr>
          <w:trHeight w:val="255"/>
        </w:trPr>
        <w:tc>
          <w:tcPr>
            <w:tcW w:w="606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27BIPRECODER"/>
              <w:rPr>
                <w:rFonts w:ascii="Verdana" w:eastAsia="Verdana" w:hAnsi="Verdana" w:cs="Verdana"/>
                <w:b/>
                <w:noProof/>
                <w:color w:val="000000"/>
                <w:sz w:val="18"/>
              </w:rPr>
            </w:pPr>
            <w:r>
              <w:rPr>
                <w:rFonts w:ascii="Verdana" w:hAnsi="Verdana"/>
                <w:b/>
                <w:noProof/>
                <w:color w:val="000000"/>
                <w:sz w:val="18"/>
              </w:rPr>
              <w:t>Solde de clôture au 31.12.2025</w:t>
            </w:r>
          </w:p>
        </w:tc>
        <w:tc>
          <w:tcPr>
            <w:tcW w:w="3690"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627BIPRECODER"/>
              <w:jc w:val="right"/>
              <w:rPr>
                <w:rFonts w:ascii="Verdana" w:eastAsia="Verdana" w:hAnsi="Verdana" w:cs="Verdana"/>
                <w:b/>
                <w:noProof/>
                <w:color w:val="000000"/>
                <w:sz w:val="18"/>
              </w:rPr>
            </w:pPr>
            <w:r>
              <w:rPr>
                <w:rFonts w:ascii="Verdana" w:hAnsi="Verdana"/>
                <w:b/>
                <w:noProof/>
                <w:color w:val="000000"/>
                <w:sz w:val="18"/>
              </w:rPr>
              <w:t>1 513</w:t>
            </w:r>
          </w:p>
        </w:tc>
      </w:tr>
      <w:bookmarkEnd w:id="96"/>
    </w:tbl>
    <w:p>
      <w:pPr>
        <w:pStyle w:val="DGTextstand-alone"/>
        <w:sectPr>
          <w:headerReference w:type="default" r:id="rId87"/>
          <w:footerReference w:type="default" r:id="rId88"/>
          <w:pgSz w:w="11906" w:h="16838"/>
          <w:pgMar w:top="1134" w:right="1134" w:bottom="1134" w:left="1134" w:header="709" w:footer="709" w:gutter="0"/>
          <w:cols w:space="708"/>
          <w:docGrid w:linePitch="360"/>
        </w:sectPr>
      </w:pPr>
    </w:p>
    <w:p>
      <w:pPr>
        <w:rPr>
          <w:rFonts w:ascii="Verdana" w:hAnsi="Verdana"/>
          <w:b/>
          <w:noProof/>
          <w:color w:val="016794"/>
          <w:sz w:val="28"/>
          <w:szCs w:val="28"/>
        </w:rPr>
      </w:pPr>
      <w:bookmarkStart w:id="116" w:name="_DMBM_36672"/>
    </w:p>
    <w:p>
      <w:pPr>
        <w:pStyle w:val="HEADER2NOTES"/>
        <w:numPr>
          <w:ilvl w:val="1"/>
          <w:numId w:val="15"/>
        </w:numPr>
        <w:rPr>
          <w:noProof/>
        </w:rPr>
      </w:pPr>
      <w:r>
        <w:rPr>
          <w:noProof/>
        </w:rPr>
        <w:t>PRÉFINANCEMENTS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99"/>
        <w:gridCol w:w="767"/>
        <w:gridCol w:w="2396"/>
        <w:gridCol w:w="2396"/>
      </w:tblGrid>
      <w:tr>
        <w:trPr>
          <w:trHeight w:val="255"/>
        </w:trPr>
        <w:tc>
          <w:tcPr>
            <w:tcW w:w="4199" w:type="dxa"/>
            <w:tcBorders>
              <w:top w:val="nil"/>
              <w:left w:val="nil"/>
              <w:bottom w:val="nil"/>
              <w:right w:val="nil"/>
              <w:tl2br w:val="nil"/>
              <w:tr2bl w:val="nil"/>
            </w:tcBorders>
            <w:tcMar>
              <w:left w:w="60" w:type="dxa"/>
              <w:right w:w="60" w:type="dxa"/>
            </w:tcMar>
            <w:vAlign w:val="center"/>
          </w:tcPr>
          <w:p>
            <w:pPr>
              <w:pStyle w:val="DMETW36765BIPPF"/>
              <w:rPr>
                <w:rFonts w:ascii="Verdana" w:eastAsia="Verdana" w:hAnsi="Verdana" w:cs="Verdana"/>
                <w:i/>
                <w:noProof/>
                <w:color w:val="FFFFFF"/>
                <w:sz w:val="16"/>
              </w:rPr>
            </w:pPr>
            <w:bookmarkStart w:id="117" w:name="DOC_TBL00026_1_1"/>
            <w:bookmarkEnd w:id="117"/>
          </w:p>
        </w:tc>
        <w:tc>
          <w:tcPr>
            <w:tcW w:w="767" w:type="dxa"/>
            <w:tcBorders>
              <w:top w:val="nil"/>
              <w:left w:val="nil"/>
              <w:bottom w:val="nil"/>
              <w:right w:val="nil"/>
              <w:tl2br w:val="nil"/>
              <w:tr2bl w:val="nil"/>
            </w:tcBorders>
            <w:tcMar>
              <w:left w:w="60" w:type="dxa"/>
              <w:right w:w="60" w:type="dxa"/>
            </w:tcMar>
            <w:vAlign w:val="bottom"/>
          </w:tcPr>
          <w:p>
            <w:pPr>
              <w:pStyle w:val="DMETW36765BIPPF"/>
              <w:rPr>
                <w:rFonts w:ascii="Arial" w:eastAsia="Arial" w:hAnsi="Arial" w:cs="Arial"/>
                <w:noProof/>
                <w:color w:val="000000"/>
              </w:rPr>
            </w:pPr>
          </w:p>
        </w:tc>
        <w:tc>
          <w:tcPr>
            <w:tcW w:w="2396" w:type="dxa"/>
            <w:tcBorders>
              <w:top w:val="nil"/>
              <w:left w:val="nil"/>
              <w:bottom w:val="nil"/>
              <w:right w:val="nil"/>
              <w:tl2br w:val="nil"/>
              <w:tr2bl w:val="nil"/>
            </w:tcBorders>
            <w:tcMar>
              <w:left w:w="60" w:type="dxa"/>
              <w:right w:w="60" w:type="dxa"/>
            </w:tcMar>
            <w:vAlign w:val="bottom"/>
          </w:tcPr>
          <w:p>
            <w:pPr>
              <w:pStyle w:val="DMETW36765BIPPF"/>
              <w:rPr>
                <w:rFonts w:ascii="Arial" w:eastAsia="Arial" w:hAnsi="Arial" w:cs="Arial"/>
                <w:noProof/>
                <w:color w:val="000000"/>
              </w:rPr>
            </w:pPr>
          </w:p>
        </w:tc>
        <w:tc>
          <w:tcPr>
            <w:tcW w:w="2396" w:type="dxa"/>
            <w:tcBorders>
              <w:top w:val="nil"/>
              <w:left w:val="nil"/>
              <w:bottom w:val="nil"/>
              <w:right w:val="nil"/>
              <w:tl2br w:val="nil"/>
              <w:tr2bl w:val="nil"/>
            </w:tcBorders>
            <w:tcMar>
              <w:left w:w="60" w:type="dxa"/>
              <w:right w:w="60" w:type="dxa"/>
            </w:tcMar>
            <w:vAlign w:val="bottom"/>
          </w:tcPr>
          <w:p>
            <w:pPr>
              <w:pStyle w:val="DMETW36765BIPPF"/>
              <w:jc w:val="right"/>
              <w:rPr>
                <w:rFonts w:ascii="Verdana" w:eastAsia="Verdana" w:hAnsi="Verdana" w:cs="Verdana"/>
                <w:i/>
                <w:noProof/>
                <w:color w:val="000000"/>
                <w:sz w:val="16"/>
              </w:rPr>
            </w:pPr>
            <w:r>
              <w:rPr>
                <w:rFonts w:ascii="Verdana" w:hAnsi="Verdana"/>
                <w:i/>
                <w:noProof/>
                <w:color w:val="000000"/>
                <w:sz w:val="16"/>
              </w:rPr>
              <w:t>en Mio EUR</w:t>
            </w:r>
          </w:p>
        </w:tc>
      </w:tr>
      <w:tr>
        <w:trPr>
          <w:trHeight w:val="255"/>
        </w:trPr>
        <w:tc>
          <w:tcPr>
            <w:tcW w:w="4199" w:type="dxa"/>
            <w:tcBorders>
              <w:top w:val="nil"/>
              <w:left w:val="nil"/>
              <w:bottom w:val="nil"/>
              <w:right w:val="nil"/>
              <w:tl2br w:val="nil"/>
              <w:tr2bl w:val="nil"/>
            </w:tcBorders>
            <w:shd w:val="solid" w:color="016794" w:fill="FFFFFF"/>
            <w:tcMar>
              <w:left w:w="60" w:type="dxa"/>
              <w:right w:w="60" w:type="dxa"/>
            </w:tcMar>
            <w:vAlign w:val="center"/>
          </w:tcPr>
          <w:p>
            <w:pPr>
              <w:pStyle w:val="DMETW36765BIPPF"/>
              <w:rPr>
                <w:rFonts w:ascii="Verdana" w:eastAsia="Verdana" w:hAnsi="Verdana" w:cs="Verdana"/>
                <w:noProof/>
                <w:color w:val="FFFFFF"/>
              </w:rPr>
            </w:pPr>
          </w:p>
        </w:tc>
        <w:tc>
          <w:tcPr>
            <w:tcW w:w="767" w:type="dxa"/>
            <w:tcBorders>
              <w:top w:val="nil"/>
              <w:left w:val="nil"/>
              <w:bottom w:val="nil"/>
              <w:right w:val="nil"/>
              <w:tl2br w:val="nil"/>
              <w:tr2bl w:val="nil"/>
            </w:tcBorders>
            <w:shd w:val="solid" w:color="016794" w:fill="FFFFFF"/>
            <w:tcMar>
              <w:left w:w="60" w:type="dxa"/>
              <w:right w:w="60" w:type="dxa"/>
            </w:tcMar>
            <w:vAlign w:val="center"/>
          </w:tcPr>
          <w:p>
            <w:pPr>
              <w:pStyle w:val="DMETW36765BIPPF"/>
              <w:jc w:val="center"/>
              <w:rPr>
                <w:rFonts w:ascii="Verdana" w:eastAsia="Verdana" w:hAnsi="Verdana" w:cs="Verdana"/>
                <w:noProof/>
                <w:color w:val="FFFFFF"/>
              </w:rPr>
            </w:pPr>
            <w:r>
              <w:rPr>
                <w:rFonts w:ascii="Verdana" w:hAnsi="Verdana"/>
                <w:noProof/>
                <w:color w:val="FFFFFF"/>
              </w:rPr>
              <w:t>Note</w:t>
            </w:r>
          </w:p>
        </w:tc>
        <w:tc>
          <w:tcPr>
            <w:tcW w:w="2396" w:type="dxa"/>
            <w:tcBorders>
              <w:top w:val="nil"/>
              <w:left w:val="nil"/>
              <w:bottom w:val="nil"/>
              <w:right w:val="nil"/>
              <w:tl2br w:val="nil"/>
              <w:tr2bl w:val="nil"/>
            </w:tcBorders>
            <w:shd w:val="solid" w:color="016794" w:fill="FFFFFF"/>
            <w:tcMar>
              <w:left w:w="60" w:type="dxa"/>
              <w:right w:w="60" w:type="dxa"/>
            </w:tcMar>
            <w:vAlign w:val="center"/>
          </w:tcPr>
          <w:p>
            <w:pPr>
              <w:pStyle w:val="DMETW36765BIPPF"/>
              <w:jc w:val="right"/>
              <w:rPr>
                <w:rFonts w:ascii="Verdana" w:eastAsia="Verdana" w:hAnsi="Verdana" w:cs="Verdana"/>
                <w:noProof/>
                <w:color w:val="FFFFFF"/>
              </w:rPr>
            </w:pPr>
            <w:r>
              <w:rPr>
                <w:rFonts w:ascii="Verdana" w:hAnsi="Verdana"/>
                <w:noProof/>
                <w:color w:val="FFFFFF"/>
              </w:rPr>
              <w:t>31.12.2025</w:t>
            </w:r>
          </w:p>
        </w:tc>
        <w:tc>
          <w:tcPr>
            <w:tcW w:w="2396" w:type="dxa"/>
            <w:tcBorders>
              <w:top w:val="nil"/>
              <w:left w:val="nil"/>
              <w:bottom w:val="nil"/>
              <w:right w:val="nil"/>
              <w:tl2br w:val="nil"/>
              <w:tr2bl w:val="nil"/>
            </w:tcBorders>
            <w:shd w:val="solid" w:color="016794" w:fill="FFFFFF"/>
            <w:tcMar>
              <w:left w:w="60" w:type="dxa"/>
              <w:right w:w="60" w:type="dxa"/>
            </w:tcMar>
            <w:vAlign w:val="center"/>
          </w:tcPr>
          <w:p>
            <w:pPr>
              <w:pStyle w:val="DMETW36765BIPPF"/>
              <w:jc w:val="right"/>
              <w:rPr>
                <w:rFonts w:ascii="Verdana" w:eastAsia="Verdana" w:hAnsi="Verdana" w:cs="Verdana"/>
                <w:noProof/>
                <w:color w:val="FFFFFF"/>
              </w:rPr>
            </w:pPr>
            <w:r>
              <w:rPr>
                <w:rFonts w:ascii="Verdana" w:hAnsi="Verdana"/>
                <w:noProof/>
                <w:color w:val="FFFFFF"/>
              </w:rPr>
              <w:t>31.12.2024</w:t>
            </w:r>
          </w:p>
        </w:tc>
      </w:tr>
      <w:tr>
        <w:trPr>
          <w:trHeight w:val="255"/>
        </w:trPr>
        <w:tc>
          <w:tcPr>
            <w:tcW w:w="4199" w:type="dxa"/>
            <w:tcBorders>
              <w:top w:val="nil"/>
              <w:left w:val="nil"/>
              <w:bottom w:val="nil"/>
              <w:right w:val="nil"/>
              <w:tl2br w:val="nil"/>
              <w:tr2bl w:val="nil"/>
            </w:tcBorders>
            <w:tcMar>
              <w:left w:w="60" w:type="dxa"/>
              <w:right w:w="60" w:type="dxa"/>
            </w:tcMar>
            <w:vAlign w:val="center"/>
          </w:tcPr>
          <w:p>
            <w:pPr>
              <w:pStyle w:val="DMETW36765BIPPF"/>
              <w:rPr>
                <w:rFonts w:ascii="Verdana" w:eastAsia="Verdana" w:hAnsi="Verdana" w:cs="Verdana"/>
                <w:b/>
                <w:noProof/>
                <w:color w:val="000000"/>
                <w:sz w:val="18"/>
              </w:rPr>
            </w:pPr>
            <w:r>
              <w:rPr>
                <w:rFonts w:ascii="Verdana" w:hAnsi="Verdana"/>
                <w:b/>
                <w:noProof/>
                <w:color w:val="000000"/>
                <w:sz w:val="18"/>
              </w:rPr>
              <w:t>Non courants</w:t>
            </w:r>
          </w:p>
        </w:tc>
        <w:tc>
          <w:tcPr>
            <w:tcW w:w="767" w:type="dxa"/>
            <w:tcBorders>
              <w:top w:val="nil"/>
              <w:left w:val="nil"/>
              <w:bottom w:val="nil"/>
              <w:right w:val="nil"/>
              <w:tl2br w:val="nil"/>
              <w:tr2bl w:val="nil"/>
            </w:tcBorders>
            <w:tcMar>
              <w:left w:w="60" w:type="dxa"/>
              <w:right w:w="60" w:type="dxa"/>
            </w:tcMar>
            <w:vAlign w:val="center"/>
          </w:tcPr>
          <w:p>
            <w:pPr>
              <w:pStyle w:val="DMETW36765BIPPF"/>
              <w:jc w:val="center"/>
              <w:rPr>
                <w:rFonts w:ascii="Verdana" w:eastAsia="Verdana" w:hAnsi="Verdana" w:cs="Verdana"/>
                <w:b/>
                <w:noProof/>
                <w:color w:val="000000"/>
                <w:sz w:val="18"/>
              </w:rPr>
            </w:pPr>
          </w:p>
        </w:tc>
        <w:tc>
          <w:tcPr>
            <w:tcW w:w="2396" w:type="dxa"/>
            <w:tcBorders>
              <w:top w:val="nil"/>
              <w:left w:val="nil"/>
              <w:bottom w:val="nil"/>
              <w:right w:val="nil"/>
              <w:tl2br w:val="nil"/>
              <w:tr2bl w:val="nil"/>
            </w:tcBorders>
            <w:tcMar>
              <w:left w:w="60" w:type="dxa"/>
              <w:right w:w="60" w:type="dxa"/>
            </w:tcMar>
            <w:vAlign w:val="center"/>
          </w:tcPr>
          <w:p>
            <w:pPr>
              <w:pStyle w:val="DMETW36765BIPPF"/>
              <w:rPr>
                <w:rFonts w:ascii="Arial" w:eastAsia="Arial" w:hAnsi="Arial" w:cs="Arial"/>
                <w:noProof/>
                <w:color w:val="000000"/>
              </w:rPr>
            </w:pPr>
          </w:p>
        </w:tc>
        <w:tc>
          <w:tcPr>
            <w:tcW w:w="2396" w:type="dxa"/>
            <w:tcBorders>
              <w:top w:val="nil"/>
              <w:left w:val="nil"/>
              <w:bottom w:val="nil"/>
              <w:right w:val="nil"/>
              <w:tl2br w:val="nil"/>
              <w:tr2bl w:val="nil"/>
            </w:tcBorders>
            <w:tcMar>
              <w:left w:w="60" w:type="dxa"/>
              <w:right w:w="60" w:type="dxa"/>
            </w:tcMar>
            <w:vAlign w:val="center"/>
          </w:tcPr>
          <w:p>
            <w:pPr>
              <w:pStyle w:val="DMETW36765BIPPF"/>
              <w:rPr>
                <w:rFonts w:ascii="Arial" w:eastAsia="Arial" w:hAnsi="Arial" w:cs="Arial"/>
                <w:noProof/>
                <w:color w:val="000000"/>
                <w:lang w:bidi="en-GB"/>
              </w:rPr>
            </w:pPr>
          </w:p>
        </w:tc>
      </w:tr>
      <w:tr>
        <w:trPr>
          <w:trHeight w:val="255"/>
        </w:trPr>
        <w:tc>
          <w:tcPr>
            <w:tcW w:w="4199" w:type="dxa"/>
            <w:tcBorders>
              <w:top w:val="nil"/>
              <w:left w:val="nil"/>
              <w:bottom w:val="nil"/>
              <w:right w:val="nil"/>
              <w:tl2br w:val="nil"/>
              <w:tr2bl w:val="nil"/>
            </w:tcBorders>
            <w:tcMar>
              <w:left w:w="60" w:type="dxa"/>
              <w:right w:w="60" w:type="dxa"/>
            </w:tcMar>
            <w:vAlign w:val="center"/>
          </w:tcPr>
          <w:p>
            <w:pPr>
              <w:pStyle w:val="DMETW36765BIPPF"/>
              <w:rPr>
                <w:rFonts w:ascii="Verdana" w:eastAsia="Verdana" w:hAnsi="Verdana" w:cs="Verdana"/>
                <w:i/>
                <w:noProof/>
                <w:color w:val="000000"/>
                <w:sz w:val="18"/>
              </w:rPr>
            </w:pPr>
            <w:r>
              <w:rPr>
                <w:rFonts w:ascii="Verdana" w:hAnsi="Verdana"/>
                <w:i/>
                <w:noProof/>
                <w:color w:val="000000"/>
                <w:sz w:val="18"/>
              </w:rPr>
              <w:t>Préfinancements</w:t>
            </w:r>
          </w:p>
        </w:tc>
        <w:tc>
          <w:tcPr>
            <w:tcW w:w="767" w:type="dxa"/>
            <w:tcBorders>
              <w:top w:val="nil"/>
              <w:left w:val="nil"/>
              <w:bottom w:val="nil"/>
              <w:right w:val="nil"/>
              <w:tl2br w:val="nil"/>
              <w:tr2bl w:val="nil"/>
            </w:tcBorders>
            <w:tcMar>
              <w:left w:w="60" w:type="dxa"/>
              <w:right w:w="60" w:type="dxa"/>
            </w:tcMar>
            <w:vAlign w:val="center"/>
          </w:tcPr>
          <w:p>
            <w:pPr>
              <w:pStyle w:val="DMETW36765BIPPF"/>
              <w:jc w:val="center"/>
              <w:rPr>
                <w:rFonts w:ascii="Verdana" w:eastAsia="Verdana" w:hAnsi="Verdana" w:cs="Verdana"/>
                <w:i/>
                <w:noProof/>
                <w:color w:val="000000"/>
                <w:sz w:val="18"/>
              </w:rPr>
            </w:pPr>
            <w:r>
              <w:rPr>
                <w:rFonts w:ascii="Verdana" w:hAnsi="Verdana"/>
                <w:i/>
                <w:noProof/>
                <w:color w:val="000000"/>
                <w:sz w:val="18"/>
              </w:rPr>
              <w:t>2.5.1</w:t>
            </w:r>
          </w:p>
        </w:tc>
        <w:tc>
          <w:tcPr>
            <w:tcW w:w="2396" w:type="dxa"/>
            <w:tcBorders>
              <w:top w:val="nil"/>
              <w:left w:val="nil"/>
              <w:bottom w:val="nil"/>
              <w:right w:val="nil"/>
              <w:tl2br w:val="nil"/>
              <w:tr2bl w:val="nil"/>
            </w:tcBorders>
            <w:tcMar>
              <w:left w:w="60" w:type="dxa"/>
              <w:right w:w="60" w:type="dxa"/>
            </w:tcMar>
            <w:vAlign w:val="center"/>
          </w:tcPr>
          <w:p>
            <w:pPr>
              <w:pStyle w:val="DMETW36765BIPPF"/>
              <w:jc w:val="right"/>
              <w:rPr>
                <w:rFonts w:ascii="Verdana" w:eastAsia="Verdana" w:hAnsi="Verdana" w:cs="Verdana"/>
                <w:i/>
                <w:noProof/>
                <w:color w:val="000000"/>
                <w:sz w:val="18"/>
              </w:rPr>
            </w:pPr>
            <w:r>
              <w:rPr>
                <w:rFonts w:ascii="Verdana" w:hAnsi="Verdana"/>
                <w:i/>
                <w:noProof/>
                <w:color w:val="000000"/>
                <w:sz w:val="18"/>
              </w:rPr>
              <w:t>36 000</w:t>
            </w:r>
          </w:p>
        </w:tc>
        <w:tc>
          <w:tcPr>
            <w:tcW w:w="2396" w:type="dxa"/>
            <w:tcBorders>
              <w:top w:val="nil"/>
              <w:left w:val="nil"/>
              <w:bottom w:val="nil"/>
              <w:right w:val="nil"/>
              <w:tl2br w:val="nil"/>
              <w:tr2bl w:val="nil"/>
            </w:tcBorders>
            <w:tcMar>
              <w:left w:w="60" w:type="dxa"/>
              <w:right w:w="60" w:type="dxa"/>
            </w:tcMar>
            <w:vAlign w:val="center"/>
          </w:tcPr>
          <w:p>
            <w:pPr>
              <w:pStyle w:val="DMETW36765BIPPF"/>
              <w:jc w:val="right"/>
              <w:rPr>
                <w:rFonts w:ascii="Verdana" w:eastAsia="Verdana" w:hAnsi="Verdana" w:cs="Verdana"/>
                <w:i/>
                <w:noProof/>
                <w:color w:val="000000"/>
                <w:sz w:val="18"/>
              </w:rPr>
            </w:pPr>
            <w:r>
              <w:rPr>
                <w:rFonts w:ascii="Verdana" w:hAnsi="Verdana"/>
                <w:i/>
                <w:noProof/>
                <w:color w:val="000000"/>
                <w:sz w:val="18"/>
              </w:rPr>
              <w:t>39 093</w:t>
            </w:r>
          </w:p>
        </w:tc>
      </w:tr>
      <w:tr>
        <w:trPr>
          <w:trHeight w:val="255"/>
        </w:trPr>
        <w:tc>
          <w:tcPr>
            <w:tcW w:w="4199" w:type="dxa"/>
            <w:tcBorders>
              <w:top w:val="nil"/>
              <w:left w:val="nil"/>
              <w:bottom w:val="nil"/>
              <w:right w:val="nil"/>
              <w:tl2br w:val="nil"/>
              <w:tr2bl w:val="nil"/>
            </w:tcBorders>
            <w:tcMar>
              <w:left w:w="60" w:type="dxa"/>
              <w:right w:w="60" w:type="dxa"/>
            </w:tcMar>
            <w:vAlign w:val="center"/>
          </w:tcPr>
          <w:p>
            <w:pPr>
              <w:pStyle w:val="DMETW36765BIPPF"/>
              <w:rPr>
                <w:rFonts w:ascii="Verdana" w:eastAsia="Verdana" w:hAnsi="Verdana" w:cs="Verdana"/>
                <w:i/>
                <w:noProof/>
                <w:color w:val="000000"/>
                <w:sz w:val="18"/>
              </w:rPr>
            </w:pPr>
            <w:r>
              <w:rPr>
                <w:rFonts w:ascii="Verdana" w:hAnsi="Verdana"/>
                <w:i/>
                <w:noProof/>
                <w:color w:val="000000"/>
                <w:sz w:val="18"/>
              </w:rPr>
              <w:t>Autres avances payées aux États membres</w:t>
            </w:r>
          </w:p>
        </w:tc>
        <w:tc>
          <w:tcPr>
            <w:tcW w:w="767" w:type="dxa"/>
            <w:tcBorders>
              <w:top w:val="nil"/>
              <w:left w:val="nil"/>
              <w:bottom w:val="nil"/>
              <w:right w:val="nil"/>
              <w:tl2br w:val="nil"/>
              <w:tr2bl w:val="nil"/>
            </w:tcBorders>
            <w:tcMar>
              <w:left w:w="60" w:type="dxa"/>
              <w:right w:w="60" w:type="dxa"/>
            </w:tcMar>
            <w:vAlign w:val="center"/>
          </w:tcPr>
          <w:p>
            <w:pPr>
              <w:pStyle w:val="DMETW36765BIPPF"/>
              <w:jc w:val="center"/>
              <w:rPr>
                <w:rFonts w:ascii="Verdana" w:eastAsia="Verdana" w:hAnsi="Verdana" w:cs="Verdana"/>
                <w:i/>
                <w:noProof/>
                <w:color w:val="000000"/>
                <w:sz w:val="18"/>
              </w:rPr>
            </w:pPr>
            <w:r>
              <w:rPr>
                <w:rFonts w:ascii="Verdana" w:hAnsi="Verdana"/>
                <w:i/>
                <w:noProof/>
                <w:color w:val="000000"/>
                <w:sz w:val="18"/>
              </w:rPr>
              <w:t>2.5.2</w:t>
            </w:r>
          </w:p>
        </w:tc>
        <w:tc>
          <w:tcPr>
            <w:tcW w:w="2396" w:type="dxa"/>
            <w:tcBorders>
              <w:top w:val="nil"/>
              <w:left w:val="nil"/>
              <w:bottom w:val="nil"/>
              <w:right w:val="nil"/>
              <w:tl2br w:val="nil"/>
              <w:tr2bl w:val="nil"/>
            </w:tcBorders>
            <w:tcMar>
              <w:left w:w="60" w:type="dxa"/>
              <w:right w:w="60" w:type="dxa"/>
            </w:tcMar>
            <w:vAlign w:val="center"/>
          </w:tcPr>
          <w:p>
            <w:pPr>
              <w:pStyle w:val="DMETW36765BIPPF"/>
              <w:jc w:val="right"/>
              <w:rPr>
                <w:rFonts w:ascii="Verdana" w:eastAsia="Verdana" w:hAnsi="Verdana" w:cs="Verdana"/>
                <w:i/>
                <w:noProof/>
                <w:color w:val="000000"/>
                <w:sz w:val="18"/>
              </w:rPr>
            </w:pPr>
            <w:r>
              <w:rPr>
                <w:rFonts w:ascii="Verdana" w:hAnsi="Verdana"/>
                <w:i/>
                <w:noProof/>
                <w:color w:val="000000"/>
                <w:sz w:val="18"/>
              </w:rPr>
              <w:t>2 933</w:t>
            </w:r>
          </w:p>
        </w:tc>
        <w:tc>
          <w:tcPr>
            <w:tcW w:w="2396" w:type="dxa"/>
            <w:tcBorders>
              <w:top w:val="nil"/>
              <w:left w:val="nil"/>
              <w:bottom w:val="nil"/>
              <w:right w:val="nil"/>
              <w:tl2br w:val="nil"/>
              <w:tr2bl w:val="nil"/>
            </w:tcBorders>
            <w:tcMar>
              <w:left w:w="60" w:type="dxa"/>
              <w:right w:w="60" w:type="dxa"/>
            </w:tcMar>
            <w:vAlign w:val="center"/>
          </w:tcPr>
          <w:p>
            <w:pPr>
              <w:pStyle w:val="DMETW36765BIPPF"/>
              <w:jc w:val="right"/>
              <w:rPr>
                <w:rFonts w:ascii="Verdana" w:eastAsia="Verdana" w:hAnsi="Verdana" w:cs="Verdana"/>
                <w:i/>
                <w:noProof/>
                <w:color w:val="000000"/>
                <w:sz w:val="18"/>
              </w:rPr>
            </w:pPr>
            <w:r>
              <w:rPr>
                <w:rFonts w:ascii="Verdana" w:hAnsi="Verdana"/>
                <w:i/>
                <w:noProof/>
                <w:color w:val="000000"/>
                <w:sz w:val="18"/>
              </w:rPr>
              <w:t>1 682</w:t>
            </w:r>
          </w:p>
        </w:tc>
      </w:tr>
      <w:tr>
        <w:trPr>
          <w:trHeight w:val="255"/>
        </w:trPr>
        <w:tc>
          <w:tcPr>
            <w:tcW w:w="4199" w:type="dxa"/>
            <w:tcBorders>
              <w:top w:val="nil"/>
              <w:left w:val="nil"/>
              <w:bottom w:val="nil"/>
              <w:right w:val="nil"/>
              <w:tl2br w:val="nil"/>
              <w:tr2bl w:val="nil"/>
            </w:tcBorders>
            <w:tcMar>
              <w:left w:w="60" w:type="dxa"/>
              <w:right w:w="60" w:type="dxa"/>
            </w:tcMar>
            <w:vAlign w:val="center"/>
          </w:tcPr>
          <w:p>
            <w:pPr>
              <w:pStyle w:val="DMETW36765BIPPF"/>
              <w:rPr>
                <w:rFonts w:ascii="Verdana" w:eastAsia="Verdana" w:hAnsi="Verdana" w:cs="Verdana"/>
                <w:i/>
                <w:noProof/>
                <w:color w:val="000000"/>
                <w:sz w:val="18"/>
              </w:rPr>
            </w:pPr>
            <w:r>
              <w:rPr>
                <w:rFonts w:ascii="Verdana" w:hAnsi="Verdana"/>
                <w:i/>
                <w:noProof/>
                <w:color w:val="000000"/>
                <w:sz w:val="18"/>
              </w:rPr>
              <w:t>Contribution aux fonds fiduciaires</w:t>
            </w:r>
          </w:p>
        </w:tc>
        <w:tc>
          <w:tcPr>
            <w:tcW w:w="767" w:type="dxa"/>
            <w:tcBorders>
              <w:top w:val="nil"/>
              <w:left w:val="nil"/>
              <w:bottom w:val="nil"/>
              <w:right w:val="nil"/>
              <w:tl2br w:val="nil"/>
              <w:tr2bl w:val="nil"/>
            </w:tcBorders>
            <w:tcMar>
              <w:left w:w="60" w:type="dxa"/>
              <w:right w:w="60" w:type="dxa"/>
            </w:tcMar>
            <w:vAlign w:val="center"/>
          </w:tcPr>
          <w:p>
            <w:pPr>
              <w:pStyle w:val="DMETW36765BIPPF"/>
              <w:jc w:val="center"/>
              <w:rPr>
                <w:rFonts w:ascii="Verdana" w:eastAsia="Verdana" w:hAnsi="Verdana" w:cs="Verdana"/>
                <w:i/>
                <w:noProof/>
                <w:color w:val="000000"/>
                <w:sz w:val="18"/>
              </w:rPr>
            </w:pPr>
          </w:p>
        </w:tc>
        <w:tc>
          <w:tcPr>
            <w:tcW w:w="2396" w:type="dxa"/>
            <w:tcBorders>
              <w:top w:val="nil"/>
              <w:left w:val="nil"/>
              <w:bottom w:val="nil"/>
              <w:right w:val="nil"/>
              <w:tl2br w:val="nil"/>
              <w:tr2bl w:val="nil"/>
            </w:tcBorders>
            <w:tcMar>
              <w:left w:w="60" w:type="dxa"/>
              <w:right w:w="60" w:type="dxa"/>
            </w:tcMar>
            <w:vAlign w:val="center"/>
          </w:tcPr>
          <w:p>
            <w:pPr>
              <w:pStyle w:val="DMETW36765BIPPF"/>
              <w:jc w:val="right"/>
              <w:rPr>
                <w:rFonts w:ascii="Verdana" w:eastAsia="Verdana" w:hAnsi="Verdana" w:cs="Verdana"/>
                <w:i/>
                <w:noProof/>
                <w:color w:val="000000"/>
                <w:sz w:val="18"/>
              </w:rPr>
            </w:pPr>
            <w:r>
              <w:rPr>
                <w:rFonts w:ascii="Verdana" w:hAnsi="Verdana"/>
                <w:i/>
                <w:noProof/>
                <w:color w:val="000000"/>
                <w:sz w:val="18"/>
              </w:rPr>
              <w:t xml:space="preserve"> 38</w:t>
            </w:r>
          </w:p>
        </w:tc>
        <w:tc>
          <w:tcPr>
            <w:tcW w:w="2396" w:type="dxa"/>
            <w:tcBorders>
              <w:top w:val="nil"/>
              <w:left w:val="nil"/>
              <w:bottom w:val="nil"/>
              <w:right w:val="nil"/>
              <w:tl2br w:val="nil"/>
              <w:tr2bl w:val="nil"/>
            </w:tcBorders>
            <w:tcMar>
              <w:left w:w="60" w:type="dxa"/>
              <w:right w:w="60" w:type="dxa"/>
            </w:tcMar>
            <w:vAlign w:val="center"/>
          </w:tcPr>
          <w:p>
            <w:pPr>
              <w:pStyle w:val="DMETW36765BIPPF"/>
              <w:jc w:val="right"/>
              <w:rPr>
                <w:rFonts w:ascii="Verdana" w:eastAsia="Verdana" w:hAnsi="Verdana" w:cs="Verdana"/>
                <w:i/>
                <w:noProof/>
                <w:color w:val="000000"/>
                <w:sz w:val="18"/>
              </w:rPr>
            </w:pPr>
            <w:r>
              <w:rPr>
                <w:rFonts w:ascii="Verdana" w:hAnsi="Verdana"/>
                <w:i/>
                <w:noProof/>
                <w:color w:val="000000"/>
                <w:sz w:val="18"/>
              </w:rPr>
              <w:t xml:space="preserve"> 85</w:t>
            </w:r>
          </w:p>
        </w:tc>
      </w:tr>
      <w:tr>
        <w:trPr>
          <w:trHeight w:val="255"/>
        </w:trPr>
        <w:tc>
          <w:tcPr>
            <w:tcW w:w="4199" w:type="dxa"/>
            <w:tcBorders>
              <w:top w:val="nil"/>
              <w:left w:val="nil"/>
              <w:bottom w:val="nil"/>
              <w:right w:val="nil"/>
              <w:tl2br w:val="nil"/>
              <w:tr2bl w:val="nil"/>
            </w:tcBorders>
            <w:shd w:val="solid" w:color="CCE1EA" w:fill="FFFFFF"/>
            <w:tcMar>
              <w:left w:w="60" w:type="dxa"/>
              <w:right w:w="60" w:type="dxa"/>
            </w:tcMar>
            <w:vAlign w:val="center"/>
          </w:tcPr>
          <w:p>
            <w:pPr>
              <w:pStyle w:val="DMETW36765BIPPF"/>
              <w:rPr>
                <w:rFonts w:ascii="Verdana" w:eastAsia="Verdana" w:hAnsi="Verdana" w:cs="Verdana"/>
                <w:b/>
                <w:noProof/>
                <w:color w:val="000000"/>
                <w:sz w:val="18"/>
              </w:rPr>
            </w:pPr>
          </w:p>
        </w:tc>
        <w:tc>
          <w:tcPr>
            <w:tcW w:w="767" w:type="dxa"/>
            <w:tcBorders>
              <w:top w:val="nil"/>
              <w:left w:val="nil"/>
              <w:bottom w:val="nil"/>
              <w:right w:val="nil"/>
              <w:tl2br w:val="nil"/>
              <w:tr2bl w:val="nil"/>
            </w:tcBorders>
            <w:shd w:val="solid" w:color="CCE1EA" w:fill="FFFFFF"/>
            <w:tcMar>
              <w:left w:w="60" w:type="dxa"/>
              <w:right w:w="60" w:type="dxa"/>
            </w:tcMar>
            <w:vAlign w:val="center"/>
          </w:tcPr>
          <w:p>
            <w:pPr>
              <w:pStyle w:val="DMETW36765BIPPF"/>
              <w:jc w:val="center"/>
              <w:rPr>
                <w:rFonts w:ascii="Verdana" w:eastAsia="Verdana" w:hAnsi="Verdana" w:cs="Verdana"/>
                <w:noProof/>
                <w:color w:val="000000"/>
                <w:sz w:val="18"/>
              </w:rPr>
            </w:pPr>
          </w:p>
        </w:tc>
        <w:tc>
          <w:tcPr>
            <w:tcW w:w="2396" w:type="dxa"/>
            <w:tcBorders>
              <w:top w:val="nil"/>
              <w:left w:val="nil"/>
              <w:bottom w:val="nil"/>
              <w:right w:val="nil"/>
              <w:tl2br w:val="nil"/>
              <w:tr2bl w:val="nil"/>
            </w:tcBorders>
            <w:shd w:val="solid" w:color="CCE1EA" w:fill="FFFFFF"/>
            <w:tcMar>
              <w:left w:w="60" w:type="dxa"/>
              <w:right w:w="60" w:type="dxa"/>
            </w:tcMar>
            <w:vAlign w:val="center"/>
          </w:tcPr>
          <w:p>
            <w:pPr>
              <w:pStyle w:val="DMETW36765BIPPF"/>
              <w:jc w:val="right"/>
              <w:rPr>
                <w:rFonts w:ascii="Verdana" w:eastAsia="Verdana" w:hAnsi="Verdana" w:cs="Verdana"/>
                <w:b/>
                <w:noProof/>
                <w:color w:val="000000"/>
                <w:sz w:val="18"/>
              </w:rPr>
            </w:pPr>
            <w:r>
              <w:rPr>
                <w:rFonts w:ascii="Verdana" w:hAnsi="Verdana"/>
                <w:b/>
                <w:noProof/>
                <w:color w:val="000000"/>
                <w:sz w:val="18"/>
              </w:rPr>
              <w:t>38 971</w:t>
            </w:r>
          </w:p>
        </w:tc>
        <w:tc>
          <w:tcPr>
            <w:tcW w:w="2396" w:type="dxa"/>
            <w:tcBorders>
              <w:top w:val="nil"/>
              <w:left w:val="nil"/>
              <w:bottom w:val="nil"/>
              <w:right w:val="nil"/>
              <w:tl2br w:val="nil"/>
              <w:tr2bl w:val="nil"/>
            </w:tcBorders>
            <w:shd w:val="solid" w:color="CCE1EA" w:fill="FFFFFF"/>
            <w:tcMar>
              <w:left w:w="60" w:type="dxa"/>
              <w:right w:w="60" w:type="dxa"/>
            </w:tcMar>
            <w:vAlign w:val="center"/>
          </w:tcPr>
          <w:p>
            <w:pPr>
              <w:pStyle w:val="DMETW36765BIPPF"/>
              <w:jc w:val="right"/>
              <w:rPr>
                <w:rFonts w:ascii="Verdana" w:eastAsia="Verdana" w:hAnsi="Verdana" w:cs="Verdana"/>
                <w:b/>
                <w:noProof/>
                <w:color w:val="000000"/>
                <w:sz w:val="18"/>
              </w:rPr>
            </w:pPr>
            <w:r>
              <w:rPr>
                <w:rFonts w:ascii="Verdana" w:hAnsi="Verdana"/>
                <w:b/>
                <w:noProof/>
                <w:color w:val="000000"/>
                <w:sz w:val="18"/>
              </w:rPr>
              <w:t>40 861</w:t>
            </w:r>
          </w:p>
        </w:tc>
      </w:tr>
      <w:tr>
        <w:trPr>
          <w:trHeight w:val="255"/>
        </w:trPr>
        <w:tc>
          <w:tcPr>
            <w:tcW w:w="4199" w:type="dxa"/>
            <w:tcBorders>
              <w:top w:val="nil"/>
              <w:left w:val="nil"/>
              <w:bottom w:val="nil"/>
              <w:right w:val="nil"/>
              <w:tl2br w:val="nil"/>
              <w:tr2bl w:val="nil"/>
            </w:tcBorders>
            <w:tcMar>
              <w:left w:w="60" w:type="dxa"/>
              <w:right w:w="60" w:type="dxa"/>
            </w:tcMar>
            <w:vAlign w:val="center"/>
          </w:tcPr>
          <w:p>
            <w:pPr>
              <w:pStyle w:val="DMETW36765BIPPF"/>
              <w:rPr>
                <w:rFonts w:ascii="Verdana" w:eastAsia="Verdana" w:hAnsi="Verdana" w:cs="Verdana"/>
                <w:b/>
                <w:noProof/>
                <w:color w:val="000000"/>
                <w:sz w:val="18"/>
              </w:rPr>
            </w:pPr>
            <w:r>
              <w:rPr>
                <w:rFonts w:ascii="Verdana" w:hAnsi="Verdana"/>
                <w:b/>
                <w:noProof/>
                <w:color w:val="000000"/>
                <w:sz w:val="18"/>
              </w:rPr>
              <w:t>Courants</w:t>
            </w:r>
          </w:p>
        </w:tc>
        <w:tc>
          <w:tcPr>
            <w:tcW w:w="767" w:type="dxa"/>
            <w:tcBorders>
              <w:top w:val="nil"/>
              <w:left w:val="nil"/>
              <w:bottom w:val="nil"/>
              <w:right w:val="nil"/>
              <w:tl2br w:val="nil"/>
              <w:tr2bl w:val="nil"/>
            </w:tcBorders>
            <w:tcMar>
              <w:left w:w="60" w:type="dxa"/>
              <w:right w:w="60" w:type="dxa"/>
            </w:tcMar>
            <w:vAlign w:val="center"/>
          </w:tcPr>
          <w:p>
            <w:pPr>
              <w:pStyle w:val="DMETW36765BIPPF"/>
              <w:jc w:val="center"/>
              <w:rPr>
                <w:rFonts w:ascii="Verdana" w:eastAsia="Verdana" w:hAnsi="Verdana" w:cs="Verdana"/>
                <w:b/>
                <w:noProof/>
                <w:color w:val="000000"/>
                <w:sz w:val="18"/>
              </w:rPr>
            </w:pPr>
          </w:p>
        </w:tc>
        <w:tc>
          <w:tcPr>
            <w:tcW w:w="2396" w:type="dxa"/>
            <w:tcBorders>
              <w:top w:val="nil"/>
              <w:left w:val="nil"/>
              <w:bottom w:val="nil"/>
              <w:right w:val="nil"/>
              <w:tl2br w:val="nil"/>
              <w:tr2bl w:val="nil"/>
            </w:tcBorders>
            <w:tcMar>
              <w:left w:w="60" w:type="dxa"/>
              <w:right w:w="60" w:type="dxa"/>
            </w:tcMar>
            <w:vAlign w:val="center"/>
          </w:tcPr>
          <w:p>
            <w:pPr>
              <w:pStyle w:val="DMETW36765BIPPF"/>
              <w:rPr>
                <w:rFonts w:ascii="Arial" w:eastAsia="Arial" w:hAnsi="Arial" w:cs="Arial"/>
                <w:noProof/>
                <w:color w:val="000000"/>
              </w:rPr>
            </w:pPr>
          </w:p>
        </w:tc>
        <w:tc>
          <w:tcPr>
            <w:tcW w:w="2396" w:type="dxa"/>
            <w:tcBorders>
              <w:top w:val="nil"/>
              <w:left w:val="nil"/>
              <w:bottom w:val="nil"/>
              <w:right w:val="nil"/>
              <w:tl2br w:val="nil"/>
              <w:tr2bl w:val="nil"/>
            </w:tcBorders>
            <w:tcMar>
              <w:left w:w="60" w:type="dxa"/>
              <w:right w:w="60" w:type="dxa"/>
            </w:tcMar>
            <w:vAlign w:val="center"/>
          </w:tcPr>
          <w:p>
            <w:pPr>
              <w:pStyle w:val="DMETW36765BIPPF"/>
              <w:rPr>
                <w:rFonts w:ascii="Arial" w:eastAsia="Arial" w:hAnsi="Arial" w:cs="Arial"/>
                <w:noProof/>
                <w:color w:val="000000"/>
                <w:lang w:bidi="en-GB"/>
              </w:rPr>
            </w:pPr>
          </w:p>
        </w:tc>
      </w:tr>
      <w:tr>
        <w:trPr>
          <w:trHeight w:val="255"/>
        </w:trPr>
        <w:tc>
          <w:tcPr>
            <w:tcW w:w="4199" w:type="dxa"/>
            <w:tcBorders>
              <w:top w:val="nil"/>
              <w:left w:val="nil"/>
              <w:bottom w:val="nil"/>
              <w:right w:val="nil"/>
              <w:tl2br w:val="nil"/>
              <w:tr2bl w:val="nil"/>
            </w:tcBorders>
            <w:tcMar>
              <w:left w:w="60" w:type="dxa"/>
              <w:right w:w="60" w:type="dxa"/>
            </w:tcMar>
            <w:vAlign w:val="center"/>
          </w:tcPr>
          <w:p>
            <w:pPr>
              <w:pStyle w:val="DMETW36765BIPPF"/>
              <w:rPr>
                <w:rFonts w:ascii="Verdana" w:eastAsia="Verdana" w:hAnsi="Verdana" w:cs="Verdana"/>
                <w:i/>
                <w:noProof/>
                <w:color w:val="000000"/>
                <w:sz w:val="18"/>
              </w:rPr>
            </w:pPr>
            <w:r>
              <w:rPr>
                <w:rFonts w:ascii="Verdana" w:hAnsi="Verdana"/>
                <w:i/>
                <w:noProof/>
                <w:color w:val="000000"/>
                <w:sz w:val="18"/>
              </w:rPr>
              <w:t>Préfinancements</w:t>
            </w:r>
          </w:p>
        </w:tc>
        <w:tc>
          <w:tcPr>
            <w:tcW w:w="767" w:type="dxa"/>
            <w:tcBorders>
              <w:top w:val="nil"/>
              <w:left w:val="nil"/>
              <w:bottom w:val="nil"/>
              <w:right w:val="nil"/>
              <w:tl2br w:val="nil"/>
              <w:tr2bl w:val="nil"/>
            </w:tcBorders>
            <w:tcMar>
              <w:left w:w="60" w:type="dxa"/>
              <w:right w:w="60" w:type="dxa"/>
            </w:tcMar>
            <w:vAlign w:val="center"/>
          </w:tcPr>
          <w:p>
            <w:pPr>
              <w:pStyle w:val="DMETW36765BIPPF"/>
              <w:jc w:val="center"/>
              <w:rPr>
                <w:rFonts w:ascii="Verdana" w:eastAsia="Verdana" w:hAnsi="Verdana" w:cs="Verdana"/>
                <w:i/>
                <w:noProof/>
                <w:color w:val="000000"/>
                <w:sz w:val="18"/>
              </w:rPr>
            </w:pPr>
            <w:r>
              <w:rPr>
                <w:rFonts w:ascii="Verdana" w:hAnsi="Verdana"/>
                <w:i/>
                <w:noProof/>
                <w:color w:val="000000"/>
                <w:sz w:val="18"/>
              </w:rPr>
              <w:t>2.5.1</w:t>
            </w:r>
          </w:p>
        </w:tc>
        <w:tc>
          <w:tcPr>
            <w:tcW w:w="2396" w:type="dxa"/>
            <w:tcBorders>
              <w:top w:val="nil"/>
              <w:left w:val="nil"/>
              <w:bottom w:val="nil"/>
              <w:right w:val="nil"/>
              <w:tl2br w:val="nil"/>
              <w:tr2bl w:val="nil"/>
            </w:tcBorders>
            <w:tcMar>
              <w:left w:w="60" w:type="dxa"/>
              <w:right w:w="60" w:type="dxa"/>
            </w:tcMar>
            <w:vAlign w:val="center"/>
          </w:tcPr>
          <w:p>
            <w:pPr>
              <w:pStyle w:val="DMETW36765BIPPF"/>
              <w:jc w:val="right"/>
              <w:rPr>
                <w:rFonts w:ascii="Verdana" w:eastAsia="Verdana" w:hAnsi="Verdana" w:cs="Verdana"/>
                <w:i/>
                <w:noProof/>
                <w:color w:val="000000"/>
                <w:sz w:val="18"/>
              </w:rPr>
            </w:pPr>
            <w:r>
              <w:rPr>
                <w:rFonts w:ascii="Verdana" w:hAnsi="Verdana"/>
                <w:i/>
                <w:noProof/>
                <w:color w:val="000000"/>
                <w:sz w:val="18"/>
              </w:rPr>
              <w:t>35 298</w:t>
            </w:r>
          </w:p>
        </w:tc>
        <w:tc>
          <w:tcPr>
            <w:tcW w:w="2396" w:type="dxa"/>
            <w:tcBorders>
              <w:top w:val="nil"/>
              <w:left w:val="nil"/>
              <w:bottom w:val="nil"/>
              <w:right w:val="nil"/>
              <w:tl2br w:val="nil"/>
              <w:tr2bl w:val="nil"/>
            </w:tcBorders>
            <w:tcMar>
              <w:left w:w="60" w:type="dxa"/>
              <w:right w:w="60" w:type="dxa"/>
            </w:tcMar>
            <w:vAlign w:val="center"/>
          </w:tcPr>
          <w:p>
            <w:pPr>
              <w:pStyle w:val="DMETW36765BIPPF"/>
              <w:jc w:val="right"/>
              <w:rPr>
                <w:rFonts w:ascii="Verdana" w:eastAsia="Verdana" w:hAnsi="Verdana" w:cs="Verdana"/>
                <w:i/>
                <w:noProof/>
                <w:color w:val="000000"/>
                <w:sz w:val="18"/>
              </w:rPr>
            </w:pPr>
            <w:r>
              <w:rPr>
                <w:rFonts w:ascii="Verdana" w:hAnsi="Verdana"/>
                <w:i/>
                <w:noProof/>
                <w:color w:val="000000"/>
                <w:sz w:val="18"/>
              </w:rPr>
              <w:t>35 969</w:t>
            </w:r>
          </w:p>
        </w:tc>
      </w:tr>
      <w:tr>
        <w:trPr>
          <w:trHeight w:val="255"/>
        </w:trPr>
        <w:tc>
          <w:tcPr>
            <w:tcW w:w="4199" w:type="dxa"/>
            <w:tcBorders>
              <w:top w:val="nil"/>
              <w:left w:val="nil"/>
              <w:bottom w:val="nil"/>
              <w:right w:val="nil"/>
              <w:tl2br w:val="nil"/>
              <w:tr2bl w:val="nil"/>
            </w:tcBorders>
            <w:tcMar>
              <w:left w:w="60" w:type="dxa"/>
              <w:right w:w="60" w:type="dxa"/>
            </w:tcMar>
            <w:vAlign w:val="center"/>
          </w:tcPr>
          <w:p>
            <w:pPr>
              <w:pStyle w:val="DMETW36765BIPPF"/>
              <w:rPr>
                <w:rFonts w:ascii="Verdana" w:eastAsia="Verdana" w:hAnsi="Verdana" w:cs="Verdana"/>
                <w:i/>
                <w:noProof/>
                <w:color w:val="000000"/>
                <w:sz w:val="18"/>
              </w:rPr>
            </w:pPr>
            <w:r>
              <w:rPr>
                <w:rFonts w:ascii="Verdana" w:hAnsi="Verdana"/>
                <w:i/>
                <w:noProof/>
                <w:color w:val="000000"/>
                <w:sz w:val="18"/>
              </w:rPr>
              <w:t>Autres avances payées aux États membres</w:t>
            </w:r>
          </w:p>
        </w:tc>
        <w:tc>
          <w:tcPr>
            <w:tcW w:w="767" w:type="dxa"/>
            <w:tcBorders>
              <w:top w:val="nil"/>
              <w:left w:val="nil"/>
              <w:bottom w:val="nil"/>
              <w:right w:val="nil"/>
              <w:tl2br w:val="nil"/>
              <w:tr2bl w:val="nil"/>
            </w:tcBorders>
            <w:tcMar>
              <w:left w:w="60" w:type="dxa"/>
              <w:right w:w="60" w:type="dxa"/>
            </w:tcMar>
            <w:vAlign w:val="center"/>
          </w:tcPr>
          <w:p>
            <w:pPr>
              <w:pStyle w:val="DMETW36765BIPPF"/>
              <w:jc w:val="center"/>
              <w:rPr>
                <w:rFonts w:ascii="Verdana" w:eastAsia="Verdana" w:hAnsi="Verdana" w:cs="Verdana"/>
                <w:i/>
                <w:noProof/>
                <w:color w:val="000000"/>
                <w:sz w:val="18"/>
              </w:rPr>
            </w:pPr>
            <w:r>
              <w:rPr>
                <w:rFonts w:ascii="Verdana" w:hAnsi="Verdana"/>
                <w:i/>
                <w:noProof/>
                <w:color w:val="000000"/>
                <w:sz w:val="18"/>
              </w:rPr>
              <w:t>2.5.2</w:t>
            </w:r>
          </w:p>
        </w:tc>
        <w:tc>
          <w:tcPr>
            <w:tcW w:w="2396" w:type="dxa"/>
            <w:tcBorders>
              <w:top w:val="nil"/>
              <w:left w:val="nil"/>
              <w:bottom w:val="nil"/>
              <w:right w:val="nil"/>
              <w:tl2br w:val="nil"/>
              <w:tr2bl w:val="nil"/>
            </w:tcBorders>
            <w:tcMar>
              <w:left w:w="60" w:type="dxa"/>
              <w:right w:w="60" w:type="dxa"/>
            </w:tcMar>
            <w:vAlign w:val="center"/>
          </w:tcPr>
          <w:p>
            <w:pPr>
              <w:pStyle w:val="DMETW36765BIPPF"/>
              <w:jc w:val="right"/>
              <w:rPr>
                <w:rFonts w:ascii="Verdana" w:eastAsia="Verdana" w:hAnsi="Verdana" w:cs="Verdana"/>
                <w:i/>
                <w:noProof/>
                <w:color w:val="000000"/>
                <w:sz w:val="18"/>
              </w:rPr>
            </w:pPr>
            <w:r>
              <w:rPr>
                <w:rFonts w:ascii="Verdana" w:hAnsi="Verdana"/>
                <w:i/>
                <w:noProof/>
                <w:color w:val="000000"/>
                <w:sz w:val="18"/>
              </w:rPr>
              <w:t>2 477</w:t>
            </w:r>
          </w:p>
        </w:tc>
        <w:tc>
          <w:tcPr>
            <w:tcW w:w="2396" w:type="dxa"/>
            <w:tcBorders>
              <w:top w:val="nil"/>
              <w:left w:val="nil"/>
              <w:bottom w:val="nil"/>
              <w:right w:val="nil"/>
              <w:tl2br w:val="nil"/>
              <w:tr2bl w:val="nil"/>
            </w:tcBorders>
            <w:tcMar>
              <w:left w:w="60" w:type="dxa"/>
              <w:right w:w="60" w:type="dxa"/>
            </w:tcMar>
            <w:vAlign w:val="center"/>
          </w:tcPr>
          <w:p>
            <w:pPr>
              <w:pStyle w:val="DMETW36765BIPPF"/>
              <w:jc w:val="right"/>
              <w:rPr>
                <w:rFonts w:ascii="Verdana" w:eastAsia="Verdana" w:hAnsi="Verdana" w:cs="Verdana"/>
                <w:i/>
                <w:noProof/>
                <w:color w:val="000000"/>
                <w:sz w:val="18"/>
              </w:rPr>
            </w:pPr>
            <w:r>
              <w:rPr>
                <w:rFonts w:ascii="Verdana" w:hAnsi="Verdana"/>
                <w:i/>
                <w:noProof/>
                <w:color w:val="000000"/>
                <w:sz w:val="18"/>
              </w:rPr>
              <w:t>2 089</w:t>
            </w:r>
          </w:p>
        </w:tc>
      </w:tr>
      <w:tr>
        <w:trPr>
          <w:trHeight w:val="255"/>
        </w:trPr>
        <w:tc>
          <w:tcPr>
            <w:tcW w:w="4199" w:type="dxa"/>
            <w:tcBorders>
              <w:top w:val="nil"/>
              <w:left w:val="nil"/>
              <w:bottom w:val="nil"/>
              <w:right w:val="nil"/>
              <w:tl2br w:val="nil"/>
              <w:tr2bl w:val="nil"/>
            </w:tcBorders>
            <w:shd w:val="solid" w:color="CCE1EA" w:fill="FFFFFF"/>
            <w:tcMar>
              <w:left w:w="60" w:type="dxa"/>
              <w:right w:w="60" w:type="dxa"/>
            </w:tcMar>
            <w:vAlign w:val="center"/>
          </w:tcPr>
          <w:p>
            <w:pPr>
              <w:pStyle w:val="DMETW36765BIPPF"/>
              <w:rPr>
                <w:rFonts w:ascii="Verdana" w:eastAsia="Verdana" w:hAnsi="Verdana" w:cs="Verdana"/>
                <w:b/>
                <w:noProof/>
                <w:color w:val="000000"/>
                <w:sz w:val="18"/>
              </w:rPr>
            </w:pPr>
          </w:p>
        </w:tc>
        <w:tc>
          <w:tcPr>
            <w:tcW w:w="767" w:type="dxa"/>
            <w:tcBorders>
              <w:top w:val="nil"/>
              <w:left w:val="nil"/>
              <w:bottom w:val="nil"/>
              <w:right w:val="nil"/>
              <w:tl2br w:val="nil"/>
              <w:tr2bl w:val="nil"/>
            </w:tcBorders>
            <w:shd w:val="solid" w:color="CCE1EA" w:fill="FFFFFF"/>
            <w:tcMar>
              <w:left w:w="60" w:type="dxa"/>
              <w:right w:w="60" w:type="dxa"/>
            </w:tcMar>
            <w:vAlign w:val="center"/>
          </w:tcPr>
          <w:p>
            <w:pPr>
              <w:pStyle w:val="DMETW36765BIPPF"/>
              <w:jc w:val="center"/>
              <w:rPr>
                <w:rFonts w:ascii="Verdana" w:eastAsia="Verdana" w:hAnsi="Verdana" w:cs="Verdana"/>
                <w:noProof/>
                <w:color w:val="000000"/>
                <w:sz w:val="18"/>
              </w:rPr>
            </w:pPr>
          </w:p>
        </w:tc>
        <w:tc>
          <w:tcPr>
            <w:tcW w:w="2396" w:type="dxa"/>
            <w:tcBorders>
              <w:top w:val="nil"/>
              <w:left w:val="nil"/>
              <w:bottom w:val="nil"/>
              <w:right w:val="nil"/>
              <w:tl2br w:val="nil"/>
              <w:tr2bl w:val="nil"/>
            </w:tcBorders>
            <w:shd w:val="solid" w:color="CCE1EA" w:fill="FFFFFF"/>
            <w:tcMar>
              <w:left w:w="60" w:type="dxa"/>
              <w:right w:w="60" w:type="dxa"/>
            </w:tcMar>
            <w:vAlign w:val="center"/>
          </w:tcPr>
          <w:p>
            <w:pPr>
              <w:pStyle w:val="DMETW36765BIPPF"/>
              <w:jc w:val="right"/>
              <w:rPr>
                <w:rFonts w:ascii="Verdana" w:eastAsia="Verdana" w:hAnsi="Verdana" w:cs="Verdana"/>
                <w:b/>
                <w:noProof/>
                <w:color w:val="000000"/>
                <w:sz w:val="18"/>
              </w:rPr>
            </w:pPr>
            <w:r>
              <w:rPr>
                <w:rFonts w:ascii="Verdana" w:hAnsi="Verdana"/>
                <w:b/>
                <w:noProof/>
                <w:color w:val="000000"/>
                <w:sz w:val="18"/>
              </w:rPr>
              <w:t>37 775</w:t>
            </w:r>
          </w:p>
        </w:tc>
        <w:tc>
          <w:tcPr>
            <w:tcW w:w="2396" w:type="dxa"/>
            <w:tcBorders>
              <w:top w:val="nil"/>
              <w:left w:val="nil"/>
              <w:bottom w:val="nil"/>
              <w:right w:val="nil"/>
              <w:tl2br w:val="nil"/>
              <w:tr2bl w:val="nil"/>
            </w:tcBorders>
            <w:shd w:val="solid" w:color="CCE1EA" w:fill="FFFFFF"/>
            <w:tcMar>
              <w:left w:w="60" w:type="dxa"/>
              <w:right w:w="60" w:type="dxa"/>
            </w:tcMar>
            <w:vAlign w:val="center"/>
          </w:tcPr>
          <w:p>
            <w:pPr>
              <w:pStyle w:val="DMETW36765BIPPF"/>
              <w:jc w:val="right"/>
              <w:rPr>
                <w:rFonts w:ascii="Verdana" w:eastAsia="Verdana" w:hAnsi="Verdana" w:cs="Verdana"/>
                <w:b/>
                <w:noProof/>
                <w:color w:val="000000"/>
                <w:sz w:val="18"/>
              </w:rPr>
            </w:pPr>
            <w:r>
              <w:rPr>
                <w:rFonts w:ascii="Verdana" w:hAnsi="Verdana"/>
                <w:b/>
                <w:noProof/>
                <w:color w:val="000000"/>
                <w:sz w:val="18"/>
              </w:rPr>
              <w:t>38 058</w:t>
            </w:r>
          </w:p>
        </w:tc>
      </w:tr>
      <w:tr>
        <w:trPr>
          <w:trHeight w:val="255"/>
        </w:trPr>
        <w:tc>
          <w:tcPr>
            <w:tcW w:w="4199" w:type="dxa"/>
            <w:tcBorders>
              <w:top w:val="nil"/>
              <w:left w:val="nil"/>
              <w:bottom w:val="single" w:sz="4" w:space="0" w:color="016794"/>
              <w:right w:val="nil"/>
              <w:tl2br w:val="nil"/>
              <w:tr2bl w:val="nil"/>
            </w:tcBorders>
            <w:tcMar>
              <w:left w:w="60" w:type="dxa"/>
              <w:right w:w="60" w:type="dxa"/>
            </w:tcMar>
            <w:vAlign w:val="center"/>
          </w:tcPr>
          <w:p>
            <w:pPr>
              <w:pStyle w:val="DMETW36765BIPPF"/>
              <w:rPr>
                <w:rFonts w:ascii="Verdana" w:eastAsia="Verdana" w:hAnsi="Verdana" w:cs="Verdana"/>
                <w:b/>
                <w:noProof/>
                <w:color w:val="000000"/>
                <w:sz w:val="18"/>
              </w:rPr>
            </w:pPr>
            <w:r>
              <w:rPr>
                <w:rFonts w:ascii="Verdana" w:hAnsi="Verdana"/>
                <w:b/>
                <w:noProof/>
                <w:color w:val="000000"/>
                <w:sz w:val="18"/>
              </w:rPr>
              <w:t>Total</w:t>
            </w:r>
          </w:p>
        </w:tc>
        <w:tc>
          <w:tcPr>
            <w:tcW w:w="767" w:type="dxa"/>
            <w:tcBorders>
              <w:top w:val="nil"/>
              <w:left w:val="nil"/>
              <w:bottom w:val="single" w:sz="4" w:space="0" w:color="016794"/>
              <w:right w:val="nil"/>
              <w:tl2br w:val="nil"/>
              <w:tr2bl w:val="nil"/>
            </w:tcBorders>
            <w:tcMar>
              <w:left w:w="60" w:type="dxa"/>
              <w:right w:w="60" w:type="dxa"/>
            </w:tcMar>
            <w:vAlign w:val="center"/>
          </w:tcPr>
          <w:p>
            <w:pPr>
              <w:pStyle w:val="DMETW36765BIPPF"/>
              <w:jc w:val="center"/>
              <w:rPr>
                <w:rFonts w:ascii="Verdana" w:eastAsia="Verdana" w:hAnsi="Verdana" w:cs="Verdana"/>
                <w:noProof/>
                <w:color w:val="000000"/>
                <w:sz w:val="18"/>
              </w:rPr>
            </w:pPr>
          </w:p>
        </w:tc>
        <w:tc>
          <w:tcPr>
            <w:tcW w:w="2396" w:type="dxa"/>
            <w:tcBorders>
              <w:top w:val="nil"/>
              <w:left w:val="nil"/>
              <w:bottom w:val="single" w:sz="4" w:space="0" w:color="016794"/>
              <w:right w:val="nil"/>
              <w:tl2br w:val="nil"/>
              <w:tr2bl w:val="nil"/>
            </w:tcBorders>
            <w:tcMar>
              <w:left w:w="60" w:type="dxa"/>
              <w:right w:w="60" w:type="dxa"/>
            </w:tcMar>
            <w:vAlign w:val="center"/>
          </w:tcPr>
          <w:p>
            <w:pPr>
              <w:pStyle w:val="DMETW36765BIPPF"/>
              <w:jc w:val="right"/>
              <w:rPr>
                <w:rFonts w:ascii="Verdana" w:eastAsia="Verdana" w:hAnsi="Verdana" w:cs="Verdana"/>
                <w:b/>
                <w:noProof/>
                <w:color w:val="000000"/>
                <w:sz w:val="18"/>
              </w:rPr>
            </w:pPr>
            <w:r>
              <w:rPr>
                <w:rFonts w:ascii="Verdana" w:hAnsi="Verdana"/>
                <w:b/>
                <w:noProof/>
                <w:color w:val="000000"/>
                <w:sz w:val="18"/>
              </w:rPr>
              <w:t>76 746</w:t>
            </w:r>
          </w:p>
        </w:tc>
        <w:tc>
          <w:tcPr>
            <w:tcW w:w="2396" w:type="dxa"/>
            <w:tcBorders>
              <w:top w:val="nil"/>
              <w:left w:val="nil"/>
              <w:bottom w:val="single" w:sz="4" w:space="0" w:color="016794"/>
              <w:right w:val="nil"/>
              <w:tl2br w:val="nil"/>
              <w:tr2bl w:val="nil"/>
            </w:tcBorders>
            <w:tcMar>
              <w:left w:w="60" w:type="dxa"/>
              <w:right w:w="60" w:type="dxa"/>
            </w:tcMar>
            <w:vAlign w:val="center"/>
          </w:tcPr>
          <w:p>
            <w:pPr>
              <w:pStyle w:val="DMETW36765BIPPF"/>
              <w:jc w:val="right"/>
              <w:rPr>
                <w:rFonts w:ascii="Verdana" w:eastAsia="Verdana" w:hAnsi="Verdana" w:cs="Verdana"/>
                <w:b/>
                <w:noProof/>
                <w:color w:val="000000"/>
                <w:sz w:val="18"/>
              </w:rPr>
            </w:pPr>
            <w:r>
              <w:rPr>
                <w:rFonts w:ascii="Verdana" w:hAnsi="Verdana"/>
                <w:b/>
                <w:noProof/>
                <w:color w:val="000000"/>
                <w:sz w:val="18"/>
              </w:rPr>
              <w:t>78 919</w:t>
            </w:r>
          </w:p>
        </w:tc>
      </w:tr>
    </w:tbl>
    <w:p>
      <w:pPr>
        <w:pStyle w:val="DGTextstand-alone"/>
      </w:pPr>
      <w:r>
        <w:t xml:space="preserve">Le niveau des préfinancements dans les différents programmes doit être suffisant pour garantir les fonds nécessaires au bénéficiaire pour lancer et faire avancer le projet, tout en préservant également les intérêts financiers de l’UE et en prenant en considération les contraintes en matière de coût/efficacité et sur les plans juridique et opérationnel. </w:t>
      </w:r>
    </w:p>
    <w:p>
      <w:pPr>
        <w:pStyle w:val="HEADER3NOTES"/>
        <w:numPr>
          <w:ilvl w:val="2"/>
          <w:numId w:val="15"/>
        </w:numPr>
        <w:rPr>
          <w:noProof/>
        </w:rPr>
      </w:pPr>
      <w:r>
        <w:rPr>
          <w:noProof/>
        </w:rPr>
        <w:t>Préfinancements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1"/>
        <w:gridCol w:w="1750"/>
        <w:gridCol w:w="1893"/>
        <w:gridCol w:w="1864"/>
      </w:tblGrid>
      <w:tr>
        <w:trPr>
          <w:trHeight w:val="255"/>
        </w:trPr>
        <w:tc>
          <w:tcPr>
            <w:tcW w:w="4251" w:type="dxa"/>
            <w:tcBorders>
              <w:top w:val="nil"/>
              <w:left w:val="nil"/>
              <w:bottom w:val="nil"/>
              <w:right w:val="nil"/>
              <w:tl2br w:val="nil"/>
              <w:tr2bl w:val="nil"/>
            </w:tcBorders>
            <w:tcMar>
              <w:left w:w="60" w:type="dxa"/>
              <w:right w:w="60" w:type="dxa"/>
            </w:tcMar>
            <w:vAlign w:val="bottom"/>
          </w:tcPr>
          <w:p>
            <w:pPr>
              <w:pStyle w:val="DMETW36765BIPPFD"/>
              <w:rPr>
                <w:rFonts w:ascii="Arial" w:eastAsia="Arial" w:hAnsi="Arial" w:cs="Arial"/>
                <w:noProof/>
                <w:color w:val="000000"/>
              </w:rPr>
            </w:pPr>
            <w:bookmarkStart w:id="118" w:name="DOC_TBL00027_1_1"/>
            <w:bookmarkEnd w:id="118"/>
          </w:p>
        </w:tc>
        <w:tc>
          <w:tcPr>
            <w:tcW w:w="1750" w:type="dxa"/>
            <w:tcBorders>
              <w:top w:val="nil"/>
              <w:left w:val="nil"/>
              <w:bottom w:val="nil"/>
              <w:right w:val="nil"/>
              <w:tl2br w:val="nil"/>
              <w:tr2bl w:val="nil"/>
            </w:tcBorders>
            <w:tcMar>
              <w:left w:w="60" w:type="dxa"/>
              <w:right w:w="60" w:type="dxa"/>
            </w:tcMar>
            <w:vAlign w:val="bottom"/>
          </w:tcPr>
          <w:p>
            <w:pPr>
              <w:pStyle w:val="DMETW36765BIPPFD"/>
              <w:rPr>
                <w:rFonts w:ascii="Arial" w:eastAsia="Arial" w:hAnsi="Arial" w:cs="Arial"/>
                <w:noProof/>
                <w:color w:val="000000"/>
              </w:rPr>
            </w:pPr>
          </w:p>
        </w:tc>
        <w:tc>
          <w:tcPr>
            <w:tcW w:w="1893" w:type="dxa"/>
            <w:tcBorders>
              <w:top w:val="nil"/>
              <w:left w:val="nil"/>
              <w:bottom w:val="nil"/>
              <w:right w:val="nil"/>
              <w:tl2br w:val="nil"/>
              <w:tr2bl w:val="nil"/>
            </w:tcBorders>
            <w:tcMar>
              <w:left w:w="60" w:type="dxa"/>
              <w:right w:w="60" w:type="dxa"/>
            </w:tcMar>
            <w:vAlign w:val="bottom"/>
          </w:tcPr>
          <w:p>
            <w:pPr>
              <w:pStyle w:val="DMETW36765BIPPFD"/>
              <w:rPr>
                <w:rFonts w:ascii="Arial" w:eastAsia="Arial" w:hAnsi="Arial" w:cs="Arial"/>
                <w:noProof/>
                <w:color w:val="000000"/>
              </w:rPr>
            </w:pPr>
          </w:p>
        </w:tc>
        <w:tc>
          <w:tcPr>
            <w:tcW w:w="1864" w:type="dxa"/>
            <w:tcBorders>
              <w:top w:val="nil"/>
              <w:left w:val="nil"/>
              <w:bottom w:val="nil"/>
              <w:right w:val="nil"/>
              <w:tl2br w:val="nil"/>
              <w:tr2bl w:val="nil"/>
            </w:tcBorders>
            <w:tcMar>
              <w:left w:w="60" w:type="dxa"/>
              <w:right w:w="60" w:type="dxa"/>
            </w:tcMar>
            <w:vAlign w:val="bottom"/>
          </w:tcPr>
          <w:p>
            <w:pPr>
              <w:pStyle w:val="DMETW36765BIPPFD"/>
              <w:jc w:val="right"/>
              <w:rPr>
                <w:rFonts w:ascii="Verdana" w:eastAsia="Verdana" w:hAnsi="Verdana" w:cs="Verdana"/>
                <w:i/>
                <w:noProof/>
                <w:color w:val="000000"/>
                <w:sz w:val="16"/>
              </w:rPr>
            </w:pPr>
            <w:r>
              <w:rPr>
                <w:rFonts w:ascii="Verdana" w:hAnsi="Verdana"/>
                <w:i/>
                <w:noProof/>
                <w:color w:val="000000"/>
                <w:sz w:val="16"/>
              </w:rPr>
              <w:t>en Mio EUR</w:t>
            </w:r>
          </w:p>
        </w:tc>
      </w:tr>
      <w:tr>
        <w:trPr>
          <w:trHeight w:val="255"/>
        </w:trPr>
        <w:tc>
          <w:tcPr>
            <w:tcW w:w="4251" w:type="dxa"/>
            <w:tcBorders>
              <w:top w:val="nil"/>
              <w:left w:val="nil"/>
              <w:bottom w:val="nil"/>
              <w:right w:val="nil"/>
              <w:tl2br w:val="nil"/>
              <w:tr2bl w:val="nil"/>
            </w:tcBorders>
            <w:shd w:val="solid" w:color="016794" w:fill="FFFFFF"/>
            <w:tcMar>
              <w:left w:w="60" w:type="dxa"/>
              <w:right w:w="60" w:type="dxa"/>
            </w:tcMar>
            <w:vAlign w:val="center"/>
          </w:tcPr>
          <w:p>
            <w:pPr>
              <w:pStyle w:val="DMETW36765BIPPFD"/>
              <w:jc w:val="right"/>
              <w:rPr>
                <w:rFonts w:ascii="Verdana" w:eastAsia="Verdana" w:hAnsi="Verdana" w:cs="Verdana"/>
                <w:noProof/>
                <w:color w:val="FFFFFF"/>
                <w:sz w:val="16"/>
              </w:rPr>
            </w:pPr>
          </w:p>
        </w:tc>
        <w:tc>
          <w:tcPr>
            <w:tcW w:w="1750" w:type="dxa"/>
            <w:tcBorders>
              <w:top w:val="nil"/>
              <w:left w:val="nil"/>
              <w:bottom w:val="nil"/>
              <w:right w:val="nil"/>
              <w:tl2br w:val="nil"/>
              <w:tr2bl w:val="nil"/>
            </w:tcBorders>
            <w:shd w:val="solid" w:color="016794" w:fill="FFFFFF"/>
            <w:tcMar>
              <w:left w:w="60" w:type="dxa"/>
              <w:right w:w="60" w:type="dxa"/>
            </w:tcMar>
            <w:vAlign w:val="center"/>
          </w:tcPr>
          <w:p>
            <w:pPr>
              <w:pStyle w:val="DMETW36765BIPPFD"/>
              <w:jc w:val="right"/>
              <w:rPr>
                <w:rFonts w:ascii="Verdana" w:eastAsia="Verdana" w:hAnsi="Verdana" w:cs="Verdana"/>
                <w:noProof/>
                <w:color w:val="FFFFFF"/>
                <w:sz w:val="16"/>
              </w:rPr>
            </w:pPr>
            <w:r>
              <w:rPr>
                <w:rFonts w:ascii="Verdana" w:hAnsi="Verdana"/>
                <w:noProof/>
                <w:color w:val="FFFFFF"/>
                <w:sz w:val="16"/>
              </w:rPr>
              <w:t>Valeur brute</w:t>
            </w:r>
          </w:p>
        </w:tc>
        <w:tc>
          <w:tcPr>
            <w:tcW w:w="1893" w:type="dxa"/>
            <w:tcBorders>
              <w:top w:val="nil"/>
              <w:left w:val="nil"/>
              <w:bottom w:val="nil"/>
              <w:right w:val="nil"/>
              <w:tl2br w:val="nil"/>
              <w:tr2bl w:val="nil"/>
            </w:tcBorders>
            <w:shd w:val="solid" w:color="016794" w:fill="FFFFFF"/>
            <w:tcMar>
              <w:left w:w="60" w:type="dxa"/>
              <w:right w:w="60" w:type="dxa"/>
            </w:tcMar>
            <w:vAlign w:val="center"/>
          </w:tcPr>
          <w:p>
            <w:pPr>
              <w:pStyle w:val="DMETW36765BIPPFD"/>
              <w:jc w:val="right"/>
              <w:rPr>
                <w:rFonts w:ascii="Verdana" w:eastAsia="Verdana" w:hAnsi="Verdana" w:cs="Verdana"/>
                <w:noProof/>
                <w:color w:val="FFFFFF"/>
                <w:sz w:val="16"/>
              </w:rPr>
            </w:pPr>
            <w:r>
              <w:rPr>
                <w:rFonts w:ascii="Verdana" w:hAnsi="Verdana"/>
                <w:noProof/>
                <w:color w:val="FFFFFF"/>
                <w:sz w:val="16"/>
              </w:rPr>
              <w:t>Apurement (régularisations)</w:t>
            </w:r>
          </w:p>
        </w:tc>
        <w:tc>
          <w:tcPr>
            <w:tcW w:w="1864" w:type="dxa"/>
            <w:tcBorders>
              <w:top w:val="nil"/>
              <w:left w:val="nil"/>
              <w:bottom w:val="nil"/>
              <w:right w:val="nil"/>
              <w:tl2br w:val="nil"/>
              <w:tr2bl w:val="nil"/>
            </w:tcBorders>
            <w:shd w:val="solid" w:color="016794" w:fill="FFFFFF"/>
            <w:tcMar>
              <w:left w:w="60" w:type="dxa"/>
              <w:right w:w="60" w:type="dxa"/>
            </w:tcMar>
            <w:vAlign w:val="center"/>
          </w:tcPr>
          <w:p>
            <w:pPr>
              <w:pStyle w:val="DMETW36765BIPPFD"/>
              <w:jc w:val="right"/>
              <w:rPr>
                <w:rFonts w:ascii="Verdana" w:eastAsia="Verdana" w:hAnsi="Verdana" w:cs="Verdana"/>
                <w:noProof/>
                <w:color w:val="FFFFFF"/>
                <w:sz w:val="16"/>
              </w:rPr>
            </w:pPr>
            <w:r>
              <w:rPr>
                <w:rFonts w:ascii="Verdana" w:hAnsi="Verdana"/>
                <w:noProof/>
                <w:color w:val="FFFFFF"/>
                <w:sz w:val="16"/>
              </w:rPr>
              <w:t>Valeur nette au 31.12.2025</w:t>
            </w:r>
          </w:p>
        </w:tc>
      </w:tr>
      <w:tr>
        <w:trPr>
          <w:trHeight w:val="255"/>
        </w:trPr>
        <w:tc>
          <w:tcPr>
            <w:tcW w:w="4251" w:type="dxa"/>
            <w:tcBorders>
              <w:top w:val="nil"/>
              <w:left w:val="nil"/>
              <w:bottom w:val="nil"/>
              <w:right w:val="nil"/>
              <w:tl2br w:val="nil"/>
              <w:tr2bl w:val="nil"/>
            </w:tcBorders>
            <w:tcMar>
              <w:left w:w="60" w:type="dxa"/>
              <w:right w:w="60" w:type="dxa"/>
            </w:tcMar>
            <w:vAlign w:val="center"/>
          </w:tcPr>
          <w:p>
            <w:pPr>
              <w:pStyle w:val="DMETW36765BIPPFD"/>
              <w:rPr>
                <w:rFonts w:ascii="Verdana" w:eastAsia="Verdana" w:hAnsi="Verdana" w:cs="Verdana"/>
                <w:b/>
                <w:noProof/>
                <w:color w:val="000000"/>
                <w:sz w:val="16"/>
              </w:rPr>
            </w:pPr>
            <w:r>
              <w:rPr>
                <w:rFonts w:ascii="Verdana" w:hAnsi="Verdana"/>
                <w:b/>
                <w:noProof/>
                <w:color w:val="000000"/>
                <w:sz w:val="16"/>
              </w:rPr>
              <w:t xml:space="preserve"> États membres</w:t>
            </w:r>
          </w:p>
        </w:tc>
        <w:tc>
          <w:tcPr>
            <w:tcW w:w="1750" w:type="dxa"/>
            <w:tcBorders>
              <w:top w:val="nil"/>
              <w:left w:val="nil"/>
              <w:bottom w:val="nil"/>
              <w:right w:val="nil"/>
              <w:tl2br w:val="nil"/>
              <w:tr2bl w:val="nil"/>
            </w:tcBorders>
            <w:tcMar>
              <w:left w:w="60" w:type="dxa"/>
              <w:right w:w="60" w:type="dxa"/>
            </w:tcMar>
            <w:vAlign w:val="center"/>
          </w:tcPr>
          <w:p>
            <w:pPr>
              <w:pStyle w:val="DMETW36765BIPPFD"/>
              <w:jc w:val="right"/>
              <w:rPr>
                <w:rFonts w:ascii="Verdana" w:eastAsia="Verdana" w:hAnsi="Verdana" w:cs="Verdana"/>
                <w:b/>
                <w:noProof/>
                <w:color w:val="000000"/>
                <w:sz w:val="16"/>
              </w:rPr>
            </w:pPr>
          </w:p>
        </w:tc>
        <w:tc>
          <w:tcPr>
            <w:tcW w:w="1893" w:type="dxa"/>
            <w:tcBorders>
              <w:top w:val="nil"/>
              <w:left w:val="nil"/>
              <w:bottom w:val="nil"/>
              <w:right w:val="nil"/>
              <w:tl2br w:val="nil"/>
              <w:tr2bl w:val="nil"/>
            </w:tcBorders>
            <w:tcMar>
              <w:left w:w="60" w:type="dxa"/>
              <w:right w:w="60" w:type="dxa"/>
            </w:tcMar>
            <w:vAlign w:val="center"/>
          </w:tcPr>
          <w:p>
            <w:pPr>
              <w:pStyle w:val="DMETW36765BIPPFD"/>
              <w:jc w:val="right"/>
              <w:rPr>
                <w:rFonts w:ascii="Verdana" w:eastAsia="Verdana" w:hAnsi="Verdana" w:cs="Verdana"/>
                <w:b/>
                <w:noProof/>
                <w:color w:val="000000"/>
                <w:sz w:val="16"/>
              </w:rPr>
            </w:pPr>
          </w:p>
        </w:tc>
        <w:tc>
          <w:tcPr>
            <w:tcW w:w="1864" w:type="dxa"/>
            <w:tcBorders>
              <w:top w:val="nil"/>
              <w:left w:val="nil"/>
              <w:bottom w:val="nil"/>
              <w:right w:val="nil"/>
              <w:tl2br w:val="nil"/>
              <w:tr2bl w:val="nil"/>
            </w:tcBorders>
            <w:tcMar>
              <w:left w:w="60" w:type="dxa"/>
              <w:right w:w="60" w:type="dxa"/>
            </w:tcMar>
            <w:vAlign w:val="center"/>
          </w:tcPr>
          <w:p>
            <w:pPr>
              <w:pStyle w:val="DMETW36765BIPPFD"/>
              <w:jc w:val="right"/>
              <w:rPr>
                <w:rFonts w:ascii="Verdana" w:eastAsia="Verdana" w:hAnsi="Verdana" w:cs="Verdana"/>
                <w:b/>
                <w:noProof/>
                <w:color w:val="000000"/>
                <w:sz w:val="16"/>
                <w:lang w:bidi="en-GB"/>
              </w:rPr>
            </w:pPr>
          </w:p>
        </w:tc>
      </w:tr>
      <w:tr>
        <w:trPr>
          <w:trHeight w:val="255"/>
        </w:trPr>
        <w:tc>
          <w:tcPr>
            <w:tcW w:w="4251" w:type="dxa"/>
            <w:tcBorders>
              <w:top w:val="nil"/>
              <w:left w:val="nil"/>
              <w:bottom w:val="nil"/>
              <w:right w:val="nil"/>
              <w:tl2br w:val="nil"/>
              <w:tr2bl w:val="nil"/>
            </w:tcBorders>
            <w:tcMar>
              <w:left w:w="60" w:type="dxa"/>
              <w:right w:w="60" w:type="dxa"/>
            </w:tcMar>
            <w:vAlign w:val="center"/>
          </w:tcPr>
          <w:p>
            <w:pPr>
              <w:pStyle w:val="DMETW36765BIPPFD"/>
              <w:rPr>
                <w:rFonts w:ascii="Verdana" w:eastAsia="Verdana" w:hAnsi="Verdana" w:cs="Verdana"/>
                <w:i/>
                <w:noProof/>
                <w:color w:val="000000"/>
                <w:sz w:val="16"/>
              </w:rPr>
            </w:pPr>
            <w:r>
              <w:rPr>
                <w:rFonts w:ascii="Verdana" w:hAnsi="Verdana"/>
                <w:i/>
                <w:noProof/>
                <w:color w:val="000000"/>
                <w:sz w:val="16"/>
              </w:rPr>
              <w:t xml:space="preserve">     Feader et autres instruments</w:t>
            </w:r>
          </w:p>
          <w:p>
            <w:pPr>
              <w:pStyle w:val="DMETW36765BIPPFD"/>
              <w:rPr>
                <w:rFonts w:ascii="Verdana" w:eastAsia="Verdana" w:hAnsi="Verdana" w:cs="Verdana"/>
                <w:i/>
                <w:noProof/>
                <w:color w:val="000000"/>
                <w:sz w:val="16"/>
              </w:rPr>
            </w:pPr>
            <w:r>
              <w:rPr>
                <w:rFonts w:ascii="Verdana" w:hAnsi="Verdana"/>
                <w:i/>
                <w:noProof/>
                <w:color w:val="000000"/>
                <w:sz w:val="16"/>
              </w:rPr>
              <w:t xml:space="preserve">     de développement rural</w:t>
            </w:r>
          </w:p>
        </w:tc>
        <w:tc>
          <w:tcPr>
            <w:tcW w:w="1750" w:type="dxa"/>
            <w:tcBorders>
              <w:top w:val="nil"/>
              <w:left w:val="nil"/>
              <w:bottom w:val="nil"/>
              <w:right w:val="nil"/>
              <w:tl2br w:val="nil"/>
              <w:tr2bl w:val="nil"/>
            </w:tcBorders>
            <w:tcMar>
              <w:left w:w="60" w:type="dxa"/>
              <w:right w:w="60" w:type="dxa"/>
            </w:tcMar>
            <w:vAlign w:val="center"/>
          </w:tcPr>
          <w:p>
            <w:pPr>
              <w:pStyle w:val="DMETW36765BIPPFD"/>
              <w:jc w:val="right"/>
              <w:rPr>
                <w:rFonts w:ascii="Verdana" w:eastAsia="Verdana" w:hAnsi="Verdana" w:cs="Verdana"/>
                <w:i/>
                <w:noProof/>
                <w:color w:val="000000"/>
                <w:sz w:val="16"/>
              </w:rPr>
            </w:pPr>
            <w:r>
              <w:rPr>
                <w:rFonts w:ascii="Verdana" w:hAnsi="Verdana"/>
                <w:i/>
                <w:noProof/>
                <w:color w:val="000000"/>
                <w:sz w:val="16"/>
              </w:rPr>
              <w:t>3 605</w:t>
            </w:r>
          </w:p>
        </w:tc>
        <w:tc>
          <w:tcPr>
            <w:tcW w:w="1893" w:type="dxa"/>
            <w:tcBorders>
              <w:top w:val="nil"/>
              <w:left w:val="nil"/>
              <w:bottom w:val="nil"/>
              <w:right w:val="nil"/>
              <w:tl2br w:val="nil"/>
              <w:tr2bl w:val="nil"/>
            </w:tcBorders>
            <w:tcMar>
              <w:left w:w="60" w:type="dxa"/>
              <w:right w:w="60" w:type="dxa"/>
            </w:tcMar>
            <w:vAlign w:val="center"/>
          </w:tcPr>
          <w:p>
            <w:pPr>
              <w:pStyle w:val="DMETW36765BIPPFD"/>
              <w:jc w:val="right"/>
              <w:rPr>
                <w:rFonts w:ascii="Verdana" w:eastAsia="Verdana" w:hAnsi="Verdana" w:cs="Verdana"/>
                <w:i/>
                <w:noProof/>
                <w:color w:val="000000"/>
                <w:sz w:val="16"/>
              </w:rPr>
            </w:pPr>
            <w:r>
              <w:rPr>
                <w:rFonts w:ascii="Verdana" w:hAnsi="Verdana"/>
                <w:i/>
                <w:noProof/>
                <w:color w:val="000000"/>
                <w:sz w:val="16"/>
              </w:rPr>
              <w:t>(1 625)</w:t>
            </w:r>
          </w:p>
        </w:tc>
        <w:tc>
          <w:tcPr>
            <w:tcW w:w="1864" w:type="dxa"/>
            <w:tcBorders>
              <w:top w:val="nil"/>
              <w:left w:val="nil"/>
              <w:bottom w:val="nil"/>
              <w:right w:val="nil"/>
              <w:tl2br w:val="nil"/>
              <w:tr2bl w:val="nil"/>
            </w:tcBorders>
            <w:tcMar>
              <w:left w:w="60" w:type="dxa"/>
              <w:right w:w="60" w:type="dxa"/>
            </w:tcMar>
            <w:vAlign w:val="center"/>
          </w:tcPr>
          <w:p>
            <w:pPr>
              <w:pStyle w:val="DMETW36765BIPPFD"/>
              <w:jc w:val="right"/>
              <w:rPr>
                <w:rFonts w:ascii="Verdana" w:eastAsia="Verdana" w:hAnsi="Verdana" w:cs="Verdana"/>
                <w:i/>
                <w:noProof/>
                <w:color w:val="000000"/>
                <w:sz w:val="16"/>
              </w:rPr>
            </w:pPr>
            <w:r>
              <w:rPr>
                <w:rFonts w:ascii="Verdana" w:hAnsi="Verdana"/>
                <w:i/>
                <w:noProof/>
                <w:color w:val="000000"/>
                <w:sz w:val="16"/>
              </w:rPr>
              <w:t>1 980</w:t>
            </w:r>
          </w:p>
        </w:tc>
      </w:tr>
      <w:tr>
        <w:trPr>
          <w:trHeight w:val="255"/>
        </w:trPr>
        <w:tc>
          <w:tcPr>
            <w:tcW w:w="4251" w:type="dxa"/>
            <w:tcBorders>
              <w:top w:val="nil"/>
              <w:left w:val="nil"/>
              <w:bottom w:val="nil"/>
              <w:right w:val="nil"/>
              <w:tl2br w:val="nil"/>
              <w:tr2bl w:val="nil"/>
            </w:tcBorders>
            <w:tcMar>
              <w:left w:w="60" w:type="dxa"/>
              <w:right w:w="60" w:type="dxa"/>
            </w:tcMar>
            <w:vAlign w:val="center"/>
          </w:tcPr>
          <w:p>
            <w:pPr>
              <w:pStyle w:val="DMETW36765BIPPFD"/>
              <w:rPr>
                <w:rFonts w:ascii="Verdana" w:eastAsia="Verdana" w:hAnsi="Verdana" w:cs="Verdana"/>
                <w:i/>
                <w:noProof/>
                <w:color w:val="000000"/>
                <w:sz w:val="16"/>
              </w:rPr>
            </w:pPr>
            <w:r>
              <w:rPr>
                <w:rFonts w:ascii="Verdana" w:hAnsi="Verdana"/>
                <w:i/>
                <w:noProof/>
                <w:color w:val="000000"/>
                <w:sz w:val="16"/>
              </w:rPr>
              <w:t xml:space="preserve">     FEDER et FC</w:t>
            </w:r>
          </w:p>
        </w:tc>
        <w:tc>
          <w:tcPr>
            <w:tcW w:w="1750" w:type="dxa"/>
            <w:tcBorders>
              <w:top w:val="nil"/>
              <w:left w:val="nil"/>
              <w:bottom w:val="nil"/>
              <w:right w:val="nil"/>
              <w:tl2br w:val="nil"/>
              <w:tr2bl w:val="nil"/>
            </w:tcBorders>
            <w:tcMar>
              <w:left w:w="60" w:type="dxa"/>
              <w:right w:w="60" w:type="dxa"/>
            </w:tcMar>
            <w:vAlign w:val="center"/>
          </w:tcPr>
          <w:p>
            <w:pPr>
              <w:pStyle w:val="DMETW36765BIPPFD"/>
              <w:jc w:val="right"/>
              <w:rPr>
                <w:rFonts w:ascii="Verdana" w:eastAsia="Verdana" w:hAnsi="Verdana" w:cs="Verdana"/>
                <w:i/>
                <w:noProof/>
                <w:color w:val="000000"/>
                <w:sz w:val="16"/>
              </w:rPr>
            </w:pPr>
            <w:r>
              <w:rPr>
                <w:rFonts w:ascii="Verdana" w:hAnsi="Verdana"/>
                <w:i/>
                <w:noProof/>
                <w:color w:val="000000"/>
                <w:sz w:val="16"/>
              </w:rPr>
              <w:t>29 858</w:t>
            </w:r>
          </w:p>
        </w:tc>
        <w:tc>
          <w:tcPr>
            <w:tcW w:w="1893" w:type="dxa"/>
            <w:tcBorders>
              <w:top w:val="nil"/>
              <w:left w:val="nil"/>
              <w:bottom w:val="nil"/>
              <w:right w:val="nil"/>
              <w:tl2br w:val="nil"/>
              <w:tr2bl w:val="nil"/>
            </w:tcBorders>
            <w:tcMar>
              <w:left w:w="60" w:type="dxa"/>
              <w:right w:w="60" w:type="dxa"/>
            </w:tcMar>
            <w:vAlign w:val="center"/>
          </w:tcPr>
          <w:p>
            <w:pPr>
              <w:pStyle w:val="DMETW36765BIPPFD"/>
              <w:jc w:val="right"/>
              <w:rPr>
                <w:rFonts w:ascii="Verdana" w:eastAsia="Verdana" w:hAnsi="Verdana" w:cs="Verdana"/>
                <w:i/>
                <w:noProof/>
                <w:color w:val="000000"/>
                <w:sz w:val="16"/>
              </w:rPr>
            </w:pPr>
            <w:r>
              <w:rPr>
                <w:rFonts w:ascii="Verdana" w:hAnsi="Verdana"/>
                <w:i/>
                <w:noProof/>
                <w:color w:val="000000"/>
                <w:sz w:val="16"/>
              </w:rPr>
              <w:t>(17 052)</w:t>
            </w:r>
          </w:p>
        </w:tc>
        <w:tc>
          <w:tcPr>
            <w:tcW w:w="1864" w:type="dxa"/>
            <w:tcBorders>
              <w:top w:val="nil"/>
              <w:left w:val="nil"/>
              <w:bottom w:val="nil"/>
              <w:right w:val="nil"/>
              <w:tl2br w:val="nil"/>
              <w:tr2bl w:val="nil"/>
            </w:tcBorders>
            <w:tcMar>
              <w:left w:w="60" w:type="dxa"/>
              <w:right w:w="60" w:type="dxa"/>
            </w:tcMar>
            <w:vAlign w:val="center"/>
          </w:tcPr>
          <w:p>
            <w:pPr>
              <w:pStyle w:val="DMETW36765BIPPFD"/>
              <w:jc w:val="right"/>
              <w:rPr>
                <w:rFonts w:ascii="Verdana" w:eastAsia="Verdana" w:hAnsi="Verdana" w:cs="Verdana"/>
                <w:i/>
                <w:noProof/>
                <w:color w:val="000000"/>
                <w:sz w:val="16"/>
              </w:rPr>
            </w:pPr>
            <w:r>
              <w:rPr>
                <w:rFonts w:ascii="Verdana" w:hAnsi="Verdana"/>
                <w:i/>
                <w:noProof/>
                <w:color w:val="000000"/>
                <w:sz w:val="16"/>
              </w:rPr>
              <w:t>12 805</w:t>
            </w:r>
          </w:p>
        </w:tc>
      </w:tr>
      <w:tr>
        <w:trPr>
          <w:trHeight w:val="255"/>
        </w:trPr>
        <w:tc>
          <w:tcPr>
            <w:tcW w:w="4251" w:type="dxa"/>
            <w:tcBorders>
              <w:top w:val="nil"/>
              <w:left w:val="nil"/>
              <w:bottom w:val="nil"/>
              <w:right w:val="nil"/>
              <w:tl2br w:val="nil"/>
              <w:tr2bl w:val="nil"/>
            </w:tcBorders>
            <w:tcMar>
              <w:left w:w="60" w:type="dxa"/>
              <w:right w:w="60" w:type="dxa"/>
            </w:tcMar>
            <w:vAlign w:val="center"/>
          </w:tcPr>
          <w:p>
            <w:pPr>
              <w:pStyle w:val="DMETW36765BIPPFD"/>
              <w:rPr>
                <w:rFonts w:ascii="Verdana" w:eastAsia="Verdana" w:hAnsi="Verdana" w:cs="Verdana"/>
                <w:i/>
                <w:noProof/>
                <w:color w:val="000000"/>
                <w:sz w:val="16"/>
              </w:rPr>
            </w:pPr>
            <w:r>
              <w:rPr>
                <w:rFonts w:ascii="Verdana" w:hAnsi="Verdana"/>
                <w:i/>
                <w:noProof/>
                <w:color w:val="000000"/>
                <w:sz w:val="16"/>
              </w:rPr>
              <w:t xml:space="preserve">     FSE</w:t>
            </w:r>
          </w:p>
        </w:tc>
        <w:tc>
          <w:tcPr>
            <w:tcW w:w="1750" w:type="dxa"/>
            <w:tcBorders>
              <w:top w:val="nil"/>
              <w:left w:val="nil"/>
              <w:bottom w:val="nil"/>
              <w:right w:val="nil"/>
              <w:tl2br w:val="nil"/>
              <w:tr2bl w:val="nil"/>
            </w:tcBorders>
            <w:tcMar>
              <w:left w:w="60" w:type="dxa"/>
              <w:right w:w="60" w:type="dxa"/>
            </w:tcMar>
            <w:vAlign w:val="center"/>
          </w:tcPr>
          <w:p>
            <w:pPr>
              <w:pStyle w:val="DMETW36765BIPPFD"/>
              <w:jc w:val="right"/>
              <w:rPr>
                <w:rFonts w:ascii="Verdana" w:eastAsia="Verdana" w:hAnsi="Verdana" w:cs="Verdana"/>
                <w:i/>
                <w:noProof/>
                <w:color w:val="000000"/>
                <w:sz w:val="16"/>
              </w:rPr>
            </w:pPr>
            <w:r>
              <w:rPr>
                <w:rFonts w:ascii="Verdana" w:hAnsi="Verdana"/>
                <w:i/>
                <w:noProof/>
                <w:color w:val="000000"/>
                <w:sz w:val="16"/>
              </w:rPr>
              <w:t>9 997</w:t>
            </w:r>
          </w:p>
        </w:tc>
        <w:tc>
          <w:tcPr>
            <w:tcW w:w="1893" w:type="dxa"/>
            <w:tcBorders>
              <w:top w:val="nil"/>
              <w:left w:val="nil"/>
              <w:bottom w:val="nil"/>
              <w:right w:val="nil"/>
              <w:tl2br w:val="nil"/>
              <w:tr2bl w:val="nil"/>
            </w:tcBorders>
            <w:tcMar>
              <w:left w:w="60" w:type="dxa"/>
              <w:right w:w="60" w:type="dxa"/>
            </w:tcMar>
            <w:vAlign w:val="center"/>
          </w:tcPr>
          <w:p>
            <w:pPr>
              <w:pStyle w:val="DMETW36765BIPPFD"/>
              <w:jc w:val="right"/>
              <w:rPr>
                <w:rFonts w:ascii="Verdana" w:eastAsia="Verdana" w:hAnsi="Verdana" w:cs="Verdana"/>
                <w:i/>
                <w:noProof/>
                <w:color w:val="000000"/>
                <w:sz w:val="16"/>
              </w:rPr>
            </w:pPr>
            <w:r>
              <w:rPr>
                <w:rFonts w:ascii="Verdana" w:hAnsi="Verdana"/>
                <w:i/>
                <w:noProof/>
                <w:color w:val="000000"/>
                <w:sz w:val="16"/>
              </w:rPr>
              <w:t>(6 560)</w:t>
            </w:r>
          </w:p>
        </w:tc>
        <w:tc>
          <w:tcPr>
            <w:tcW w:w="1864" w:type="dxa"/>
            <w:tcBorders>
              <w:top w:val="nil"/>
              <w:left w:val="nil"/>
              <w:bottom w:val="nil"/>
              <w:right w:val="nil"/>
              <w:tl2br w:val="nil"/>
              <w:tr2bl w:val="nil"/>
            </w:tcBorders>
            <w:tcMar>
              <w:left w:w="60" w:type="dxa"/>
              <w:right w:w="60" w:type="dxa"/>
            </w:tcMar>
            <w:vAlign w:val="center"/>
          </w:tcPr>
          <w:p>
            <w:pPr>
              <w:pStyle w:val="DMETW36765BIPPFD"/>
              <w:jc w:val="right"/>
              <w:rPr>
                <w:rFonts w:ascii="Verdana" w:eastAsia="Verdana" w:hAnsi="Verdana" w:cs="Verdana"/>
                <w:i/>
                <w:noProof/>
                <w:color w:val="000000"/>
                <w:sz w:val="16"/>
              </w:rPr>
            </w:pPr>
            <w:r>
              <w:rPr>
                <w:rFonts w:ascii="Verdana" w:hAnsi="Verdana"/>
                <w:i/>
                <w:noProof/>
                <w:color w:val="000000"/>
                <w:sz w:val="16"/>
              </w:rPr>
              <w:t>3 438</w:t>
            </w:r>
          </w:p>
        </w:tc>
      </w:tr>
      <w:tr>
        <w:trPr>
          <w:trHeight w:val="255"/>
        </w:trPr>
        <w:tc>
          <w:tcPr>
            <w:tcW w:w="4251" w:type="dxa"/>
            <w:tcBorders>
              <w:top w:val="nil"/>
              <w:left w:val="nil"/>
              <w:bottom w:val="nil"/>
              <w:right w:val="nil"/>
              <w:tl2br w:val="nil"/>
              <w:tr2bl w:val="nil"/>
            </w:tcBorders>
            <w:tcMar>
              <w:left w:w="60" w:type="dxa"/>
              <w:right w:w="60" w:type="dxa"/>
            </w:tcMar>
            <w:vAlign w:val="center"/>
          </w:tcPr>
          <w:p>
            <w:pPr>
              <w:pStyle w:val="DMETW36765BIPPFD"/>
              <w:rPr>
                <w:rFonts w:ascii="Verdana" w:eastAsia="Verdana" w:hAnsi="Verdana" w:cs="Verdana"/>
                <w:i/>
                <w:noProof/>
                <w:color w:val="000000"/>
                <w:sz w:val="16"/>
              </w:rPr>
            </w:pPr>
            <w:r>
              <w:rPr>
                <w:rFonts w:ascii="Verdana" w:hAnsi="Verdana"/>
                <w:i/>
                <w:noProof/>
                <w:color w:val="000000"/>
                <w:sz w:val="16"/>
              </w:rPr>
              <w:t xml:space="preserve">     FRR (NGEU)</w:t>
            </w:r>
          </w:p>
        </w:tc>
        <w:tc>
          <w:tcPr>
            <w:tcW w:w="1750" w:type="dxa"/>
            <w:tcBorders>
              <w:top w:val="nil"/>
              <w:left w:val="nil"/>
              <w:bottom w:val="nil"/>
              <w:right w:val="nil"/>
              <w:tl2br w:val="nil"/>
              <w:tr2bl w:val="nil"/>
            </w:tcBorders>
            <w:tcMar>
              <w:left w:w="60" w:type="dxa"/>
              <w:right w:w="60" w:type="dxa"/>
            </w:tcMar>
            <w:vAlign w:val="center"/>
          </w:tcPr>
          <w:p>
            <w:pPr>
              <w:pStyle w:val="DMETW36765BIPPFD"/>
              <w:jc w:val="right"/>
              <w:rPr>
                <w:rFonts w:ascii="Verdana" w:eastAsia="Verdana" w:hAnsi="Verdana" w:cs="Verdana"/>
                <w:i/>
                <w:noProof/>
                <w:color w:val="000000"/>
                <w:sz w:val="16"/>
              </w:rPr>
            </w:pPr>
            <w:r>
              <w:rPr>
                <w:rFonts w:ascii="Verdana" w:hAnsi="Verdana"/>
                <w:i/>
                <w:noProof/>
                <w:color w:val="000000"/>
                <w:sz w:val="16"/>
              </w:rPr>
              <w:t>13 626</w:t>
            </w:r>
          </w:p>
        </w:tc>
        <w:tc>
          <w:tcPr>
            <w:tcW w:w="1893" w:type="dxa"/>
            <w:tcBorders>
              <w:top w:val="nil"/>
              <w:left w:val="nil"/>
              <w:bottom w:val="nil"/>
              <w:right w:val="nil"/>
              <w:tl2br w:val="nil"/>
              <w:tr2bl w:val="nil"/>
            </w:tcBorders>
            <w:tcMar>
              <w:left w:w="60" w:type="dxa"/>
              <w:right w:w="60" w:type="dxa"/>
            </w:tcMar>
            <w:vAlign w:val="center"/>
          </w:tcPr>
          <w:p>
            <w:pPr>
              <w:pStyle w:val="DMETW36765BIPPFD"/>
              <w:jc w:val="right"/>
              <w:rPr>
                <w:rFonts w:ascii="Verdana" w:eastAsia="Verdana" w:hAnsi="Verdana" w:cs="Verdana"/>
                <w:i/>
                <w:noProof/>
                <w:color w:val="000000"/>
                <w:sz w:val="16"/>
              </w:rPr>
            </w:pPr>
            <w:r>
              <w:rPr>
                <w:rFonts w:ascii="Verdana" w:hAnsi="Verdana"/>
                <w:i/>
                <w:noProof/>
                <w:color w:val="000000"/>
                <w:sz w:val="16"/>
              </w:rPr>
              <w:t>(3 392)</w:t>
            </w:r>
          </w:p>
        </w:tc>
        <w:tc>
          <w:tcPr>
            <w:tcW w:w="1864" w:type="dxa"/>
            <w:tcBorders>
              <w:top w:val="nil"/>
              <w:left w:val="nil"/>
              <w:bottom w:val="nil"/>
              <w:right w:val="nil"/>
              <w:tl2br w:val="nil"/>
              <w:tr2bl w:val="nil"/>
            </w:tcBorders>
            <w:tcMar>
              <w:left w:w="60" w:type="dxa"/>
              <w:right w:w="60" w:type="dxa"/>
            </w:tcMar>
            <w:vAlign w:val="center"/>
          </w:tcPr>
          <w:p>
            <w:pPr>
              <w:pStyle w:val="DMETW36765BIPPFD"/>
              <w:jc w:val="right"/>
              <w:rPr>
                <w:rFonts w:ascii="Verdana" w:eastAsia="Verdana" w:hAnsi="Verdana" w:cs="Verdana"/>
                <w:i/>
                <w:noProof/>
                <w:color w:val="000000"/>
                <w:sz w:val="16"/>
              </w:rPr>
            </w:pPr>
            <w:r>
              <w:rPr>
                <w:rFonts w:ascii="Verdana" w:hAnsi="Verdana"/>
                <w:i/>
                <w:noProof/>
                <w:color w:val="000000"/>
                <w:sz w:val="16"/>
              </w:rPr>
              <w:t>10 234</w:t>
            </w:r>
          </w:p>
        </w:tc>
      </w:tr>
      <w:tr>
        <w:trPr>
          <w:trHeight w:val="255"/>
        </w:trPr>
        <w:tc>
          <w:tcPr>
            <w:tcW w:w="4251" w:type="dxa"/>
            <w:tcBorders>
              <w:top w:val="nil"/>
              <w:left w:val="nil"/>
              <w:bottom w:val="nil"/>
              <w:right w:val="nil"/>
              <w:tl2br w:val="nil"/>
              <w:tr2bl w:val="nil"/>
            </w:tcBorders>
            <w:tcMar>
              <w:left w:w="60" w:type="dxa"/>
              <w:right w:w="60" w:type="dxa"/>
            </w:tcMar>
            <w:vAlign w:val="center"/>
          </w:tcPr>
          <w:p>
            <w:pPr>
              <w:pStyle w:val="DMETW36765BIPPFD"/>
              <w:rPr>
                <w:rFonts w:ascii="Verdana" w:eastAsia="Verdana" w:hAnsi="Verdana" w:cs="Verdana"/>
                <w:i/>
                <w:noProof/>
                <w:color w:val="000000"/>
                <w:sz w:val="16"/>
              </w:rPr>
            </w:pPr>
            <w:r>
              <w:rPr>
                <w:rFonts w:ascii="Verdana" w:hAnsi="Verdana"/>
                <w:i/>
                <w:noProof/>
                <w:color w:val="000000"/>
                <w:sz w:val="16"/>
              </w:rPr>
              <w:t xml:space="preserve">     Autres</w:t>
            </w:r>
          </w:p>
        </w:tc>
        <w:tc>
          <w:tcPr>
            <w:tcW w:w="1750" w:type="dxa"/>
            <w:tcBorders>
              <w:top w:val="nil"/>
              <w:left w:val="nil"/>
              <w:bottom w:val="nil"/>
              <w:right w:val="nil"/>
              <w:tl2br w:val="nil"/>
              <w:tr2bl w:val="nil"/>
            </w:tcBorders>
            <w:tcMar>
              <w:left w:w="60" w:type="dxa"/>
              <w:right w:w="60" w:type="dxa"/>
            </w:tcMar>
            <w:vAlign w:val="center"/>
          </w:tcPr>
          <w:p>
            <w:pPr>
              <w:pStyle w:val="DMETW36765BIPPFD"/>
              <w:jc w:val="right"/>
              <w:rPr>
                <w:rFonts w:ascii="Verdana" w:eastAsia="Verdana" w:hAnsi="Verdana" w:cs="Verdana"/>
                <w:i/>
                <w:noProof/>
                <w:color w:val="000000"/>
                <w:sz w:val="16"/>
              </w:rPr>
            </w:pPr>
            <w:r>
              <w:rPr>
                <w:rFonts w:ascii="Verdana" w:hAnsi="Verdana"/>
                <w:i/>
                <w:noProof/>
                <w:color w:val="000000"/>
                <w:sz w:val="16"/>
              </w:rPr>
              <w:t>21 022</w:t>
            </w:r>
          </w:p>
        </w:tc>
        <w:tc>
          <w:tcPr>
            <w:tcW w:w="1893" w:type="dxa"/>
            <w:tcBorders>
              <w:top w:val="nil"/>
              <w:left w:val="nil"/>
              <w:bottom w:val="nil"/>
              <w:right w:val="nil"/>
              <w:tl2br w:val="nil"/>
              <w:tr2bl w:val="nil"/>
            </w:tcBorders>
            <w:tcMar>
              <w:left w:w="60" w:type="dxa"/>
              <w:right w:w="60" w:type="dxa"/>
            </w:tcMar>
            <w:vAlign w:val="center"/>
          </w:tcPr>
          <w:p>
            <w:pPr>
              <w:pStyle w:val="DMETW36765BIPPFD"/>
              <w:jc w:val="right"/>
              <w:rPr>
                <w:rFonts w:ascii="Verdana" w:eastAsia="Verdana" w:hAnsi="Verdana" w:cs="Verdana"/>
                <w:i/>
                <w:noProof/>
                <w:color w:val="000000"/>
                <w:sz w:val="16"/>
              </w:rPr>
            </w:pPr>
            <w:r>
              <w:rPr>
                <w:rFonts w:ascii="Verdana" w:hAnsi="Verdana"/>
                <w:i/>
                <w:noProof/>
                <w:color w:val="000000"/>
                <w:sz w:val="16"/>
              </w:rPr>
              <w:t>(10 041)</w:t>
            </w:r>
          </w:p>
        </w:tc>
        <w:tc>
          <w:tcPr>
            <w:tcW w:w="1864" w:type="dxa"/>
            <w:tcBorders>
              <w:top w:val="nil"/>
              <w:left w:val="nil"/>
              <w:bottom w:val="nil"/>
              <w:right w:val="nil"/>
              <w:tl2br w:val="nil"/>
              <w:tr2bl w:val="nil"/>
            </w:tcBorders>
            <w:tcMar>
              <w:left w:w="60" w:type="dxa"/>
              <w:right w:w="60" w:type="dxa"/>
            </w:tcMar>
            <w:vAlign w:val="center"/>
          </w:tcPr>
          <w:p>
            <w:pPr>
              <w:pStyle w:val="DMETW36765BIPPFD"/>
              <w:jc w:val="right"/>
              <w:rPr>
                <w:rFonts w:ascii="Verdana" w:eastAsia="Verdana" w:hAnsi="Verdana" w:cs="Verdana"/>
                <w:i/>
                <w:noProof/>
                <w:color w:val="000000"/>
                <w:sz w:val="16"/>
              </w:rPr>
            </w:pPr>
            <w:r>
              <w:rPr>
                <w:rFonts w:ascii="Verdana" w:hAnsi="Verdana"/>
                <w:i/>
                <w:noProof/>
                <w:color w:val="000000"/>
                <w:sz w:val="16"/>
              </w:rPr>
              <w:t>10 981</w:t>
            </w:r>
          </w:p>
        </w:tc>
      </w:tr>
      <w:tr>
        <w:trPr>
          <w:trHeight w:val="255"/>
        </w:trPr>
        <w:tc>
          <w:tcPr>
            <w:tcW w:w="4251" w:type="dxa"/>
            <w:tcBorders>
              <w:top w:val="nil"/>
              <w:left w:val="nil"/>
              <w:bottom w:val="nil"/>
              <w:right w:val="nil"/>
              <w:tl2br w:val="nil"/>
              <w:tr2bl w:val="nil"/>
            </w:tcBorders>
            <w:tcMar>
              <w:left w:w="60" w:type="dxa"/>
              <w:right w:w="60" w:type="dxa"/>
            </w:tcMar>
            <w:vAlign w:val="center"/>
          </w:tcPr>
          <w:p>
            <w:pPr>
              <w:pStyle w:val="DMETW36765BIPPFD"/>
              <w:rPr>
                <w:rFonts w:ascii="Verdana" w:eastAsia="Verdana" w:hAnsi="Verdana" w:cs="Verdana"/>
                <w:b/>
                <w:noProof/>
                <w:color w:val="000000"/>
                <w:sz w:val="16"/>
              </w:rPr>
            </w:pPr>
            <w:r>
              <w:rPr>
                <w:rFonts w:ascii="Verdana" w:hAnsi="Verdana"/>
                <w:b/>
                <w:noProof/>
                <w:color w:val="000000"/>
                <w:sz w:val="16"/>
              </w:rPr>
              <w:t xml:space="preserve"> AELE et pays tiers</w:t>
            </w:r>
          </w:p>
        </w:tc>
        <w:tc>
          <w:tcPr>
            <w:tcW w:w="1750" w:type="dxa"/>
            <w:tcBorders>
              <w:top w:val="nil"/>
              <w:left w:val="nil"/>
              <w:bottom w:val="nil"/>
              <w:right w:val="nil"/>
              <w:tl2br w:val="nil"/>
              <w:tr2bl w:val="nil"/>
            </w:tcBorders>
            <w:tcMar>
              <w:left w:w="60" w:type="dxa"/>
              <w:right w:w="60" w:type="dxa"/>
            </w:tcMar>
            <w:vAlign w:val="center"/>
          </w:tcPr>
          <w:p>
            <w:pPr>
              <w:pStyle w:val="DMETW36765BIPPFD"/>
              <w:jc w:val="right"/>
              <w:rPr>
                <w:rFonts w:ascii="Verdana" w:eastAsia="Verdana" w:hAnsi="Verdana" w:cs="Verdana"/>
                <w:i/>
                <w:noProof/>
                <w:color w:val="000000"/>
                <w:sz w:val="16"/>
              </w:rPr>
            </w:pPr>
            <w:r>
              <w:rPr>
                <w:rFonts w:ascii="Verdana" w:hAnsi="Verdana"/>
                <w:i/>
                <w:noProof/>
                <w:color w:val="000000"/>
                <w:sz w:val="16"/>
              </w:rPr>
              <w:t>3 772</w:t>
            </w:r>
          </w:p>
        </w:tc>
        <w:tc>
          <w:tcPr>
            <w:tcW w:w="1893" w:type="dxa"/>
            <w:tcBorders>
              <w:top w:val="nil"/>
              <w:left w:val="nil"/>
              <w:bottom w:val="nil"/>
              <w:right w:val="nil"/>
              <w:tl2br w:val="nil"/>
              <w:tr2bl w:val="nil"/>
            </w:tcBorders>
            <w:tcMar>
              <w:left w:w="60" w:type="dxa"/>
              <w:right w:w="60" w:type="dxa"/>
            </w:tcMar>
            <w:vAlign w:val="center"/>
          </w:tcPr>
          <w:p>
            <w:pPr>
              <w:pStyle w:val="DMETW36765BIPPFD"/>
              <w:jc w:val="right"/>
              <w:rPr>
                <w:rFonts w:ascii="Verdana" w:eastAsia="Verdana" w:hAnsi="Verdana" w:cs="Verdana"/>
                <w:i/>
                <w:noProof/>
                <w:color w:val="000000"/>
                <w:sz w:val="16"/>
              </w:rPr>
            </w:pPr>
            <w:r>
              <w:rPr>
                <w:rFonts w:ascii="Verdana" w:hAnsi="Verdana"/>
                <w:i/>
                <w:noProof/>
                <w:color w:val="000000"/>
                <w:sz w:val="16"/>
              </w:rPr>
              <w:t>(2 710)</w:t>
            </w:r>
          </w:p>
        </w:tc>
        <w:tc>
          <w:tcPr>
            <w:tcW w:w="1864" w:type="dxa"/>
            <w:tcBorders>
              <w:top w:val="nil"/>
              <w:left w:val="nil"/>
              <w:bottom w:val="nil"/>
              <w:right w:val="nil"/>
              <w:tl2br w:val="nil"/>
              <w:tr2bl w:val="nil"/>
            </w:tcBorders>
            <w:tcMar>
              <w:left w:w="60" w:type="dxa"/>
              <w:right w:w="60" w:type="dxa"/>
            </w:tcMar>
            <w:vAlign w:val="center"/>
          </w:tcPr>
          <w:p>
            <w:pPr>
              <w:pStyle w:val="DMETW36765BIPPFD"/>
              <w:jc w:val="right"/>
              <w:rPr>
                <w:rFonts w:ascii="Verdana" w:eastAsia="Verdana" w:hAnsi="Verdana" w:cs="Verdana"/>
                <w:i/>
                <w:noProof/>
                <w:color w:val="000000"/>
                <w:sz w:val="16"/>
              </w:rPr>
            </w:pPr>
            <w:r>
              <w:rPr>
                <w:rFonts w:ascii="Verdana" w:hAnsi="Verdana"/>
                <w:i/>
                <w:noProof/>
                <w:color w:val="000000"/>
                <w:sz w:val="16"/>
              </w:rPr>
              <w:t>1 062</w:t>
            </w:r>
          </w:p>
        </w:tc>
      </w:tr>
      <w:tr>
        <w:trPr>
          <w:trHeight w:val="255"/>
        </w:trPr>
        <w:tc>
          <w:tcPr>
            <w:tcW w:w="4251" w:type="dxa"/>
            <w:tcBorders>
              <w:top w:val="nil"/>
              <w:left w:val="nil"/>
              <w:bottom w:val="nil"/>
              <w:right w:val="nil"/>
              <w:tl2br w:val="nil"/>
              <w:tr2bl w:val="nil"/>
            </w:tcBorders>
            <w:tcMar>
              <w:left w:w="60" w:type="dxa"/>
              <w:right w:w="60" w:type="dxa"/>
            </w:tcMar>
            <w:vAlign w:val="center"/>
          </w:tcPr>
          <w:p>
            <w:pPr>
              <w:pStyle w:val="DMETW36765BIPPFD"/>
              <w:rPr>
                <w:rFonts w:ascii="Verdana" w:eastAsia="Verdana" w:hAnsi="Verdana" w:cs="Verdana"/>
                <w:b/>
                <w:noProof/>
                <w:color w:val="000000"/>
                <w:sz w:val="16"/>
              </w:rPr>
            </w:pPr>
            <w:r>
              <w:rPr>
                <w:rFonts w:ascii="Verdana" w:hAnsi="Verdana"/>
                <w:b/>
                <w:noProof/>
                <w:color w:val="000000"/>
                <w:sz w:val="16"/>
              </w:rPr>
              <w:t xml:space="preserve"> Organismes publics et privés</w:t>
            </w:r>
          </w:p>
        </w:tc>
        <w:tc>
          <w:tcPr>
            <w:tcW w:w="1750" w:type="dxa"/>
            <w:tcBorders>
              <w:top w:val="nil"/>
              <w:left w:val="nil"/>
              <w:bottom w:val="nil"/>
              <w:right w:val="nil"/>
              <w:tl2br w:val="nil"/>
              <w:tr2bl w:val="nil"/>
            </w:tcBorders>
            <w:tcMar>
              <w:left w:w="60" w:type="dxa"/>
              <w:right w:w="60" w:type="dxa"/>
            </w:tcMar>
            <w:vAlign w:val="center"/>
          </w:tcPr>
          <w:p>
            <w:pPr>
              <w:pStyle w:val="DMETW36765BIPPFD"/>
              <w:jc w:val="right"/>
              <w:rPr>
                <w:rFonts w:ascii="Verdana" w:eastAsia="Verdana" w:hAnsi="Verdana" w:cs="Verdana"/>
                <w:i/>
                <w:noProof/>
                <w:color w:val="000000"/>
                <w:sz w:val="16"/>
              </w:rPr>
            </w:pPr>
            <w:r>
              <w:rPr>
                <w:rFonts w:ascii="Verdana" w:hAnsi="Verdana"/>
                <w:i/>
                <w:noProof/>
                <w:color w:val="000000"/>
                <w:sz w:val="16"/>
              </w:rPr>
              <w:t>82 761</w:t>
            </w:r>
          </w:p>
        </w:tc>
        <w:tc>
          <w:tcPr>
            <w:tcW w:w="1893" w:type="dxa"/>
            <w:tcBorders>
              <w:top w:val="nil"/>
              <w:left w:val="nil"/>
              <w:bottom w:val="nil"/>
              <w:right w:val="nil"/>
              <w:tl2br w:val="nil"/>
              <w:tr2bl w:val="nil"/>
            </w:tcBorders>
            <w:tcMar>
              <w:left w:w="60" w:type="dxa"/>
              <w:right w:w="60" w:type="dxa"/>
            </w:tcMar>
            <w:vAlign w:val="center"/>
          </w:tcPr>
          <w:p>
            <w:pPr>
              <w:pStyle w:val="DMETW36765BIPPFD"/>
              <w:jc w:val="right"/>
              <w:rPr>
                <w:rFonts w:ascii="Verdana" w:eastAsia="Verdana" w:hAnsi="Verdana" w:cs="Verdana"/>
                <w:i/>
                <w:noProof/>
                <w:color w:val="000000"/>
                <w:sz w:val="16"/>
              </w:rPr>
            </w:pPr>
            <w:r>
              <w:rPr>
                <w:rFonts w:ascii="Verdana" w:hAnsi="Verdana"/>
                <w:i/>
                <w:noProof/>
                <w:color w:val="000000"/>
                <w:sz w:val="16"/>
              </w:rPr>
              <w:t>(61 415)</w:t>
            </w:r>
          </w:p>
        </w:tc>
        <w:tc>
          <w:tcPr>
            <w:tcW w:w="1864" w:type="dxa"/>
            <w:tcBorders>
              <w:top w:val="nil"/>
              <w:left w:val="nil"/>
              <w:bottom w:val="nil"/>
              <w:right w:val="nil"/>
              <w:tl2br w:val="nil"/>
              <w:tr2bl w:val="nil"/>
            </w:tcBorders>
            <w:tcMar>
              <w:left w:w="60" w:type="dxa"/>
              <w:right w:w="60" w:type="dxa"/>
            </w:tcMar>
            <w:vAlign w:val="center"/>
          </w:tcPr>
          <w:p>
            <w:pPr>
              <w:pStyle w:val="DMETW36765BIPPFD"/>
              <w:jc w:val="right"/>
              <w:rPr>
                <w:rFonts w:ascii="Verdana" w:eastAsia="Verdana" w:hAnsi="Verdana" w:cs="Verdana"/>
                <w:i/>
                <w:noProof/>
                <w:color w:val="000000"/>
                <w:sz w:val="16"/>
              </w:rPr>
            </w:pPr>
            <w:r>
              <w:rPr>
                <w:rFonts w:ascii="Verdana" w:hAnsi="Verdana"/>
                <w:i/>
                <w:noProof/>
                <w:color w:val="000000"/>
                <w:sz w:val="16"/>
              </w:rPr>
              <w:t>21 346</w:t>
            </w:r>
          </w:p>
        </w:tc>
      </w:tr>
      <w:tr>
        <w:trPr>
          <w:trHeight w:val="255"/>
        </w:trPr>
        <w:tc>
          <w:tcPr>
            <w:tcW w:w="4251" w:type="dxa"/>
            <w:tcBorders>
              <w:top w:val="nil"/>
              <w:left w:val="nil"/>
              <w:bottom w:val="single" w:sz="4" w:space="0" w:color="016794"/>
              <w:right w:val="nil"/>
              <w:tl2br w:val="nil"/>
              <w:tr2bl w:val="nil"/>
            </w:tcBorders>
            <w:tcMar>
              <w:left w:w="60" w:type="dxa"/>
              <w:right w:w="60" w:type="dxa"/>
            </w:tcMar>
            <w:vAlign w:val="center"/>
          </w:tcPr>
          <w:p>
            <w:pPr>
              <w:pStyle w:val="DMETW36765BIPPFD"/>
              <w:rPr>
                <w:rFonts w:ascii="Verdana" w:eastAsia="Verdana" w:hAnsi="Verdana" w:cs="Verdana"/>
                <w:b/>
                <w:noProof/>
                <w:color w:val="000000"/>
                <w:sz w:val="16"/>
              </w:rPr>
            </w:pPr>
            <w:r>
              <w:rPr>
                <w:rFonts w:ascii="Verdana" w:hAnsi="Verdana"/>
                <w:b/>
                <w:noProof/>
                <w:color w:val="000000"/>
                <w:sz w:val="16"/>
              </w:rPr>
              <w:t xml:space="preserve"> Autres bénéficiaires</w:t>
            </w:r>
          </w:p>
        </w:tc>
        <w:tc>
          <w:tcPr>
            <w:tcW w:w="1750" w:type="dxa"/>
            <w:tcBorders>
              <w:top w:val="nil"/>
              <w:left w:val="nil"/>
              <w:bottom w:val="single" w:sz="4" w:space="0" w:color="016794"/>
              <w:right w:val="nil"/>
              <w:tl2br w:val="nil"/>
              <w:tr2bl w:val="nil"/>
            </w:tcBorders>
            <w:tcMar>
              <w:left w:w="60" w:type="dxa"/>
              <w:right w:w="60" w:type="dxa"/>
            </w:tcMar>
            <w:vAlign w:val="center"/>
          </w:tcPr>
          <w:p>
            <w:pPr>
              <w:pStyle w:val="DMETW36765BIPPFD"/>
              <w:jc w:val="right"/>
              <w:rPr>
                <w:rFonts w:ascii="Verdana" w:eastAsia="Verdana" w:hAnsi="Verdana" w:cs="Verdana"/>
                <w:i/>
                <w:noProof/>
                <w:color w:val="000000"/>
                <w:sz w:val="16"/>
              </w:rPr>
            </w:pPr>
            <w:r>
              <w:rPr>
                <w:rFonts w:ascii="Verdana" w:hAnsi="Verdana"/>
                <w:i/>
                <w:noProof/>
                <w:color w:val="000000"/>
                <w:sz w:val="16"/>
              </w:rPr>
              <w:t>17 397</w:t>
            </w:r>
          </w:p>
        </w:tc>
        <w:tc>
          <w:tcPr>
            <w:tcW w:w="1893" w:type="dxa"/>
            <w:tcBorders>
              <w:top w:val="nil"/>
              <w:left w:val="nil"/>
              <w:bottom w:val="single" w:sz="4" w:space="0" w:color="016794"/>
              <w:right w:val="nil"/>
              <w:tl2br w:val="nil"/>
              <w:tr2bl w:val="nil"/>
            </w:tcBorders>
            <w:tcMar>
              <w:left w:w="60" w:type="dxa"/>
              <w:right w:w="60" w:type="dxa"/>
            </w:tcMar>
            <w:vAlign w:val="center"/>
          </w:tcPr>
          <w:p>
            <w:pPr>
              <w:pStyle w:val="DMETW36765BIPPFD"/>
              <w:jc w:val="right"/>
              <w:rPr>
                <w:rFonts w:ascii="Verdana" w:eastAsia="Verdana" w:hAnsi="Verdana" w:cs="Verdana"/>
                <w:i/>
                <w:noProof/>
                <w:color w:val="000000"/>
                <w:sz w:val="16"/>
              </w:rPr>
            </w:pPr>
            <w:r>
              <w:rPr>
                <w:rFonts w:ascii="Verdana" w:hAnsi="Verdana"/>
                <w:i/>
                <w:noProof/>
                <w:color w:val="000000"/>
                <w:sz w:val="16"/>
              </w:rPr>
              <w:t>(7 943)</w:t>
            </w:r>
          </w:p>
        </w:tc>
        <w:tc>
          <w:tcPr>
            <w:tcW w:w="1864" w:type="dxa"/>
            <w:tcBorders>
              <w:top w:val="nil"/>
              <w:left w:val="nil"/>
              <w:bottom w:val="single" w:sz="4" w:space="0" w:color="016794"/>
              <w:right w:val="nil"/>
              <w:tl2br w:val="nil"/>
              <w:tr2bl w:val="nil"/>
            </w:tcBorders>
            <w:tcMar>
              <w:left w:w="60" w:type="dxa"/>
              <w:right w:w="60" w:type="dxa"/>
            </w:tcMar>
            <w:vAlign w:val="center"/>
          </w:tcPr>
          <w:p>
            <w:pPr>
              <w:pStyle w:val="DMETW36765BIPPFD"/>
              <w:jc w:val="right"/>
              <w:rPr>
                <w:rFonts w:ascii="Verdana" w:eastAsia="Verdana" w:hAnsi="Verdana" w:cs="Verdana"/>
                <w:i/>
                <w:noProof/>
                <w:color w:val="000000"/>
                <w:sz w:val="16"/>
              </w:rPr>
            </w:pPr>
            <w:r>
              <w:rPr>
                <w:rFonts w:ascii="Verdana" w:hAnsi="Verdana"/>
                <w:i/>
                <w:noProof/>
                <w:color w:val="000000"/>
                <w:sz w:val="16"/>
              </w:rPr>
              <w:t>9 454</w:t>
            </w:r>
          </w:p>
        </w:tc>
      </w:tr>
      <w:tr>
        <w:trPr>
          <w:trHeight w:val="255"/>
        </w:trPr>
        <w:tc>
          <w:tcPr>
            <w:tcW w:w="425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5BIPPFD"/>
              <w:rPr>
                <w:rFonts w:ascii="Verdana" w:eastAsia="Verdana" w:hAnsi="Verdana" w:cs="Verdana"/>
                <w:b/>
                <w:noProof/>
                <w:color w:val="000000"/>
                <w:sz w:val="16"/>
              </w:rPr>
            </w:pPr>
            <w:r>
              <w:rPr>
                <w:rFonts w:ascii="Verdana" w:hAnsi="Verdana"/>
                <w:b/>
                <w:noProof/>
                <w:color w:val="000000"/>
                <w:sz w:val="16"/>
              </w:rPr>
              <w:t>Total</w:t>
            </w:r>
          </w:p>
        </w:tc>
        <w:tc>
          <w:tcPr>
            <w:tcW w:w="175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5BIPPFD"/>
              <w:jc w:val="right"/>
              <w:rPr>
                <w:rFonts w:ascii="Verdana" w:eastAsia="Verdana" w:hAnsi="Verdana" w:cs="Verdana"/>
                <w:b/>
                <w:noProof/>
                <w:color w:val="000000"/>
                <w:sz w:val="18"/>
              </w:rPr>
            </w:pPr>
            <w:r>
              <w:rPr>
                <w:rFonts w:ascii="Verdana" w:hAnsi="Verdana"/>
                <w:b/>
                <w:noProof/>
                <w:color w:val="000000"/>
                <w:sz w:val="18"/>
              </w:rPr>
              <w:t>182 038</w:t>
            </w:r>
          </w:p>
        </w:tc>
        <w:tc>
          <w:tcPr>
            <w:tcW w:w="189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5BIPPFD"/>
              <w:jc w:val="right"/>
              <w:rPr>
                <w:rFonts w:ascii="Verdana" w:eastAsia="Verdana" w:hAnsi="Verdana" w:cs="Verdana"/>
                <w:b/>
                <w:noProof/>
                <w:color w:val="000000"/>
                <w:sz w:val="18"/>
              </w:rPr>
            </w:pPr>
            <w:r>
              <w:rPr>
                <w:rFonts w:ascii="Verdana" w:hAnsi="Verdana"/>
                <w:b/>
                <w:noProof/>
                <w:color w:val="000000"/>
                <w:sz w:val="18"/>
              </w:rPr>
              <w:t>(110 740)</w:t>
            </w:r>
          </w:p>
        </w:tc>
        <w:tc>
          <w:tcPr>
            <w:tcW w:w="186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5BIPPFD"/>
              <w:jc w:val="right"/>
              <w:rPr>
                <w:rFonts w:ascii="Verdana" w:eastAsia="Verdana" w:hAnsi="Verdana" w:cs="Verdana"/>
                <w:b/>
                <w:noProof/>
                <w:color w:val="000000"/>
                <w:sz w:val="18"/>
              </w:rPr>
            </w:pPr>
            <w:r>
              <w:rPr>
                <w:rFonts w:ascii="Verdana" w:hAnsi="Verdana"/>
                <w:b/>
                <w:noProof/>
                <w:color w:val="000000"/>
                <w:sz w:val="18"/>
              </w:rPr>
              <w:t>71 299</w:t>
            </w:r>
          </w:p>
        </w:tc>
      </w:tr>
      <w:tr>
        <w:trPr>
          <w:trHeight w:val="255"/>
        </w:trPr>
        <w:tc>
          <w:tcPr>
            <w:tcW w:w="4251" w:type="dxa"/>
            <w:tcBorders>
              <w:top w:val="single" w:sz="4" w:space="0" w:color="016794"/>
              <w:left w:val="nil"/>
              <w:bottom w:val="nil"/>
              <w:right w:val="nil"/>
              <w:tl2br w:val="nil"/>
              <w:tr2bl w:val="nil"/>
            </w:tcBorders>
            <w:tcMar>
              <w:left w:w="60" w:type="dxa"/>
              <w:right w:w="60" w:type="dxa"/>
            </w:tcMar>
            <w:vAlign w:val="center"/>
          </w:tcPr>
          <w:p>
            <w:pPr>
              <w:pStyle w:val="DMETW36765BIPPFD"/>
              <w:rPr>
                <w:rFonts w:ascii="Verdana" w:eastAsia="Verdana" w:hAnsi="Verdana" w:cs="Verdana"/>
                <w:i/>
                <w:noProof/>
                <w:color w:val="016794"/>
                <w:sz w:val="16"/>
              </w:rPr>
            </w:pPr>
            <w:r>
              <w:rPr>
                <w:rFonts w:ascii="Verdana" w:hAnsi="Verdana"/>
                <w:i/>
                <w:noProof/>
                <w:color w:val="016794"/>
                <w:sz w:val="16"/>
              </w:rPr>
              <w:t>Non courant</w:t>
            </w:r>
          </w:p>
        </w:tc>
        <w:tc>
          <w:tcPr>
            <w:tcW w:w="1750" w:type="dxa"/>
            <w:tcBorders>
              <w:top w:val="single" w:sz="4" w:space="0" w:color="016794"/>
              <w:left w:val="nil"/>
              <w:bottom w:val="nil"/>
              <w:right w:val="nil"/>
              <w:tl2br w:val="nil"/>
              <w:tr2bl w:val="nil"/>
            </w:tcBorders>
            <w:tcMar>
              <w:left w:w="60" w:type="dxa"/>
              <w:right w:w="60" w:type="dxa"/>
            </w:tcMar>
            <w:vAlign w:val="center"/>
          </w:tcPr>
          <w:p>
            <w:pPr>
              <w:pStyle w:val="DMETW36765BIPPFD"/>
              <w:jc w:val="right"/>
              <w:rPr>
                <w:rFonts w:ascii="Verdana" w:eastAsia="Verdana" w:hAnsi="Verdana" w:cs="Verdana"/>
                <w:i/>
                <w:noProof/>
                <w:color w:val="016794"/>
                <w:sz w:val="16"/>
              </w:rPr>
            </w:pPr>
            <w:r>
              <w:rPr>
                <w:rFonts w:ascii="Verdana" w:hAnsi="Verdana"/>
                <w:i/>
                <w:noProof/>
                <w:color w:val="016794"/>
                <w:sz w:val="16"/>
              </w:rPr>
              <w:t>36 000</w:t>
            </w:r>
          </w:p>
        </w:tc>
        <w:tc>
          <w:tcPr>
            <w:tcW w:w="1893" w:type="dxa"/>
            <w:tcBorders>
              <w:top w:val="single" w:sz="4" w:space="0" w:color="016794"/>
              <w:left w:val="nil"/>
              <w:bottom w:val="nil"/>
              <w:right w:val="nil"/>
              <w:tl2br w:val="nil"/>
              <w:tr2bl w:val="nil"/>
            </w:tcBorders>
            <w:tcMar>
              <w:left w:w="60" w:type="dxa"/>
              <w:right w:w="60" w:type="dxa"/>
            </w:tcMar>
            <w:vAlign w:val="center"/>
          </w:tcPr>
          <w:p>
            <w:pPr>
              <w:pStyle w:val="DMETW36765BIPPFD"/>
              <w:jc w:val="right"/>
              <w:rPr>
                <w:rFonts w:ascii="Verdana" w:eastAsia="Verdana" w:hAnsi="Verdana" w:cs="Verdana"/>
                <w:i/>
                <w:noProof/>
                <w:color w:val="016794"/>
                <w:sz w:val="16"/>
              </w:rPr>
            </w:pPr>
          </w:p>
        </w:tc>
        <w:tc>
          <w:tcPr>
            <w:tcW w:w="1864" w:type="dxa"/>
            <w:tcBorders>
              <w:top w:val="single" w:sz="4" w:space="0" w:color="016794"/>
              <w:left w:val="nil"/>
              <w:bottom w:val="nil"/>
              <w:right w:val="nil"/>
              <w:tl2br w:val="nil"/>
              <w:tr2bl w:val="nil"/>
            </w:tcBorders>
            <w:tcMar>
              <w:left w:w="60" w:type="dxa"/>
              <w:right w:w="60" w:type="dxa"/>
            </w:tcMar>
            <w:vAlign w:val="center"/>
          </w:tcPr>
          <w:p>
            <w:pPr>
              <w:pStyle w:val="DMETW36765BIPPFD"/>
              <w:jc w:val="right"/>
              <w:rPr>
                <w:rFonts w:ascii="Verdana" w:eastAsia="Verdana" w:hAnsi="Verdana" w:cs="Verdana"/>
                <w:i/>
                <w:noProof/>
                <w:color w:val="016794"/>
                <w:sz w:val="16"/>
              </w:rPr>
            </w:pPr>
            <w:r>
              <w:rPr>
                <w:rFonts w:ascii="Verdana" w:hAnsi="Verdana"/>
                <w:i/>
                <w:noProof/>
                <w:color w:val="016794"/>
                <w:sz w:val="16"/>
              </w:rPr>
              <w:t>36 000</w:t>
            </w:r>
          </w:p>
        </w:tc>
      </w:tr>
      <w:tr>
        <w:trPr>
          <w:trHeight w:val="255"/>
        </w:trPr>
        <w:tc>
          <w:tcPr>
            <w:tcW w:w="4251" w:type="dxa"/>
            <w:tcBorders>
              <w:top w:val="nil"/>
              <w:left w:val="nil"/>
              <w:bottom w:val="nil"/>
              <w:right w:val="nil"/>
              <w:tl2br w:val="nil"/>
              <w:tr2bl w:val="nil"/>
            </w:tcBorders>
            <w:tcMar>
              <w:left w:w="60" w:type="dxa"/>
              <w:right w:w="60" w:type="dxa"/>
            </w:tcMar>
            <w:vAlign w:val="center"/>
          </w:tcPr>
          <w:p>
            <w:pPr>
              <w:pStyle w:val="DMETW36765BIPPFD"/>
              <w:rPr>
                <w:rFonts w:ascii="Verdana" w:eastAsia="Verdana" w:hAnsi="Verdana" w:cs="Verdana"/>
                <w:i/>
                <w:noProof/>
                <w:color w:val="016794"/>
                <w:sz w:val="16"/>
              </w:rPr>
            </w:pPr>
            <w:r>
              <w:rPr>
                <w:rFonts w:ascii="Verdana" w:hAnsi="Verdana"/>
                <w:i/>
                <w:noProof/>
                <w:color w:val="016794"/>
                <w:sz w:val="16"/>
              </w:rPr>
              <w:t>Courant</w:t>
            </w:r>
          </w:p>
        </w:tc>
        <w:tc>
          <w:tcPr>
            <w:tcW w:w="1750" w:type="dxa"/>
            <w:tcBorders>
              <w:top w:val="nil"/>
              <w:left w:val="nil"/>
              <w:bottom w:val="nil"/>
              <w:right w:val="nil"/>
              <w:tl2br w:val="nil"/>
              <w:tr2bl w:val="nil"/>
            </w:tcBorders>
            <w:tcMar>
              <w:left w:w="60" w:type="dxa"/>
              <w:right w:w="60" w:type="dxa"/>
            </w:tcMar>
            <w:vAlign w:val="center"/>
          </w:tcPr>
          <w:p>
            <w:pPr>
              <w:pStyle w:val="DMETW36765BIPPFD"/>
              <w:jc w:val="right"/>
              <w:rPr>
                <w:rFonts w:ascii="Verdana" w:eastAsia="Verdana" w:hAnsi="Verdana" w:cs="Verdana"/>
                <w:i/>
                <w:noProof/>
                <w:color w:val="016794"/>
                <w:sz w:val="16"/>
              </w:rPr>
            </w:pPr>
            <w:r>
              <w:rPr>
                <w:rFonts w:ascii="Verdana" w:hAnsi="Verdana"/>
                <w:i/>
                <w:noProof/>
                <w:color w:val="016794"/>
                <w:sz w:val="16"/>
              </w:rPr>
              <w:t>146 038</w:t>
            </w:r>
          </w:p>
        </w:tc>
        <w:tc>
          <w:tcPr>
            <w:tcW w:w="1893" w:type="dxa"/>
            <w:tcBorders>
              <w:top w:val="nil"/>
              <w:left w:val="nil"/>
              <w:bottom w:val="nil"/>
              <w:right w:val="nil"/>
              <w:tl2br w:val="nil"/>
              <w:tr2bl w:val="nil"/>
            </w:tcBorders>
            <w:tcMar>
              <w:left w:w="60" w:type="dxa"/>
              <w:right w:w="60" w:type="dxa"/>
            </w:tcMar>
            <w:vAlign w:val="center"/>
          </w:tcPr>
          <w:p>
            <w:pPr>
              <w:pStyle w:val="DMETW36765BIPPFD"/>
              <w:jc w:val="right"/>
              <w:rPr>
                <w:rFonts w:ascii="Verdana" w:eastAsia="Verdana" w:hAnsi="Verdana" w:cs="Verdana"/>
                <w:i/>
                <w:noProof/>
                <w:color w:val="016794"/>
                <w:sz w:val="16"/>
              </w:rPr>
            </w:pPr>
            <w:r>
              <w:rPr>
                <w:rFonts w:ascii="Verdana" w:hAnsi="Verdana"/>
                <w:i/>
                <w:noProof/>
                <w:color w:val="016794"/>
                <w:sz w:val="16"/>
              </w:rPr>
              <w:t>(110 740)</w:t>
            </w:r>
          </w:p>
        </w:tc>
        <w:tc>
          <w:tcPr>
            <w:tcW w:w="1864" w:type="dxa"/>
            <w:tcBorders>
              <w:top w:val="nil"/>
              <w:left w:val="nil"/>
              <w:bottom w:val="nil"/>
              <w:right w:val="nil"/>
              <w:tl2br w:val="nil"/>
              <w:tr2bl w:val="nil"/>
            </w:tcBorders>
            <w:tcMar>
              <w:left w:w="60" w:type="dxa"/>
              <w:right w:w="60" w:type="dxa"/>
            </w:tcMar>
            <w:vAlign w:val="center"/>
          </w:tcPr>
          <w:p>
            <w:pPr>
              <w:pStyle w:val="DMETW36765BIPPFD"/>
              <w:jc w:val="right"/>
              <w:rPr>
                <w:rFonts w:ascii="Verdana" w:eastAsia="Verdana" w:hAnsi="Verdana" w:cs="Verdana"/>
                <w:i/>
                <w:noProof/>
                <w:color w:val="016794"/>
                <w:sz w:val="16"/>
              </w:rPr>
            </w:pPr>
            <w:r>
              <w:rPr>
                <w:rFonts w:ascii="Verdana" w:hAnsi="Verdana"/>
                <w:i/>
                <w:noProof/>
                <w:color w:val="016794"/>
                <w:sz w:val="16"/>
              </w:rPr>
              <w:t>35 298</w:t>
            </w:r>
          </w:p>
        </w:tc>
      </w:tr>
    </w:tbl>
    <w:p>
      <w:pPr>
        <w:pStyle w:val="DGTextstand-alone"/>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4"/>
        <w:gridCol w:w="1984"/>
        <w:gridCol w:w="1755"/>
        <w:gridCol w:w="1755"/>
      </w:tblGrid>
      <w:tr>
        <w:trPr>
          <w:trHeight w:val="255"/>
        </w:trPr>
        <w:tc>
          <w:tcPr>
            <w:tcW w:w="4264" w:type="dxa"/>
            <w:tcBorders>
              <w:top w:val="nil"/>
              <w:left w:val="nil"/>
              <w:bottom w:val="nil"/>
              <w:right w:val="nil"/>
              <w:tl2br w:val="nil"/>
              <w:tr2bl w:val="nil"/>
            </w:tcBorders>
            <w:tcMar>
              <w:left w:w="60" w:type="dxa"/>
              <w:right w:w="60" w:type="dxa"/>
            </w:tcMar>
            <w:vAlign w:val="bottom"/>
          </w:tcPr>
          <w:p>
            <w:pPr>
              <w:pStyle w:val="DMETW36765BIPPFDOLD"/>
              <w:rPr>
                <w:rFonts w:ascii="Arial" w:eastAsia="Arial" w:hAnsi="Arial" w:cs="Arial"/>
                <w:noProof/>
                <w:color w:val="000000"/>
              </w:rPr>
            </w:pPr>
            <w:bookmarkStart w:id="119" w:name="DOC_TBL00028_1_1"/>
            <w:bookmarkEnd w:id="119"/>
          </w:p>
        </w:tc>
        <w:tc>
          <w:tcPr>
            <w:tcW w:w="1984" w:type="dxa"/>
            <w:tcBorders>
              <w:top w:val="nil"/>
              <w:left w:val="nil"/>
              <w:bottom w:val="nil"/>
              <w:right w:val="nil"/>
              <w:tl2br w:val="nil"/>
              <w:tr2bl w:val="nil"/>
            </w:tcBorders>
            <w:tcMar>
              <w:left w:w="60" w:type="dxa"/>
              <w:right w:w="60" w:type="dxa"/>
            </w:tcMar>
            <w:vAlign w:val="bottom"/>
          </w:tcPr>
          <w:p>
            <w:pPr>
              <w:pStyle w:val="DMETW36765BIPPFDOLD"/>
              <w:rPr>
                <w:rFonts w:ascii="Arial" w:eastAsia="Arial" w:hAnsi="Arial" w:cs="Arial"/>
                <w:noProof/>
                <w:color w:val="000000"/>
              </w:rPr>
            </w:pPr>
          </w:p>
        </w:tc>
        <w:tc>
          <w:tcPr>
            <w:tcW w:w="1755" w:type="dxa"/>
            <w:tcBorders>
              <w:top w:val="nil"/>
              <w:left w:val="nil"/>
              <w:bottom w:val="nil"/>
              <w:right w:val="nil"/>
              <w:tl2br w:val="nil"/>
              <w:tr2bl w:val="nil"/>
            </w:tcBorders>
            <w:tcMar>
              <w:left w:w="60" w:type="dxa"/>
              <w:right w:w="60" w:type="dxa"/>
            </w:tcMar>
            <w:vAlign w:val="bottom"/>
          </w:tcPr>
          <w:p>
            <w:pPr>
              <w:pStyle w:val="DMETW36765BIPPFDOLD"/>
              <w:rPr>
                <w:rFonts w:ascii="Arial" w:eastAsia="Arial" w:hAnsi="Arial" w:cs="Arial"/>
                <w:noProof/>
                <w:color w:val="000000"/>
              </w:rPr>
            </w:pPr>
          </w:p>
        </w:tc>
        <w:tc>
          <w:tcPr>
            <w:tcW w:w="1755" w:type="dxa"/>
            <w:tcBorders>
              <w:top w:val="nil"/>
              <w:left w:val="nil"/>
              <w:bottom w:val="nil"/>
              <w:right w:val="nil"/>
              <w:tl2br w:val="nil"/>
              <w:tr2bl w:val="nil"/>
            </w:tcBorders>
            <w:tcMar>
              <w:left w:w="60" w:type="dxa"/>
              <w:right w:w="60" w:type="dxa"/>
            </w:tcMar>
            <w:vAlign w:val="bottom"/>
          </w:tcPr>
          <w:p>
            <w:pPr>
              <w:pStyle w:val="DMETW36765BIPPFDOLD"/>
              <w:jc w:val="right"/>
              <w:rPr>
                <w:rFonts w:ascii="Verdana" w:eastAsia="Verdana" w:hAnsi="Verdana" w:cs="Verdana"/>
                <w:i/>
                <w:noProof/>
                <w:color w:val="000000"/>
                <w:sz w:val="16"/>
              </w:rPr>
            </w:pPr>
            <w:r>
              <w:rPr>
                <w:rFonts w:ascii="Verdana" w:hAnsi="Verdana"/>
                <w:i/>
                <w:noProof/>
                <w:color w:val="000000"/>
                <w:sz w:val="16"/>
              </w:rPr>
              <w:t>en Mio EUR</w:t>
            </w:r>
          </w:p>
        </w:tc>
      </w:tr>
      <w:tr>
        <w:trPr>
          <w:trHeight w:val="255"/>
        </w:trPr>
        <w:tc>
          <w:tcPr>
            <w:tcW w:w="4264" w:type="dxa"/>
            <w:tcBorders>
              <w:top w:val="nil"/>
              <w:left w:val="nil"/>
              <w:bottom w:val="nil"/>
              <w:right w:val="nil"/>
              <w:tl2br w:val="nil"/>
              <w:tr2bl w:val="nil"/>
            </w:tcBorders>
            <w:shd w:val="solid" w:color="016794" w:fill="FFFFFF"/>
            <w:tcMar>
              <w:left w:w="60" w:type="dxa"/>
              <w:right w:w="60" w:type="dxa"/>
            </w:tcMar>
            <w:vAlign w:val="center"/>
          </w:tcPr>
          <w:p>
            <w:pPr>
              <w:pStyle w:val="DMETW36765BIPPFDOLD"/>
              <w:jc w:val="right"/>
              <w:rPr>
                <w:rFonts w:ascii="Verdana" w:eastAsia="Verdana" w:hAnsi="Verdana" w:cs="Verdana"/>
                <w:noProof/>
                <w:color w:val="FFFFFF"/>
                <w:sz w:val="16"/>
              </w:rPr>
            </w:pPr>
          </w:p>
        </w:tc>
        <w:tc>
          <w:tcPr>
            <w:tcW w:w="1984" w:type="dxa"/>
            <w:tcBorders>
              <w:top w:val="nil"/>
              <w:left w:val="nil"/>
              <w:bottom w:val="nil"/>
              <w:right w:val="nil"/>
              <w:tl2br w:val="nil"/>
              <w:tr2bl w:val="nil"/>
            </w:tcBorders>
            <w:shd w:val="solid" w:color="016794" w:fill="FFFFFF"/>
            <w:tcMar>
              <w:left w:w="60" w:type="dxa"/>
              <w:right w:w="60" w:type="dxa"/>
            </w:tcMar>
            <w:vAlign w:val="center"/>
          </w:tcPr>
          <w:p>
            <w:pPr>
              <w:pStyle w:val="DMETW36765BIPPFDOLD"/>
              <w:jc w:val="right"/>
              <w:rPr>
                <w:rFonts w:ascii="Verdana" w:eastAsia="Verdana" w:hAnsi="Verdana" w:cs="Verdana"/>
                <w:noProof/>
                <w:color w:val="FFFFFF"/>
                <w:sz w:val="16"/>
              </w:rPr>
            </w:pPr>
            <w:r>
              <w:rPr>
                <w:rFonts w:ascii="Verdana" w:hAnsi="Verdana"/>
                <w:noProof/>
                <w:color w:val="FFFFFF"/>
                <w:sz w:val="16"/>
              </w:rPr>
              <w:t>Valeur brute</w:t>
            </w:r>
          </w:p>
        </w:tc>
        <w:tc>
          <w:tcPr>
            <w:tcW w:w="1755" w:type="dxa"/>
            <w:tcBorders>
              <w:top w:val="nil"/>
              <w:left w:val="nil"/>
              <w:bottom w:val="nil"/>
              <w:right w:val="nil"/>
              <w:tl2br w:val="nil"/>
              <w:tr2bl w:val="nil"/>
            </w:tcBorders>
            <w:shd w:val="solid" w:color="016794" w:fill="FFFFFF"/>
            <w:tcMar>
              <w:left w:w="60" w:type="dxa"/>
              <w:right w:w="60" w:type="dxa"/>
            </w:tcMar>
            <w:vAlign w:val="center"/>
          </w:tcPr>
          <w:p>
            <w:pPr>
              <w:pStyle w:val="DMETW36765BIPPFDOLD"/>
              <w:jc w:val="right"/>
              <w:rPr>
                <w:rFonts w:ascii="Verdana" w:eastAsia="Verdana" w:hAnsi="Verdana" w:cs="Verdana"/>
                <w:noProof/>
                <w:color w:val="FFFFFF"/>
                <w:sz w:val="16"/>
              </w:rPr>
            </w:pPr>
            <w:r>
              <w:rPr>
                <w:rFonts w:ascii="Verdana" w:hAnsi="Verdana"/>
                <w:noProof/>
                <w:color w:val="FFFFFF"/>
                <w:sz w:val="16"/>
              </w:rPr>
              <w:t>Apurement (régularisations)</w:t>
            </w:r>
          </w:p>
        </w:tc>
        <w:tc>
          <w:tcPr>
            <w:tcW w:w="1755" w:type="dxa"/>
            <w:tcBorders>
              <w:top w:val="nil"/>
              <w:left w:val="nil"/>
              <w:bottom w:val="nil"/>
              <w:right w:val="nil"/>
              <w:tl2br w:val="nil"/>
              <w:tr2bl w:val="nil"/>
            </w:tcBorders>
            <w:shd w:val="solid" w:color="016794" w:fill="FFFFFF"/>
            <w:tcMar>
              <w:left w:w="60" w:type="dxa"/>
              <w:right w:w="60" w:type="dxa"/>
            </w:tcMar>
            <w:vAlign w:val="center"/>
          </w:tcPr>
          <w:p>
            <w:pPr>
              <w:pStyle w:val="DMETW36765BIPPFDOLD"/>
              <w:jc w:val="right"/>
              <w:rPr>
                <w:rFonts w:ascii="Verdana" w:eastAsia="Verdana" w:hAnsi="Verdana" w:cs="Verdana"/>
                <w:noProof/>
                <w:color w:val="FFFFFF"/>
                <w:sz w:val="16"/>
              </w:rPr>
            </w:pPr>
            <w:r>
              <w:rPr>
                <w:rFonts w:ascii="Verdana" w:hAnsi="Verdana"/>
                <w:noProof/>
                <w:color w:val="FFFFFF"/>
                <w:sz w:val="16"/>
              </w:rPr>
              <w:t>Valeur nette au 31.12.2024</w:t>
            </w:r>
          </w:p>
        </w:tc>
      </w:tr>
      <w:tr>
        <w:trPr>
          <w:trHeight w:val="255"/>
        </w:trPr>
        <w:tc>
          <w:tcPr>
            <w:tcW w:w="4264" w:type="dxa"/>
            <w:tcBorders>
              <w:top w:val="nil"/>
              <w:left w:val="nil"/>
              <w:bottom w:val="nil"/>
              <w:right w:val="nil"/>
              <w:tl2br w:val="nil"/>
              <w:tr2bl w:val="nil"/>
            </w:tcBorders>
            <w:tcMar>
              <w:left w:w="60" w:type="dxa"/>
              <w:right w:w="60" w:type="dxa"/>
            </w:tcMar>
            <w:vAlign w:val="center"/>
          </w:tcPr>
          <w:p>
            <w:pPr>
              <w:pStyle w:val="DMETW36765BIPPFDOLD"/>
              <w:rPr>
                <w:rFonts w:ascii="Verdana" w:eastAsia="Verdana" w:hAnsi="Verdana" w:cs="Verdana"/>
                <w:b/>
                <w:noProof/>
                <w:color w:val="000000"/>
                <w:sz w:val="16"/>
              </w:rPr>
            </w:pPr>
            <w:r>
              <w:rPr>
                <w:rFonts w:ascii="Verdana" w:hAnsi="Verdana"/>
                <w:b/>
                <w:noProof/>
                <w:color w:val="000000"/>
                <w:sz w:val="16"/>
              </w:rPr>
              <w:t>Gestion partagée</w:t>
            </w:r>
          </w:p>
        </w:tc>
        <w:tc>
          <w:tcPr>
            <w:tcW w:w="1984"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b/>
                <w:noProof/>
                <w:color w:val="000000"/>
                <w:sz w:val="16"/>
              </w:rPr>
            </w:pPr>
          </w:p>
        </w:tc>
        <w:tc>
          <w:tcPr>
            <w:tcW w:w="1755"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b/>
                <w:noProof/>
                <w:color w:val="000000"/>
                <w:sz w:val="16"/>
              </w:rPr>
            </w:pPr>
          </w:p>
        </w:tc>
        <w:tc>
          <w:tcPr>
            <w:tcW w:w="1755"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b/>
                <w:noProof/>
                <w:color w:val="000000"/>
                <w:sz w:val="16"/>
                <w:lang w:bidi="en-GB"/>
              </w:rPr>
            </w:pPr>
          </w:p>
        </w:tc>
      </w:tr>
      <w:tr>
        <w:trPr>
          <w:trHeight w:val="255"/>
        </w:trPr>
        <w:tc>
          <w:tcPr>
            <w:tcW w:w="4264" w:type="dxa"/>
            <w:tcBorders>
              <w:top w:val="nil"/>
              <w:left w:val="nil"/>
              <w:bottom w:val="nil"/>
              <w:right w:val="nil"/>
              <w:tl2br w:val="nil"/>
              <w:tr2bl w:val="nil"/>
            </w:tcBorders>
            <w:tcMar>
              <w:left w:w="60" w:type="dxa"/>
              <w:right w:w="60" w:type="dxa"/>
            </w:tcMar>
            <w:vAlign w:val="center"/>
          </w:tcPr>
          <w:p>
            <w:pPr>
              <w:pStyle w:val="DMETW36765BIPPFDOLD"/>
              <w:rPr>
                <w:rFonts w:ascii="Verdana" w:eastAsia="Verdana" w:hAnsi="Verdana" w:cs="Verdana"/>
                <w:i/>
                <w:noProof/>
                <w:color w:val="000000"/>
                <w:sz w:val="16"/>
              </w:rPr>
            </w:pPr>
            <w:r>
              <w:rPr>
                <w:rFonts w:ascii="Verdana" w:hAnsi="Verdana"/>
                <w:i/>
                <w:noProof/>
                <w:color w:val="000000"/>
                <w:sz w:val="16"/>
              </w:rPr>
              <w:t xml:space="preserve">     Feader et autres instruments </w:t>
            </w:r>
          </w:p>
          <w:p>
            <w:pPr>
              <w:pStyle w:val="DMETW36765BIPPFDOLD"/>
              <w:rPr>
                <w:rFonts w:ascii="Verdana" w:eastAsia="Verdana" w:hAnsi="Verdana" w:cs="Verdana"/>
                <w:i/>
                <w:noProof/>
                <w:color w:val="000000"/>
                <w:sz w:val="16"/>
              </w:rPr>
            </w:pPr>
            <w:r>
              <w:rPr>
                <w:rFonts w:ascii="Verdana" w:hAnsi="Verdana"/>
                <w:i/>
                <w:noProof/>
                <w:color w:val="000000"/>
                <w:sz w:val="16"/>
              </w:rPr>
              <w:t xml:space="preserve">     de développement rural</w:t>
            </w:r>
          </w:p>
        </w:tc>
        <w:tc>
          <w:tcPr>
            <w:tcW w:w="1984"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r>
              <w:rPr>
                <w:rFonts w:ascii="Verdana" w:hAnsi="Verdana"/>
                <w:i/>
                <w:noProof/>
                <w:color w:val="000000"/>
                <w:sz w:val="16"/>
              </w:rPr>
              <w:t>3 885</w:t>
            </w:r>
          </w:p>
        </w:tc>
        <w:tc>
          <w:tcPr>
            <w:tcW w:w="1755"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r>
              <w:rPr>
                <w:rFonts w:ascii="Verdana" w:hAnsi="Verdana"/>
                <w:i/>
                <w:noProof/>
                <w:color w:val="000000"/>
                <w:sz w:val="16"/>
              </w:rPr>
              <w:t xml:space="preserve"> (840)</w:t>
            </w:r>
          </w:p>
        </w:tc>
        <w:tc>
          <w:tcPr>
            <w:tcW w:w="1755"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r>
              <w:rPr>
                <w:rFonts w:ascii="Verdana" w:hAnsi="Verdana"/>
                <w:i/>
                <w:noProof/>
                <w:color w:val="000000"/>
                <w:sz w:val="16"/>
              </w:rPr>
              <w:t>3 045</w:t>
            </w:r>
          </w:p>
        </w:tc>
      </w:tr>
      <w:tr>
        <w:trPr>
          <w:trHeight w:val="255"/>
        </w:trPr>
        <w:tc>
          <w:tcPr>
            <w:tcW w:w="4264" w:type="dxa"/>
            <w:tcBorders>
              <w:top w:val="nil"/>
              <w:left w:val="nil"/>
              <w:bottom w:val="nil"/>
              <w:right w:val="nil"/>
              <w:tl2br w:val="nil"/>
              <w:tr2bl w:val="nil"/>
            </w:tcBorders>
            <w:tcMar>
              <w:left w:w="60" w:type="dxa"/>
              <w:right w:w="60" w:type="dxa"/>
            </w:tcMar>
            <w:vAlign w:val="center"/>
          </w:tcPr>
          <w:p>
            <w:pPr>
              <w:pStyle w:val="DMETW36765BIPPFDOLD"/>
              <w:rPr>
                <w:rFonts w:ascii="Verdana" w:eastAsia="Verdana" w:hAnsi="Verdana" w:cs="Verdana"/>
                <w:i/>
                <w:noProof/>
                <w:color w:val="000000"/>
                <w:sz w:val="16"/>
              </w:rPr>
            </w:pPr>
            <w:r>
              <w:rPr>
                <w:rFonts w:ascii="Verdana" w:hAnsi="Verdana"/>
                <w:i/>
                <w:noProof/>
                <w:color w:val="000000"/>
                <w:sz w:val="16"/>
              </w:rPr>
              <w:t xml:space="preserve">     FEDER et FC</w:t>
            </w:r>
          </w:p>
        </w:tc>
        <w:tc>
          <w:tcPr>
            <w:tcW w:w="1984"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r>
              <w:rPr>
                <w:rFonts w:ascii="Verdana" w:hAnsi="Verdana"/>
                <w:i/>
                <w:noProof/>
                <w:color w:val="000000"/>
                <w:sz w:val="16"/>
              </w:rPr>
              <w:t>25 859</w:t>
            </w:r>
          </w:p>
        </w:tc>
        <w:tc>
          <w:tcPr>
            <w:tcW w:w="1755"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r>
              <w:rPr>
                <w:rFonts w:ascii="Verdana" w:hAnsi="Verdana"/>
                <w:i/>
                <w:noProof/>
                <w:color w:val="000000"/>
                <w:sz w:val="16"/>
              </w:rPr>
              <w:t>(16 476)</w:t>
            </w:r>
          </w:p>
        </w:tc>
        <w:tc>
          <w:tcPr>
            <w:tcW w:w="1755"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r>
              <w:rPr>
                <w:rFonts w:ascii="Verdana" w:hAnsi="Verdana"/>
                <w:i/>
                <w:noProof/>
                <w:color w:val="000000"/>
                <w:sz w:val="16"/>
              </w:rPr>
              <w:t>9 384</w:t>
            </w:r>
          </w:p>
        </w:tc>
      </w:tr>
      <w:tr>
        <w:trPr>
          <w:trHeight w:val="255"/>
        </w:trPr>
        <w:tc>
          <w:tcPr>
            <w:tcW w:w="4264" w:type="dxa"/>
            <w:tcBorders>
              <w:top w:val="nil"/>
              <w:left w:val="nil"/>
              <w:bottom w:val="nil"/>
              <w:right w:val="nil"/>
              <w:tl2br w:val="nil"/>
              <w:tr2bl w:val="nil"/>
            </w:tcBorders>
            <w:tcMar>
              <w:left w:w="60" w:type="dxa"/>
              <w:right w:w="60" w:type="dxa"/>
            </w:tcMar>
            <w:vAlign w:val="center"/>
          </w:tcPr>
          <w:p>
            <w:pPr>
              <w:pStyle w:val="DMETW36765BIPPFDOLD"/>
              <w:rPr>
                <w:rFonts w:ascii="Verdana" w:eastAsia="Verdana" w:hAnsi="Verdana" w:cs="Verdana"/>
                <w:i/>
                <w:noProof/>
                <w:color w:val="000000"/>
                <w:sz w:val="16"/>
              </w:rPr>
            </w:pPr>
            <w:r>
              <w:rPr>
                <w:rFonts w:ascii="Verdana" w:hAnsi="Verdana"/>
                <w:i/>
                <w:noProof/>
                <w:color w:val="000000"/>
                <w:sz w:val="16"/>
              </w:rPr>
              <w:t xml:space="preserve">     FSE</w:t>
            </w:r>
          </w:p>
        </w:tc>
        <w:tc>
          <w:tcPr>
            <w:tcW w:w="1984"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r>
              <w:rPr>
                <w:rFonts w:ascii="Verdana" w:hAnsi="Verdana"/>
                <w:i/>
                <w:noProof/>
                <w:color w:val="000000"/>
                <w:sz w:val="16"/>
              </w:rPr>
              <w:t>9 437</w:t>
            </w:r>
          </w:p>
        </w:tc>
        <w:tc>
          <w:tcPr>
            <w:tcW w:w="1755"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r>
              <w:rPr>
                <w:rFonts w:ascii="Verdana" w:hAnsi="Verdana"/>
                <w:i/>
                <w:noProof/>
                <w:color w:val="000000"/>
                <w:sz w:val="16"/>
              </w:rPr>
              <w:t>(6 258)</w:t>
            </w:r>
          </w:p>
        </w:tc>
        <w:tc>
          <w:tcPr>
            <w:tcW w:w="1755"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r>
              <w:rPr>
                <w:rFonts w:ascii="Verdana" w:hAnsi="Verdana"/>
                <w:i/>
                <w:noProof/>
                <w:color w:val="000000"/>
                <w:sz w:val="16"/>
              </w:rPr>
              <w:t>3 180</w:t>
            </w:r>
          </w:p>
        </w:tc>
      </w:tr>
      <w:tr>
        <w:trPr>
          <w:trHeight w:val="255"/>
        </w:trPr>
        <w:tc>
          <w:tcPr>
            <w:tcW w:w="4264" w:type="dxa"/>
            <w:tcBorders>
              <w:top w:val="nil"/>
              <w:left w:val="nil"/>
              <w:bottom w:val="single" w:sz="4" w:space="0" w:color="016794"/>
              <w:right w:val="nil"/>
              <w:tl2br w:val="nil"/>
              <w:tr2bl w:val="nil"/>
            </w:tcBorders>
            <w:tcMar>
              <w:left w:w="60" w:type="dxa"/>
              <w:right w:w="60" w:type="dxa"/>
            </w:tcMar>
            <w:vAlign w:val="center"/>
          </w:tcPr>
          <w:p>
            <w:pPr>
              <w:pStyle w:val="DMETW36765BIPPFDOLD"/>
              <w:rPr>
                <w:rFonts w:ascii="Verdana" w:eastAsia="Verdana" w:hAnsi="Verdana" w:cs="Verdana"/>
                <w:i/>
                <w:noProof/>
                <w:color w:val="000000"/>
                <w:sz w:val="16"/>
              </w:rPr>
            </w:pPr>
            <w:r>
              <w:rPr>
                <w:rFonts w:ascii="Verdana" w:hAnsi="Verdana"/>
                <w:i/>
                <w:noProof/>
                <w:color w:val="000000"/>
                <w:sz w:val="16"/>
              </w:rPr>
              <w:t xml:space="preserve">     Autres</w:t>
            </w:r>
          </w:p>
        </w:tc>
        <w:tc>
          <w:tcPr>
            <w:tcW w:w="1984" w:type="dxa"/>
            <w:tcBorders>
              <w:top w:val="nil"/>
              <w:left w:val="nil"/>
              <w:bottom w:val="single" w:sz="4" w:space="0" w:color="016794"/>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r>
              <w:rPr>
                <w:rFonts w:ascii="Verdana" w:hAnsi="Verdana"/>
                <w:i/>
                <w:noProof/>
                <w:color w:val="000000"/>
                <w:sz w:val="16"/>
              </w:rPr>
              <w:t>14 220</w:t>
            </w:r>
          </w:p>
        </w:tc>
        <w:tc>
          <w:tcPr>
            <w:tcW w:w="1755" w:type="dxa"/>
            <w:tcBorders>
              <w:top w:val="nil"/>
              <w:left w:val="nil"/>
              <w:bottom w:val="single" w:sz="4" w:space="0" w:color="016794"/>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r>
              <w:rPr>
                <w:rFonts w:ascii="Verdana" w:hAnsi="Verdana"/>
                <w:i/>
                <w:noProof/>
                <w:color w:val="000000"/>
                <w:sz w:val="16"/>
              </w:rPr>
              <w:t>(4 836)</w:t>
            </w:r>
          </w:p>
        </w:tc>
        <w:tc>
          <w:tcPr>
            <w:tcW w:w="1755" w:type="dxa"/>
            <w:tcBorders>
              <w:top w:val="nil"/>
              <w:left w:val="nil"/>
              <w:bottom w:val="single" w:sz="4" w:space="0" w:color="016794"/>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r>
              <w:rPr>
                <w:rFonts w:ascii="Verdana" w:hAnsi="Verdana"/>
                <w:i/>
                <w:noProof/>
                <w:color w:val="000000"/>
                <w:sz w:val="16"/>
              </w:rPr>
              <w:t>9 384</w:t>
            </w:r>
          </w:p>
        </w:tc>
      </w:tr>
      <w:tr>
        <w:trPr>
          <w:trHeight w:val="255"/>
        </w:trPr>
        <w:tc>
          <w:tcPr>
            <w:tcW w:w="426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5BIPPFDOLD"/>
              <w:rPr>
                <w:rFonts w:ascii="Verdana" w:eastAsia="Verdana" w:hAnsi="Verdana" w:cs="Verdana"/>
                <w:b/>
                <w:noProof/>
                <w:color w:val="000000"/>
                <w:sz w:val="16"/>
              </w:rPr>
            </w:pPr>
          </w:p>
        </w:tc>
        <w:tc>
          <w:tcPr>
            <w:tcW w:w="198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5BIPPFDOLD"/>
              <w:jc w:val="right"/>
              <w:rPr>
                <w:rFonts w:ascii="Verdana" w:eastAsia="Verdana" w:hAnsi="Verdana" w:cs="Verdana"/>
                <w:b/>
                <w:noProof/>
                <w:color w:val="000000"/>
                <w:sz w:val="16"/>
              </w:rPr>
            </w:pPr>
            <w:r>
              <w:rPr>
                <w:rFonts w:ascii="Verdana" w:hAnsi="Verdana"/>
                <w:b/>
                <w:noProof/>
                <w:color w:val="000000"/>
                <w:sz w:val="16"/>
              </w:rPr>
              <w:t>53 402</w:t>
            </w:r>
          </w:p>
        </w:tc>
        <w:tc>
          <w:tcPr>
            <w:tcW w:w="175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5BIPPFDOLD"/>
              <w:jc w:val="right"/>
              <w:rPr>
                <w:rFonts w:ascii="Verdana" w:eastAsia="Verdana" w:hAnsi="Verdana" w:cs="Verdana"/>
                <w:b/>
                <w:noProof/>
                <w:color w:val="000000"/>
                <w:sz w:val="16"/>
              </w:rPr>
            </w:pPr>
            <w:r>
              <w:rPr>
                <w:rFonts w:ascii="Verdana" w:hAnsi="Verdana"/>
                <w:b/>
                <w:noProof/>
                <w:color w:val="000000"/>
                <w:sz w:val="16"/>
              </w:rPr>
              <w:t>(28 409)</w:t>
            </w:r>
          </w:p>
        </w:tc>
        <w:tc>
          <w:tcPr>
            <w:tcW w:w="175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5BIPPFDOLD"/>
              <w:jc w:val="right"/>
              <w:rPr>
                <w:rFonts w:ascii="Verdana" w:eastAsia="Verdana" w:hAnsi="Verdana" w:cs="Verdana"/>
                <w:b/>
                <w:noProof/>
                <w:color w:val="000000"/>
                <w:sz w:val="16"/>
              </w:rPr>
            </w:pPr>
            <w:r>
              <w:rPr>
                <w:rFonts w:ascii="Verdana" w:hAnsi="Verdana"/>
                <w:b/>
                <w:noProof/>
                <w:color w:val="000000"/>
                <w:sz w:val="16"/>
              </w:rPr>
              <w:t>24 992</w:t>
            </w:r>
          </w:p>
        </w:tc>
      </w:tr>
      <w:tr>
        <w:trPr>
          <w:trHeight w:val="255"/>
        </w:trPr>
        <w:tc>
          <w:tcPr>
            <w:tcW w:w="4264" w:type="dxa"/>
            <w:tcBorders>
              <w:top w:val="single" w:sz="4" w:space="0" w:color="016794"/>
              <w:left w:val="nil"/>
              <w:bottom w:val="nil"/>
              <w:right w:val="nil"/>
              <w:tl2br w:val="nil"/>
              <w:tr2bl w:val="nil"/>
            </w:tcBorders>
            <w:tcMar>
              <w:left w:w="60" w:type="dxa"/>
              <w:right w:w="60" w:type="dxa"/>
            </w:tcMar>
            <w:vAlign w:val="center"/>
          </w:tcPr>
          <w:p>
            <w:pPr>
              <w:pStyle w:val="DMETW36765BIPPFDOLD"/>
              <w:rPr>
                <w:rFonts w:ascii="Verdana" w:eastAsia="Verdana" w:hAnsi="Verdana" w:cs="Verdana"/>
                <w:b/>
                <w:noProof/>
                <w:color w:val="000000"/>
                <w:sz w:val="16"/>
              </w:rPr>
            </w:pPr>
            <w:r>
              <w:rPr>
                <w:rFonts w:ascii="Verdana" w:hAnsi="Verdana"/>
                <w:b/>
                <w:noProof/>
                <w:color w:val="000000"/>
                <w:sz w:val="16"/>
              </w:rPr>
              <w:t>Gestion directe</w:t>
            </w:r>
          </w:p>
        </w:tc>
        <w:tc>
          <w:tcPr>
            <w:tcW w:w="1984" w:type="dxa"/>
            <w:tcBorders>
              <w:top w:val="single" w:sz="4" w:space="0" w:color="016794"/>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b/>
                <w:noProof/>
                <w:color w:val="000000"/>
                <w:sz w:val="16"/>
              </w:rPr>
            </w:pPr>
          </w:p>
        </w:tc>
        <w:tc>
          <w:tcPr>
            <w:tcW w:w="1755" w:type="dxa"/>
            <w:tcBorders>
              <w:top w:val="single" w:sz="4" w:space="0" w:color="016794"/>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b/>
                <w:noProof/>
                <w:color w:val="000000"/>
                <w:sz w:val="16"/>
              </w:rPr>
            </w:pPr>
          </w:p>
        </w:tc>
        <w:tc>
          <w:tcPr>
            <w:tcW w:w="1755" w:type="dxa"/>
            <w:tcBorders>
              <w:top w:val="single" w:sz="4" w:space="0" w:color="016794"/>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b/>
                <w:noProof/>
                <w:color w:val="000000"/>
                <w:sz w:val="16"/>
                <w:lang w:bidi="en-GB"/>
              </w:rPr>
            </w:pPr>
          </w:p>
        </w:tc>
      </w:tr>
      <w:tr>
        <w:trPr>
          <w:trHeight w:val="255"/>
        </w:trPr>
        <w:tc>
          <w:tcPr>
            <w:tcW w:w="4264" w:type="dxa"/>
            <w:tcBorders>
              <w:top w:val="nil"/>
              <w:left w:val="nil"/>
              <w:bottom w:val="nil"/>
              <w:right w:val="nil"/>
              <w:tl2br w:val="nil"/>
              <w:tr2bl w:val="nil"/>
            </w:tcBorders>
            <w:tcMar>
              <w:left w:w="60" w:type="dxa"/>
              <w:right w:w="60" w:type="dxa"/>
            </w:tcMar>
            <w:vAlign w:val="center"/>
          </w:tcPr>
          <w:p>
            <w:pPr>
              <w:pStyle w:val="DMETW36765BIPPFDOLD"/>
              <w:rPr>
                <w:rFonts w:ascii="Verdana" w:eastAsia="Verdana" w:hAnsi="Verdana" w:cs="Verdana"/>
                <w:i/>
                <w:noProof/>
                <w:color w:val="000000"/>
                <w:sz w:val="16"/>
              </w:rPr>
            </w:pPr>
            <w:r>
              <w:rPr>
                <w:rFonts w:ascii="Verdana" w:hAnsi="Verdana"/>
                <w:i/>
                <w:noProof/>
                <w:color w:val="000000"/>
                <w:sz w:val="16"/>
              </w:rPr>
              <w:t xml:space="preserve">Exécution par: </w:t>
            </w:r>
          </w:p>
        </w:tc>
        <w:tc>
          <w:tcPr>
            <w:tcW w:w="1984"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p>
        </w:tc>
        <w:tc>
          <w:tcPr>
            <w:tcW w:w="1755"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p>
        </w:tc>
        <w:tc>
          <w:tcPr>
            <w:tcW w:w="1755"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lang w:bidi="en-GB"/>
              </w:rPr>
            </w:pPr>
          </w:p>
        </w:tc>
      </w:tr>
      <w:tr>
        <w:trPr>
          <w:trHeight w:val="255"/>
        </w:trPr>
        <w:tc>
          <w:tcPr>
            <w:tcW w:w="4264" w:type="dxa"/>
            <w:tcBorders>
              <w:top w:val="nil"/>
              <w:left w:val="nil"/>
              <w:bottom w:val="nil"/>
              <w:right w:val="nil"/>
              <w:tl2br w:val="nil"/>
              <w:tr2bl w:val="nil"/>
            </w:tcBorders>
            <w:tcMar>
              <w:left w:w="60" w:type="dxa"/>
              <w:right w:w="60" w:type="dxa"/>
            </w:tcMar>
            <w:vAlign w:val="center"/>
          </w:tcPr>
          <w:p>
            <w:pPr>
              <w:pStyle w:val="DMETW36765BIPPFDOLD"/>
              <w:rPr>
                <w:rFonts w:ascii="Verdana" w:eastAsia="Verdana" w:hAnsi="Verdana" w:cs="Verdana"/>
                <w:i/>
                <w:noProof/>
                <w:color w:val="000000"/>
                <w:sz w:val="16"/>
              </w:rPr>
            </w:pPr>
            <w:r>
              <w:rPr>
                <w:rFonts w:ascii="Verdana" w:hAnsi="Verdana"/>
                <w:i/>
                <w:noProof/>
                <w:color w:val="000000"/>
                <w:sz w:val="16"/>
              </w:rPr>
              <w:t xml:space="preserve">     Commission</w:t>
            </w:r>
          </w:p>
        </w:tc>
        <w:tc>
          <w:tcPr>
            <w:tcW w:w="1984"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r>
              <w:rPr>
                <w:rFonts w:ascii="Verdana" w:hAnsi="Verdana"/>
                <w:i/>
                <w:noProof/>
                <w:color w:val="000000"/>
                <w:sz w:val="16"/>
              </w:rPr>
              <w:t>34 727</w:t>
            </w:r>
          </w:p>
        </w:tc>
        <w:tc>
          <w:tcPr>
            <w:tcW w:w="1755"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r>
              <w:rPr>
                <w:rFonts w:ascii="Verdana" w:hAnsi="Verdana"/>
                <w:i/>
                <w:noProof/>
                <w:color w:val="000000"/>
                <w:sz w:val="16"/>
              </w:rPr>
              <w:t>(14 289)</w:t>
            </w:r>
          </w:p>
        </w:tc>
        <w:tc>
          <w:tcPr>
            <w:tcW w:w="1755"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r>
              <w:rPr>
                <w:rFonts w:ascii="Verdana" w:hAnsi="Verdana"/>
                <w:i/>
                <w:noProof/>
                <w:color w:val="000000"/>
                <w:sz w:val="16"/>
              </w:rPr>
              <w:t>20 438</w:t>
            </w:r>
          </w:p>
        </w:tc>
      </w:tr>
      <w:tr>
        <w:trPr>
          <w:trHeight w:val="255"/>
        </w:trPr>
        <w:tc>
          <w:tcPr>
            <w:tcW w:w="4264" w:type="dxa"/>
            <w:tcBorders>
              <w:top w:val="nil"/>
              <w:left w:val="nil"/>
              <w:bottom w:val="nil"/>
              <w:right w:val="nil"/>
              <w:tl2br w:val="nil"/>
              <w:tr2bl w:val="nil"/>
            </w:tcBorders>
            <w:tcMar>
              <w:left w:w="60" w:type="dxa"/>
              <w:right w:w="60" w:type="dxa"/>
            </w:tcMar>
            <w:vAlign w:val="center"/>
          </w:tcPr>
          <w:p>
            <w:pPr>
              <w:pStyle w:val="DMETW36765BIPPFDOLD"/>
              <w:rPr>
                <w:rFonts w:ascii="Verdana" w:eastAsia="Verdana" w:hAnsi="Verdana" w:cs="Verdana"/>
                <w:i/>
                <w:noProof/>
                <w:color w:val="000000"/>
                <w:sz w:val="14"/>
              </w:rPr>
            </w:pPr>
            <w:r>
              <w:rPr>
                <w:rFonts w:ascii="Verdana" w:hAnsi="Verdana"/>
                <w:i/>
                <w:noProof/>
                <w:color w:val="000000"/>
                <w:sz w:val="14"/>
              </w:rPr>
              <w:t xml:space="preserve">        dont FRR (NGEU)</w:t>
            </w:r>
          </w:p>
        </w:tc>
        <w:tc>
          <w:tcPr>
            <w:tcW w:w="1984"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r>
              <w:rPr>
                <w:rFonts w:ascii="Verdana" w:hAnsi="Verdana"/>
                <w:i/>
                <w:noProof/>
                <w:color w:val="000000"/>
                <w:sz w:val="16"/>
              </w:rPr>
              <w:t>18 930</w:t>
            </w:r>
          </w:p>
        </w:tc>
        <w:tc>
          <w:tcPr>
            <w:tcW w:w="1755"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r>
              <w:rPr>
                <w:rFonts w:ascii="Verdana" w:hAnsi="Verdana"/>
                <w:i/>
                <w:noProof/>
                <w:color w:val="000000"/>
                <w:sz w:val="16"/>
              </w:rPr>
              <w:t>(3 541)</w:t>
            </w:r>
          </w:p>
        </w:tc>
        <w:tc>
          <w:tcPr>
            <w:tcW w:w="1755"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r>
              <w:rPr>
                <w:rFonts w:ascii="Verdana" w:hAnsi="Verdana"/>
                <w:i/>
                <w:noProof/>
                <w:color w:val="000000"/>
                <w:sz w:val="16"/>
              </w:rPr>
              <w:t>15 389</w:t>
            </w:r>
          </w:p>
        </w:tc>
      </w:tr>
      <w:tr>
        <w:trPr>
          <w:trHeight w:val="255"/>
        </w:trPr>
        <w:tc>
          <w:tcPr>
            <w:tcW w:w="4264" w:type="dxa"/>
            <w:tcBorders>
              <w:top w:val="nil"/>
              <w:left w:val="nil"/>
              <w:bottom w:val="nil"/>
              <w:right w:val="nil"/>
              <w:tl2br w:val="nil"/>
              <w:tr2bl w:val="nil"/>
            </w:tcBorders>
            <w:tcMar>
              <w:left w:w="60" w:type="dxa"/>
              <w:right w:w="60" w:type="dxa"/>
            </w:tcMar>
            <w:vAlign w:val="center"/>
          </w:tcPr>
          <w:p>
            <w:pPr>
              <w:pStyle w:val="DMETW36765BIPPFDOLD"/>
              <w:rPr>
                <w:rFonts w:ascii="Verdana" w:eastAsia="Verdana" w:hAnsi="Verdana" w:cs="Verdana"/>
                <w:i/>
                <w:noProof/>
                <w:color w:val="000000"/>
                <w:sz w:val="16"/>
              </w:rPr>
            </w:pPr>
            <w:r>
              <w:rPr>
                <w:rFonts w:ascii="Verdana" w:hAnsi="Verdana"/>
                <w:i/>
                <w:noProof/>
                <w:color w:val="000000"/>
                <w:sz w:val="16"/>
              </w:rPr>
              <w:t xml:space="preserve">     Agences exécutives de l’UE</w:t>
            </w:r>
          </w:p>
        </w:tc>
        <w:tc>
          <w:tcPr>
            <w:tcW w:w="1984"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r>
              <w:rPr>
                <w:rFonts w:ascii="Verdana" w:hAnsi="Verdana"/>
                <w:i/>
                <w:noProof/>
                <w:color w:val="000000"/>
                <w:sz w:val="16"/>
              </w:rPr>
              <w:t>40 693</w:t>
            </w:r>
          </w:p>
        </w:tc>
        <w:tc>
          <w:tcPr>
            <w:tcW w:w="1755"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r>
              <w:rPr>
                <w:rFonts w:ascii="Verdana" w:hAnsi="Verdana"/>
                <w:i/>
                <w:noProof/>
                <w:color w:val="000000"/>
                <w:sz w:val="16"/>
              </w:rPr>
              <w:t>(25 586)</w:t>
            </w:r>
          </w:p>
        </w:tc>
        <w:tc>
          <w:tcPr>
            <w:tcW w:w="1755"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r>
              <w:rPr>
                <w:rFonts w:ascii="Verdana" w:hAnsi="Verdana"/>
                <w:i/>
                <w:noProof/>
                <w:color w:val="000000"/>
                <w:sz w:val="16"/>
              </w:rPr>
              <w:t>15 107</w:t>
            </w:r>
          </w:p>
        </w:tc>
      </w:tr>
      <w:tr>
        <w:trPr>
          <w:trHeight w:val="255"/>
        </w:trPr>
        <w:tc>
          <w:tcPr>
            <w:tcW w:w="4264" w:type="dxa"/>
            <w:tcBorders>
              <w:top w:val="nil"/>
              <w:left w:val="nil"/>
              <w:bottom w:val="single" w:sz="4" w:space="0" w:color="016794"/>
              <w:right w:val="nil"/>
              <w:tl2br w:val="nil"/>
              <w:tr2bl w:val="nil"/>
            </w:tcBorders>
            <w:tcMar>
              <w:left w:w="60" w:type="dxa"/>
              <w:right w:w="60" w:type="dxa"/>
            </w:tcMar>
            <w:vAlign w:val="center"/>
          </w:tcPr>
          <w:p>
            <w:pPr>
              <w:pStyle w:val="DMETW36765BIPPFDOLD"/>
              <w:rPr>
                <w:rFonts w:ascii="Verdana" w:eastAsia="Verdana" w:hAnsi="Verdana" w:cs="Verdana"/>
                <w:i/>
                <w:noProof/>
                <w:color w:val="000000"/>
                <w:sz w:val="16"/>
              </w:rPr>
            </w:pPr>
            <w:r>
              <w:rPr>
                <w:rFonts w:ascii="Verdana" w:hAnsi="Verdana"/>
                <w:i/>
                <w:noProof/>
                <w:color w:val="000000"/>
                <w:sz w:val="16"/>
              </w:rPr>
              <w:t xml:space="preserve">     Fonds fiduciaires</w:t>
            </w:r>
          </w:p>
        </w:tc>
        <w:tc>
          <w:tcPr>
            <w:tcW w:w="1984" w:type="dxa"/>
            <w:tcBorders>
              <w:top w:val="nil"/>
              <w:left w:val="nil"/>
              <w:bottom w:val="single" w:sz="4" w:space="0" w:color="016794"/>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r>
              <w:rPr>
                <w:rFonts w:ascii="Verdana" w:hAnsi="Verdana"/>
                <w:i/>
                <w:noProof/>
                <w:color w:val="000000"/>
                <w:sz w:val="16"/>
              </w:rPr>
              <w:t xml:space="preserve"> 508</w:t>
            </w:r>
          </w:p>
        </w:tc>
        <w:tc>
          <w:tcPr>
            <w:tcW w:w="1755" w:type="dxa"/>
            <w:tcBorders>
              <w:top w:val="nil"/>
              <w:left w:val="nil"/>
              <w:bottom w:val="single" w:sz="4" w:space="0" w:color="016794"/>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r>
              <w:rPr>
                <w:rFonts w:ascii="Verdana" w:hAnsi="Verdana"/>
                <w:i/>
                <w:noProof/>
                <w:color w:val="000000"/>
                <w:sz w:val="16"/>
              </w:rPr>
              <w:t xml:space="preserve"> (429)</w:t>
            </w:r>
          </w:p>
        </w:tc>
        <w:tc>
          <w:tcPr>
            <w:tcW w:w="1755" w:type="dxa"/>
            <w:tcBorders>
              <w:top w:val="nil"/>
              <w:left w:val="nil"/>
              <w:bottom w:val="single" w:sz="4" w:space="0" w:color="016794"/>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r>
              <w:rPr>
                <w:rFonts w:ascii="Verdana" w:hAnsi="Verdana"/>
                <w:i/>
                <w:noProof/>
                <w:color w:val="000000"/>
                <w:sz w:val="16"/>
              </w:rPr>
              <w:t xml:space="preserve"> 79</w:t>
            </w:r>
          </w:p>
        </w:tc>
      </w:tr>
      <w:tr>
        <w:trPr>
          <w:trHeight w:val="255"/>
        </w:trPr>
        <w:tc>
          <w:tcPr>
            <w:tcW w:w="426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5BIPPFDOLD"/>
              <w:rPr>
                <w:rFonts w:ascii="Verdana" w:eastAsia="Verdana" w:hAnsi="Verdana" w:cs="Verdana"/>
                <w:b/>
                <w:noProof/>
                <w:color w:val="000000"/>
                <w:sz w:val="16"/>
              </w:rPr>
            </w:pPr>
          </w:p>
        </w:tc>
        <w:tc>
          <w:tcPr>
            <w:tcW w:w="198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5BIPPFDOLD"/>
              <w:jc w:val="right"/>
              <w:rPr>
                <w:rFonts w:ascii="Verdana" w:eastAsia="Verdana" w:hAnsi="Verdana" w:cs="Verdana"/>
                <w:b/>
                <w:noProof/>
                <w:color w:val="000000"/>
                <w:sz w:val="16"/>
              </w:rPr>
            </w:pPr>
            <w:r>
              <w:rPr>
                <w:rFonts w:ascii="Verdana" w:hAnsi="Verdana"/>
                <w:b/>
                <w:noProof/>
                <w:color w:val="000000"/>
                <w:sz w:val="16"/>
              </w:rPr>
              <w:t>75 928</w:t>
            </w:r>
          </w:p>
        </w:tc>
        <w:tc>
          <w:tcPr>
            <w:tcW w:w="175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5BIPPFDOLD"/>
              <w:jc w:val="right"/>
              <w:rPr>
                <w:rFonts w:ascii="Verdana" w:eastAsia="Verdana" w:hAnsi="Verdana" w:cs="Verdana"/>
                <w:b/>
                <w:noProof/>
                <w:color w:val="000000"/>
                <w:sz w:val="16"/>
              </w:rPr>
            </w:pPr>
            <w:r>
              <w:rPr>
                <w:rFonts w:ascii="Verdana" w:hAnsi="Verdana"/>
                <w:b/>
                <w:noProof/>
                <w:color w:val="000000"/>
                <w:sz w:val="16"/>
              </w:rPr>
              <w:t>(40 304)</w:t>
            </w:r>
          </w:p>
        </w:tc>
        <w:tc>
          <w:tcPr>
            <w:tcW w:w="175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5BIPPFDOLD"/>
              <w:jc w:val="right"/>
              <w:rPr>
                <w:rFonts w:ascii="Verdana" w:eastAsia="Verdana" w:hAnsi="Verdana" w:cs="Verdana"/>
                <w:b/>
                <w:noProof/>
                <w:color w:val="000000"/>
                <w:sz w:val="16"/>
              </w:rPr>
            </w:pPr>
            <w:r>
              <w:rPr>
                <w:rFonts w:ascii="Verdana" w:hAnsi="Verdana"/>
                <w:b/>
                <w:noProof/>
                <w:color w:val="000000"/>
                <w:sz w:val="16"/>
              </w:rPr>
              <w:t>35 624</w:t>
            </w:r>
          </w:p>
        </w:tc>
      </w:tr>
      <w:tr>
        <w:trPr>
          <w:trHeight w:val="255"/>
        </w:trPr>
        <w:tc>
          <w:tcPr>
            <w:tcW w:w="4264" w:type="dxa"/>
            <w:tcBorders>
              <w:top w:val="single" w:sz="4" w:space="0" w:color="016794"/>
              <w:left w:val="nil"/>
              <w:bottom w:val="nil"/>
              <w:right w:val="nil"/>
              <w:tl2br w:val="nil"/>
              <w:tr2bl w:val="nil"/>
            </w:tcBorders>
            <w:tcMar>
              <w:left w:w="60" w:type="dxa"/>
              <w:right w:w="60" w:type="dxa"/>
            </w:tcMar>
            <w:vAlign w:val="center"/>
          </w:tcPr>
          <w:p>
            <w:pPr>
              <w:pStyle w:val="DMETW36765BIPPFDOLD"/>
              <w:rPr>
                <w:rFonts w:ascii="Verdana" w:eastAsia="Verdana" w:hAnsi="Verdana" w:cs="Verdana"/>
                <w:b/>
                <w:noProof/>
                <w:color w:val="000000"/>
                <w:sz w:val="16"/>
              </w:rPr>
            </w:pPr>
            <w:r>
              <w:rPr>
                <w:rFonts w:ascii="Verdana" w:hAnsi="Verdana"/>
                <w:b/>
                <w:noProof/>
                <w:color w:val="000000"/>
                <w:sz w:val="16"/>
              </w:rPr>
              <w:t>Gestion indirecte</w:t>
            </w:r>
          </w:p>
        </w:tc>
        <w:tc>
          <w:tcPr>
            <w:tcW w:w="1984" w:type="dxa"/>
            <w:tcBorders>
              <w:top w:val="single" w:sz="4" w:space="0" w:color="016794"/>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b/>
                <w:noProof/>
                <w:color w:val="000000"/>
                <w:sz w:val="16"/>
              </w:rPr>
            </w:pPr>
          </w:p>
        </w:tc>
        <w:tc>
          <w:tcPr>
            <w:tcW w:w="1755" w:type="dxa"/>
            <w:tcBorders>
              <w:top w:val="single" w:sz="4" w:space="0" w:color="016794"/>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b/>
                <w:noProof/>
                <w:color w:val="000000"/>
                <w:sz w:val="16"/>
              </w:rPr>
            </w:pPr>
          </w:p>
        </w:tc>
        <w:tc>
          <w:tcPr>
            <w:tcW w:w="1755" w:type="dxa"/>
            <w:tcBorders>
              <w:top w:val="single" w:sz="4" w:space="0" w:color="016794"/>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b/>
                <w:noProof/>
                <w:color w:val="000000"/>
                <w:sz w:val="16"/>
                <w:lang w:bidi="en-GB"/>
              </w:rPr>
            </w:pPr>
          </w:p>
        </w:tc>
      </w:tr>
      <w:tr>
        <w:trPr>
          <w:trHeight w:val="255"/>
        </w:trPr>
        <w:tc>
          <w:tcPr>
            <w:tcW w:w="4264" w:type="dxa"/>
            <w:tcBorders>
              <w:top w:val="nil"/>
              <w:left w:val="nil"/>
              <w:bottom w:val="nil"/>
              <w:right w:val="nil"/>
              <w:tl2br w:val="nil"/>
              <w:tr2bl w:val="nil"/>
            </w:tcBorders>
            <w:tcMar>
              <w:left w:w="60" w:type="dxa"/>
              <w:right w:w="60" w:type="dxa"/>
            </w:tcMar>
            <w:vAlign w:val="center"/>
          </w:tcPr>
          <w:p>
            <w:pPr>
              <w:pStyle w:val="DMETW36765BIPPFDOLD"/>
              <w:rPr>
                <w:rFonts w:ascii="Verdana" w:eastAsia="Verdana" w:hAnsi="Verdana" w:cs="Verdana"/>
                <w:i/>
                <w:noProof/>
                <w:color w:val="000000"/>
                <w:sz w:val="16"/>
              </w:rPr>
            </w:pPr>
            <w:r>
              <w:rPr>
                <w:rFonts w:ascii="Verdana" w:hAnsi="Verdana"/>
                <w:i/>
                <w:noProof/>
                <w:color w:val="000000"/>
                <w:sz w:val="16"/>
              </w:rPr>
              <w:t>Exécution par:</w:t>
            </w:r>
          </w:p>
        </w:tc>
        <w:tc>
          <w:tcPr>
            <w:tcW w:w="1984"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p>
        </w:tc>
        <w:tc>
          <w:tcPr>
            <w:tcW w:w="1755"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p>
        </w:tc>
        <w:tc>
          <w:tcPr>
            <w:tcW w:w="1755"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lang w:bidi="en-GB"/>
              </w:rPr>
            </w:pPr>
          </w:p>
        </w:tc>
      </w:tr>
      <w:tr>
        <w:trPr>
          <w:trHeight w:val="255"/>
        </w:trPr>
        <w:tc>
          <w:tcPr>
            <w:tcW w:w="4264" w:type="dxa"/>
            <w:tcBorders>
              <w:top w:val="nil"/>
              <w:left w:val="nil"/>
              <w:bottom w:val="nil"/>
              <w:right w:val="nil"/>
              <w:tl2br w:val="nil"/>
              <w:tr2bl w:val="nil"/>
            </w:tcBorders>
            <w:tcMar>
              <w:left w:w="60" w:type="dxa"/>
              <w:right w:w="60" w:type="dxa"/>
            </w:tcMar>
            <w:vAlign w:val="center"/>
          </w:tcPr>
          <w:p>
            <w:pPr>
              <w:pStyle w:val="DMETW36765BIPPFDOLD"/>
              <w:rPr>
                <w:rFonts w:ascii="Verdana" w:eastAsia="Verdana" w:hAnsi="Verdana" w:cs="Verdana"/>
                <w:i/>
                <w:noProof/>
                <w:color w:val="000000"/>
                <w:sz w:val="16"/>
              </w:rPr>
            </w:pPr>
            <w:r>
              <w:rPr>
                <w:rFonts w:ascii="Verdana" w:hAnsi="Verdana"/>
                <w:i/>
                <w:noProof/>
                <w:color w:val="000000"/>
                <w:sz w:val="16"/>
              </w:rPr>
              <w:t xml:space="preserve">     Autres agences et organismes de l’UE</w:t>
            </w:r>
          </w:p>
        </w:tc>
        <w:tc>
          <w:tcPr>
            <w:tcW w:w="1984"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r>
              <w:rPr>
                <w:rFonts w:ascii="Verdana" w:hAnsi="Verdana"/>
                <w:i/>
                <w:noProof/>
                <w:color w:val="000000"/>
                <w:sz w:val="16"/>
              </w:rPr>
              <w:t>5 281</w:t>
            </w:r>
          </w:p>
        </w:tc>
        <w:tc>
          <w:tcPr>
            <w:tcW w:w="1755"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r>
              <w:rPr>
                <w:rFonts w:ascii="Verdana" w:hAnsi="Verdana"/>
                <w:i/>
                <w:noProof/>
                <w:color w:val="000000"/>
                <w:sz w:val="16"/>
              </w:rPr>
              <w:t>(2 814)</w:t>
            </w:r>
          </w:p>
        </w:tc>
        <w:tc>
          <w:tcPr>
            <w:tcW w:w="1755"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r>
              <w:rPr>
                <w:rFonts w:ascii="Verdana" w:hAnsi="Verdana"/>
                <w:i/>
                <w:noProof/>
                <w:color w:val="000000"/>
                <w:sz w:val="16"/>
              </w:rPr>
              <w:t>2 467</w:t>
            </w:r>
          </w:p>
        </w:tc>
      </w:tr>
      <w:tr>
        <w:trPr>
          <w:trHeight w:val="255"/>
        </w:trPr>
        <w:tc>
          <w:tcPr>
            <w:tcW w:w="4264" w:type="dxa"/>
            <w:tcBorders>
              <w:top w:val="nil"/>
              <w:left w:val="nil"/>
              <w:bottom w:val="nil"/>
              <w:right w:val="nil"/>
              <w:tl2br w:val="nil"/>
              <w:tr2bl w:val="nil"/>
            </w:tcBorders>
            <w:tcMar>
              <w:left w:w="60" w:type="dxa"/>
              <w:right w:w="60" w:type="dxa"/>
            </w:tcMar>
            <w:vAlign w:val="center"/>
          </w:tcPr>
          <w:p>
            <w:pPr>
              <w:pStyle w:val="DMETW36765BIPPFDOLD"/>
              <w:rPr>
                <w:rFonts w:ascii="Verdana" w:eastAsia="Verdana" w:hAnsi="Verdana" w:cs="Verdana"/>
                <w:i/>
                <w:noProof/>
                <w:color w:val="000000"/>
                <w:sz w:val="16"/>
              </w:rPr>
            </w:pPr>
            <w:r>
              <w:rPr>
                <w:rFonts w:ascii="Verdana" w:hAnsi="Verdana"/>
                <w:i/>
                <w:noProof/>
                <w:color w:val="000000"/>
                <w:sz w:val="16"/>
              </w:rPr>
              <w:t xml:space="preserve">     Pays tiers</w:t>
            </w:r>
          </w:p>
        </w:tc>
        <w:tc>
          <w:tcPr>
            <w:tcW w:w="1984"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r>
              <w:rPr>
                <w:rFonts w:ascii="Verdana" w:hAnsi="Verdana"/>
                <w:i/>
                <w:noProof/>
                <w:color w:val="000000"/>
                <w:sz w:val="16"/>
              </w:rPr>
              <w:t>1 843</w:t>
            </w:r>
          </w:p>
        </w:tc>
        <w:tc>
          <w:tcPr>
            <w:tcW w:w="1755"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r>
              <w:rPr>
                <w:rFonts w:ascii="Verdana" w:hAnsi="Verdana"/>
                <w:i/>
                <w:noProof/>
                <w:color w:val="000000"/>
                <w:sz w:val="16"/>
              </w:rPr>
              <w:t>(1 103)</w:t>
            </w:r>
          </w:p>
        </w:tc>
        <w:tc>
          <w:tcPr>
            <w:tcW w:w="1755"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r>
              <w:rPr>
                <w:rFonts w:ascii="Verdana" w:hAnsi="Verdana"/>
                <w:i/>
                <w:noProof/>
                <w:color w:val="000000"/>
                <w:sz w:val="16"/>
              </w:rPr>
              <w:t xml:space="preserve"> 739</w:t>
            </w:r>
          </w:p>
        </w:tc>
      </w:tr>
      <w:tr>
        <w:trPr>
          <w:trHeight w:val="255"/>
        </w:trPr>
        <w:tc>
          <w:tcPr>
            <w:tcW w:w="4264" w:type="dxa"/>
            <w:tcBorders>
              <w:top w:val="nil"/>
              <w:left w:val="nil"/>
              <w:bottom w:val="nil"/>
              <w:right w:val="nil"/>
              <w:tl2br w:val="nil"/>
              <w:tr2bl w:val="nil"/>
            </w:tcBorders>
            <w:tcMar>
              <w:left w:w="60" w:type="dxa"/>
              <w:right w:w="60" w:type="dxa"/>
            </w:tcMar>
            <w:vAlign w:val="center"/>
          </w:tcPr>
          <w:p>
            <w:pPr>
              <w:pStyle w:val="DMETW36765BIPPFDOLD"/>
              <w:rPr>
                <w:rFonts w:ascii="Verdana" w:eastAsia="Verdana" w:hAnsi="Verdana" w:cs="Verdana"/>
                <w:i/>
                <w:noProof/>
                <w:color w:val="000000"/>
                <w:sz w:val="16"/>
              </w:rPr>
            </w:pPr>
            <w:r>
              <w:rPr>
                <w:rFonts w:ascii="Verdana" w:hAnsi="Verdana"/>
                <w:i/>
                <w:noProof/>
                <w:color w:val="000000"/>
                <w:sz w:val="16"/>
              </w:rPr>
              <w:t xml:space="preserve">     Organisations internationales</w:t>
            </w:r>
          </w:p>
        </w:tc>
        <w:tc>
          <w:tcPr>
            <w:tcW w:w="1984"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r>
              <w:rPr>
                <w:rFonts w:ascii="Verdana" w:hAnsi="Verdana"/>
                <w:i/>
                <w:noProof/>
                <w:color w:val="000000"/>
                <w:sz w:val="16"/>
              </w:rPr>
              <w:t>13 171</w:t>
            </w:r>
          </w:p>
        </w:tc>
        <w:tc>
          <w:tcPr>
            <w:tcW w:w="1755"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r>
              <w:rPr>
                <w:rFonts w:ascii="Verdana" w:hAnsi="Verdana"/>
                <w:i/>
                <w:noProof/>
                <w:color w:val="000000"/>
                <w:sz w:val="16"/>
              </w:rPr>
              <w:t>(8 839)</w:t>
            </w:r>
          </w:p>
        </w:tc>
        <w:tc>
          <w:tcPr>
            <w:tcW w:w="1755"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r>
              <w:rPr>
                <w:rFonts w:ascii="Verdana" w:hAnsi="Verdana"/>
                <w:i/>
                <w:noProof/>
                <w:color w:val="000000"/>
                <w:sz w:val="16"/>
              </w:rPr>
              <w:t>4 333</w:t>
            </w:r>
          </w:p>
        </w:tc>
      </w:tr>
      <w:tr>
        <w:trPr>
          <w:trHeight w:val="255"/>
        </w:trPr>
        <w:tc>
          <w:tcPr>
            <w:tcW w:w="4264" w:type="dxa"/>
            <w:tcBorders>
              <w:top w:val="nil"/>
              <w:left w:val="nil"/>
              <w:bottom w:val="single" w:sz="4" w:space="0" w:color="016794"/>
              <w:right w:val="nil"/>
              <w:tl2br w:val="nil"/>
              <w:tr2bl w:val="nil"/>
            </w:tcBorders>
            <w:tcMar>
              <w:left w:w="60" w:type="dxa"/>
              <w:right w:w="60" w:type="dxa"/>
            </w:tcMar>
            <w:vAlign w:val="center"/>
          </w:tcPr>
          <w:p>
            <w:pPr>
              <w:pStyle w:val="DMETW36765BIPPFDOLD"/>
              <w:rPr>
                <w:rFonts w:ascii="Verdana" w:eastAsia="Verdana" w:hAnsi="Verdana" w:cs="Verdana"/>
                <w:i/>
                <w:noProof/>
                <w:color w:val="000000"/>
                <w:sz w:val="16"/>
              </w:rPr>
            </w:pPr>
            <w:r>
              <w:rPr>
                <w:rFonts w:ascii="Verdana" w:hAnsi="Verdana"/>
                <w:i/>
                <w:noProof/>
                <w:color w:val="000000"/>
                <w:sz w:val="16"/>
              </w:rPr>
              <w:t xml:space="preserve">     Autres entités</w:t>
            </w:r>
          </w:p>
        </w:tc>
        <w:tc>
          <w:tcPr>
            <w:tcW w:w="1984" w:type="dxa"/>
            <w:tcBorders>
              <w:top w:val="nil"/>
              <w:left w:val="nil"/>
              <w:bottom w:val="single" w:sz="4" w:space="0" w:color="016794"/>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r>
              <w:rPr>
                <w:rFonts w:ascii="Verdana" w:hAnsi="Verdana"/>
                <w:i/>
                <w:noProof/>
                <w:color w:val="000000"/>
                <w:sz w:val="16"/>
              </w:rPr>
              <w:t>19 295</w:t>
            </w:r>
          </w:p>
        </w:tc>
        <w:tc>
          <w:tcPr>
            <w:tcW w:w="1755" w:type="dxa"/>
            <w:tcBorders>
              <w:top w:val="nil"/>
              <w:left w:val="nil"/>
              <w:bottom w:val="single" w:sz="4" w:space="0" w:color="016794"/>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r>
              <w:rPr>
                <w:rFonts w:ascii="Verdana" w:hAnsi="Verdana"/>
                <w:i/>
                <w:noProof/>
                <w:color w:val="000000"/>
                <w:sz w:val="16"/>
              </w:rPr>
              <w:t>(12 389)</w:t>
            </w:r>
          </w:p>
        </w:tc>
        <w:tc>
          <w:tcPr>
            <w:tcW w:w="1755" w:type="dxa"/>
            <w:tcBorders>
              <w:top w:val="nil"/>
              <w:left w:val="nil"/>
              <w:bottom w:val="single" w:sz="4" w:space="0" w:color="016794"/>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r>
              <w:rPr>
                <w:rFonts w:ascii="Verdana" w:hAnsi="Verdana"/>
                <w:i/>
                <w:noProof/>
                <w:color w:val="000000"/>
                <w:sz w:val="16"/>
              </w:rPr>
              <w:t>6 906</w:t>
            </w:r>
          </w:p>
        </w:tc>
      </w:tr>
      <w:tr>
        <w:trPr>
          <w:trHeight w:val="255"/>
        </w:trPr>
        <w:tc>
          <w:tcPr>
            <w:tcW w:w="426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5BIPPFDOLD"/>
              <w:rPr>
                <w:rFonts w:ascii="Verdana" w:eastAsia="Verdana" w:hAnsi="Verdana" w:cs="Verdana"/>
                <w:b/>
                <w:noProof/>
                <w:color w:val="000000"/>
                <w:sz w:val="16"/>
              </w:rPr>
            </w:pPr>
          </w:p>
        </w:tc>
        <w:tc>
          <w:tcPr>
            <w:tcW w:w="198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5BIPPFDOLD"/>
              <w:jc w:val="right"/>
              <w:rPr>
                <w:rFonts w:ascii="Verdana" w:eastAsia="Verdana" w:hAnsi="Verdana" w:cs="Verdana"/>
                <w:b/>
                <w:noProof/>
                <w:color w:val="000000"/>
                <w:sz w:val="16"/>
              </w:rPr>
            </w:pPr>
            <w:r>
              <w:rPr>
                <w:rFonts w:ascii="Verdana" w:hAnsi="Verdana"/>
                <w:b/>
                <w:noProof/>
                <w:color w:val="000000"/>
                <w:sz w:val="16"/>
              </w:rPr>
              <w:t>39 590</w:t>
            </w:r>
          </w:p>
        </w:tc>
        <w:tc>
          <w:tcPr>
            <w:tcW w:w="175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5BIPPFDOLD"/>
              <w:jc w:val="right"/>
              <w:rPr>
                <w:rFonts w:ascii="Verdana" w:eastAsia="Verdana" w:hAnsi="Verdana" w:cs="Verdana"/>
                <w:b/>
                <w:noProof/>
                <w:color w:val="000000"/>
                <w:sz w:val="16"/>
              </w:rPr>
            </w:pPr>
            <w:r>
              <w:rPr>
                <w:rFonts w:ascii="Verdana" w:hAnsi="Verdana"/>
                <w:b/>
                <w:noProof/>
                <w:color w:val="000000"/>
                <w:sz w:val="16"/>
              </w:rPr>
              <w:t>(25 144)</w:t>
            </w:r>
          </w:p>
        </w:tc>
        <w:tc>
          <w:tcPr>
            <w:tcW w:w="175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5BIPPFDOLD"/>
              <w:jc w:val="right"/>
              <w:rPr>
                <w:rFonts w:ascii="Verdana" w:eastAsia="Verdana" w:hAnsi="Verdana" w:cs="Verdana"/>
                <w:b/>
                <w:noProof/>
                <w:color w:val="000000"/>
                <w:sz w:val="16"/>
              </w:rPr>
            </w:pPr>
            <w:r>
              <w:rPr>
                <w:rFonts w:ascii="Verdana" w:hAnsi="Verdana"/>
                <w:b/>
                <w:noProof/>
                <w:color w:val="000000"/>
                <w:sz w:val="16"/>
              </w:rPr>
              <w:t>14 446</w:t>
            </w:r>
          </w:p>
        </w:tc>
      </w:tr>
      <w:tr>
        <w:trPr>
          <w:trHeight w:val="255"/>
        </w:trPr>
        <w:tc>
          <w:tcPr>
            <w:tcW w:w="426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5BIPPFDOLD"/>
              <w:rPr>
                <w:rFonts w:ascii="Verdana" w:eastAsia="Verdana" w:hAnsi="Verdana" w:cs="Verdana"/>
                <w:b/>
                <w:noProof/>
                <w:color w:val="000000"/>
                <w:sz w:val="16"/>
              </w:rPr>
            </w:pPr>
            <w:r>
              <w:rPr>
                <w:rFonts w:ascii="Verdana" w:hAnsi="Verdana"/>
                <w:b/>
                <w:noProof/>
                <w:color w:val="000000"/>
                <w:sz w:val="16"/>
              </w:rPr>
              <w:t>Total</w:t>
            </w:r>
          </w:p>
        </w:tc>
        <w:tc>
          <w:tcPr>
            <w:tcW w:w="198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5BIPPFDOLD"/>
              <w:jc w:val="right"/>
              <w:rPr>
                <w:rFonts w:ascii="Verdana" w:eastAsia="Verdana" w:hAnsi="Verdana" w:cs="Verdana"/>
                <w:b/>
                <w:noProof/>
                <w:color w:val="000000"/>
                <w:sz w:val="16"/>
              </w:rPr>
            </w:pPr>
            <w:r>
              <w:rPr>
                <w:rFonts w:ascii="Verdana" w:hAnsi="Verdana"/>
                <w:b/>
                <w:noProof/>
                <w:color w:val="000000"/>
                <w:sz w:val="16"/>
              </w:rPr>
              <w:t>168 920</w:t>
            </w:r>
          </w:p>
        </w:tc>
        <w:tc>
          <w:tcPr>
            <w:tcW w:w="175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5BIPPFDOLD"/>
              <w:jc w:val="right"/>
              <w:rPr>
                <w:rFonts w:ascii="Verdana" w:eastAsia="Verdana" w:hAnsi="Verdana" w:cs="Verdana"/>
                <w:b/>
                <w:noProof/>
                <w:color w:val="000000"/>
                <w:sz w:val="16"/>
              </w:rPr>
            </w:pPr>
            <w:r>
              <w:rPr>
                <w:rFonts w:ascii="Verdana" w:hAnsi="Verdana"/>
                <w:b/>
                <w:noProof/>
                <w:color w:val="000000"/>
                <w:sz w:val="16"/>
              </w:rPr>
              <w:t>(93 858)</w:t>
            </w:r>
          </w:p>
        </w:tc>
        <w:tc>
          <w:tcPr>
            <w:tcW w:w="175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5BIPPFDOLD"/>
              <w:jc w:val="right"/>
              <w:rPr>
                <w:rFonts w:ascii="Verdana" w:eastAsia="Verdana" w:hAnsi="Verdana" w:cs="Verdana"/>
                <w:b/>
                <w:noProof/>
                <w:color w:val="000000"/>
                <w:sz w:val="16"/>
              </w:rPr>
            </w:pPr>
            <w:r>
              <w:rPr>
                <w:rFonts w:ascii="Verdana" w:hAnsi="Verdana"/>
                <w:b/>
                <w:noProof/>
                <w:color w:val="000000"/>
                <w:sz w:val="16"/>
              </w:rPr>
              <w:t>75 062</w:t>
            </w:r>
          </w:p>
        </w:tc>
      </w:tr>
      <w:tr>
        <w:trPr>
          <w:trHeight w:val="255"/>
        </w:trPr>
        <w:tc>
          <w:tcPr>
            <w:tcW w:w="4264" w:type="dxa"/>
            <w:tcBorders>
              <w:top w:val="single" w:sz="4" w:space="0" w:color="016794"/>
              <w:left w:val="nil"/>
              <w:bottom w:val="nil"/>
              <w:right w:val="nil"/>
              <w:tl2br w:val="nil"/>
              <w:tr2bl w:val="nil"/>
            </w:tcBorders>
            <w:tcMar>
              <w:left w:w="60" w:type="dxa"/>
              <w:right w:w="60" w:type="dxa"/>
            </w:tcMar>
            <w:vAlign w:val="center"/>
          </w:tcPr>
          <w:p>
            <w:pPr>
              <w:pStyle w:val="DMETW36765BIPPFDOLD"/>
              <w:rPr>
                <w:rFonts w:ascii="Verdana" w:eastAsia="Verdana" w:hAnsi="Verdana" w:cs="Verdana"/>
                <w:i/>
                <w:noProof/>
                <w:color w:val="016794"/>
                <w:sz w:val="16"/>
              </w:rPr>
            </w:pPr>
            <w:r>
              <w:rPr>
                <w:rFonts w:ascii="Verdana" w:hAnsi="Verdana"/>
                <w:i/>
                <w:noProof/>
                <w:color w:val="016794"/>
                <w:sz w:val="16"/>
              </w:rPr>
              <w:t>Non courant</w:t>
            </w:r>
          </w:p>
        </w:tc>
        <w:tc>
          <w:tcPr>
            <w:tcW w:w="1984" w:type="dxa"/>
            <w:tcBorders>
              <w:top w:val="single" w:sz="4" w:space="0" w:color="016794"/>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16794"/>
                <w:sz w:val="16"/>
              </w:rPr>
            </w:pPr>
            <w:r>
              <w:rPr>
                <w:rFonts w:ascii="Verdana" w:hAnsi="Verdana"/>
                <w:i/>
                <w:noProof/>
                <w:color w:val="016794"/>
                <w:sz w:val="16"/>
              </w:rPr>
              <w:t>39 093</w:t>
            </w:r>
          </w:p>
        </w:tc>
        <w:tc>
          <w:tcPr>
            <w:tcW w:w="1755" w:type="dxa"/>
            <w:tcBorders>
              <w:top w:val="single" w:sz="4" w:space="0" w:color="016794"/>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16794"/>
                <w:sz w:val="16"/>
              </w:rPr>
            </w:pPr>
            <w:r>
              <w:rPr>
                <w:rFonts w:ascii="Verdana" w:hAnsi="Verdana"/>
                <w:i/>
                <w:noProof/>
                <w:color w:val="016794"/>
                <w:sz w:val="16"/>
              </w:rPr>
              <w:t>–</w:t>
            </w:r>
          </w:p>
        </w:tc>
        <w:tc>
          <w:tcPr>
            <w:tcW w:w="1755" w:type="dxa"/>
            <w:tcBorders>
              <w:top w:val="single" w:sz="4" w:space="0" w:color="016794"/>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16794"/>
                <w:sz w:val="16"/>
              </w:rPr>
            </w:pPr>
            <w:r>
              <w:rPr>
                <w:rFonts w:ascii="Verdana" w:hAnsi="Verdana"/>
                <w:i/>
                <w:noProof/>
                <w:color w:val="016794"/>
                <w:sz w:val="16"/>
              </w:rPr>
              <w:t>39 093</w:t>
            </w:r>
          </w:p>
        </w:tc>
      </w:tr>
      <w:tr>
        <w:trPr>
          <w:trHeight w:val="255"/>
        </w:trPr>
        <w:tc>
          <w:tcPr>
            <w:tcW w:w="4264" w:type="dxa"/>
            <w:tcBorders>
              <w:top w:val="nil"/>
              <w:left w:val="nil"/>
              <w:bottom w:val="nil"/>
              <w:right w:val="nil"/>
              <w:tl2br w:val="nil"/>
              <w:tr2bl w:val="nil"/>
            </w:tcBorders>
            <w:tcMar>
              <w:left w:w="60" w:type="dxa"/>
              <w:right w:w="60" w:type="dxa"/>
            </w:tcMar>
            <w:vAlign w:val="center"/>
          </w:tcPr>
          <w:p>
            <w:pPr>
              <w:pStyle w:val="DMETW36765BIPPFDOLD"/>
              <w:rPr>
                <w:rFonts w:ascii="Verdana" w:eastAsia="Verdana" w:hAnsi="Verdana" w:cs="Verdana"/>
                <w:i/>
                <w:noProof/>
                <w:color w:val="016794"/>
                <w:sz w:val="16"/>
              </w:rPr>
            </w:pPr>
            <w:r>
              <w:rPr>
                <w:rFonts w:ascii="Verdana" w:hAnsi="Verdana"/>
                <w:i/>
                <w:noProof/>
                <w:color w:val="016794"/>
                <w:sz w:val="16"/>
              </w:rPr>
              <w:t>Courant</w:t>
            </w:r>
          </w:p>
        </w:tc>
        <w:tc>
          <w:tcPr>
            <w:tcW w:w="1984"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16794"/>
                <w:sz w:val="16"/>
              </w:rPr>
            </w:pPr>
            <w:r>
              <w:rPr>
                <w:rFonts w:ascii="Verdana" w:hAnsi="Verdana"/>
                <w:i/>
                <w:noProof/>
                <w:color w:val="016794"/>
                <w:sz w:val="16"/>
              </w:rPr>
              <w:t>129 826</w:t>
            </w:r>
          </w:p>
        </w:tc>
        <w:tc>
          <w:tcPr>
            <w:tcW w:w="1755"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16794"/>
                <w:sz w:val="16"/>
              </w:rPr>
            </w:pPr>
            <w:r>
              <w:rPr>
                <w:rFonts w:ascii="Verdana" w:hAnsi="Verdana"/>
                <w:i/>
                <w:noProof/>
                <w:color w:val="016794"/>
                <w:sz w:val="16"/>
              </w:rPr>
              <w:t>(93 858)</w:t>
            </w:r>
          </w:p>
        </w:tc>
        <w:tc>
          <w:tcPr>
            <w:tcW w:w="1755"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16794"/>
                <w:sz w:val="16"/>
              </w:rPr>
            </w:pPr>
            <w:r>
              <w:rPr>
                <w:rFonts w:ascii="Verdana" w:hAnsi="Verdana"/>
                <w:i/>
                <w:noProof/>
                <w:color w:val="016794"/>
                <w:sz w:val="16"/>
              </w:rPr>
              <w:t>35 969</w:t>
            </w:r>
          </w:p>
        </w:tc>
      </w:tr>
    </w:tbl>
    <w:p>
      <w:pPr>
        <w:pStyle w:val="DGTextstand-alone"/>
      </w:pPr>
      <w:r>
        <w:t>Les préfinancements représentent des fonds versés et donc l’exécution de crédits de paiement. Comme expliqué dans la note </w:t>
      </w:r>
      <w:r>
        <w:rPr>
          <w:b/>
        </w:rPr>
        <w:t>1.5.7</w:t>
      </w:r>
      <w:r>
        <w:t>, il s’agit d’avances, donc de montants non encore passés en charges. Ainsi, si les préfinancements réduisent les engagements restant à liquider (voir note </w:t>
      </w:r>
      <w:r>
        <w:rPr>
          <w:b/>
        </w:rPr>
        <w:t>5.1</w:t>
      </w:r>
      <w:r>
        <w:t>), ils représentent des dépenses restant à accepter et à comptabiliser dans le compte de résultat économique.</w:t>
      </w:r>
    </w:p>
    <w:p>
      <w:pPr>
        <w:pStyle w:val="DGTextstand-alone"/>
      </w:pPr>
      <w:r>
        <w:t>En ce qui concerne le préfinancement en faveur des États membres dans le domaine de la cohésion (FEDER, FC, FSE), l’augmentation est principalement liée aux nouveaux paiements de préfinancement qui ont eu lieu en 2025 et qui se sont élevés à 5,6 milliards d’EUR.</w:t>
      </w:r>
    </w:p>
    <w:p>
      <w:pPr>
        <w:pStyle w:val="DGTextstand-alone"/>
      </w:pPr>
      <w:r>
        <w:t>Le préfinancement en faveur des États membres indiqué à la ligne «Autres» concerne principalement le Fonds pour une transition juste (6,2 milliards d’EUR) et le Fonds «Asile, migration et intégration» (1 milliard d’EUR).</w:t>
      </w:r>
    </w:p>
    <w:p>
      <w:pPr>
        <w:pStyle w:val="DGTextstand-alone"/>
      </w:pPr>
      <w:r>
        <w:t>Le soutien non remboursable concernant l’instrument FRR, qui a été déclaré dans le cadre du préfinancement en gestion directe en 2024, s’élevait à 10,2 milliards d’EUR nets à la fin de l’exercice (contre 15,4 milliards d’EUR en 2024). Cette diminution s’inscrit dans la lignée de la mise en œuvre normale du programme, étant donné qu’aucun préfinancement supplémentaire n’a été versé en 2025.</w:t>
      </w:r>
    </w:p>
    <w:p>
      <w:pPr>
        <w:pStyle w:val="DGTextstand-alone"/>
      </w:pPr>
      <w:r>
        <w:t>En ce qui concerne le préfinancement versé par la Commission aux organismes publics (17,5 milliards d’EUR) et privés (10,5 milliards d’EUR), les montants les plus importants concernent le domaine de la recherche (10,9 milliards d’EUR), l’instrument de voisinage, de coopération au développement et de coopération internationale et ses précurseurs (5 milliards d’EUR), Erasmus+ (4,6 milliards d’EUR) et le mécanisme pour l’interconnexion en Europe (1,2 milliard d’EUR).</w:t>
      </w:r>
    </w:p>
    <w:p>
      <w:pPr>
        <w:pStyle w:val="HEADER5"/>
        <w:rPr>
          <w:b/>
          <w:noProof/>
        </w:rPr>
      </w:pPr>
      <w:r>
        <w:rPr>
          <w:noProof/>
        </w:rPr>
        <w:t>Garanties reçues en rapport avec des préfinancements</w:t>
      </w:r>
    </w:p>
    <w:p>
      <w:pPr>
        <w:pStyle w:val="DGTextstand-alone"/>
      </w:pPr>
      <w:r>
        <w:t xml:space="preserve">Il s’agit de garanties que la Commission exige parfois de la part des bénéficiaires qui ne sont pas des États membres en cas de versement d’avances (préfinancements). Pour ce type de garantie, deux valeurs doivent être indiquées: la valeur «nominale» et la valeur «en cours». Pour la valeur nominale, le fait générateur est lié à l’existence de la garantie. Pour la valeur en cours, le fait générateur de la garantie est le versement du préfinancement effectué au titre de la garantie, qui est ensuite diminué des apurements ultérieurs. Au 31 décembre 2025, la valeur «nominale» des garanties reçues pour les préfinancements s’élevait à 1,1 milliard d’EUR. </w:t>
      </w:r>
    </w:p>
    <w:p>
      <w:pPr>
        <w:pStyle w:val="DGTextstand-alone"/>
      </w:pPr>
      <w:r>
        <w:lastRenderedPageBreak/>
        <w:t>Certains préfinancements versés au titre du 7</w:t>
      </w:r>
      <w:r>
        <w:rPr>
          <w:vertAlign w:val="superscript"/>
        </w:rPr>
        <w:t>e</w:t>
      </w:r>
      <w:r>
        <w:t> programme-cadre de recherche et de développement technologique (7ePC), du programme Horizon 2020 et du programme Horizon Europe sont effectivement couverts par le mécanisme d’assurance mutuelle (MAM), anciennement connu sous le nom de «Fonds de garantie des participants» (FGP). Le MAM est un instrument de garantie mutuelle visant à couvrir les risques liés au non-paiement de montants par les bénéficiaires dans le cadre de la mise en œuvre des actions indirectes relevant de ces programmes. Tous les participants à des actions indirectes bénéficiant d’une subvention de l’UE contribuent à hauteur de 5 % de la contribution maximale de l’UE au capital du MAM, lequel est investi par la Commission sur les marchés financiers afin de générer des intérêts. Les intérêts peuvent être utilisés pour couvrir des dettes non honorées par un participant défaillant à l’égard de l’Union. Au terme de l’action indirecte, les contributions sont reversées aux participants. L’UE (représentée par la Commission) agit en tant qu’agent exécutif pour les participants du MAM, mais ces derniers en sont les propriétaires. Le MAM est donc une entité distincte, qui n’entre pas dans le périmètre de consolidation des présents comptes annuels de l’UE.</w:t>
      </w:r>
    </w:p>
    <w:p>
      <w:pPr>
        <w:pStyle w:val="DGTextstand-alone"/>
      </w:pPr>
      <w:r>
        <w:t>Au 31 décembre 2025, les préfinancements couverts par le MAM s’élevaient à 3,0 milliards d’EUR  (même montant qu’en 2024). Le total des actifs du MAM, comprenant les actifs financiers gérés par la Commission, s’établissait à 3,2 milliards d’EUR  (même montant qu’en 2024).</w:t>
      </w:r>
    </w:p>
    <w:p>
      <w:pPr>
        <w:pStyle w:val="HEADER3NOTES"/>
        <w:numPr>
          <w:ilvl w:val="2"/>
          <w:numId w:val="15"/>
        </w:numPr>
        <w:rPr>
          <w:noProof/>
        </w:rPr>
      </w:pPr>
      <w:r>
        <w:rPr>
          <w:noProof/>
        </w:rPr>
        <w:t>Autres avances payées aux États membres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3"/>
        <w:gridCol w:w="2102"/>
        <w:gridCol w:w="2103"/>
      </w:tblGrid>
      <w:tr>
        <w:trPr>
          <w:trHeight w:val="255"/>
        </w:trPr>
        <w:tc>
          <w:tcPr>
            <w:tcW w:w="5553" w:type="dxa"/>
            <w:tcBorders>
              <w:top w:val="nil"/>
              <w:left w:val="nil"/>
              <w:bottom w:val="nil"/>
              <w:right w:val="nil"/>
              <w:tl2br w:val="nil"/>
              <w:tr2bl w:val="nil"/>
            </w:tcBorders>
            <w:tcMar>
              <w:left w:w="60" w:type="dxa"/>
              <w:right w:w="60" w:type="dxa"/>
            </w:tcMar>
            <w:vAlign w:val="bottom"/>
          </w:tcPr>
          <w:p>
            <w:pPr>
              <w:pStyle w:val="DMETW36629BIPFEIAS"/>
              <w:rPr>
                <w:rFonts w:ascii="Arial" w:eastAsia="Arial" w:hAnsi="Arial" w:cs="Arial"/>
                <w:noProof/>
                <w:color w:val="000000"/>
              </w:rPr>
            </w:pPr>
            <w:bookmarkStart w:id="120" w:name="DOC_TBL00029_1_1"/>
            <w:bookmarkEnd w:id="120"/>
          </w:p>
        </w:tc>
        <w:tc>
          <w:tcPr>
            <w:tcW w:w="2102" w:type="dxa"/>
            <w:tcBorders>
              <w:top w:val="nil"/>
              <w:left w:val="nil"/>
              <w:bottom w:val="nil"/>
              <w:right w:val="nil"/>
              <w:tl2br w:val="nil"/>
              <w:tr2bl w:val="nil"/>
            </w:tcBorders>
            <w:tcMar>
              <w:left w:w="60" w:type="dxa"/>
              <w:right w:w="60" w:type="dxa"/>
            </w:tcMar>
            <w:vAlign w:val="bottom"/>
          </w:tcPr>
          <w:p>
            <w:pPr>
              <w:pStyle w:val="DMETW36629BIPFEIAS"/>
              <w:rPr>
                <w:rFonts w:ascii="Arial" w:eastAsia="Arial" w:hAnsi="Arial" w:cs="Arial"/>
                <w:noProof/>
                <w:color w:val="000000"/>
              </w:rPr>
            </w:pPr>
          </w:p>
        </w:tc>
        <w:tc>
          <w:tcPr>
            <w:tcW w:w="2103" w:type="dxa"/>
            <w:tcBorders>
              <w:top w:val="nil"/>
              <w:left w:val="nil"/>
              <w:bottom w:val="nil"/>
              <w:right w:val="nil"/>
              <w:tl2br w:val="nil"/>
              <w:tr2bl w:val="nil"/>
            </w:tcBorders>
            <w:tcMar>
              <w:left w:w="60" w:type="dxa"/>
              <w:right w:w="60" w:type="dxa"/>
            </w:tcMar>
            <w:vAlign w:val="bottom"/>
          </w:tcPr>
          <w:p>
            <w:pPr>
              <w:pStyle w:val="DMETW36629BIPFEIAS"/>
              <w:jc w:val="right"/>
              <w:rPr>
                <w:rFonts w:ascii="Verdana" w:eastAsia="Verdana" w:hAnsi="Verdana" w:cs="Verdana"/>
                <w:i/>
                <w:noProof/>
                <w:color w:val="000000"/>
                <w:sz w:val="16"/>
              </w:rPr>
            </w:pPr>
            <w:r>
              <w:rPr>
                <w:rFonts w:ascii="Verdana" w:hAnsi="Verdana"/>
                <w:i/>
                <w:noProof/>
                <w:color w:val="000000"/>
                <w:sz w:val="16"/>
              </w:rPr>
              <w:t>en Mio EUR</w:t>
            </w:r>
          </w:p>
        </w:tc>
      </w:tr>
      <w:tr>
        <w:trPr>
          <w:trHeight w:val="255"/>
        </w:trPr>
        <w:tc>
          <w:tcPr>
            <w:tcW w:w="5553" w:type="dxa"/>
            <w:tcBorders>
              <w:top w:val="nil"/>
              <w:left w:val="nil"/>
              <w:bottom w:val="nil"/>
              <w:right w:val="nil"/>
              <w:tl2br w:val="nil"/>
              <w:tr2bl w:val="nil"/>
            </w:tcBorders>
            <w:shd w:val="solid" w:color="016794" w:fill="FFFFFF"/>
            <w:tcMar>
              <w:left w:w="60" w:type="dxa"/>
              <w:right w:w="60" w:type="dxa"/>
            </w:tcMar>
            <w:vAlign w:val="center"/>
          </w:tcPr>
          <w:p>
            <w:pPr>
              <w:pStyle w:val="DMETW36629BIPFEIAS"/>
              <w:jc w:val="center"/>
              <w:rPr>
                <w:rFonts w:ascii="Verdana" w:eastAsia="Verdana" w:hAnsi="Verdana" w:cs="Verdana"/>
                <w:noProof/>
                <w:color w:val="FFFFFF"/>
              </w:rPr>
            </w:pPr>
          </w:p>
        </w:tc>
        <w:tc>
          <w:tcPr>
            <w:tcW w:w="2102" w:type="dxa"/>
            <w:tcBorders>
              <w:top w:val="nil"/>
              <w:left w:val="nil"/>
              <w:bottom w:val="nil"/>
              <w:right w:val="nil"/>
              <w:tl2br w:val="nil"/>
              <w:tr2bl w:val="nil"/>
            </w:tcBorders>
            <w:shd w:val="solid" w:color="016794" w:fill="FFFFFF"/>
            <w:tcMar>
              <w:left w:w="60" w:type="dxa"/>
              <w:right w:w="60" w:type="dxa"/>
            </w:tcMar>
            <w:vAlign w:val="center"/>
          </w:tcPr>
          <w:p>
            <w:pPr>
              <w:pStyle w:val="DMETW36629BIPFEIAS"/>
              <w:jc w:val="right"/>
              <w:rPr>
                <w:rFonts w:ascii="Verdana" w:eastAsia="Verdana" w:hAnsi="Verdana" w:cs="Verdana"/>
                <w:noProof/>
                <w:color w:val="FFFFFF"/>
              </w:rPr>
            </w:pPr>
            <w:r>
              <w:rPr>
                <w:rFonts w:ascii="Verdana" w:hAnsi="Verdana"/>
                <w:noProof/>
                <w:color w:val="FFFFFF"/>
              </w:rPr>
              <w:t>31.12.2025</w:t>
            </w:r>
          </w:p>
        </w:tc>
        <w:tc>
          <w:tcPr>
            <w:tcW w:w="2103" w:type="dxa"/>
            <w:tcBorders>
              <w:top w:val="nil"/>
              <w:left w:val="nil"/>
              <w:bottom w:val="nil"/>
              <w:right w:val="nil"/>
              <w:tl2br w:val="nil"/>
              <w:tr2bl w:val="nil"/>
            </w:tcBorders>
            <w:shd w:val="solid" w:color="016794" w:fill="FFFFFF"/>
            <w:tcMar>
              <w:left w:w="60" w:type="dxa"/>
              <w:right w:w="60" w:type="dxa"/>
            </w:tcMar>
            <w:vAlign w:val="center"/>
          </w:tcPr>
          <w:p>
            <w:pPr>
              <w:pStyle w:val="DMETW36629BIPFEIAS"/>
              <w:jc w:val="right"/>
              <w:rPr>
                <w:rFonts w:ascii="Verdana" w:eastAsia="Verdana" w:hAnsi="Verdana" w:cs="Verdana"/>
                <w:noProof/>
                <w:color w:val="FFFFFF"/>
              </w:rPr>
            </w:pPr>
            <w:r>
              <w:rPr>
                <w:rFonts w:ascii="Verdana" w:hAnsi="Verdana"/>
                <w:noProof/>
                <w:color w:val="FFFFFF"/>
              </w:rPr>
              <w:t>31.12.2024</w:t>
            </w:r>
          </w:p>
        </w:tc>
      </w:tr>
      <w:tr>
        <w:trPr>
          <w:trHeight w:val="255"/>
        </w:trPr>
        <w:tc>
          <w:tcPr>
            <w:tcW w:w="5553" w:type="dxa"/>
            <w:tcBorders>
              <w:top w:val="nil"/>
              <w:left w:val="nil"/>
              <w:bottom w:val="nil"/>
              <w:right w:val="nil"/>
              <w:tl2br w:val="nil"/>
              <w:tr2bl w:val="nil"/>
            </w:tcBorders>
            <w:tcMar>
              <w:left w:w="60" w:type="dxa"/>
              <w:right w:w="60" w:type="dxa"/>
            </w:tcMar>
            <w:vAlign w:val="center"/>
          </w:tcPr>
          <w:p>
            <w:pPr>
              <w:pStyle w:val="DMETW36629BIPFEIAS"/>
              <w:rPr>
                <w:rFonts w:ascii="Verdana" w:eastAsia="Verdana" w:hAnsi="Verdana" w:cs="Verdana"/>
                <w:i/>
                <w:noProof/>
                <w:color w:val="000000"/>
                <w:sz w:val="18"/>
              </w:rPr>
            </w:pPr>
            <w:r>
              <w:rPr>
                <w:rFonts w:ascii="Verdana" w:hAnsi="Verdana"/>
                <w:i/>
                <w:noProof/>
                <w:color w:val="000000"/>
                <w:sz w:val="18"/>
              </w:rPr>
              <w:t>Avances payées aux États membres pour les instruments financiers en gestion partagée</w:t>
            </w:r>
          </w:p>
        </w:tc>
        <w:tc>
          <w:tcPr>
            <w:tcW w:w="2102" w:type="dxa"/>
            <w:tcBorders>
              <w:top w:val="nil"/>
              <w:left w:val="nil"/>
              <w:bottom w:val="nil"/>
              <w:right w:val="nil"/>
              <w:tl2br w:val="nil"/>
              <w:tr2bl w:val="nil"/>
            </w:tcBorders>
            <w:tcMar>
              <w:left w:w="60" w:type="dxa"/>
              <w:right w:w="60" w:type="dxa"/>
            </w:tcMar>
            <w:vAlign w:val="center"/>
          </w:tcPr>
          <w:p>
            <w:pPr>
              <w:pStyle w:val="DMETW36629BIPFEIAS"/>
              <w:jc w:val="right"/>
              <w:rPr>
                <w:rFonts w:ascii="Verdana" w:eastAsia="Verdana" w:hAnsi="Verdana" w:cs="Verdana"/>
                <w:i/>
                <w:noProof/>
                <w:color w:val="000000"/>
                <w:sz w:val="18"/>
              </w:rPr>
            </w:pPr>
            <w:r>
              <w:rPr>
                <w:rFonts w:ascii="Verdana" w:hAnsi="Verdana"/>
                <w:i/>
                <w:noProof/>
                <w:color w:val="000000"/>
                <w:sz w:val="18"/>
              </w:rPr>
              <w:t>3 750</w:t>
            </w:r>
          </w:p>
        </w:tc>
        <w:tc>
          <w:tcPr>
            <w:tcW w:w="2103" w:type="dxa"/>
            <w:tcBorders>
              <w:top w:val="nil"/>
              <w:left w:val="nil"/>
              <w:bottom w:val="nil"/>
              <w:right w:val="nil"/>
              <w:tl2br w:val="nil"/>
              <w:tr2bl w:val="nil"/>
            </w:tcBorders>
            <w:tcMar>
              <w:left w:w="60" w:type="dxa"/>
              <w:right w:w="60" w:type="dxa"/>
            </w:tcMar>
            <w:vAlign w:val="center"/>
          </w:tcPr>
          <w:p>
            <w:pPr>
              <w:pStyle w:val="DMETW36629BIPFEIAS"/>
              <w:jc w:val="right"/>
              <w:rPr>
                <w:rFonts w:ascii="Verdana" w:eastAsia="Verdana" w:hAnsi="Verdana" w:cs="Verdana"/>
                <w:i/>
                <w:noProof/>
                <w:color w:val="000000"/>
                <w:sz w:val="18"/>
              </w:rPr>
            </w:pPr>
            <w:r>
              <w:rPr>
                <w:rFonts w:ascii="Verdana" w:hAnsi="Verdana"/>
                <w:i/>
                <w:noProof/>
                <w:color w:val="000000"/>
                <w:sz w:val="18"/>
              </w:rPr>
              <w:t>1 889</w:t>
            </w:r>
          </w:p>
        </w:tc>
      </w:tr>
      <w:tr>
        <w:trPr>
          <w:trHeight w:val="255"/>
        </w:trPr>
        <w:tc>
          <w:tcPr>
            <w:tcW w:w="5553" w:type="dxa"/>
            <w:tcBorders>
              <w:top w:val="nil"/>
              <w:left w:val="nil"/>
              <w:bottom w:val="single" w:sz="4" w:space="0" w:color="016794"/>
              <w:right w:val="nil"/>
              <w:tl2br w:val="nil"/>
              <w:tr2bl w:val="nil"/>
            </w:tcBorders>
            <w:tcMar>
              <w:left w:w="60" w:type="dxa"/>
              <w:right w:w="60" w:type="dxa"/>
            </w:tcMar>
            <w:vAlign w:val="center"/>
          </w:tcPr>
          <w:p>
            <w:pPr>
              <w:pStyle w:val="DMETW36629BIPFEIAS"/>
              <w:rPr>
                <w:rFonts w:ascii="Verdana" w:eastAsia="Verdana" w:hAnsi="Verdana" w:cs="Verdana"/>
                <w:i/>
                <w:noProof/>
                <w:color w:val="000000"/>
                <w:sz w:val="18"/>
              </w:rPr>
            </w:pPr>
            <w:r>
              <w:rPr>
                <w:rFonts w:ascii="Verdana" w:hAnsi="Verdana"/>
                <w:i/>
                <w:noProof/>
                <w:color w:val="000000"/>
                <w:sz w:val="18"/>
              </w:rPr>
              <w:t>Régimes d’aides</w:t>
            </w:r>
          </w:p>
        </w:tc>
        <w:tc>
          <w:tcPr>
            <w:tcW w:w="2102" w:type="dxa"/>
            <w:tcBorders>
              <w:top w:val="nil"/>
              <w:left w:val="nil"/>
              <w:bottom w:val="single" w:sz="4" w:space="0" w:color="016794"/>
              <w:right w:val="nil"/>
              <w:tl2br w:val="nil"/>
              <w:tr2bl w:val="nil"/>
            </w:tcBorders>
            <w:tcMar>
              <w:left w:w="60" w:type="dxa"/>
              <w:right w:w="60" w:type="dxa"/>
            </w:tcMar>
            <w:vAlign w:val="center"/>
          </w:tcPr>
          <w:p>
            <w:pPr>
              <w:pStyle w:val="DMETW36629BIPFEIAS"/>
              <w:jc w:val="right"/>
              <w:rPr>
                <w:rFonts w:ascii="Verdana" w:eastAsia="Verdana" w:hAnsi="Verdana" w:cs="Verdana"/>
                <w:i/>
                <w:noProof/>
                <w:color w:val="000000"/>
                <w:sz w:val="18"/>
              </w:rPr>
            </w:pPr>
            <w:r>
              <w:rPr>
                <w:rFonts w:ascii="Verdana" w:hAnsi="Verdana"/>
                <w:i/>
                <w:noProof/>
                <w:color w:val="000000"/>
                <w:sz w:val="18"/>
              </w:rPr>
              <w:t>1 659</w:t>
            </w:r>
          </w:p>
        </w:tc>
        <w:tc>
          <w:tcPr>
            <w:tcW w:w="2103" w:type="dxa"/>
            <w:tcBorders>
              <w:top w:val="nil"/>
              <w:left w:val="nil"/>
              <w:bottom w:val="single" w:sz="4" w:space="0" w:color="016794"/>
              <w:right w:val="nil"/>
              <w:tl2br w:val="nil"/>
              <w:tr2bl w:val="nil"/>
            </w:tcBorders>
            <w:tcMar>
              <w:left w:w="60" w:type="dxa"/>
              <w:right w:w="60" w:type="dxa"/>
            </w:tcMar>
            <w:vAlign w:val="center"/>
          </w:tcPr>
          <w:p>
            <w:pPr>
              <w:pStyle w:val="DMETW36629BIPFEIAS"/>
              <w:jc w:val="right"/>
              <w:rPr>
                <w:rFonts w:ascii="Verdana" w:eastAsia="Verdana" w:hAnsi="Verdana" w:cs="Verdana"/>
                <w:i/>
                <w:noProof/>
                <w:color w:val="000000"/>
                <w:sz w:val="18"/>
              </w:rPr>
            </w:pPr>
            <w:r>
              <w:rPr>
                <w:rFonts w:ascii="Verdana" w:hAnsi="Verdana"/>
                <w:i/>
                <w:noProof/>
                <w:color w:val="000000"/>
                <w:sz w:val="18"/>
              </w:rPr>
              <w:t>1 883</w:t>
            </w:r>
          </w:p>
        </w:tc>
      </w:tr>
      <w:tr>
        <w:trPr>
          <w:trHeight w:val="255"/>
        </w:trPr>
        <w:tc>
          <w:tcPr>
            <w:tcW w:w="555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29BIPFEIAS"/>
              <w:rPr>
                <w:rFonts w:ascii="Verdana" w:eastAsia="Verdana" w:hAnsi="Verdana" w:cs="Verdana"/>
                <w:b/>
                <w:noProof/>
                <w:color w:val="000000"/>
                <w:sz w:val="18"/>
              </w:rPr>
            </w:pPr>
            <w:r>
              <w:rPr>
                <w:rFonts w:ascii="Verdana" w:hAnsi="Verdana"/>
                <w:b/>
                <w:noProof/>
                <w:color w:val="000000"/>
                <w:sz w:val="18"/>
              </w:rPr>
              <w:t>Total</w:t>
            </w:r>
          </w:p>
        </w:tc>
        <w:tc>
          <w:tcPr>
            <w:tcW w:w="210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29BIPFEIAS"/>
              <w:jc w:val="right"/>
              <w:rPr>
                <w:rFonts w:ascii="Verdana" w:eastAsia="Verdana" w:hAnsi="Verdana" w:cs="Verdana"/>
                <w:b/>
                <w:noProof/>
                <w:color w:val="000000"/>
                <w:sz w:val="18"/>
              </w:rPr>
            </w:pPr>
            <w:r>
              <w:rPr>
                <w:rFonts w:ascii="Verdana" w:hAnsi="Verdana"/>
                <w:b/>
                <w:noProof/>
                <w:color w:val="000000"/>
                <w:sz w:val="18"/>
              </w:rPr>
              <w:t>5 409</w:t>
            </w:r>
          </w:p>
        </w:tc>
        <w:tc>
          <w:tcPr>
            <w:tcW w:w="210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29BIPFEIAS"/>
              <w:jc w:val="right"/>
              <w:rPr>
                <w:rFonts w:ascii="Verdana" w:eastAsia="Verdana" w:hAnsi="Verdana" w:cs="Verdana"/>
                <w:b/>
                <w:noProof/>
                <w:color w:val="000000"/>
                <w:sz w:val="18"/>
              </w:rPr>
            </w:pPr>
            <w:r>
              <w:rPr>
                <w:rFonts w:ascii="Verdana" w:hAnsi="Verdana"/>
                <w:b/>
                <w:noProof/>
                <w:color w:val="000000"/>
                <w:sz w:val="18"/>
              </w:rPr>
              <w:t>3 772</w:t>
            </w:r>
          </w:p>
        </w:tc>
      </w:tr>
      <w:tr>
        <w:trPr>
          <w:trHeight w:val="255"/>
        </w:trPr>
        <w:tc>
          <w:tcPr>
            <w:tcW w:w="5553" w:type="dxa"/>
            <w:tcBorders>
              <w:top w:val="single" w:sz="4" w:space="0" w:color="016794"/>
              <w:left w:val="nil"/>
              <w:bottom w:val="nil"/>
              <w:right w:val="nil"/>
              <w:tl2br w:val="nil"/>
              <w:tr2bl w:val="nil"/>
            </w:tcBorders>
            <w:tcMar>
              <w:left w:w="60" w:type="dxa"/>
              <w:right w:w="60" w:type="dxa"/>
            </w:tcMar>
            <w:vAlign w:val="center"/>
          </w:tcPr>
          <w:p>
            <w:pPr>
              <w:pStyle w:val="DMETW36629BIPFEIAS"/>
              <w:rPr>
                <w:rFonts w:ascii="Verdana" w:eastAsia="Verdana" w:hAnsi="Verdana" w:cs="Verdana"/>
                <w:i/>
                <w:noProof/>
                <w:color w:val="016794"/>
                <w:sz w:val="18"/>
              </w:rPr>
            </w:pPr>
            <w:r>
              <w:rPr>
                <w:rFonts w:ascii="Verdana" w:hAnsi="Verdana"/>
                <w:i/>
                <w:noProof/>
                <w:color w:val="016794"/>
                <w:sz w:val="18"/>
              </w:rPr>
              <w:t>Non courants</w:t>
            </w:r>
          </w:p>
        </w:tc>
        <w:tc>
          <w:tcPr>
            <w:tcW w:w="2102" w:type="dxa"/>
            <w:tcBorders>
              <w:top w:val="single" w:sz="4" w:space="0" w:color="016794"/>
              <w:left w:val="nil"/>
              <w:bottom w:val="nil"/>
              <w:right w:val="nil"/>
              <w:tl2br w:val="nil"/>
              <w:tr2bl w:val="nil"/>
            </w:tcBorders>
            <w:tcMar>
              <w:left w:w="60" w:type="dxa"/>
              <w:right w:w="60" w:type="dxa"/>
            </w:tcMar>
            <w:vAlign w:val="center"/>
          </w:tcPr>
          <w:p>
            <w:pPr>
              <w:pStyle w:val="DMETW36629BIPFEIAS"/>
              <w:jc w:val="right"/>
              <w:rPr>
                <w:rFonts w:ascii="Verdana" w:eastAsia="Verdana" w:hAnsi="Verdana" w:cs="Verdana"/>
                <w:i/>
                <w:noProof/>
                <w:color w:val="016794"/>
                <w:sz w:val="18"/>
              </w:rPr>
            </w:pPr>
            <w:r>
              <w:rPr>
                <w:rFonts w:ascii="Verdana" w:hAnsi="Verdana"/>
                <w:i/>
                <w:noProof/>
                <w:color w:val="016794"/>
                <w:sz w:val="18"/>
              </w:rPr>
              <w:t>2 933</w:t>
            </w:r>
          </w:p>
        </w:tc>
        <w:tc>
          <w:tcPr>
            <w:tcW w:w="2103" w:type="dxa"/>
            <w:tcBorders>
              <w:top w:val="single" w:sz="4" w:space="0" w:color="016794"/>
              <w:left w:val="nil"/>
              <w:bottom w:val="nil"/>
              <w:right w:val="nil"/>
              <w:tl2br w:val="nil"/>
              <w:tr2bl w:val="nil"/>
            </w:tcBorders>
            <w:tcMar>
              <w:left w:w="60" w:type="dxa"/>
              <w:right w:w="60" w:type="dxa"/>
            </w:tcMar>
            <w:vAlign w:val="center"/>
          </w:tcPr>
          <w:p>
            <w:pPr>
              <w:pStyle w:val="DMETW36629BIPFEIAS"/>
              <w:jc w:val="right"/>
              <w:rPr>
                <w:rFonts w:ascii="Verdana" w:eastAsia="Verdana" w:hAnsi="Verdana" w:cs="Verdana"/>
                <w:i/>
                <w:noProof/>
                <w:color w:val="016794"/>
                <w:sz w:val="18"/>
              </w:rPr>
            </w:pPr>
            <w:r>
              <w:rPr>
                <w:rFonts w:ascii="Verdana" w:hAnsi="Verdana"/>
                <w:i/>
                <w:noProof/>
                <w:color w:val="016794"/>
                <w:sz w:val="18"/>
              </w:rPr>
              <w:t>1 682</w:t>
            </w:r>
          </w:p>
        </w:tc>
      </w:tr>
      <w:tr>
        <w:trPr>
          <w:trHeight w:val="255"/>
        </w:trPr>
        <w:tc>
          <w:tcPr>
            <w:tcW w:w="5553" w:type="dxa"/>
            <w:tcBorders>
              <w:top w:val="nil"/>
              <w:left w:val="nil"/>
              <w:bottom w:val="nil"/>
              <w:right w:val="nil"/>
              <w:tl2br w:val="nil"/>
              <w:tr2bl w:val="nil"/>
            </w:tcBorders>
            <w:tcMar>
              <w:left w:w="60" w:type="dxa"/>
              <w:right w:w="60" w:type="dxa"/>
            </w:tcMar>
            <w:vAlign w:val="center"/>
          </w:tcPr>
          <w:p>
            <w:pPr>
              <w:pStyle w:val="DMETW36629BIPFEIAS"/>
              <w:rPr>
                <w:rFonts w:ascii="Verdana" w:eastAsia="Verdana" w:hAnsi="Verdana" w:cs="Verdana"/>
                <w:i/>
                <w:noProof/>
                <w:color w:val="016794"/>
                <w:sz w:val="18"/>
              </w:rPr>
            </w:pPr>
            <w:r>
              <w:rPr>
                <w:rFonts w:ascii="Verdana" w:hAnsi="Verdana"/>
                <w:i/>
                <w:noProof/>
                <w:color w:val="016794"/>
                <w:sz w:val="18"/>
              </w:rPr>
              <w:t>Courants</w:t>
            </w:r>
          </w:p>
        </w:tc>
        <w:tc>
          <w:tcPr>
            <w:tcW w:w="2102" w:type="dxa"/>
            <w:tcBorders>
              <w:top w:val="nil"/>
              <w:left w:val="nil"/>
              <w:bottom w:val="nil"/>
              <w:right w:val="nil"/>
              <w:tl2br w:val="nil"/>
              <w:tr2bl w:val="nil"/>
            </w:tcBorders>
            <w:tcMar>
              <w:left w:w="60" w:type="dxa"/>
              <w:right w:w="60" w:type="dxa"/>
            </w:tcMar>
            <w:vAlign w:val="center"/>
          </w:tcPr>
          <w:p>
            <w:pPr>
              <w:pStyle w:val="DMETW36629BIPFEIAS"/>
              <w:jc w:val="right"/>
              <w:rPr>
                <w:rFonts w:ascii="Verdana" w:eastAsia="Verdana" w:hAnsi="Verdana" w:cs="Verdana"/>
                <w:i/>
                <w:noProof/>
                <w:color w:val="016794"/>
                <w:sz w:val="18"/>
              </w:rPr>
            </w:pPr>
            <w:r>
              <w:rPr>
                <w:rFonts w:ascii="Verdana" w:hAnsi="Verdana"/>
                <w:i/>
                <w:noProof/>
                <w:color w:val="016794"/>
                <w:sz w:val="18"/>
              </w:rPr>
              <w:t>2 477</w:t>
            </w:r>
          </w:p>
        </w:tc>
        <w:tc>
          <w:tcPr>
            <w:tcW w:w="2103" w:type="dxa"/>
            <w:tcBorders>
              <w:top w:val="nil"/>
              <w:left w:val="nil"/>
              <w:bottom w:val="nil"/>
              <w:right w:val="nil"/>
              <w:tl2br w:val="nil"/>
              <w:tr2bl w:val="nil"/>
            </w:tcBorders>
            <w:tcMar>
              <w:left w:w="60" w:type="dxa"/>
              <w:right w:w="60" w:type="dxa"/>
            </w:tcMar>
            <w:vAlign w:val="center"/>
          </w:tcPr>
          <w:p>
            <w:pPr>
              <w:pStyle w:val="DMETW36629BIPFEIAS"/>
              <w:jc w:val="right"/>
              <w:rPr>
                <w:rFonts w:ascii="Verdana" w:eastAsia="Verdana" w:hAnsi="Verdana" w:cs="Verdana"/>
                <w:i/>
                <w:noProof/>
                <w:color w:val="016794"/>
                <w:sz w:val="18"/>
              </w:rPr>
            </w:pPr>
            <w:r>
              <w:rPr>
                <w:rFonts w:ascii="Verdana" w:hAnsi="Verdana"/>
                <w:i/>
                <w:noProof/>
                <w:color w:val="016794"/>
                <w:sz w:val="18"/>
              </w:rPr>
              <w:t>2 089</w:t>
            </w:r>
          </w:p>
        </w:tc>
      </w:tr>
    </w:tbl>
    <w:p>
      <w:pPr>
        <w:pStyle w:val="Heading8pNormalCentered"/>
        <w:jc w:val="both"/>
        <w:rPr>
          <w:rFonts w:eastAsia="Times New Roman"/>
          <w:color w:val="016794"/>
          <w:sz w:val="20"/>
          <w:szCs w:val="20"/>
          <w:lang w:eastAsia="en-GB"/>
        </w:rPr>
      </w:pPr>
    </w:p>
    <w:p>
      <w:pPr>
        <w:pStyle w:val="Heading8pNormalCentered"/>
        <w:jc w:val="both"/>
        <w:rPr>
          <w:lang w:bidi="en-GB"/>
        </w:rPr>
      </w:pPr>
    </w:p>
    <w:p>
      <w:pPr>
        <w:pStyle w:val="HEADER5"/>
        <w:rPr>
          <w:noProof/>
        </w:rPr>
      </w:pPr>
      <w:r>
        <w:rPr>
          <w:noProof/>
        </w:rPr>
        <w:t>Avances payées aux États membres pour les instruments financiers en gestion partagée</w:t>
      </w:r>
    </w:p>
    <w:p>
      <w:pPr>
        <w:pStyle w:val="Textstand-alone"/>
      </w:pPr>
      <w:r>
        <w:t>Dans le cadre des programmes des Fonds structurels et d’investissement européens (Fonds ESI), les paiements des avances peuvent être effectués à partir du budget de l’UE en faveur des États membres afin de leur permettre de contribuer aux instruments financiers (sous la forme de prêts, de garanties ou de prises de participation). Ces instruments financiers sont mis en place et gérés sous la responsabilité des États membres, et non de la Commission. Néanmoins, les fonds inutilisés par ces instruments en fin d’exercice demeurent la propriété de l’UE (comme tout préfinancement) et sont donc considérés comme un actif inscrit au bilan de l’Union.</w:t>
      </w:r>
    </w:p>
    <w:p>
      <w:pPr>
        <w:pStyle w:val="DGTextstand-alone"/>
      </w:pPr>
      <w:r>
        <w:t>Dans le domaine de la cohésion, sur les 3,740 milliards d’EUR versés, il est estimé que 3,661 milliards d’EUR étaient inutilisés au 31 décembre 2025.</w:t>
      </w:r>
    </w:p>
    <w:p>
      <w:pPr>
        <w:pStyle w:val="DGTextstand-alone"/>
      </w:pPr>
      <w:r>
        <w:t>Pour le développement rural, 89 millions d’EUR demeuraient inutilisés en fin d’exercice.</w:t>
      </w:r>
    </w:p>
    <w:p>
      <w:pPr>
        <w:pStyle w:val="HEADER5"/>
        <w:rPr>
          <w:b/>
          <w:noProof/>
        </w:rPr>
      </w:pPr>
      <w:r>
        <w:rPr>
          <w:noProof/>
        </w:rPr>
        <w:t>Régimes d’aides</w:t>
      </w:r>
    </w:p>
    <w:p>
      <w:pPr>
        <w:pStyle w:val="Textstand-alone"/>
      </w:pPr>
      <w:r>
        <w:t>Dans le même ordre d’idée que ce qui précède, les montants remboursés</w:t>
      </w:r>
      <w:r>
        <w:rPr>
          <w:color w:val="000000" w:themeColor="text1"/>
        </w:rPr>
        <w:t xml:space="preserve"> correspondant aux avances</w:t>
      </w:r>
      <w:r>
        <w:t xml:space="preserve"> payées par les États membres pour différents régimes d’aides (aides d’État, mesures de marché du FEAGA ou mesures d’investissement du Feader) et non utilisées à la fin de l’exercice sont comptabilisées à l’actif (avances) du bilan de l’UE. La Commission a estimé la valeur de ces avances en se fondant sur les informations communiquées par les États membres; les montants qui en résultent sont inscrits dans la sous-rubrique «Régimes d’aides» présentée ci-dessus. En 2025, le montant de 1,397 milliard d’EUR concerne l’agriculture et le développement rural. Pour la politique de cohésion, les montants inutilisés à la fin de l’exercice ont été estimés à 263 millions d’EUR et concernent le CFP 2021-2027.</w:t>
      </w:r>
    </w:p>
    <w:p>
      <w:pPr>
        <w:rPr>
          <w:rFonts w:ascii="Verdana" w:hAnsi="Verdana"/>
          <w:noProof/>
          <w:sz w:val="18"/>
          <w:szCs w:val="18"/>
        </w:rPr>
      </w:pPr>
      <w:r>
        <w:rPr>
          <w:noProof/>
        </w:rPr>
        <w:br w:type="page"/>
      </w:r>
    </w:p>
    <w:p>
      <w:pPr>
        <w:pStyle w:val="Textstand-alone"/>
        <w:spacing w:before="0" w:after="0"/>
      </w:pPr>
    </w:p>
    <w:bookmarkEnd w:id="116"/>
    <w:p>
      <w:pPr>
        <w:pStyle w:val="Textstand-alone"/>
        <w:spacing w:before="0" w:after="0"/>
        <w:sectPr>
          <w:headerReference w:type="default" r:id="rId89"/>
          <w:footerReference w:type="default" r:id="rId90"/>
          <w:type w:val="continuous"/>
          <w:pgSz w:w="11906" w:h="16838"/>
          <w:pgMar w:top="1134" w:right="1134" w:bottom="1134" w:left="1134" w:header="709" w:footer="709" w:gutter="0"/>
          <w:cols w:space="708"/>
          <w:docGrid w:linePitch="360"/>
        </w:sectPr>
      </w:pPr>
    </w:p>
    <w:p>
      <w:pPr>
        <w:pStyle w:val="HEADER2NOTES"/>
        <w:numPr>
          <w:ilvl w:val="1"/>
          <w:numId w:val="15"/>
        </w:numPr>
        <w:spacing w:before="0"/>
        <w:rPr>
          <w:noProof/>
        </w:rPr>
      </w:pPr>
      <w:bookmarkStart w:id="121" w:name="_DMBM_36720"/>
      <w:r>
        <w:rPr>
          <w:noProof/>
        </w:rPr>
        <w:t>CRÉANCES À RECEVOIR AVEC CONTREPARTIE DIRECTE ET CRÉANCES À RECOUVRER SANS CONTREPARTIE DIRECTE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89"/>
        <w:gridCol w:w="1687"/>
        <w:gridCol w:w="1687"/>
        <w:gridCol w:w="1995"/>
      </w:tblGrid>
      <w:tr>
        <w:trPr>
          <w:trHeight w:val="255"/>
        </w:trPr>
        <w:tc>
          <w:tcPr>
            <w:tcW w:w="4389" w:type="dxa"/>
            <w:tcBorders>
              <w:top w:val="nil"/>
              <w:left w:val="nil"/>
              <w:bottom w:val="nil"/>
              <w:right w:val="nil"/>
              <w:tl2br w:val="nil"/>
              <w:tr2bl w:val="nil"/>
            </w:tcBorders>
            <w:tcMar>
              <w:left w:w="60" w:type="dxa"/>
              <w:right w:w="60" w:type="dxa"/>
            </w:tcMar>
            <w:vAlign w:val="center"/>
          </w:tcPr>
          <w:p>
            <w:pPr>
              <w:pStyle w:val="DMETW36745BIPERNER"/>
              <w:rPr>
                <w:rFonts w:ascii="Verdana" w:eastAsia="Verdana" w:hAnsi="Verdana" w:cs="Verdana"/>
                <w:i/>
                <w:noProof/>
                <w:color w:val="FFFFFF"/>
                <w:sz w:val="16"/>
              </w:rPr>
            </w:pPr>
            <w:bookmarkStart w:id="122" w:name="DOC_TBL00030_1_1"/>
            <w:bookmarkEnd w:id="122"/>
          </w:p>
        </w:tc>
        <w:tc>
          <w:tcPr>
            <w:tcW w:w="1687" w:type="dxa"/>
            <w:tcBorders>
              <w:top w:val="nil"/>
              <w:left w:val="nil"/>
              <w:bottom w:val="nil"/>
              <w:right w:val="nil"/>
              <w:tl2br w:val="nil"/>
              <w:tr2bl w:val="nil"/>
            </w:tcBorders>
            <w:tcMar>
              <w:left w:w="60" w:type="dxa"/>
              <w:right w:w="60" w:type="dxa"/>
            </w:tcMar>
            <w:vAlign w:val="bottom"/>
          </w:tcPr>
          <w:p>
            <w:pPr>
              <w:pStyle w:val="DMETW36745BIPERNER"/>
              <w:rPr>
                <w:rFonts w:ascii="Arial" w:eastAsia="Arial" w:hAnsi="Arial" w:cs="Arial"/>
                <w:noProof/>
                <w:color w:val="000000"/>
              </w:rPr>
            </w:pPr>
          </w:p>
        </w:tc>
        <w:tc>
          <w:tcPr>
            <w:tcW w:w="1687" w:type="dxa"/>
            <w:tcBorders>
              <w:top w:val="nil"/>
              <w:left w:val="nil"/>
              <w:bottom w:val="nil"/>
              <w:right w:val="nil"/>
              <w:tl2br w:val="nil"/>
              <w:tr2bl w:val="nil"/>
            </w:tcBorders>
            <w:tcMar>
              <w:left w:w="60" w:type="dxa"/>
              <w:right w:w="60" w:type="dxa"/>
            </w:tcMar>
            <w:vAlign w:val="bottom"/>
          </w:tcPr>
          <w:p>
            <w:pPr>
              <w:pStyle w:val="DMETW36745BIPERNER"/>
              <w:rPr>
                <w:rFonts w:ascii="Arial" w:eastAsia="Arial" w:hAnsi="Arial" w:cs="Arial"/>
                <w:noProof/>
                <w:color w:val="000000"/>
              </w:rPr>
            </w:pPr>
          </w:p>
        </w:tc>
        <w:tc>
          <w:tcPr>
            <w:tcW w:w="1995" w:type="dxa"/>
            <w:tcBorders>
              <w:top w:val="nil"/>
              <w:left w:val="nil"/>
              <w:bottom w:val="nil"/>
              <w:right w:val="nil"/>
              <w:tl2br w:val="nil"/>
              <w:tr2bl w:val="nil"/>
            </w:tcBorders>
            <w:tcMar>
              <w:left w:w="60" w:type="dxa"/>
              <w:right w:w="60" w:type="dxa"/>
            </w:tcMar>
            <w:vAlign w:val="bottom"/>
          </w:tcPr>
          <w:p>
            <w:pPr>
              <w:pStyle w:val="DMETW36745BIPERNER"/>
              <w:jc w:val="right"/>
              <w:rPr>
                <w:rFonts w:ascii="Verdana" w:eastAsia="Verdana" w:hAnsi="Verdana" w:cs="Verdana"/>
                <w:i/>
                <w:noProof/>
                <w:color w:val="000000"/>
                <w:sz w:val="16"/>
              </w:rPr>
            </w:pPr>
            <w:r>
              <w:rPr>
                <w:rFonts w:ascii="Verdana" w:hAnsi="Verdana"/>
                <w:i/>
                <w:noProof/>
                <w:color w:val="000000"/>
                <w:sz w:val="16"/>
              </w:rPr>
              <w:t>en Mio EUR</w:t>
            </w:r>
          </w:p>
        </w:tc>
      </w:tr>
      <w:tr>
        <w:trPr>
          <w:trHeight w:val="255"/>
        </w:trPr>
        <w:tc>
          <w:tcPr>
            <w:tcW w:w="4389" w:type="dxa"/>
            <w:tcBorders>
              <w:top w:val="nil"/>
              <w:left w:val="nil"/>
              <w:bottom w:val="nil"/>
              <w:right w:val="nil"/>
              <w:tl2br w:val="nil"/>
              <w:tr2bl w:val="nil"/>
            </w:tcBorders>
            <w:shd w:val="solid" w:color="016794" w:fill="FFFFFF"/>
            <w:tcMar>
              <w:left w:w="60" w:type="dxa"/>
              <w:right w:w="60" w:type="dxa"/>
            </w:tcMar>
            <w:vAlign w:val="center"/>
          </w:tcPr>
          <w:p>
            <w:pPr>
              <w:pStyle w:val="DMETW36745BIPERNER"/>
              <w:rPr>
                <w:rFonts w:ascii="Verdana" w:eastAsia="Verdana" w:hAnsi="Verdana" w:cs="Verdana"/>
                <w:noProof/>
                <w:color w:val="FFFFFF"/>
              </w:rPr>
            </w:pPr>
          </w:p>
        </w:tc>
        <w:tc>
          <w:tcPr>
            <w:tcW w:w="1687" w:type="dxa"/>
            <w:tcBorders>
              <w:top w:val="nil"/>
              <w:left w:val="nil"/>
              <w:bottom w:val="nil"/>
              <w:right w:val="nil"/>
              <w:tl2br w:val="nil"/>
              <w:tr2bl w:val="nil"/>
            </w:tcBorders>
            <w:shd w:val="solid" w:color="016794" w:fill="FFFFFF"/>
            <w:tcMar>
              <w:left w:w="60" w:type="dxa"/>
              <w:right w:w="60" w:type="dxa"/>
            </w:tcMar>
            <w:vAlign w:val="center"/>
          </w:tcPr>
          <w:p>
            <w:pPr>
              <w:pStyle w:val="DMETW36745BIPERNER"/>
              <w:jc w:val="center"/>
              <w:rPr>
                <w:rFonts w:ascii="Verdana" w:eastAsia="Verdana" w:hAnsi="Verdana" w:cs="Verdana"/>
                <w:noProof/>
                <w:color w:val="FFFFFF"/>
              </w:rPr>
            </w:pPr>
            <w:r>
              <w:rPr>
                <w:rFonts w:ascii="Verdana" w:hAnsi="Verdana"/>
                <w:noProof/>
                <w:color w:val="FFFFFF"/>
              </w:rPr>
              <w:t>Note</w:t>
            </w:r>
          </w:p>
        </w:tc>
        <w:tc>
          <w:tcPr>
            <w:tcW w:w="1687" w:type="dxa"/>
            <w:tcBorders>
              <w:top w:val="nil"/>
              <w:left w:val="nil"/>
              <w:bottom w:val="nil"/>
              <w:right w:val="nil"/>
              <w:tl2br w:val="nil"/>
              <w:tr2bl w:val="nil"/>
            </w:tcBorders>
            <w:shd w:val="solid" w:color="016794" w:fill="FFFFFF"/>
            <w:tcMar>
              <w:left w:w="60" w:type="dxa"/>
              <w:right w:w="60" w:type="dxa"/>
            </w:tcMar>
            <w:vAlign w:val="center"/>
          </w:tcPr>
          <w:p>
            <w:pPr>
              <w:pStyle w:val="DMETW36745BIPERNER"/>
              <w:jc w:val="right"/>
              <w:rPr>
                <w:rFonts w:ascii="Verdana" w:eastAsia="Verdana" w:hAnsi="Verdana" w:cs="Verdana"/>
                <w:noProof/>
                <w:color w:val="FFFFFF"/>
              </w:rPr>
            </w:pPr>
            <w:r>
              <w:rPr>
                <w:rFonts w:ascii="Verdana" w:hAnsi="Verdana"/>
                <w:noProof/>
                <w:color w:val="FFFFFF"/>
              </w:rPr>
              <w:t>31.12.2025</w:t>
            </w:r>
          </w:p>
        </w:tc>
        <w:tc>
          <w:tcPr>
            <w:tcW w:w="1995" w:type="dxa"/>
            <w:tcBorders>
              <w:top w:val="nil"/>
              <w:left w:val="nil"/>
              <w:bottom w:val="nil"/>
              <w:right w:val="nil"/>
              <w:tl2br w:val="nil"/>
              <w:tr2bl w:val="nil"/>
            </w:tcBorders>
            <w:shd w:val="solid" w:color="016794" w:fill="FFFFFF"/>
            <w:tcMar>
              <w:left w:w="60" w:type="dxa"/>
              <w:right w:w="60" w:type="dxa"/>
            </w:tcMar>
            <w:vAlign w:val="center"/>
          </w:tcPr>
          <w:p>
            <w:pPr>
              <w:pStyle w:val="DMETW36745BIPERNER"/>
              <w:jc w:val="right"/>
              <w:rPr>
                <w:rFonts w:ascii="Verdana" w:eastAsia="Verdana" w:hAnsi="Verdana" w:cs="Verdana"/>
                <w:noProof/>
                <w:color w:val="FFFFFF"/>
              </w:rPr>
            </w:pPr>
            <w:r>
              <w:rPr>
                <w:rFonts w:ascii="Verdana" w:hAnsi="Verdana"/>
                <w:noProof/>
                <w:color w:val="FFFFFF"/>
              </w:rPr>
              <w:t>31.12.2024</w:t>
            </w:r>
          </w:p>
        </w:tc>
      </w:tr>
      <w:tr>
        <w:trPr>
          <w:trHeight w:val="255"/>
        </w:trPr>
        <w:tc>
          <w:tcPr>
            <w:tcW w:w="4389" w:type="dxa"/>
            <w:tcBorders>
              <w:top w:val="nil"/>
              <w:left w:val="nil"/>
              <w:bottom w:val="nil"/>
              <w:right w:val="nil"/>
              <w:tl2br w:val="nil"/>
              <w:tr2bl w:val="nil"/>
            </w:tcBorders>
            <w:tcMar>
              <w:left w:w="60" w:type="dxa"/>
              <w:right w:w="60" w:type="dxa"/>
            </w:tcMar>
            <w:vAlign w:val="center"/>
          </w:tcPr>
          <w:p>
            <w:pPr>
              <w:pStyle w:val="DMETW36745BIPERNER"/>
              <w:rPr>
                <w:rFonts w:ascii="Verdana" w:eastAsia="Verdana" w:hAnsi="Verdana" w:cs="Verdana"/>
                <w:b/>
                <w:noProof/>
                <w:color w:val="000000"/>
                <w:sz w:val="18"/>
              </w:rPr>
            </w:pPr>
            <w:r>
              <w:rPr>
                <w:rFonts w:ascii="Verdana" w:hAnsi="Verdana"/>
                <w:b/>
                <w:noProof/>
                <w:color w:val="000000"/>
                <w:sz w:val="18"/>
              </w:rPr>
              <w:t>Non courantes</w:t>
            </w:r>
          </w:p>
        </w:tc>
        <w:tc>
          <w:tcPr>
            <w:tcW w:w="1687" w:type="dxa"/>
            <w:tcBorders>
              <w:top w:val="nil"/>
              <w:left w:val="nil"/>
              <w:bottom w:val="nil"/>
              <w:right w:val="nil"/>
              <w:tl2br w:val="nil"/>
              <w:tr2bl w:val="nil"/>
            </w:tcBorders>
            <w:tcMar>
              <w:left w:w="60" w:type="dxa"/>
              <w:right w:w="60" w:type="dxa"/>
            </w:tcMar>
            <w:vAlign w:val="center"/>
          </w:tcPr>
          <w:p>
            <w:pPr>
              <w:pStyle w:val="DMETW36745BIPERNER"/>
              <w:jc w:val="center"/>
              <w:rPr>
                <w:rFonts w:ascii="Verdana" w:eastAsia="Verdana" w:hAnsi="Verdana" w:cs="Verdana"/>
                <w:b/>
                <w:noProof/>
                <w:color w:val="000000"/>
                <w:sz w:val="18"/>
              </w:rPr>
            </w:pPr>
          </w:p>
        </w:tc>
        <w:tc>
          <w:tcPr>
            <w:tcW w:w="1687" w:type="dxa"/>
            <w:tcBorders>
              <w:top w:val="nil"/>
              <w:left w:val="nil"/>
              <w:bottom w:val="nil"/>
              <w:right w:val="nil"/>
              <w:tl2br w:val="nil"/>
              <w:tr2bl w:val="nil"/>
            </w:tcBorders>
            <w:tcMar>
              <w:left w:w="60" w:type="dxa"/>
              <w:right w:w="60" w:type="dxa"/>
            </w:tcMar>
            <w:vAlign w:val="center"/>
          </w:tcPr>
          <w:p>
            <w:pPr>
              <w:pStyle w:val="DMETW36745BIPERNER"/>
              <w:rPr>
                <w:rFonts w:ascii="Verdana" w:eastAsia="Verdana" w:hAnsi="Verdana" w:cs="Verdana"/>
                <w:b/>
                <w:noProof/>
                <w:color w:val="000000"/>
                <w:sz w:val="18"/>
              </w:rPr>
            </w:pPr>
          </w:p>
        </w:tc>
        <w:tc>
          <w:tcPr>
            <w:tcW w:w="1995" w:type="dxa"/>
            <w:tcBorders>
              <w:top w:val="nil"/>
              <w:left w:val="nil"/>
              <w:bottom w:val="nil"/>
              <w:right w:val="nil"/>
              <w:tl2br w:val="nil"/>
              <w:tr2bl w:val="nil"/>
            </w:tcBorders>
            <w:tcMar>
              <w:left w:w="60" w:type="dxa"/>
              <w:right w:w="60" w:type="dxa"/>
            </w:tcMar>
            <w:vAlign w:val="center"/>
          </w:tcPr>
          <w:p>
            <w:pPr>
              <w:pStyle w:val="DMETW36745BIPERNER"/>
              <w:rPr>
                <w:rFonts w:ascii="Verdana" w:eastAsia="Verdana" w:hAnsi="Verdana" w:cs="Verdana"/>
                <w:b/>
                <w:noProof/>
                <w:color w:val="000000"/>
                <w:sz w:val="18"/>
                <w:lang w:bidi="en-GB"/>
              </w:rPr>
            </w:pPr>
          </w:p>
        </w:tc>
      </w:tr>
      <w:tr>
        <w:trPr>
          <w:trHeight w:val="255"/>
        </w:trPr>
        <w:tc>
          <w:tcPr>
            <w:tcW w:w="4389" w:type="dxa"/>
            <w:tcBorders>
              <w:top w:val="nil"/>
              <w:left w:val="nil"/>
              <w:bottom w:val="nil"/>
              <w:right w:val="nil"/>
              <w:tl2br w:val="nil"/>
              <w:tr2bl w:val="nil"/>
            </w:tcBorders>
            <w:tcMar>
              <w:left w:w="60" w:type="dxa"/>
              <w:right w:w="60" w:type="dxa"/>
            </w:tcMar>
            <w:vAlign w:val="center"/>
          </w:tcPr>
          <w:p>
            <w:pPr>
              <w:pStyle w:val="DMETW36745BIPERNER"/>
              <w:rPr>
                <w:rFonts w:ascii="Verdana" w:eastAsia="Verdana" w:hAnsi="Verdana" w:cs="Verdana"/>
                <w:i/>
                <w:noProof/>
                <w:color w:val="000000"/>
                <w:sz w:val="18"/>
              </w:rPr>
            </w:pPr>
            <w:r>
              <w:rPr>
                <w:rFonts w:ascii="Verdana" w:hAnsi="Verdana"/>
                <w:i/>
                <w:noProof/>
                <w:color w:val="000000"/>
                <w:sz w:val="18"/>
              </w:rPr>
              <w:t>Créances à recouvrer des opérations sans contrepartie directe</w:t>
            </w:r>
          </w:p>
        </w:tc>
        <w:tc>
          <w:tcPr>
            <w:tcW w:w="1687" w:type="dxa"/>
            <w:tcBorders>
              <w:top w:val="nil"/>
              <w:left w:val="nil"/>
              <w:bottom w:val="nil"/>
              <w:right w:val="nil"/>
              <w:tl2br w:val="nil"/>
              <w:tr2bl w:val="nil"/>
            </w:tcBorders>
            <w:tcMar>
              <w:left w:w="60" w:type="dxa"/>
              <w:right w:w="60" w:type="dxa"/>
            </w:tcMar>
            <w:vAlign w:val="center"/>
          </w:tcPr>
          <w:p>
            <w:pPr>
              <w:pStyle w:val="DMETW36745BIPERNER"/>
              <w:jc w:val="center"/>
              <w:rPr>
                <w:rFonts w:ascii="Verdana" w:eastAsia="Verdana" w:hAnsi="Verdana" w:cs="Verdana"/>
                <w:i/>
                <w:noProof/>
                <w:color w:val="000000"/>
                <w:sz w:val="18"/>
              </w:rPr>
            </w:pPr>
            <w:r>
              <w:rPr>
                <w:rFonts w:ascii="Verdana" w:hAnsi="Verdana"/>
                <w:i/>
                <w:noProof/>
                <w:color w:val="000000"/>
                <w:sz w:val="18"/>
              </w:rPr>
              <w:t>2.6.1</w:t>
            </w:r>
          </w:p>
        </w:tc>
        <w:tc>
          <w:tcPr>
            <w:tcW w:w="1687" w:type="dxa"/>
            <w:tcBorders>
              <w:top w:val="nil"/>
              <w:left w:val="nil"/>
              <w:bottom w:val="nil"/>
              <w:right w:val="nil"/>
              <w:tl2br w:val="nil"/>
              <w:tr2bl w:val="nil"/>
            </w:tcBorders>
            <w:tcMar>
              <w:left w:w="60" w:type="dxa"/>
              <w:right w:w="60" w:type="dxa"/>
            </w:tcMar>
            <w:vAlign w:val="bottom"/>
          </w:tcPr>
          <w:p>
            <w:pPr>
              <w:pStyle w:val="DMETW36745BIPERNER"/>
              <w:jc w:val="right"/>
              <w:rPr>
                <w:rFonts w:ascii="Verdana" w:eastAsia="Verdana" w:hAnsi="Verdana" w:cs="Verdana"/>
                <w:i/>
                <w:noProof/>
                <w:color w:val="000000"/>
                <w:sz w:val="18"/>
              </w:rPr>
            </w:pPr>
            <w:r>
              <w:rPr>
                <w:rFonts w:ascii="Verdana" w:hAnsi="Verdana"/>
                <w:i/>
                <w:noProof/>
                <w:color w:val="000000"/>
                <w:sz w:val="18"/>
              </w:rPr>
              <w:t>10 878</w:t>
            </w:r>
          </w:p>
        </w:tc>
        <w:tc>
          <w:tcPr>
            <w:tcW w:w="1995" w:type="dxa"/>
            <w:tcBorders>
              <w:top w:val="nil"/>
              <w:left w:val="nil"/>
              <w:bottom w:val="nil"/>
              <w:right w:val="nil"/>
              <w:tl2br w:val="nil"/>
              <w:tr2bl w:val="nil"/>
            </w:tcBorders>
            <w:tcMar>
              <w:left w:w="60" w:type="dxa"/>
              <w:right w:w="60" w:type="dxa"/>
            </w:tcMar>
            <w:vAlign w:val="bottom"/>
          </w:tcPr>
          <w:p>
            <w:pPr>
              <w:pStyle w:val="DMETW36745BIPERNER"/>
              <w:jc w:val="right"/>
              <w:rPr>
                <w:rFonts w:ascii="Verdana" w:eastAsia="Verdana" w:hAnsi="Verdana" w:cs="Verdana"/>
                <w:i/>
                <w:noProof/>
                <w:color w:val="000000"/>
                <w:sz w:val="18"/>
              </w:rPr>
            </w:pPr>
            <w:r>
              <w:rPr>
                <w:rFonts w:ascii="Verdana" w:hAnsi="Verdana"/>
                <w:i/>
                <w:noProof/>
                <w:color w:val="000000"/>
                <w:sz w:val="18"/>
              </w:rPr>
              <w:t>11 541</w:t>
            </w:r>
          </w:p>
        </w:tc>
      </w:tr>
      <w:tr>
        <w:trPr>
          <w:trHeight w:val="255"/>
        </w:trPr>
        <w:tc>
          <w:tcPr>
            <w:tcW w:w="4389" w:type="dxa"/>
            <w:tcBorders>
              <w:top w:val="nil"/>
              <w:left w:val="nil"/>
              <w:bottom w:val="nil"/>
              <w:right w:val="nil"/>
              <w:tl2br w:val="nil"/>
              <w:tr2bl w:val="nil"/>
            </w:tcBorders>
            <w:tcMar>
              <w:left w:w="60" w:type="dxa"/>
              <w:right w:w="60" w:type="dxa"/>
            </w:tcMar>
            <w:vAlign w:val="center"/>
          </w:tcPr>
          <w:p>
            <w:pPr>
              <w:pStyle w:val="DMETW36745BIPERNER"/>
              <w:rPr>
                <w:rFonts w:ascii="Verdana" w:eastAsia="Verdana" w:hAnsi="Verdana" w:cs="Verdana"/>
                <w:i/>
                <w:noProof/>
                <w:color w:val="000000"/>
                <w:sz w:val="18"/>
              </w:rPr>
            </w:pPr>
            <w:r>
              <w:rPr>
                <w:rFonts w:ascii="Verdana" w:hAnsi="Verdana"/>
                <w:i/>
                <w:noProof/>
                <w:color w:val="000000"/>
                <w:sz w:val="18"/>
              </w:rPr>
              <w:t>Créances à recevoir des opérations avec contrepartie directe</w:t>
            </w:r>
          </w:p>
        </w:tc>
        <w:tc>
          <w:tcPr>
            <w:tcW w:w="1687" w:type="dxa"/>
            <w:tcBorders>
              <w:top w:val="nil"/>
              <w:left w:val="nil"/>
              <w:bottom w:val="nil"/>
              <w:right w:val="nil"/>
              <w:tl2br w:val="nil"/>
              <w:tr2bl w:val="nil"/>
            </w:tcBorders>
            <w:tcMar>
              <w:left w:w="60" w:type="dxa"/>
              <w:right w:w="60" w:type="dxa"/>
            </w:tcMar>
            <w:vAlign w:val="center"/>
          </w:tcPr>
          <w:p>
            <w:pPr>
              <w:pStyle w:val="DMETW36745BIPERNER"/>
              <w:jc w:val="center"/>
              <w:rPr>
                <w:rFonts w:ascii="Verdana" w:eastAsia="Verdana" w:hAnsi="Verdana" w:cs="Verdana"/>
                <w:i/>
                <w:noProof/>
                <w:color w:val="000000"/>
                <w:sz w:val="18"/>
              </w:rPr>
            </w:pPr>
            <w:r>
              <w:rPr>
                <w:rFonts w:ascii="Verdana" w:hAnsi="Verdana"/>
                <w:i/>
                <w:noProof/>
                <w:color w:val="000000"/>
                <w:sz w:val="18"/>
              </w:rPr>
              <w:t>2.6.2</w:t>
            </w:r>
          </w:p>
        </w:tc>
        <w:tc>
          <w:tcPr>
            <w:tcW w:w="1687" w:type="dxa"/>
            <w:tcBorders>
              <w:top w:val="nil"/>
              <w:left w:val="nil"/>
              <w:bottom w:val="nil"/>
              <w:right w:val="nil"/>
              <w:tl2br w:val="nil"/>
              <w:tr2bl w:val="nil"/>
            </w:tcBorders>
            <w:tcMar>
              <w:left w:w="60" w:type="dxa"/>
              <w:right w:w="60" w:type="dxa"/>
            </w:tcMar>
            <w:vAlign w:val="bottom"/>
          </w:tcPr>
          <w:p>
            <w:pPr>
              <w:pStyle w:val="DMETW36745BIPERNER"/>
              <w:jc w:val="right"/>
              <w:rPr>
                <w:rFonts w:ascii="Verdana" w:eastAsia="Verdana" w:hAnsi="Verdana" w:cs="Verdana"/>
                <w:i/>
                <w:noProof/>
                <w:color w:val="000000"/>
                <w:sz w:val="18"/>
              </w:rPr>
            </w:pPr>
            <w:r>
              <w:rPr>
                <w:rFonts w:ascii="Verdana" w:hAnsi="Verdana"/>
                <w:i/>
                <w:noProof/>
                <w:color w:val="000000"/>
                <w:sz w:val="18"/>
              </w:rPr>
              <w:t>1 786</w:t>
            </w:r>
          </w:p>
        </w:tc>
        <w:tc>
          <w:tcPr>
            <w:tcW w:w="1995" w:type="dxa"/>
            <w:tcBorders>
              <w:top w:val="nil"/>
              <w:left w:val="nil"/>
              <w:bottom w:val="nil"/>
              <w:right w:val="nil"/>
              <w:tl2br w:val="nil"/>
              <w:tr2bl w:val="nil"/>
            </w:tcBorders>
            <w:tcMar>
              <w:left w:w="60" w:type="dxa"/>
              <w:right w:w="60" w:type="dxa"/>
            </w:tcMar>
            <w:vAlign w:val="bottom"/>
          </w:tcPr>
          <w:p>
            <w:pPr>
              <w:pStyle w:val="DMETW36745BIPERNER"/>
              <w:jc w:val="right"/>
              <w:rPr>
                <w:rFonts w:ascii="Verdana" w:eastAsia="Verdana" w:hAnsi="Verdana" w:cs="Verdana"/>
                <w:i/>
                <w:noProof/>
                <w:color w:val="000000"/>
                <w:sz w:val="18"/>
              </w:rPr>
            </w:pPr>
            <w:r>
              <w:rPr>
                <w:rFonts w:ascii="Verdana" w:hAnsi="Verdana"/>
                <w:i/>
                <w:noProof/>
                <w:color w:val="000000"/>
                <w:sz w:val="18"/>
              </w:rPr>
              <w:t>1 731</w:t>
            </w:r>
          </w:p>
        </w:tc>
      </w:tr>
      <w:tr>
        <w:trPr>
          <w:trHeight w:val="255"/>
        </w:trPr>
        <w:tc>
          <w:tcPr>
            <w:tcW w:w="4389" w:type="dxa"/>
            <w:tcBorders>
              <w:top w:val="nil"/>
              <w:left w:val="nil"/>
              <w:bottom w:val="nil"/>
              <w:right w:val="nil"/>
              <w:tl2br w:val="nil"/>
              <w:tr2bl w:val="nil"/>
            </w:tcBorders>
            <w:shd w:val="solid" w:color="CCE1EA" w:fill="FFFFFF"/>
            <w:tcMar>
              <w:left w:w="60" w:type="dxa"/>
              <w:right w:w="60" w:type="dxa"/>
            </w:tcMar>
            <w:vAlign w:val="center"/>
          </w:tcPr>
          <w:p>
            <w:pPr>
              <w:pStyle w:val="DMETW36745BIPERNER"/>
              <w:rPr>
                <w:rFonts w:ascii="Verdana" w:eastAsia="Verdana" w:hAnsi="Verdana" w:cs="Verdana"/>
                <w:b/>
                <w:noProof/>
                <w:color w:val="000000"/>
                <w:sz w:val="18"/>
              </w:rPr>
            </w:pPr>
          </w:p>
        </w:tc>
        <w:tc>
          <w:tcPr>
            <w:tcW w:w="1687" w:type="dxa"/>
            <w:tcBorders>
              <w:top w:val="nil"/>
              <w:left w:val="nil"/>
              <w:bottom w:val="nil"/>
              <w:right w:val="nil"/>
              <w:tl2br w:val="nil"/>
              <w:tr2bl w:val="nil"/>
            </w:tcBorders>
            <w:shd w:val="solid" w:color="CCE1EA" w:fill="FFFFFF"/>
            <w:tcMar>
              <w:left w:w="60" w:type="dxa"/>
              <w:right w:w="60" w:type="dxa"/>
            </w:tcMar>
            <w:vAlign w:val="center"/>
          </w:tcPr>
          <w:p>
            <w:pPr>
              <w:pStyle w:val="DMETW36745BIPERNER"/>
              <w:jc w:val="center"/>
              <w:rPr>
                <w:rFonts w:ascii="Verdana" w:eastAsia="Verdana" w:hAnsi="Verdana" w:cs="Verdana"/>
                <w:noProof/>
                <w:color w:val="000000"/>
                <w:sz w:val="18"/>
              </w:rPr>
            </w:pPr>
          </w:p>
        </w:tc>
        <w:tc>
          <w:tcPr>
            <w:tcW w:w="1687" w:type="dxa"/>
            <w:tcBorders>
              <w:top w:val="nil"/>
              <w:left w:val="nil"/>
              <w:bottom w:val="nil"/>
              <w:right w:val="nil"/>
              <w:tl2br w:val="nil"/>
              <w:tr2bl w:val="nil"/>
            </w:tcBorders>
            <w:shd w:val="solid" w:color="CCE1EA" w:fill="FFFFFF"/>
            <w:tcMar>
              <w:left w:w="60" w:type="dxa"/>
              <w:right w:w="60" w:type="dxa"/>
            </w:tcMar>
            <w:vAlign w:val="bottom"/>
          </w:tcPr>
          <w:p>
            <w:pPr>
              <w:pStyle w:val="DMETW36745BIPERNER"/>
              <w:jc w:val="right"/>
              <w:rPr>
                <w:rFonts w:ascii="Verdana" w:eastAsia="Verdana" w:hAnsi="Verdana" w:cs="Verdana"/>
                <w:b/>
                <w:noProof/>
                <w:color w:val="000000"/>
                <w:sz w:val="18"/>
              </w:rPr>
            </w:pPr>
            <w:r>
              <w:rPr>
                <w:rFonts w:ascii="Verdana" w:hAnsi="Verdana"/>
                <w:b/>
                <w:noProof/>
                <w:color w:val="000000"/>
                <w:sz w:val="18"/>
              </w:rPr>
              <w:t>12 663</w:t>
            </w:r>
          </w:p>
        </w:tc>
        <w:tc>
          <w:tcPr>
            <w:tcW w:w="1995" w:type="dxa"/>
            <w:tcBorders>
              <w:top w:val="nil"/>
              <w:left w:val="nil"/>
              <w:bottom w:val="nil"/>
              <w:right w:val="nil"/>
              <w:tl2br w:val="nil"/>
              <w:tr2bl w:val="nil"/>
            </w:tcBorders>
            <w:shd w:val="solid" w:color="CCE1EA" w:fill="FFFFFF"/>
            <w:tcMar>
              <w:left w:w="60" w:type="dxa"/>
              <w:right w:w="60" w:type="dxa"/>
            </w:tcMar>
            <w:vAlign w:val="bottom"/>
          </w:tcPr>
          <w:p>
            <w:pPr>
              <w:pStyle w:val="DMETW36745BIPERNER"/>
              <w:jc w:val="right"/>
              <w:rPr>
                <w:rFonts w:ascii="Verdana" w:eastAsia="Verdana" w:hAnsi="Verdana" w:cs="Verdana"/>
                <w:b/>
                <w:noProof/>
                <w:color w:val="000000"/>
                <w:sz w:val="18"/>
              </w:rPr>
            </w:pPr>
            <w:r>
              <w:rPr>
                <w:rFonts w:ascii="Verdana" w:hAnsi="Verdana"/>
                <w:b/>
                <w:noProof/>
                <w:color w:val="000000"/>
                <w:sz w:val="18"/>
              </w:rPr>
              <w:t>13 272</w:t>
            </w:r>
          </w:p>
        </w:tc>
      </w:tr>
      <w:tr>
        <w:trPr>
          <w:trHeight w:val="255"/>
        </w:trPr>
        <w:tc>
          <w:tcPr>
            <w:tcW w:w="4389" w:type="dxa"/>
            <w:tcBorders>
              <w:top w:val="nil"/>
              <w:left w:val="nil"/>
              <w:bottom w:val="nil"/>
              <w:right w:val="nil"/>
              <w:tl2br w:val="nil"/>
              <w:tr2bl w:val="nil"/>
            </w:tcBorders>
            <w:tcMar>
              <w:left w:w="60" w:type="dxa"/>
              <w:right w:w="60" w:type="dxa"/>
            </w:tcMar>
            <w:vAlign w:val="center"/>
          </w:tcPr>
          <w:p>
            <w:pPr>
              <w:pStyle w:val="DMETW36745BIPERNER"/>
              <w:rPr>
                <w:rFonts w:ascii="Verdana" w:eastAsia="Verdana" w:hAnsi="Verdana" w:cs="Verdana"/>
                <w:b/>
                <w:noProof/>
                <w:color w:val="000000"/>
                <w:sz w:val="18"/>
              </w:rPr>
            </w:pPr>
            <w:r>
              <w:rPr>
                <w:rFonts w:ascii="Verdana" w:hAnsi="Verdana"/>
                <w:b/>
                <w:noProof/>
                <w:color w:val="000000"/>
                <w:sz w:val="18"/>
              </w:rPr>
              <w:t>Courantes</w:t>
            </w:r>
          </w:p>
        </w:tc>
        <w:tc>
          <w:tcPr>
            <w:tcW w:w="1687" w:type="dxa"/>
            <w:tcBorders>
              <w:top w:val="nil"/>
              <w:left w:val="nil"/>
              <w:bottom w:val="nil"/>
              <w:right w:val="nil"/>
              <w:tl2br w:val="nil"/>
              <w:tr2bl w:val="nil"/>
            </w:tcBorders>
            <w:tcMar>
              <w:left w:w="60" w:type="dxa"/>
              <w:right w:w="60" w:type="dxa"/>
            </w:tcMar>
            <w:vAlign w:val="center"/>
          </w:tcPr>
          <w:p>
            <w:pPr>
              <w:pStyle w:val="DMETW36745BIPERNER"/>
              <w:jc w:val="center"/>
              <w:rPr>
                <w:rFonts w:ascii="Verdana" w:eastAsia="Verdana" w:hAnsi="Verdana" w:cs="Verdana"/>
                <w:b/>
                <w:noProof/>
                <w:color w:val="000000"/>
                <w:sz w:val="18"/>
              </w:rPr>
            </w:pPr>
          </w:p>
        </w:tc>
        <w:tc>
          <w:tcPr>
            <w:tcW w:w="1687" w:type="dxa"/>
            <w:tcBorders>
              <w:top w:val="nil"/>
              <w:left w:val="nil"/>
              <w:bottom w:val="nil"/>
              <w:right w:val="nil"/>
              <w:tl2br w:val="nil"/>
              <w:tr2bl w:val="nil"/>
            </w:tcBorders>
            <w:tcMar>
              <w:left w:w="60" w:type="dxa"/>
              <w:right w:w="60" w:type="dxa"/>
            </w:tcMar>
            <w:vAlign w:val="center"/>
          </w:tcPr>
          <w:p>
            <w:pPr>
              <w:pStyle w:val="DMETW36745BIPERNER"/>
              <w:rPr>
                <w:rFonts w:ascii="Verdana" w:eastAsia="Verdana" w:hAnsi="Verdana" w:cs="Verdana"/>
                <w:b/>
                <w:noProof/>
                <w:color w:val="000000"/>
                <w:sz w:val="18"/>
              </w:rPr>
            </w:pPr>
          </w:p>
        </w:tc>
        <w:tc>
          <w:tcPr>
            <w:tcW w:w="1995" w:type="dxa"/>
            <w:tcBorders>
              <w:top w:val="nil"/>
              <w:left w:val="nil"/>
              <w:bottom w:val="nil"/>
              <w:right w:val="nil"/>
              <w:tl2br w:val="nil"/>
              <w:tr2bl w:val="nil"/>
            </w:tcBorders>
            <w:tcMar>
              <w:left w:w="60" w:type="dxa"/>
              <w:right w:w="60" w:type="dxa"/>
            </w:tcMar>
            <w:vAlign w:val="center"/>
          </w:tcPr>
          <w:p>
            <w:pPr>
              <w:pStyle w:val="DMETW36745BIPERNER"/>
              <w:rPr>
                <w:rFonts w:ascii="Verdana" w:eastAsia="Verdana" w:hAnsi="Verdana" w:cs="Verdana"/>
                <w:b/>
                <w:noProof/>
                <w:color w:val="000000"/>
                <w:sz w:val="18"/>
                <w:lang w:bidi="en-GB"/>
              </w:rPr>
            </w:pPr>
          </w:p>
        </w:tc>
      </w:tr>
      <w:tr>
        <w:trPr>
          <w:trHeight w:val="255"/>
        </w:trPr>
        <w:tc>
          <w:tcPr>
            <w:tcW w:w="4389" w:type="dxa"/>
            <w:tcBorders>
              <w:top w:val="nil"/>
              <w:left w:val="nil"/>
              <w:bottom w:val="nil"/>
              <w:right w:val="nil"/>
              <w:tl2br w:val="nil"/>
              <w:tr2bl w:val="nil"/>
            </w:tcBorders>
            <w:tcMar>
              <w:left w:w="60" w:type="dxa"/>
              <w:right w:w="60" w:type="dxa"/>
            </w:tcMar>
            <w:vAlign w:val="center"/>
          </w:tcPr>
          <w:p>
            <w:pPr>
              <w:pStyle w:val="DMETW36745BIPERNER"/>
              <w:rPr>
                <w:rFonts w:ascii="Verdana" w:eastAsia="Verdana" w:hAnsi="Verdana" w:cs="Verdana"/>
                <w:i/>
                <w:noProof/>
                <w:color w:val="000000"/>
                <w:sz w:val="18"/>
              </w:rPr>
            </w:pPr>
            <w:r>
              <w:rPr>
                <w:rFonts w:ascii="Verdana" w:hAnsi="Verdana"/>
                <w:i/>
                <w:noProof/>
                <w:color w:val="000000"/>
                <w:sz w:val="18"/>
              </w:rPr>
              <w:t>Créances à recouvrer des opérations sans contrepartie directe</w:t>
            </w:r>
          </w:p>
        </w:tc>
        <w:tc>
          <w:tcPr>
            <w:tcW w:w="1687" w:type="dxa"/>
            <w:tcBorders>
              <w:top w:val="nil"/>
              <w:left w:val="nil"/>
              <w:bottom w:val="nil"/>
              <w:right w:val="nil"/>
              <w:tl2br w:val="nil"/>
              <w:tr2bl w:val="nil"/>
            </w:tcBorders>
            <w:tcMar>
              <w:left w:w="60" w:type="dxa"/>
              <w:right w:w="60" w:type="dxa"/>
            </w:tcMar>
            <w:vAlign w:val="center"/>
          </w:tcPr>
          <w:p>
            <w:pPr>
              <w:pStyle w:val="DMETW36745BIPERNER"/>
              <w:jc w:val="center"/>
              <w:rPr>
                <w:rFonts w:ascii="Verdana" w:eastAsia="Verdana" w:hAnsi="Verdana" w:cs="Verdana"/>
                <w:i/>
                <w:noProof/>
                <w:color w:val="000000"/>
                <w:sz w:val="18"/>
              </w:rPr>
            </w:pPr>
            <w:r>
              <w:rPr>
                <w:rFonts w:ascii="Verdana" w:hAnsi="Verdana"/>
                <w:i/>
                <w:noProof/>
                <w:color w:val="000000"/>
                <w:sz w:val="18"/>
              </w:rPr>
              <w:t>2.6.1</w:t>
            </w:r>
          </w:p>
        </w:tc>
        <w:tc>
          <w:tcPr>
            <w:tcW w:w="1687" w:type="dxa"/>
            <w:tcBorders>
              <w:top w:val="nil"/>
              <w:left w:val="nil"/>
              <w:bottom w:val="nil"/>
              <w:right w:val="nil"/>
              <w:tl2br w:val="nil"/>
              <w:tr2bl w:val="nil"/>
            </w:tcBorders>
            <w:tcMar>
              <w:left w:w="60" w:type="dxa"/>
              <w:right w:w="60" w:type="dxa"/>
            </w:tcMar>
            <w:vAlign w:val="bottom"/>
          </w:tcPr>
          <w:p>
            <w:pPr>
              <w:pStyle w:val="DMETW36745BIPERNER"/>
              <w:jc w:val="right"/>
              <w:rPr>
                <w:rFonts w:ascii="Verdana" w:eastAsia="Verdana" w:hAnsi="Verdana" w:cs="Verdana"/>
                <w:i/>
                <w:noProof/>
                <w:color w:val="000000"/>
                <w:sz w:val="18"/>
              </w:rPr>
            </w:pPr>
            <w:r>
              <w:rPr>
                <w:rFonts w:ascii="Verdana" w:hAnsi="Verdana"/>
                <w:i/>
                <w:noProof/>
                <w:color w:val="000000"/>
                <w:sz w:val="18"/>
              </w:rPr>
              <w:t>18 952</w:t>
            </w:r>
          </w:p>
        </w:tc>
        <w:tc>
          <w:tcPr>
            <w:tcW w:w="1995" w:type="dxa"/>
            <w:tcBorders>
              <w:top w:val="nil"/>
              <w:left w:val="nil"/>
              <w:bottom w:val="nil"/>
              <w:right w:val="nil"/>
              <w:tl2br w:val="nil"/>
              <w:tr2bl w:val="nil"/>
            </w:tcBorders>
            <w:tcMar>
              <w:left w:w="60" w:type="dxa"/>
              <w:right w:w="60" w:type="dxa"/>
            </w:tcMar>
            <w:vAlign w:val="bottom"/>
          </w:tcPr>
          <w:p>
            <w:pPr>
              <w:pStyle w:val="DMETW36745BIPERNER"/>
              <w:jc w:val="right"/>
              <w:rPr>
                <w:rFonts w:ascii="Verdana" w:eastAsia="Verdana" w:hAnsi="Verdana" w:cs="Verdana"/>
                <w:i/>
                <w:noProof/>
                <w:color w:val="000000"/>
                <w:sz w:val="18"/>
              </w:rPr>
            </w:pPr>
            <w:r>
              <w:rPr>
                <w:rFonts w:ascii="Verdana" w:hAnsi="Verdana"/>
                <w:i/>
                <w:noProof/>
                <w:color w:val="000000"/>
                <w:sz w:val="18"/>
              </w:rPr>
              <w:t>16 529</w:t>
            </w:r>
          </w:p>
        </w:tc>
      </w:tr>
      <w:tr>
        <w:trPr>
          <w:trHeight w:val="255"/>
        </w:trPr>
        <w:tc>
          <w:tcPr>
            <w:tcW w:w="4389" w:type="dxa"/>
            <w:tcBorders>
              <w:top w:val="nil"/>
              <w:left w:val="nil"/>
              <w:bottom w:val="nil"/>
              <w:right w:val="nil"/>
              <w:tl2br w:val="nil"/>
              <w:tr2bl w:val="nil"/>
            </w:tcBorders>
            <w:tcMar>
              <w:left w:w="60" w:type="dxa"/>
              <w:right w:w="60" w:type="dxa"/>
            </w:tcMar>
            <w:vAlign w:val="center"/>
          </w:tcPr>
          <w:p>
            <w:pPr>
              <w:pStyle w:val="DMETW36745BIPERNER"/>
              <w:rPr>
                <w:rFonts w:ascii="Verdana" w:eastAsia="Verdana" w:hAnsi="Verdana" w:cs="Verdana"/>
                <w:i/>
                <w:noProof/>
                <w:color w:val="000000"/>
                <w:sz w:val="18"/>
              </w:rPr>
            </w:pPr>
            <w:r>
              <w:rPr>
                <w:rFonts w:ascii="Verdana" w:hAnsi="Verdana"/>
                <w:i/>
                <w:noProof/>
                <w:color w:val="000000"/>
                <w:sz w:val="18"/>
              </w:rPr>
              <w:t>Créances à recevoir des opérations avec contrepartie directe</w:t>
            </w:r>
          </w:p>
        </w:tc>
        <w:tc>
          <w:tcPr>
            <w:tcW w:w="1687" w:type="dxa"/>
            <w:tcBorders>
              <w:top w:val="nil"/>
              <w:left w:val="nil"/>
              <w:bottom w:val="nil"/>
              <w:right w:val="nil"/>
              <w:tl2br w:val="nil"/>
              <w:tr2bl w:val="nil"/>
            </w:tcBorders>
            <w:tcMar>
              <w:left w:w="60" w:type="dxa"/>
              <w:right w:w="60" w:type="dxa"/>
            </w:tcMar>
            <w:vAlign w:val="center"/>
          </w:tcPr>
          <w:p>
            <w:pPr>
              <w:pStyle w:val="DMETW36745BIPERNER"/>
              <w:jc w:val="center"/>
              <w:rPr>
                <w:rFonts w:ascii="Verdana" w:eastAsia="Verdana" w:hAnsi="Verdana" w:cs="Verdana"/>
                <w:i/>
                <w:noProof/>
                <w:color w:val="000000"/>
                <w:sz w:val="18"/>
              </w:rPr>
            </w:pPr>
            <w:r>
              <w:rPr>
                <w:rFonts w:ascii="Verdana" w:hAnsi="Verdana"/>
                <w:i/>
                <w:noProof/>
                <w:color w:val="000000"/>
                <w:sz w:val="18"/>
              </w:rPr>
              <w:t>2.6.2</w:t>
            </w:r>
          </w:p>
        </w:tc>
        <w:tc>
          <w:tcPr>
            <w:tcW w:w="1687" w:type="dxa"/>
            <w:tcBorders>
              <w:top w:val="nil"/>
              <w:left w:val="nil"/>
              <w:bottom w:val="nil"/>
              <w:right w:val="nil"/>
              <w:tl2br w:val="nil"/>
              <w:tr2bl w:val="nil"/>
            </w:tcBorders>
            <w:tcMar>
              <w:left w:w="60" w:type="dxa"/>
              <w:right w:w="60" w:type="dxa"/>
            </w:tcMar>
            <w:vAlign w:val="bottom"/>
          </w:tcPr>
          <w:p>
            <w:pPr>
              <w:pStyle w:val="DMETW36745BIPERNER"/>
              <w:jc w:val="right"/>
              <w:rPr>
                <w:rFonts w:ascii="Verdana" w:eastAsia="Verdana" w:hAnsi="Verdana" w:cs="Verdana"/>
                <w:i/>
                <w:noProof/>
                <w:color w:val="000000"/>
                <w:sz w:val="18"/>
              </w:rPr>
            </w:pPr>
            <w:r>
              <w:rPr>
                <w:rFonts w:ascii="Verdana" w:hAnsi="Verdana"/>
                <w:i/>
                <w:noProof/>
                <w:color w:val="000000"/>
                <w:sz w:val="18"/>
              </w:rPr>
              <w:t>2 452</w:t>
            </w:r>
          </w:p>
        </w:tc>
        <w:tc>
          <w:tcPr>
            <w:tcW w:w="1995" w:type="dxa"/>
            <w:tcBorders>
              <w:top w:val="nil"/>
              <w:left w:val="nil"/>
              <w:bottom w:val="nil"/>
              <w:right w:val="nil"/>
              <w:tl2br w:val="nil"/>
              <w:tr2bl w:val="nil"/>
            </w:tcBorders>
            <w:tcMar>
              <w:left w:w="60" w:type="dxa"/>
              <w:right w:w="60" w:type="dxa"/>
            </w:tcMar>
            <w:vAlign w:val="bottom"/>
          </w:tcPr>
          <w:p>
            <w:pPr>
              <w:pStyle w:val="DMETW36745BIPERNER"/>
              <w:jc w:val="right"/>
              <w:rPr>
                <w:rFonts w:ascii="Verdana" w:eastAsia="Verdana" w:hAnsi="Verdana" w:cs="Verdana"/>
                <w:i/>
                <w:noProof/>
                <w:color w:val="000000"/>
                <w:sz w:val="18"/>
              </w:rPr>
            </w:pPr>
            <w:r>
              <w:rPr>
                <w:rFonts w:ascii="Verdana" w:hAnsi="Verdana"/>
                <w:i/>
                <w:noProof/>
                <w:color w:val="000000"/>
                <w:sz w:val="18"/>
              </w:rPr>
              <w:t>1 936</w:t>
            </w:r>
          </w:p>
        </w:tc>
      </w:tr>
      <w:tr>
        <w:trPr>
          <w:trHeight w:val="255"/>
        </w:trPr>
        <w:tc>
          <w:tcPr>
            <w:tcW w:w="4389" w:type="dxa"/>
            <w:tcBorders>
              <w:top w:val="nil"/>
              <w:left w:val="nil"/>
              <w:bottom w:val="nil"/>
              <w:right w:val="nil"/>
              <w:tl2br w:val="nil"/>
              <w:tr2bl w:val="nil"/>
            </w:tcBorders>
            <w:shd w:val="solid" w:color="CCE1EA" w:fill="FFFFFF"/>
            <w:tcMar>
              <w:left w:w="60" w:type="dxa"/>
              <w:right w:w="60" w:type="dxa"/>
            </w:tcMar>
            <w:vAlign w:val="center"/>
          </w:tcPr>
          <w:p>
            <w:pPr>
              <w:pStyle w:val="DMETW36745BIPERNER"/>
              <w:rPr>
                <w:rFonts w:ascii="Verdana" w:eastAsia="Verdana" w:hAnsi="Verdana" w:cs="Verdana"/>
                <w:b/>
                <w:noProof/>
                <w:color w:val="000000"/>
                <w:sz w:val="18"/>
              </w:rPr>
            </w:pPr>
          </w:p>
        </w:tc>
        <w:tc>
          <w:tcPr>
            <w:tcW w:w="1687" w:type="dxa"/>
            <w:tcBorders>
              <w:top w:val="nil"/>
              <w:left w:val="nil"/>
              <w:bottom w:val="nil"/>
              <w:right w:val="nil"/>
              <w:tl2br w:val="nil"/>
              <w:tr2bl w:val="nil"/>
            </w:tcBorders>
            <w:shd w:val="solid" w:color="CCE1EA" w:fill="FFFFFF"/>
            <w:tcMar>
              <w:left w:w="60" w:type="dxa"/>
              <w:right w:w="60" w:type="dxa"/>
            </w:tcMar>
            <w:vAlign w:val="center"/>
          </w:tcPr>
          <w:p>
            <w:pPr>
              <w:pStyle w:val="DMETW36745BIPERNER"/>
              <w:jc w:val="center"/>
              <w:rPr>
                <w:rFonts w:ascii="Verdana" w:eastAsia="Verdana" w:hAnsi="Verdana" w:cs="Verdana"/>
                <w:noProof/>
                <w:color w:val="000000"/>
                <w:sz w:val="18"/>
              </w:rPr>
            </w:pPr>
          </w:p>
        </w:tc>
        <w:tc>
          <w:tcPr>
            <w:tcW w:w="1687" w:type="dxa"/>
            <w:tcBorders>
              <w:top w:val="nil"/>
              <w:left w:val="nil"/>
              <w:bottom w:val="nil"/>
              <w:right w:val="nil"/>
              <w:tl2br w:val="nil"/>
              <w:tr2bl w:val="nil"/>
            </w:tcBorders>
            <w:shd w:val="solid" w:color="CCE1EA" w:fill="FFFFFF"/>
            <w:tcMar>
              <w:left w:w="60" w:type="dxa"/>
              <w:right w:w="60" w:type="dxa"/>
            </w:tcMar>
            <w:vAlign w:val="bottom"/>
          </w:tcPr>
          <w:p>
            <w:pPr>
              <w:pStyle w:val="DMETW36745BIPERNER"/>
              <w:jc w:val="right"/>
              <w:rPr>
                <w:rFonts w:ascii="Verdana" w:eastAsia="Verdana" w:hAnsi="Verdana" w:cs="Verdana"/>
                <w:b/>
                <w:noProof/>
                <w:color w:val="000000"/>
                <w:sz w:val="18"/>
              </w:rPr>
            </w:pPr>
            <w:r>
              <w:rPr>
                <w:rFonts w:ascii="Verdana" w:hAnsi="Verdana"/>
                <w:b/>
                <w:noProof/>
                <w:color w:val="000000"/>
                <w:sz w:val="18"/>
              </w:rPr>
              <w:t>21 404</w:t>
            </w:r>
          </w:p>
        </w:tc>
        <w:tc>
          <w:tcPr>
            <w:tcW w:w="1995" w:type="dxa"/>
            <w:tcBorders>
              <w:top w:val="nil"/>
              <w:left w:val="nil"/>
              <w:bottom w:val="nil"/>
              <w:right w:val="nil"/>
              <w:tl2br w:val="nil"/>
              <w:tr2bl w:val="nil"/>
            </w:tcBorders>
            <w:shd w:val="solid" w:color="CCE1EA" w:fill="FFFFFF"/>
            <w:tcMar>
              <w:left w:w="60" w:type="dxa"/>
              <w:right w:w="60" w:type="dxa"/>
            </w:tcMar>
            <w:vAlign w:val="bottom"/>
          </w:tcPr>
          <w:p>
            <w:pPr>
              <w:pStyle w:val="DMETW36745BIPERNER"/>
              <w:jc w:val="right"/>
              <w:rPr>
                <w:rFonts w:ascii="Verdana" w:eastAsia="Verdana" w:hAnsi="Verdana" w:cs="Verdana"/>
                <w:b/>
                <w:noProof/>
                <w:color w:val="000000"/>
                <w:sz w:val="18"/>
              </w:rPr>
            </w:pPr>
            <w:r>
              <w:rPr>
                <w:rFonts w:ascii="Verdana" w:hAnsi="Verdana"/>
                <w:b/>
                <w:noProof/>
                <w:color w:val="000000"/>
                <w:sz w:val="18"/>
              </w:rPr>
              <w:t>18 465</w:t>
            </w:r>
          </w:p>
        </w:tc>
      </w:tr>
      <w:tr>
        <w:trPr>
          <w:trHeight w:val="255"/>
        </w:trPr>
        <w:tc>
          <w:tcPr>
            <w:tcW w:w="4389" w:type="dxa"/>
            <w:tcBorders>
              <w:top w:val="nil"/>
              <w:left w:val="nil"/>
              <w:bottom w:val="single" w:sz="4" w:space="0" w:color="016794"/>
              <w:right w:val="nil"/>
              <w:tl2br w:val="nil"/>
              <w:tr2bl w:val="nil"/>
            </w:tcBorders>
            <w:tcMar>
              <w:left w:w="60" w:type="dxa"/>
              <w:right w:w="60" w:type="dxa"/>
            </w:tcMar>
            <w:vAlign w:val="center"/>
          </w:tcPr>
          <w:p>
            <w:pPr>
              <w:pStyle w:val="DMETW36745BIPERNER"/>
              <w:rPr>
                <w:rFonts w:ascii="Verdana" w:eastAsia="Verdana" w:hAnsi="Verdana" w:cs="Verdana"/>
                <w:b/>
                <w:noProof/>
                <w:color w:val="000000"/>
                <w:sz w:val="18"/>
              </w:rPr>
            </w:pPr>
            <w:r>
              <w:rPr>
                <w:rFonts w:ascii="Verdana" w:hAnsi="Verdana"/>
                <w:b/>
                <w:noProof/>
                <w:color w:val="000000"/>
                <w:sz w:val="18"/>
              </w:rPr>
              <w:t>Total</w:t>
            </w:r>
          </w:p>
        </w:tc>
        <w:tc>
          <w:tcPr>
            <w:tcW w:w="1687" w:type="dxa"/>
            <w:tcBorders>
              <w:top w:val="nil"/>
              <w:left w:val="nil"/>
              <w:bottom w:val="single" w:sz="4" w:space="0" w:color="016794"/>
              <w:right w:val="nil"/>
              <w:tl2br w:val="nil"/>
              <w:tr2bl w:val="nil"/>
            </w:tcBorders>
            <w:tcMar>
              <w:left w:w="60" w:type="dxa"/>
              <w:right w:w="60" w:type="dxa"/>
            </w:tcMar>
            <w:vAlign w:val="center"/>
          </w:tcPr>
          <w:p>
            <w:pPr>
              <w:pStyle w:val="DMETW36745BIPERNER"/>
              <w:jc w:val="center"/>
              <w:rPr>
                <w:rFonts w:ascii="Verdana" w:eastAsia="Verdana" w:hAnsi="Verdana" w:cs="Verdana"/>
                <w:noProof/>
                <w:color w:val="000000"/>
                <w:sz w:val="18"/>
              </w:rPr>
            </w:pPr>
          </w:p>
        </w:tc>
        <w:tc>
          <w:tcPr>
            <w:tcW w:w="1687" w:type="dxa"/>
            <w:tcBorders>
              <w:top w:val="nil"/>
              <w:left w:val="nil"/>
              <w:bottom w:val="single" w:sz="4" w:space="0" w:color="016794"/>
              <w:right w:val="nil"/>
              <w:tl2br w:val="nil"/>
              <w:tr2bl w:val="nil"/>
            </w:tcBorders>
            <w:tcMar>
              <w:left w:w="60" w:type="dxa"/>
              <w:right w:w="60" w:type="dxa"/>
            </w:tcMar>
            <w:vAlign w:val="bottom"/>
          </w:tcPr>
          <w:p>
            <w:pPr>
              <w:pStyle w:val="DMETW36745BIPERNER"/>
              <w:jc w:val="right"/>
              <w:rPr>
                <w:rFonts w:ascii="Verdana" w:eastAsia="Verdana" w:hAnsi="Verdana" w:cs="Verdana"/>
                <w:b/>
                <w:noProof/>
                <w:color w:val="000000"/>
                <w:sz w:val="18"/>
              </w:rPr>
            </w:pPr>
            <w:r>
              <w:rPr>
                <w:rFonts w:ascii="Verdana" w:hAnsi="Verdana"/>
                <w:b/>
                <w:noProof/>
                <w:color w:val="000000"/>
                <w:sz w:val="18"/>
              </w:rPr>
              <w:t>34 068</w:t>
            </w:r>
          </w:p>
        </w:tc>
        <w:tc>
          <w:tcPr>
            <w:tcW w:w="1995" w:type="dxa"/>
            <w:tcBorders>
              <w:top w:val="nil"/>
              <w:left w:val="nil"/>
              <w:bottom w:val="single" w:sz="4" w:space="0" w:color="016794"/>
              <w:right w:val="nil"/>
              <w:tl2br w:val="nil"/>
              <w:tr2bl w:val="nil"/>
            </w:tcBorders>
            <w:tcMar>
              <w:left w:w="60" w:type="dxa"/>
              <w:right w:w="60" w:type="dxa"/>
            </w:tcMar>
            <w:vAlign w:val="bottom"/>
          </w:tcPr>
          <w:p>
            <w:pPr>
              <w:pStyle w:val="DMETW36745BIPERNER"/>
              <w:jc w:val="right"/>
              <w:rPr>
                <w:rFonts w:ascii="Verdana" w:eastAsia="Verdana" w:hAnsi="Verdana" w:cs="Verdana"/>
                <w:b/>
                <w:noProof/>
                <w:color w:val="000000"/>
                <w:sz w:val="18"/>
              </w:rPr>
            </w:pPr>
            <w:r>
              <w:rPr>
                <w:rFonts w:ascii="Verdana" w:hAnsi="Verdana"/>
                <w:b/>
                <w:noProof/>
                <w:color w:val="000000"/>
                <w:sz w:val="18"/>
              </w:rPr>
              <w:t>31 736</w:t>
            </w:r>
          </w:p>
        </w:tc>
      </w:tr>
    </w:tbl>
    <w:p>
      <w:pPr>
        <w:pStyle w:val="HEADER3NOTES"/>
        <w:numPr>
          <w:ilvl w:val="2"/>
          <w:numId w:val="15"/>
        </w:numPr>
        <w:spacing w:after="120"/>
        <w:rPr>
          <w:noProof/>
        </w:rPr>
      </w:pPr>
      <w:r>
        <w:rPr>
          <w:noProof/>
        </w:rPr>
        <w:t>Créances à recouvrer des opérations sans contrepartie directe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89"/>
        <w:gridCol w:w="1687"/>
        <w:gridCol w:w="1687"/>
        <w:gridCol w:w="1995"/>
      </w:tblGrid>
      <w:tr>
        <w:trPr>
          <w:trHeight w:val="255"/>
        </w:trPr>
        <w:tc>
          <w:tcPr>
            <w:tcW w:w="4389" w:type="dxa"/>
            <w:tcBorders>
              <w:top w:val="nil"/>
              <w:left w:val="nil"/>
              <w:bottom w:val="nil"/>
              <w:right w:val="nil"/>
              <w:tl2br w:val="nil"/>
              <w:tr2bl w:val="nil"/>
            </w:tcBorders>
            <w:tcMar>
              <w:left w:w="60" w:type="dxa"/>
              <w:right w:w="60" w:type="dxa"/>
            </w:tcMar>
            <w:vAlign w:val="center"/>
          </w:tcPr>
          <w:p>
            <w:pPr>
              <w:pStyle w:val="DMETW36745BIPRNET"/>
              <w:rPr>
                <w:rFonts w:ascii="Verdana" w:eastAsia="Verdana" w:hAnsi="Verdana" w:cs="Verdana"/>
                <w:i/>
                <w:noProof/>
                <w:color w:val="FFFFFF"/>
                <w:sz w:val="16"/>
              </w:rPr>
            </w:pPr>
            <w:bookmarkStart w:id="123" w:name="DOC_TBL00031_1_1"/>
            <w:bookmarkEnd w:id="123"/>
          </w:p>
        </w:tc>
        <w:tc>
          <w:tcPr>
            <w:tcW w:w="1687" w:type="dxa"/>
            <w:tcBorders>
              <w:top w:val="nil"/>
              <w:left w:val="nil"/>
              <w:bottom w:val="nil"/>
              <w:right w:val="nil"/>
              <w:tl2br w:val="nil"/>
              <w:tr2bl w:val="nil"/>
            </w:tcBorders>
            <w:tcMar>
              <w:left w:w="60" w:type="dxa"/>
              <w:right w:w="60" w:type="dxa"/>
            </w:tcMar>
            <w:vAlign w:val="bottom"/>
          </w:tcPr>
          <w:p>
            <w:pPr>
              <w:pStyle w:val="DMETW36745BIPRNET"/>
              <w:rPr>
                <w:rFonts w:ascii="Arial" w:eastAsia="Arial" w:hAnsi="Arial" w:cs="Arial"/>
                <w:noProof/>
                <w:color w:val="000000"/>
              </w:rPr>
            </w:pPr>
          </w:p>
        </w:tc>
        <w:tc>
          <w:tcPr>
            <w:tcW w:w="1687" w:type="dxa"/>
            <w:tcBorders>
              <w:top w:val="nil"/>
              <w:left w:val="nil"/>
              <w:bottom w:val="nil"/>
              <w:right w:val="nil"/>
              <w:tl2br w:val="nil"/>
              <w:tr2bl w:val="nil"/>
            </w:tcBorders>
            <w:tcMar>
              <w:left w:w="60" w:type="dxa"/>
              <w:right w:w="60" w:type="dxa"/>
            </w:tcMar>
            <w:vAlign w:val="bottom"/>
          </w:tcPr>
          <w:p>
            <w:pPr>
              <w:pStyle w:val="DMETW36745BIPRNET"/>
              <w:rPr>
                <w:rFonts w:ascii="Arial" w:eastAsia="Arial" w:hAnsi="Arial" w:cs="Arial"/>
                <w:noProof/>
                <w:color w:val="000000"/>
              </w:rPr>
            </w:pPr>
          </w:p>
        </w:tc>
        <w:tc>
          <w:tcPr>
            <w:tcW w:w="1995" w:type="dxa"/>
            <w:tcBorders>
              <w:top w:val="nil"/>
              <w:left w:val="nil"/>
              <w:bottom w:val="nil"/>
              <w:right w:val="nil"/>
              <w:tl2br w:val="nil"/>
              <w:tr2bl w:val="nil"/>
            </w:tcBorders>
            <w:tcMar>
              <w:left w:w="60" w:type="dxa"/>
              <w:right w:w="60" w:type="dxa"/>
            </w:tcMar>
            <w:vAlign w:val="bottom"/>
          </w:tcPr>
          <w:p>
            <w:pPr>
              <w:pStyle w:val="DMETW36745BIPRNET"/>
              <w:jc w:val="right"/>
              <w:rPr>
                <w:rFonts w:ascii="Verdana" w:eastAsia="Verdana" w:hAnsi="Verdana" w:cs="Verdana"/>
                <w:i/>
                <w:noProof/>
                <w:color w:val="000000"/>
                <w:sz w:val="16"/>
              </w:rPr>
            </w:pPr>
            <w:r>
              <w:rPr>
                <w:rFonts w:ascii="Verdana" w:hAnsi="Verdana"/>
                <w:i/>
                <w:noProof/>
                <w:color w:val="000000"/>
                <w:sz w:val="16"/>
              </w:rPr>
              <w:t>en Mio EUR</w:t>
            </w:r>
          </w:p>
        </w:tc>
      </w:tr>
      <w:tr>
        <w:trPr>
          <w:trHeight w:val="255"/>
        </w:trPr>
        <w:tc>
          <w:tcPr>
            <w:tcW w:w="4389" w:type="dxa"/>
            <w:tcBorders>
              <w:top w:val="nil"/>
              <w:left w:val="nil"/>
              <w:bottom w:val="nil"/>
              <w:right w:val="nil"/>
              <w:tl2br w:val="nil"/>
              <w:tr2bl w:val="nil"/>
            </w:tcBorders>
            <w:shd w:val="solid" w:color="016794" w:fill="FFFFFF"/>
            <w:tcMar>
              <w:left w:w="60" w:type="dxa"/>
              <w:right w:w="60" w:type="dxa"/>
            </w:tcMar>
            <w:vAlign w:val="center"/>
          </w:tcPr>
          <w:p>
            <w:pPr>
              <w:pStyle w:val="DMETW36745BIPRNET"/>
              <w:rPr>
                <w:rFonts w:ascii="Verdana" w:eastAsia="Verdana" w:hAnsi="Verdana" w:cs="Verdana"/>
                <w:noProof/>
                <w:color w:val="FFFFFF"/>
              </w:rPr>
            </w:pPr>
          </w:p>
        </w:tc>
        <w:tc>
          <w:tcPr>
            <w:tcW w:w="1687" w:type="dxa"/>
            <w:tcBorders>
              <w:top w:val="nil"/>
              <w:left w:val="nil"/>
              <w:bottom w:val="nil"/>
              <w:right w:val="nil"/>
              <w:tl2br w:val="nil"/>
              <w:tr2bl w:val="nil"/>
            </w:tcBorders>
            <w:shd w:val="solid" w:color="016794" w:fill="FFFFFF"/>
            <w:tcMar>
              <w:left w:w="60" w:type="dxa"/>
              <w:right w:w="60" w:type="dxa"/>
            </w:tcMar>
            <w:vAlign w:val="center"/>
          </w:tcPr>
          <w:p>
            <w:pPr>
              <w:pStyle w:val="DMETW36745BIPRNET"/>
              <w:jc w:val="center"/>
              <w:rPr>
                <w:rFonts w:ascii="Verdana" w:eastAsia="Verdana" w:hAnsi="Verdana" w:cs="Verdana"/>
                <w:noProof/>
                <w:color w:val="FFFFFF"/>
              </w:rPr>
            </w:pPr>
            <w:r>
              <w:rPr>
                <w:rFonts w:ascii="Verdana" w:hAnsi="Verdana"/>
                <w:noProof/>
                <w:color w:val="FFFFFF"/>
              </w:rPr>
              <w:t>Note</w:t>
            </w:r>
          </w:p>
        </w:tc>
        <w:tc>
          <w:tcPr>
            <w:tcW w:w="1687" w:type="dxa"/>
            <w:tcBorders>
              <w:top w:val="nil"/>
              <w:left w:val="nil"/>
              <w:bottom w:val="nil"/>
              <w:right w:val="nil"/>
              <w:tl2br w:val="nil"/>
              <w:tr2bl w:val="nil"/>
            </w:tcBorders>
            <w:shd w:val="solid" w:color="016794" w:fill="FFFFFF"/>
            <w:tcMar>
              <w:left w:w="60" w:type="dxa"/>
              <w:right w:w="60" w:type="dxa"/>
            </w:tcMar>
            <w:vAlign w:val="center"/>
          </w:tcPr>
          <w:p>
            <w:pPr>
              <w:pStyle w:val="DMETW36745BIPRNET"/>
              <w:jc w:val="right"/>
              <w:rPr>
                <w:rFonts w:ascii="Verdana" w:eastAsia="Verdana" w:hAnsi="Verdana" w:cs="Verdana"/>
                <w:noProof/>
                <w:color w:val="FFFFFF"/>
              </w:rPr>
            </w:pPr>
            <w:r>
              <w:rPr>
                <w:rFonts w:ascii="Verdana" w:hAnsi="Verdana"/>
                <w:noProof/>
                <w:color w:val="FFFFFF"/>
              </w:rPr>
              <w:t>31.12.2025</w:t>
            </w:r>
          </w:p>
        </w:tc>
        <w:tc>
          <w:tcPr>
            <w:tcW w:w="1995" w:type="dxa"/>
            <w:tcBorders>
              <w:top w:val="nil"/>
              <w:left w:val="nil"/>
              <w:bottom w:val="nil"/>
              <w:right w:val="nil"/>
              <w:tl2br w:val="nil"/>
              <w:tr2bl w:val="nil"/>
            </w:tcBorders>
            <w:shd w:val="solid" w:color="016794" w:fill="FFFFFF"/>
            <w:tcMar>
              <w:left w:w="60" w:type="dxa"/>
              <w:right w:w="60" w:type="dxa"/>
            </w:tcMar>
            <w:vAlign w:val="center"/>
          </w:tcPr>
          <w:p>
            <w:pPr>
              <w:pStyle w:val="DMETW36745BIPRNET"/>
              <w:jc w:val="right"/>
              <w:rPr>
                <w:rFonts w:ascii="Verdana" w:eastAsia="Verdana" w:hAnsi="Verdana" w:cs="Verdana"/>
                <w:noProof/>
                <w:color w:val="FFFFFF"/>
              </w:rPr>
            </w:pPr>
            <w:r>
              <w:rPr>
                <w:rFonts w:ascii="Verdana" w:hAnsi="Verdana"/>
                <w:noProof/>
                <w:color w:val="FFFFFF"/>
              </w:rPr>
              <w:t>31.12.2024</w:t>
            </w:r>
          </w:p>
        </w:tc>
      </w:tr>
      <w:tr>
        <w:trPr>
          <w:trHeight w:val="255"/>
        </w:trPr>
        <w:tc>
          <w:tcPr>
            <w:tcW w:w="4389" w:type="dxa"/>
            <w:tcBorders>
              <w:top w:val="nil"/>
              <w:left w:val="nil"/>
              <w:bottom w:val="nil"/>
              <w:right w:val="nil"/>
              <w:tl2br w:val="nil"/>
              <w:tr2bl w:val="nil"/>
            </w:tcBorders>
            <w:tcMar>
              <w:left w:w="60" w:type="dxa"/>
              <w:right w:w="60" w:type="dxa"/>
            </w:tcMar>
            <w:vAlign w:val="center"/>
          </w:tcPr>
          <w:p>
            <w:pPr>
              <w:pStyle w:val="DMETW36745BIPRNET"/>
              <w:rPr>
                <w:rFonts w:ascii="Verdana" w:eastAsia="Verdana" w:hAnsi="Verdana" w:cs="Verdana"/>
                <w:b/>
                <w:noProof/>
                <w:color w:val="000000"/>
                <w:sz w:val="18"/>
              </w:rPr>
            </w:pPr>
            <w:r>
              <w:rPr>
                <w:rFonts w:ascii="Verdana" w:hAnsi="Verdana"/>
                <w:b/>
                <w:noProof/>
                <w:color w:val="000000"/>
                <w:sz w:val="18"/>
              </w:rPr>
              <w:t>Non courantes</w:t>
            </w:r>
          </w:p>
        </w:tc>
        <w:tc>
          <w:tcPr>
            <w:tcW w:w="1687" w:type="dxa"/>
            <w:tcBorders>
              <w:top w:val="nil"/>
              <w:left w:val="nil"/>
              <w:bottom w:val="nil"/>
              <w:right w:val="nil"/>
              <w:tl2br w:val="nil"/>
              <w:tr2bl w:val="nil"/>
            </w:tcBorders>
            <w:tcMar>
              <w:left w:w="60" w:type="dxa"/>
              <w:right w:w="60" w:type="dxa"/>
            </w:tcMar>
            <w:vAlign w:val="center"/>
          </w:tcPr>
          <w:p>
            <w:pPr>
              <w:pStyle w:val="DMETW36745BIPRNET"/>
              <w:jc w:val="center"/>
              <w:rPr>
                <w:rFonts w:ascii="Verdana" w:eastAsia="Verdana" w:hAnsi="Verdana" w:cs="Verdana"/>
                <w:b/>
                <w:noProof/>
                <w:color w:val="000000"/>
                <w:sz w:val="18"/>
              </w:rPr>
            </w:pPr>
          </w:p>
        </w:tc>
        <w:tc>
          <w:tcPr>
            <w:tcW w:w="1687" w:type="dxa"/>
            <w:tcBorders>
              <w:top w:val="nil"/>
              <w:left w:val="nil"/>
              <w:bottom w:val="nil"/>
              <w:right w:val="nil"/>
              <w:tl2br w:val="nil"/>
              <w:tr2bl w:val="nil"/>
            </w:tcBorders>
            <w:tcMar>
              <w:left w:w="60" w:type="dxa"/>
              <w:right w:w="60" w:type="dxa"/>
            </w:tcMar>
            <w:vAlign w:val="center"/>
          </w:tcPr>
          <w:p>
            <w:pPr>
              <w:pStyle w:val="DMETW36745BIPRNET"/>
              <w:rPr>
                <w:rFonts w:ascii="Verdana" w:eastAsia="Verdana" w:hAnsi="Verdana" w:cs="Verdana"/>
                <w:b/>
                <w:noProof/>
                <w:color w:val="000000"/>
                <w:sz w:val="18"/>
              </w:rPr>
            </w:pPr>
          </w:p>
        </w:tc>
        <w:tc>
          <w:tcPr>
            <w:tcW w:w="1995" w:type="dxa"/>
            <w:tcBorders>
              <w:top w:val="nil"/>
              <w:left w:val="nil"/>
              <w:bottom w:val="nil"/>
              <w:right w:val="nil"/>
              <w:tl2br w:val="nil"/>
              <w:tr2bl w:val="nil"/>
            </w:tcBorders>
            <w:tcMar>
              <w:left w:w="60" w:type="dxa"/>
              <w:right w:w="60" w:type="dxa"/>
            </w:tcMar>
            <w:vAlign w:val="center"/>
          </w:tcPr>
          <w:p>
            <w:pPr>
              <w:pStyle w:val="DMETW36745BIPRNET"/>
              <w:rPr>
                <w:rFonts w:ascii="Verdana" w:eastAsia="Verdana" w:hAnsi="Verdana" w:cs="Verdana"/>
                <w:b/>
                <w:noProof/>
                <w:color w:val="000000"/>
                <w:sz w:val="18"/>
                <w:lang w:bidi="en-GB"/>
              </w:rPr>
            </w:pPr>
          </w:p>
        </w:tc>
      </w:tr>
      <w:tr>
        <w:trPr>
          <w:trHeight w:val="255"/>
        </w:trPr>
        <w:tc>
          <w:tcPr>
            <w:tcW w:w="4389" w:type="dxa"/>
            <w:tcBorders>
              <w:top w:val="nil"/>
              <w:left w:val="nil"/>
              <w:bottom w:val="nil"/>
              <w:right w:val="nil"/>
              <w:tl2br w:val="nil"/>
              <w:tr2bl w:val="nil"/>
            </w:tcBorders>
            <w:tcMar>
              <w:left w:w="60" w:type="dxa"/>
              <w:right w:w="60" w:type="dxa"/>
            </w:tcMar>
            <w:vAlign w:val="center"/>
          </w:tcPr>
          <w:p>
            <w:pPr>
              <w:pStyle w:val="DMETW36745BIPRNET"/>
              <w:rPr>
                <w:rFonts w:ascii="Verdana" w:eastAsia="Verdana" w:hAnsi="Verdana" w:cs="Verdana"/>
                <w:i/>
                <w:noProof/>
                <w:color w:val="000000"/>
                <w:sz w:val="18"/>
              </w:rPr>
            </w:pPr>
            <w:r>
              <w:rPr>
                <w:rFonts w:ascii="Verdana" w:hAnsi="Verdana"/>
                <w:i/>
                <w:noProof/>
                <w:color w:val="000000"/>
                <w:sz w:val="18"/>
              </w:rPr>
              <w:t>États membres</w:t>
            </w:r>
          </w:p>
        </w:tc>
        <w:tc>
          <w:tcPr>
            <w:tcW w:w="1687" w:type="dxa"/>
            <w:tcBorders>
              <w:top w:val="nil"/>
              <w:left w:val="nil"/>
              <w:bottom w:val="nil"/>
              <w:right w:val="nil"/>
              <w:tl2br w:val="nil"/>
              <w:tr2bl w:val="nil"/>
            </w:tcBorders>
            <w:tcMar>
              <w:left w:w="60" w:type="dxa"/>
              <w:right w:w="60" w:type="dxa"/>
            </w:tcMar>
            <w:vAlign w:val="center"/>
          </w:tcPr>
          <w:p>
            <w:pPr>
              <w:pStyle w:val="DMETW36745BIPRNET"/>
              <w:jc w:val="center"/>
              <w:rPr>
                <w:rFonts w:ascii="Verdana" w:eastAsia="Verdana" w:hAnsi="Verdana" w:cs="Verdana"/>
                <w:i/>
                <w:noProof/>
                <w:color w:val="000000"/>
                <w:sz w:val="18"/>
              </w:rPr>
            </w:pPr>
            <w:r>
              <w:rPr>
                <w:rFonts w:ascii="Verdana" w:hAnsi="Verdana"/>
                <w:i/>
                <w:noProof/>
                <w:color w:val="000000"/>
                <w:sz w:val="18"/>
              </w:rPr>
              <w:t>2.6.1.1</w:t>
            </w:r>
          </w:p>
        </w:tc>
        <w:tc>
          <w:tcPr>
            <w:tcW w:w="1687" w:type="dxa"/>
            <w:tcBorders>
              <w:top w:val="nil"/>
              <w:left w:val="nil"/>
              <w:bottom w:val="nil"/>
              <w:right w:val="nil"/>
              <w:tl2br w:val="nil"/>
              <w:tr2bl w:val="nil"/>
            </w:tcBorders>
            <w:tcMar>
              <w:left w:w="60" w:type="dxa"/>
              <w:right w:w="60" w:type="dxa"/>
            </w:tcMar>
            <w:vAlign w:val="bottom"/>
          </w:tcPr>
          <w:p>
            <w:pPr>
              <w:pStyle w:val="DMETW36745BIPRNET"/>
              <w:jc w:val="right"/>
              <w:rPr>
                <w:rFonts w:ascii="Verdana" w:eastAsia="Verdana" w:hAnsi="Verdana" w:cs="Verdana"/>
                <w:i/>
                <w:noProof/>
                <w:color w:val="000000"/>
                <w:sz w:val="18"/>
              </w:rPr>
            </w:pPr>
            <w:r>
              <w:rPr>
                <w:rFonts w:ascii="Verdana" w:hAnsi="Verdana"/>
                <w:i/>
                <w:noProof/>
                <w:color w:val="000000"/>
                <w:sz w:val="18"/>
              </w:rPr>
              <w:t xml:space="preserve"> 597</w:t>
            </w:r>
          </w:p>
        </w:tc>
        <w:tc>
          <w:tcPr>
            <w:tcW w:w="1995" w:type="dxa"/>
            <w:tcBorders>
              <w:top w:val="nil"/>
              <w:left w:val="nil"/>
              <w:bottom w:val="nil"/>
              <w:right w:val="nil"/>
              <w:tl2br w:val="nil"/>
              <w:tr2bl w:val="nil"/>
            </w:tcBorders>
            <w:tcMar>
              <w:left w:w="60" w:type="dxa"/>
              <w:right w:w="60" w:type="dxa"/>
            </w:tcMar>
            <w:vAlign w:val="bottom"/>
          </w:tcPr>
          <w:p>
            <w:pPr>
              <w:pStyle w:val="DMETW36745BIPRNET"/>
              <w:jc w:val="right"/>
              <w:rPr>
                <w:rFonts w:ascii="Verdana" w:eastAsia="Verdana" w:hAnsi="Verdana" w:cs="Verdana"/>
                <w:i/>
                <w:noProof/>
                <w:color w:val="000000"/>
                <w:sz w:val="18"/>
              </w:rPr>
            </w:pPr>
            <w:r>
              <w:rPr>
                <w:rFonts w:ascii="Verdana" w:hAnsi="Verdana"/>
                <w:i/>
                <w:noProof/>
                <w:color w:val="000000"/>
                <w:sz w:val="18"/>
              </w:rPr>
              <w:t xml:space="preserve"> 275</w:t>
            </w:r>
          </w:p>
        </w:tc>
      </w:tr>
      <w:tr>
        <w:trPr>
          <w:trHeight w:val="255"/>
        </w:trPr>
        <w:tc>
          <w:tcPr>
            <w:tcW w:w="4389" w:type="dxa"/>
            <w:tcBorders>
              <w:top w:val="nil"/>
              <w:left w:val="nil"/>
              <w:bottom w:val="nil"/>
              <w:right w:val="nil"/>
              <w:tl2br w:val="nil"/>
              <w:tr2bl w:val="nil"/>
            </w:tcBorders>
            <w:tcMar>
              <w:left w:w="60" w:type="dxa"/>
              <w:right w:w="60" w:type="dxa"/>
            </w:tcMar>
            <w:vAlign w:val="center"/>
          </w:tcPr>
          <w:p>
            <w:pPr>
              <w:pStyle w:val="DMETW36745BIPRNET"/>
              <w:rPr>
                <w:rFonts w:ascii="Verdana" w:eastAsia="Verdana" w:hAnsi="Verdana" w:cs="Verdana"/>
                <w:i/>
                <w:noProof/>
                <w:color w:val="000000"/>
                <w:sz w:val="18"/>
              </w:rPr>
            </w:pPr>
            <w:r>
              <w:rPr>
                <w:rFonts w:ascii="Verdana" w:hAnsi="Verdana"/>
                <w:i/>
                <w:noProof/>
                <w:color w:val="000000"/>
                <w:sz w:val="18"/>
              </w:rPr>
              <w:t>Accord de retrait du Royaume-Uni</w:t>
            </w:r>
          </w:p>
        </w:tc>
        <w:tc>
          <w:tcPr>
            <w:tcW w:w="1687" w:type="dxa"/>
            <w:tcBorders>
              <w:top w:val="nil"/>
              <w:left w:val="nil"/>
              <w:bottom w:val="nil"/>
              <w:right w:val="nil"/>
              <w:tl2br w:val="nil"/>
              <w:tr2bl w:val="nil"/>
            </w:tcBorders>
            <w:tcMar>
              <w:left w:w="60" w:type="dxa"/>
              <w:right w:w="60" w:type="dxa"/>
            </w:tcMar>
            <w:vAlign w:val="center"/>
          </w:tcPr>
          <w:p>
            <w:pPr>
              <w:pStyle w:val="DMETW36745BIPRNET"/>
              <w:jc w:val="center"/>
              <w:rPr>
                <w:rFonts w:ascii="Verdana" w:eastAsia="Verdana" w:hAnsi="Verdana" w:cs="Verdana"/>
                <w:i/>
                <w:noProof/>
                <w:color w:val="000000"/>
                <w:sz w:val="18"/>
              </w:rPr>
            </w:pPr>
            <w:r>
              <w:rPr>
                <w:rFonts w:ascii="Verdana" w:hAnsi="Verdana"/>
                <w:i/>
                <w:noProof/>
                <w:color w:val="000000"/>
                <w:sz w:val="18"/>
              </w:rPr>
              <w:t>2.6.1.2</w:t>
            </w:r>
          </w:p>
        </w:tc>
        <w:tc>
          <w:tcPr>
            <w:tcW w:w="1687" w:type="dxa"/>
            <w:tcBorders>
              <w:top w:val="nil"/>
              <w:left w:val="nil"/>
              <w:bottom w:val="nil"/>
              <w:right w:val="nil"/>
              <w:tl2br w:val="nil"/>
              <w:tr2bl w:val="nil"/>
            </w:tcBorders>
            <w:tcMar>
              <w:left w:w="60" w:type="dxa"/>
              <w:right w:w="60" w:type="dxa"/>
            </w:tcMar>
            <w:vAlign w:val="bottom"/>
          </w:tcPr>
          <w:p>
            <w:pPr>
              <w:pStyle w:val="DMETW36745BIPRNET"/>
              <w:jc w:val="right"/>
              <w:rPr>
                <w:rFonts w:ascii="Verdana" w:eastAsia="Verdana" w:hAnsi="Verdana" w:cs="Verdana"/>
                <w:i/>
                <w:noProof/>
                <w:color w:val="000000"/>
                <w:sz w:val="18"/>
              </w:rPr>
            </w:pPr>
            <w:r>
              <w:rPr>
                <w:rFonts w:ascii="Verdana" w:hAnsi="Verdana"/>
                <w:i/>
                <w:noProof/>
                <w:color w:val="000000"/>
                <w:sz w:val="18"/>
              </w:rPr>
              <w:t>10 256</w:t>
            </w:r>
          </w:p>
        </w:tc>
        <w:tc>
          <w:tcPr>
            <w:tcW w:w="1995" w:type="dxa"/>
            <w:tcBorders>
              <w:top w:val="nil"/>
              <w:left w:val="nil"/>
              <w:bottom w:val="nil"/>
              <w:right w:val="nil"/>
              <w:tl2br w:val="nil"/>
              <w:tr2bl w:val="nil"/>
            </w:tcBorders>
            <w:tcMar>
              <w:left w:w="60" w:type="dxa"/>
              <w:right w:w="60" w:type="dxa"/>
            </w:tcMar>
            <w:vAlign w:val="bottom"/>
          </w:tcPr>
          <w:p>
            <w:pPr>
              <w:pStyle w:val="DMETW36745BIPRNET"/>
              <w:jc w:val="right"/>
              <w:rPr>
                <w:rFonts w:ascii="Verdana" w:eastAsia="Verdana" w:hAnsi="Verdana" w:cs="Verdana"/>
                <w:i/>
                <w:noProof/>
                <w:color w:val="000000"/>
                <w:sz w:val="18"/>
              </w:rPr>
            </w:pPr>
            <w:r>
              <w:rPr>
                <w:rFonts w:ascii="Verdana" w:hAnsi="Verdana"/>
                <w:i/>
                <w:noProof/>
                <w:color w:val="000000"/>
                <w:sz w:val="18"/>
              </w:rPr>
              <w:t>11 231</w:t>
            </w:r>
          </w:p>
        </w:tc>
      </w:tr>
      <w:tr>
        <w:trPr>
          <w:trHeight w:val="255"/>
        </w:trPr>
        <w:tc>
          <w:tcPr>
            <w:tcW w:w="4389" w:type="dxa"/>
            <w:tcBorders>
              <w:top w:val="nil"/>
              <w:left w:val="nil"/>
              <w:bottom w:val="nil"/>
              <w:right w:val="nil"/>
              <w:tl2br w:val="nil"/>
              <w:tr2bl w:val="nil"/>
            </w:tcBorders>
            <w:tcMar>
              <w:left w:w="60" w:type="dxa"/>
              <w:right w:w="60" w:type="dxa"/>
            </w:tcMar>
            <w:vAlign w:val="center"/>
          </w:tcPr>
          <w:p>
            <w:pPr>
              <w:pStyle w:val="DMETW36745BIPRNET"/>
              <w:rPr>
                <w:rFonts w:ascii="Verdana" w:eastAsia="Verdana" w:hAnsi="Verdana" w:cs="Verdana"/>
                <w:i/>
                <w:noProof/>
                <w:color w:val="000000"/>
                <w:sz w:val="18"/>
              </w:rPr>
            </w:pPr>
            <w:r>
              <w:rPr>
                <w:rFonts w:ascii="Verdana" w:hAnsi="Verdana"/>
                <w:i/>
                <w:noProof/>
                <w:color w:val="000000"/>
                <w:sz w:val="18"/>
              </w:rPr>
              <w:t>Produits à recevoir et charges à reporter</w:t>
            </w:r>
          </w:p>
        </w:tc>
        <w:tc>
          <w:tcPr>
            <w:tcW w:w="1687" w:type="dxa"/>
            <w:tcBorders>
              <w:top w:val="nil"/>
              <w:left w:val="nil"/>
              <w:bottom w:val="nil"/>
              <w:right w:val="nil"/>
              <w:tl2br w:val="nil"/>
              <w:tr2bl w:val="nil"/>
            </w:tcBorders>
            <w:tcMar>
              <w:left w:w="60" w:type="dxa"/>
              <w:right w:w="60" w:type="dxa"/>
            </w:tcMar>
            <w:vAlign w:val="center"/>
          </w:tcPr>
          <w:p>
            <w:pPr>
              <w:pStyle w:val="DMETW36745BIPRNET"/>
              <w:jc w:val="center"/>
              <w:rPr>
                <w:rFonts w:ascii="Verdana" w:eastAsia="Verdana" w:hAnsi="Verdana" w:cs="Verdana"/>
                <w:i/>
                <w:noProof/>
                <w:color w:val="000000"/>
                <w:sz w:val="18"/>
              </w:rPr>
            </w:pPr>
            <w:r>
              <w:rPr>
                <w:rFonts w:ascii="Verdana" w:hAnsi="Verdana"/>
                <w:i/>
                <w:noProof/>
                <w:color w:val="000000"/>
                <w:sz w:val="18"/>
              </w:rPr>
              <w:t>2.6.1.4</w:t>
            </w:r>
          </w:p>
        </w:tc>
        <w:tc>
          <w:tcPr>
            <w:tcW w:w="1687" w:type="dxa"/>
            <w:tcBorders>
              <w:top w:val="nil"/>
              <w:left w:val="nil"/>
              <w:bottom w:val="nil"/>
              <w:right w:val="nil"/>
              <w:tl2br w:val="nil"/>
              <w:tr2bl w:val="nil"/>
            </w:tcBorders>
            <w:tcMar>
              <w:left w:w="60" w:type="dxa"/>
              <w:right w:w="60" w:type="dxa"/>
            </w:tcMar>
            <w:vAlign w:val="bottom"/>
          </w:tcPr>
          <w:p>
            <w:pPr>
              <w:pStyle w:val="DMETW36745BIPRNET"/>
              <w:jc w:val="right"/>
              <w:rPr>
                <w:rFonts w:ascii="Verdana" w:eastAsia="Verdana" w:hAnsi="Verdana" w:cs="Verdana"/>
                <w:i/>
                <w:noProof/>
                <w:color w:val="000000"/>
                <w:sz w:val="18"/>
              </w:rPr>
            </w:pPr>
            <w:r>
              <w:rPr>
                <w:rFonts w:ascii="Verdana" w:hAnsi="Verdana"/>
                <w:i/>
                <w:noProof/>
                <w:color w:val="000000"/>
                <w:sz w:val="18"/>
              </w:rPr>
              <w:t xml:space="preserve"> 0</w:t>
            </w:r>
          </w:p>
        </w:tc>
        <w:tc>
          <w:tcPr>
            <w:tcW w:w="1995" w:type="dxa"/>
            <w:tcBorders>
              <w:top w:val="nil"/>
              <w:left w:val="nil"/>
              <w:bottom w:val="nil"/>
              <w:right w:val="nil"/>
              <w:tl2br w:val="nil"/>
              <w:tr2bl w:val="nil"/>
            </w:tcBorders>
            <w:tcMar>
              <w:left w:w="60" w:type="dxa"/>
              <w:right w:w="60" w:type="dxa"/>
            </w:tcMar>
            <w:vAlign w:val="bottom"/>
          </w:tcPr>
          <w:p>
            <w:pPr>
              <w:pStyle w:val="DMETW36745BIPRNET"/>
              <w:jc w:val="right"/>
              <w:rPr>
                <w:rFonts w:ascii="Verdana" w:eastAsia="Verdana" w:hAnsi="Verdana" w:cs="Verdana"/>
                <w:i/>
                <w:noProof/>
                <w:color w:val="000000"/>
                <w:sz w:val="18"/>
              </w:rPr>
            </w:pPr>
            <w:r>
              <w:rPr>
                <w:rFonts w:ascii="Verdana" w:hAnsi="Verdana"/>
                <w:i/>
                <w:noProof/>
                <w:color w:val="000000"/>
                <w:sz w:val="18"/>
              </w:rPr>
              <w:t xml:space="preserve"> 10</w:t>
            </w:r>
          </w:p>
        </w:tc>
      </w:tr>
      <w:tr>
        <w:trPr>
          <w:trHeight w:val="255"/>
        </w:trPr>
        <w:tc>
          <w:tcPr>
            <w:tcW w:w="4389" w:type="dxa"/>
            <w:tcBorders>
              <w:top w:val="nil"/>
              <w:left w:val="nil"/>
              <w:bottom w:val="single" w:sz="4" w:space="0" w:color="016794"/>
              <w:right w:val="nil"/>
              <w:tl2br w:val="nil"/>
              <w:tr2bl w:val="nil"/>
            </w:tcBorders>
            <w:tcMar>
              <w:left w:w="60" w:type="dxa"/>
              <w:right w:w="60" w:type="dxa"/>
            </w:tcMar>
            <w:vAlign w:val="center"/>
          </w:tcPr>
          <w:p>
            <w:pPr>
              <w:pStyle w:val="DMETW36745BIPRNET"/>
              <w:rPr>
                <w:rFonts w:ascii="Verdana" w:eastAsia="Verdana" w:hAnsi="Verdana" w:cs="Verdana"/>
                <w:i/>
                <w:noProof/>
                <w:color w:val="000000"/>
                <w:sz w:val="18"/>
              </w:rPr>
            </w:pPr>
            <w:r>
              <w:rPr>
                <w:rFonts w:ascii="Verdana" w:hAnsi="Verdana"/>
                <w:i/>
                <w:noProof/>
                <w:color w:val="000000"/>
                <w:sz w:val="18"/>
              </w:rPr>
              <w:t>Autres créances à recouvrer</w:t>
            </w:r>
          </w:p>
        </w:tc>
        <w:tc>
          <w:tcPr>
            <w:tcW w:w="1687" w:type="dxa"/>
            <w:tcBorders>
              <w:top w:val="nil"/>
              <w:left w:val="nil"/>
              <w:bottom w:val="single" w:sz="4" w:space="0" w:color="016794"/>
              <w:right w:val="nil"/>
              <w:tl2br w:val="nil"/>
              <w:tr2bl w:val="nil"/>
            </w:tcBorders>
            <w:tcMar>
              <w:left w:w="60" w:type="dxa"/>
              <w:right w:w="60" w:type="dxa"/>
            </w:tcMar>
            <w:vAlign w:val="center"/>
          </w:tcPr>
          <w:p>
            <w:pPr>
              <w:pStyle w:val="DMETW36745BIPRNET"/>
              <w:jc w:val="center"/>
              <w:rPr>
                <w:rFonts w:ascii="Verdana" w:eastAsia="Verdana" w:hAnsi="Verdana" w:cs="Verdana"/>
                <w:i/>
                <w:noProof/>
                <w:color w:val="000000"/>
                <w:sz w:val="18"/>
              </w:rPr>
            </w:pPr>
          </w:p>
        </w:tc>
        <w:tc>
          <w:tcPr>
            <w:tcW w:w="1687" w:type="dxa"/>
            <w:tcBorders>
              <w:top w:val="nil"/>
              <w:left w:val="nil"/>
              <w:bottom w:val="single" w:sz="4" w:space="0" w:color="016794"/>
              <w:right w:val="nil"/>
              <w:tl2br w:val="nil"/>
              <w:tr2bl w:val="nil"/>
            </w:tcBorders>
            <w:tcMar>
              <w:left w:w="60" w:type="dxa"/>
              <w:right w:w="60" w:type="dxa"/>
            </w:tcMar>
            <w:vAlign w:val="bottom"/>
          </w:tcPr>
          <w:p>
            <w:pPr>
              <w:pStyle w:val="DMETW36745BIPRNET"/>
              <w:jc w:val="right"/>
              <w:rPr>
                <w:rFonts w:ascii="Verdana" w:eastAsia="Verdana" w:hAnsi="Verdana" w:cs="Verdana"/>
                <w:i/>
                <w:noProof/>
                <w:color w:val="000000"/>
                <w:sz w:val="18"/>
              </w:rPr>
            </w:pPr>
            <w:r>
              <w:rPr>
                <w:rFonts w:ascii="Verdana" w:hAnsi="Verdana"/>
                <w:i/>
                <w:noProof/>
                <w:color w:val="000000"/>
                <w:sz w:val="18"/>
              </w:rPr>
              <w:t xml:space="preserve"> 24</w:t>
            </w:r>
          </w:p>
        </w:tc>
        <w:tc>
          <w:tcPr>
            <w:tcW w:w="1995" w:type="dxa"/>
            <w:tcBorders>
              <w:top w:val="nil"/>
              <w:left w:val="nil"/>
              <w:bottom w:val="single" w:sz="4" w:space="0" w:color="016794"/>
              <w:right w:val="nil"/>
              <w:tl2br w:val="nil"/>
              <w:tr2bl w:val="nil"/>
            </w:tcBorders>
            <w:tcMar>
              <w:left w:w="60" w:type="dxa"/>
              <w:right w:w="60" w:type="dxa"/>
            </w:tcMar>
            <w:vAlign w:val="bottom"/>
          </w:tcPr>
          <w:p>
            <w:pPr>
              <w:pStyle w:val="DMETW36745BIPRNET"/>
              <w:jc w:val="right"/>
              <w:rPr>
                <w:rFonts w:ascii="Verdana" w:eastAsia="Verdana" w:hAnsi="Verdana" w:cs="Verdana"/>
                <w:i/>
                <w:noProof/>
                <w:color w:val="000000"/>
                <w:sz w:val="18"/>
              </w:rPr>
            </w:pPr>
            <w:r>
              <w:rPr>
                <w:rFonts w:ascii="Verdana" w:hAnsi="Verdana"/>
                <w:i/>
                <w:noProof/>
                <w:color w:val="000000"/>
                <w:sz w:val="18"/>
              </w:rPr>
              <w:t xml:space="preserve"> 25</w:t>
            </w:r>
          </w:p>
        </w:tc>
      </w:tr>
      <w:tr>
        <w:trPr>
          <w:trHeight w:val="255"/>
        </w:trPr>
        <w:tc>
          <w:tcPr>
            <w:tcW w:w="438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5BIPRNET"/>
              <w:rPr>
                <w:rFonts w:ascii="Verdana" w:eastAsia="Verdana" w:hAnsi="Verdana" w:cs="Verdana"/>
                <w:i/>
                <w:noProof/>
                <w:color w:val="000000"/>
                <w:sz w:val="18"/>
              </w:rPr>
            </w:pPr>
          </w:p>
        </w:tc>
        <w:tc>
          <w:tcPr>
            <w:tcW w:w="1687"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5BIPRNET"/>
              <w:jc w:val="center"/>
              <w:rPr>
                <w:rFonts w:ascii="Verdana" w:eastAsia="Verdana" w:hAnsi="Verdana" w:cs="Verdana"/>
                <w:noProof/>
                <w:color w:val="000000"/>
                <w:sz w:val="18"/>
              </w:rPr>
            </w:pPr>
          </w:p>
        </w:tc>
        <w:tc>
          <w:tcPr>
            <w:tcW w:w="1687"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45BIPRNET"/>
              <w:jc w:val="right"/>
              <w:rPr>
                <w:rFonts w:ascii="Verdana" w:eastAsia="Verdana" w:hAnsi="Verdana" w:cs="Verdana"/>
                <w:b/>
                <w:noProof/>
                <w:color w:val="000000"/>
                <w:sz w:val="18"/>
              </w:rPr>
            </w:pPr>
            <w:r>
              <w:rPr>
                <w:rFonts w:ascii="Verdana" w:hAnsi="Verdana"/>
                <w:b/>
                <w:noProof/>
                <w:color w:val="000000"/>
                <w:sz w:val="18"/>
              </w:rPr>
              <w:t>10 878</w:t>
            </w:r>
          </w:p>
        </w:tc>
        <w:tc>
          <w:tcPr>
            <w:tcW w:w="1995"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45BIPRNET"/>
              <w:jc w:val="right"/>
              <w:rPr>
                <w:rFonts w:ascii="Verdana" w:eastAsia="Verdana" w:hAnsi="Verdana" w:cs="Verdana"/>
                <w:b/>
                <w:noProof/>
                <w:color w:val="000000"/>
                <w:sz w:val="18"/>
              </w:rPr>
            </w:pPr>
            <w:r>
              <w:rPr>
                <w:rFonts w:ascii="Verdana" w:hAnsi="Verdana"/>
                <w:b/>
                <w:noProof/>
                <w:color w:val="000000"/>
                <w:sz w:val="18"/>
              </w:rPr>
              <w:t>11 541</w:t>
            </w:r>
          </w:p>
        </w:tc>
      </w:tr>
      <w:tr>
        <w:trPr>
          <w:trHeight w:val="255"/>
        </w:trPr>
        <w:tc>
          <w:tcPr>
            <w:tcW w:w="4389" w:type="dxa"/>
            <w:tcBorders>
              <w:top w:val="single" w:sz="4" w:space="0" w:color="016794"/>
              <w:left w:val="nil"/>
              <w:bottom w:val="nil"/>
              <w:right w:val="nil"/>
              <w:tl2br w:val="nil"/>
              <w:tr2bl w:val="nil"/>
            </w:tcBorders>
            <w:tcMar>
              <w:left w:w="60" w:type="dxa"/>
              <w:right w:w="60" w:type="dxa"/>
            </w:tcMar>
            <w:vAlign w:val="center"/>
          </w:tcPr>
          <w:p>
            <w:pPr>
              <w:pStyle w:val="DMETW36745BIPRNET"/>
              <w:rPr>
                <w:rFonts w:ascii="Verdana" w:eastAsia="Verdana" w:hAnsi="Verdana" w:cs="Verdana"/>
                <w:b/>
                <w:noProof/>
                <w:color w:val="000000"/>
                <w:sz w:val="18"/>
              </w:rPr>
            </w:pPr>
            <w:r>
              <w:rPr>
                <w:rFonts w:ascii="Verdana" w:hAnsi="Verdana"/>
                <w:b/>
                <w:noProof/>
                <w:color w:val="000000"/>
                <w:sz w:val="18"/>
              </w:rPr>
              <w:t>Courantes</w:t>
            </w:r>
          </w:p>
        </w:tc>
        <w:tc>
          <w:tcPr>
            <w:tcW w:w="1687" w:type="dxa"/>
            <w:tcBorders>
              <w:top w:val="single" w:sz="4" w:space="0" w:color="016794"/>
              <w:left w:val="nil"/>
              <w:bottom w:val="nil"/>
              <w:right w:val="nil"/>
              <w:tl2br w:val="nil"/>
              <w:tr2bl w:val="nil"/>
            </w:tcBorders>
            <w:tcMar>
              <w:left w:w="60" w:type="dxa"/>
              <w:right w:w="60" w:type="dxa"/>
            </w:tcMar>
            <w:vAlign w:val="center"/>
          </w:tcPr>
          <w:p>
            <w:pPr>
              <w:pStyle w:val="DMETW36745BIPRNET"/>
              <w:jc w:val="center"/>
              <w:rPr>
                <w:rFonts w:ascii="Verdana" w:eastAsia="Verdana" w:hAnsi="Verdana" w:cs="Verdana"/>
                <w:b/>
                <w:noProof/>
                <w:color w:val="000000"/>
                <w:sz w:val="18"/>
              </w:rPr>
            </w:pPr>
          </w:p>
        </w:tc>
        <w:tc>
          <w:tcPr>
            <w:tcW w:w="1687" w:type="dxa"/>
            <w:tcBorders>
              <w:top w:val="single" w:sz="4" w:space="0" w:color="016794"/>
              <w:left w:val="nil"/>
              <w:bottom w:val="nil"/>
              <w:right w:val="nil"/>
              <w:tl2br w:val="nil"/>
              <w:tr2bl w:val="nil"/>
            </w:tcBorders>
            <w:tcMar>
              <w:left w:w="60" w:type="dxa"/>
              <w:right w:w="60" w:type="dxa"/>
            </w:tcMar>
            <w:vAlign w:val="center"/>
          </w:tcPr>
          <w:p>
            <w:pPr>
              <w:pStyle w:val="DMETW36745BIPRNET"/>
              <w:rPr>
                <w:rFonts w:ascii="Verdana" w:eastAsia="Verdana" w:hAnsi="Verdana" w:cs="Verdana"/>
                <w:b/>
                <w:noProof/>
                <w:color w:val="000000"/>
                <w:sz w:val="18"/>
              </w:rPr>
            </w:pPr>
          </w:p>
        </w:tc>
        <w:tc>
          <w:tcPr>
            <w:tcW w:w="1995" w:type="dxa"/>
            <w:tcBorders>
              <w:top w:val="single" w:sz="4" w:space="0" w:color="016794"/>
              <w:left w:val="nil"/>
              <w:bottom w:val="nil"/>
              <w:right w:val="nil"/>
              <w:tl2br w:val="nil"/>
              <w:tr2bl w:val="nil"/>
            </w:tcBorders>
            <w:tcMar>
              <w:left w:w="60" w:type="dxa"/>
              <w:right w:w="60" w:type="dxa"/>
            </w:tcMar>
            <w:vAlign w:val="center"/>
          </w:tcPr>
          <w:p>
            <w:pPr>
              <w:pStyle w:val="DMETW36745BIPRNET"/>
              <w:rPr>
                <w:rFonts w:ascii="Verdana" w:eastAsia="Verdana" w:hAnsi="Verdana" w:cs="Verdana"/>
                <w:b/>
                <w:noProof/>
                <w:color w:val="000000"/>
                <w:sz w:val="18"/>
                <w:lang w:bidi="en-GB"/>
              </w:rPr>
            </w:pPr>
          </w:p>
        </w:tc>
      </w:tr>
      <w:tr>
        <w:trPr>
          <w:trHeight w:val="255"/>
        </w:trPr>
        <w:tc>
          <w:tcPr>
            <w:tcW w:w="4389" w:type="dxa"/>
            <w:tcBorders>
              <w:top w:val="nil"/>
              <w:left w:val="nil"/>
              <w:bottom w:val="nil"/>
              <w:right w:val="nil"/>
              <w:tl2br w:val="nil"/>
              <w:tr2bl w:val="nil"/>
            </w:tcBorders>
            <w:tcMar>
              <w:left w:w="60" w:type="dxa"/>
              <w:right w:w="60" w:type="dxa"/>
            </w:tcMar>
            <w:vAlign w:val="center"/>
          </w:tcPr>
          <w:p>
            <w:pPr>
              <w:pStyle w:val="DMETW36745BIPRNET"/>
              <w:rPr>
                <w:rFonts w:ascii="Verdana" w:eastAsia="Verdana" w:hAnsi="Verdana" w:cs="Verdana"/>
                <w:i/>
                <w:noProof/>
                <w:color w:val="000000"/>
                <w:sz w:val="18"/>
              </w:rPr>
            </w:pPr>
            <w:r>
              <w:rPr>
                <w:rFonts w:ascii="Verdana" w:hAnsi="Verdana"/>
                <w:i/>
                <w:noProof/>
                <w:color w:val="000000"/>
                <w:sz w:val="18"/>
              </w:rPr>
              <w:t>États membres</w:t>
            </w:r>
          </w:p>
        </w:tc>
        <w:tc>
          <w:tcPr>
            <w:tcW w:w="1687" w:type="dxa"/>
            <w:tcBorders>
              <w:top w:val="nil"/>
              <w:left w:val="nil"/>
              <w:bottom w:val="nil"/>
              <w:right w:val="nil"/>
              <w:tl2br w:val="nil"/>
              <w:tr2bl w:val="nil"/>
            </w:tcBorders>
            <w:tcMar>
              <w:left w:w="60" w:type="dxa"/>
              <w:right w:w="60" w:type="dxa"/>
            </w:tcMar>
            <w:vAlign w:val="center"/>
          </w:tcPr>
          <w:p>
            <w:pPr>
              <w:pStyle w:val="DMETW36745BIPRNET"/>
              <w:jc w:val="center"/>
              <w:rPr>
                <w:rFonts w:ascii="Verdana" w:eastAsia="Verdana" w:hAnsi="Verdana" w:cs="Verdana"/>
                <w:i/>
                <w:noProof/>
                <w:color w:val="000000"/>
                <w:sz w:val="18"/>
              </w:rPr>
            </w:pPr>
            <w:r>
              <w:rPr>
                <w:rFonts w:ascii="Verdana" w:hAnsi="Verdana"/>
                <w:i/>
                <w:noProof/>
                <w:color w:val="000000"/>
                <w:sz w:val="18"/>
              </w:rPr>
              <w:t>2.6.1.1</w:t>
            </w:r>
          </w:p>
        </w:tc>
        <w:tc>
          <w:tcPr>
            <w:tcW w:w="1687" w:type="dxa"/>
            <w:tcBorders>
              <w:top w:val="nil"/>
              <w:left w:val="nil"/>
              <w:bottom w:val="nil"/>
              <w:right w:val="nil"/>
              <w:tl2br w:val="nil"/>
              <w:tr2bl w:val="nil"/>
            </w:tcBorders>
            <w:tcMar>
              <w:left w:w="60" w:type="dxa"/>
              <w:right w:w="60" w:type="dxa"/>
            </w:tcMar>
            <w:vAlign w:val="bottom"/>
          </w:tcPr>
          <w:p>
            <w:pPr>
              <w:pStyle w:val="DMETW36745BIPRNET"/>
              <w:jc w:val="right"/>
              <w:rPr>
                <w:rFonts w:ascii="Verdana" w:eastAsia="Verdana" w:hAnsi="Verdana" w:cs="Verdana"/>
                <w:i/>
                <w:noProof/>
                <w:color w:val="000000"/>
                <w:sz w:val="18"/>
              </w:rPr>
            </w:pPr>
            <w:r>
              <w:rPr>
                <w:rFonts w:ascii="Verdana" w:hAnsi="Verdana"/>
                <w:i/>
                <w:noProof/>
                <w:color w:val="000000"/>
                <w:sz w:val="18"/>
              </w:rPr>
              <w:t>5 097</w:t>
            </w:r>
          </w:p>
        </w:tc>
        <w:tc>
          <w:tcPr>
            <w:tcW w:w="1995" w:type="dxa"/>
            <w:tcBorders>
              <w:top w:val="nil"/>
              <w:left w:val="nil"/>
              <w:bottom w:val="nil"/>
              <w:right w:val="nil"/>
              <w:tl2br w:val="nil"/>
              <w:tr2bl w:val="nil"/>
            </w:tcBorders>
            <w:tcMar>
              <w:left w:w="60" w:type="dxa"/>
              <w:right w:w="60" w:type="dxa"/>
            </w:tcMar>
            <w:vAlign w:val="bottom"/>
          </w:tcPr>
          <w:p>
            <w:pPr>
              <w:pStyle w:val="DMETW36745BIPRNET"/>
              <w:jc w:val="right"/>
              <w:rPr>
                <w:rFonts w:ascii="Verdana" w:eastAsia="Verdana" w:hAnsi="Verdana" w:cs="Verdana"/>
                <w:i/>
                <w:noProof/>
                <w:color w:val="000000"/>
                <w:sz w:val="18"/>
              </w:rPr>
            </w:pPr>
            <w:r>
              <w:rPr>
                <w:rFonts w:ascii="Verdana" w:hAnsi="Verdana"/>
                <w:i/>
                <w:noProof/>
                <w:color w:val="000000"/>
                <w:sz w:val="18"/>
              </w:rPr>
              <w:t>4 667</w:t>
            </w:r>
          </w:p>
        </w:tc>
      </w:tr>
      <w:tr>
        <w:trPr>
          <w:trHeight w:val="255"/>
        </w:trPr>
        <w:tc>
          <w:tcPr>
            <w:tcW w:w="4389" w:type="dxa"/>
            <w:tcBorders>
              <w:top w:val="nil"/>
              <w:left w:val="nil"/>
              <w:bottom w:val="nil"/>
              <w:right w:val="nil"/>
              <w:tl2br w:val="nil"/>
              <w:tr2bl w:val="nil"/>
            </w:tcBorders>
            <w:tcMar>
              <w:left w:w="60" w:type="dxa"/>
              <w:right w:w="60" w:type="dxa"/>
            </w:tcMar>
            <w:vAlign w:val="center"/>
          </w:tcPr>
          <w:p>
            <w:pPr>
              <w:pStyle w:val="DMETW36745BIPRNET"/>
              <w:rPr>
                <w:rFonts w:ascii="Verdana" w:eastAsia="Verdana" w:hAnsi="Verdana" w:cs="Verdana"/>
                <w:i/>
                <w:noProof/>
                <w:color w:val="000000"/>
                <w:sz w:val="18"/>
              </w:rPr>
            </w:pPr>
            <w:r>
              <w:rPr>
                <w:rFonts w:ascii="Verdana" w:hAnsi="Verdana"/>
                <w:i/>
                <w:noProof/>
                <w:color w:val="000000"/>
                <w:sz w:val="18"/>
              </w:rPr>
              <w:t>Accord de retrait du Royaume-Uni</w:t>
            </w:r>
          </w:p>
        </w:tc>
        <w:tc>
          <w:tcPr>
            <w:tcW w:w="1687" w:type="dxa"/>
            <w:tcBorders>
              <w:top w:val="nil"/>
              <w:left w:val="nil"/>
              <w:bottom w:val="nil"/>
              <w:right w:val="nil"/>
              <w:tl2br w:val="nil"/>
              <w:tr2bl w:val="nil"/>
            </w:tcBorders>
            <w:tcMar>
              <w:left w:w="60" w:type="dxa"/>
              <w:right w:w="60" w:type="dxa"/>
            </w:tcMar>
            <w:vAlign w:val="center"/>
          </w:tcPr>
          <w:p>
            <w:pPr>
              <w:pStyle w:val="DMETW36745BIPRNET"/>
              <w:jc w:val="center"/>
              <w:rPr>
                <w:rFonts w:ascii="Verdana" w:eastAsia="Verdana" w:hAnsi="Verdana" w:cs="Verdana"/>
                <w:i/>
                <w:noProof/>
                <w:color w:val="000000"/>
                <w:sz w:val="18"/>
              </w:rPr>
            </w:pPr>
            <w:r>
              <w:rPr>
                <w:rFonts w:ascii="Verdana" w:hAnsi="Verdana"/>
                <w:i/>
                <w:noProof/>
                <w:color w:val="000000"/>
                <w:sz w:val="18"/>
              </w:rPr>
              <w:t>2.6.1.2</w:t>
            </w:r>
          </w:p>
        </w:tc>
        <w:tc>
          <w:tcPr>
            <w:tcW w:w="1687" w:type="dxa"/>
            <w:tcBorders>
              <w:top w:val="nil"/>
              <w:left w:val="nil"/>
              <w:bottom w:val="nil"/>
              <w:right w:val="nil"/>
              <w:tl2br w:val="nil"/>
              <w:tr2bl w:val="nil"/>
            </w:tcBorders>
            <w:tcMar>
              <w:left w:w="60" w:type="dxa"/>
              <w:right w:w="60" w:type="dxa"/>
            </w:tcMar>
            <w:vAlign w:val="bottom"/>
          </w:tcPr>
          <w:p>
            <w:pPr>
              <w:pStyle w:val="DMETW36745BIPRNET"/>
              <w:jc w:val="right"/>
              <w:rPr>
                <w:rFonts w:ascii="Verdana" w:eastAsia="Verdana" w:hAnsi="Verdana" w:cs="Verdana"/>
                <w:i/>
                <w:noProof/>
                <w:color w:val="000000"/>
                <w:sz w:val="18"/>
              </w:rPr>
            </w:pPr>
            <w:r>
              <w:rPr>
                <w:rFonts w:ascii="Verdana" w:hAnsi="Verdana"/>
                <w:i/>
                <w:noProof/>
                <w:color w:val="000000"/>
                <w:sz w:val="18"/>
              </w:rPr>
              <w:t xml:space="preserve"> 505</w:t>
            </w:r>
          </w:p>
        </w:tc>
        <w:tc>
          <w:tcPr>
            <w:tcW w:w="1995" w:type="dxa"/>
            <w:tcBorders>
              <w:top w:val="nil"/>
              <w:left w:val="nil"/>
              <w:bottom w:val="nil"/>
              <w:right w:val="nil"/>
              <w:tl2br w:val="nil"/>
              <w:tr2bl w:val="nil"/>
            </w:tcBorders>
            <w:tcMar>
              <w:left w:w="60" w:type="dxa"/>
              <w:right w:w="60" w:type="dxa"/>
            </w:tcMar>
            <w:vAlign w:val="bottom"/>
          </w:tcPr>
          <w:p>
            <w:pPr>
              <w:pStyle w:val="DMETW36745BIPRNET"/>
              <w:jc w:val="right"/>
              <w:rPr>
                <w:rFonts w:ascii="Verdana" w:eastAsia="Verdana" w:hAnsi="Verdana" w:cs="Verdana"/>
                <w:i/>
                <w:noProof/>
                <w:color w:val="000000"/>
                <w:sz w:val="18"/>
              </w:rPr>
            </w:pPr>
            <w:r>
              <w:rPr>
                <w:rFonts w:ascii="Verdana" w:hAnsi="Verdana"/>
                <w:i/>
                <w:noProof/>
                <w:color w:val="000000"/>
                <w:sz w:val="18"/>
              </w:rPr>
              <w:t>1 530</w:t>
            </w:r>
          </w:p>
        </w:tc>
      </w:tr>
      <w:tr>
        <w:trPr>
          <w:trHeight w:val="255"/>
        </w:trPr>
        <w:tc>
          <w:tcPr>
            <w:tcW w:w="4389" w:type="dxa"/>
            <w:tcBorders>
              <w:top w:val="nil"/>
              <w:left w:val="nil"/>
              <w:bottom w:val="nil"/>
              <w:right w:val="nil"/>
              <w:tl2br w:val="nil"/>
              <w:tr2bl w:val="nil"/>
            </w:tcBorders>
            <w:tcMar>
              <w:left w:w="60" w:type="dxa"/>
              <w:right w:w="60" w:type="dxa"/>
            </w:tcMar>
            <w:vAlign w:val="center"/>
          </w:tcPr>
          <w:p>
            <w:pPr>
              <w:pStyle w:val="DMETW36745BIPRNET"/>
              <w:rPr>
                <w:rFonts w:ascii="Verdana" w:eastAsia="Verdana" w:hAnsi="Verdana" w:cs="Verdana"/>
                <w:i/>
                <w:noProof/>
                <w:color w:val="000000"/>
                <w:sz w:val="18"/>
              </w:rPr>
            </w:pPr>
            <w:r>
              <w:rPr>
                <w:rFonts w:ascii="Verdana" w:hAnsi="Verdana"/>
                <w:i/>
                <w:noProof/>
                <w:color w:val="000000"/>
                <w:sz w:val="18"/>
              </w:rPr>
              <w:t>Amendes infligées aux entreprises</w:t>
            </w:r>
          </w:p>
        </w:tc>
        <w:tc>
          <w:tcPr>
            <w:tcW w:w="1687" w:type="dxa"/>
            <w:tcBorders>
              <w:top w:val="nil"/>
              <w:left w:val="nil"/>
              <w:bottom w:val="nil"/>
              <w:right w:val="nil"/>
              <w:tl2br w:val="nil"/>
              <w:tr2bl w:val="nil"/>
            </w:tcBorders>
            <w:tcMar>
              <w:left w:w="60" w:type="dxa"/>
              <w:right w:w="60" w:type="dxa"/>
            </w:tcMar>
            <w:vAlign w:val="center"/>
          </w:tcPr>
          <w:p>
            <w:pPr>
              <w:pStyle w:val="DMETW36745BIPRNET"/>
              <w:jc w:val="center"/>
              <w:rPr>
                <w:rFonts w:ascii="Verdana" w:eastAsia="Verdana" w:hAnsi="Verdana" w:cs="Verdana"/>
                <w:i/>
                <w:noProof/>
                <w:color w:val="000000"/>
                <w:sz w:val="18"/>
              </w:rPr>
            </w:pPr>
            <w:r>
              <w:rPr>
                <w:rFonts w:ascii="Verdana" w:hAnsi="Verdana"/>
                <w:i/>
                <w:noProof/>
                <w:color w:val="000000"/>
                <w:sz w:val="18"/>
              </w:rPr>
              <w:t>2.6.1.3</w:t>
            </w:r>
          </w:p>
        </w:tc>
        <w:tc>
          <w:tcPr>
            <w:tcW w:w="1687" w:type="dxa"/>
            <w:tcBorders>
              <w:top w:val="nil"/>
              <w:left w:val="nil"/>
              <w:bottom w:val="nil"/>
              <w:right w:val="nil"/>
              <w:tl2br w:val="nil"/>
              <w:tr2bl w:val="nil"/>
            </w:tcBorders>
            <w:tcMar>
              <w:left w:w="60" w:type="dxa"/>
              <w:right w:w="60" w:type="dxa"/>
            </w:tcMar>
            <w:vAlign w:val="bottom"/>
          </w:tcPr>
          <w:p>
            <w:pPr>
              <w:pStyle w:val="DMETW36745BIPRNET"/>
              <w:jc w:val="right"/>
              <w:rPr>
                <w:rFonts w:ascii="Verdana" w:eastAsia="Verdana" w:hAnsi="Verdana" w:cs="Verdana"/>
                <w:i/>
                <w:noProof/>
                <w:color w:val="000000"/>
                <w:sz w:val="18"/>
              </w:rPr>
            </w:pPr>
            <w:r>
              <w:rPr>
                <w:rFonts w:ascii="Verdana" w:hAnsi="Verdana"/>
                <w:i/>
                <w:noProof/>
                <w:color w:val="000000"/>
                <w:sz w:val="18"/>
              </w:rPr>
              <w:t>10 964</w:t>
            </w:r>
          </w:p>
        </w:tc>
        <w:tc>
          <w:tcPr>
            <w:tcW w:w="1995" w:type="dxa"/>
            <w:tcBorders>
              <w:top w:val="nil"/>
              <w:left w:val="nil"/>
              <w:bottom w:val="nil"/>
              <w:right w:val="nil"/>
              <w:tl2br w:val="nil"/>
              <w:tr2bl w:val="nil"/>
            </w:tcBorders>
            <w:tcMar>
              <w:left w:w="60" w:type="dxa"/>
              <w:right w:w="60" w:type="dxa"/>
            </w:tcMar>
            <w:vAlign w:val="bottom"/>
          </w:tcPr>
          <w:p>
            <w:pPr>
              <w:pStyle w:val="DMETW36745BIPRNET"/>
              <w:jc w:val="right"/>
              <w:rPr>
                <w:rFonts w:ascii="Verdana" w:eastAsia="Verdana" w:hAnsi="Verdana" w:cs="Verdana"/>
                <w:i/>
                <w:noProof/>
                <w:color w:val="000000"/>
                <w:sz w:val="18"/>
              </w:rPr>
            </w:pPr>
            <w:r>
              <w:rPr>
                <w:rFonts w:ascii="Verdana" w:hAnsi="Verdana"/>
                <w:i/>
                <w:noProof/>
                <w:color w:val="000000"/>
                <w:sz w:val="18"/>
              </w:rPr>
              <w:t>9 152</w:t>
            </w:r>
          </w:p>
        </w:tc>
      </w:tr>
      <w:tr>
        <w:trPr>
          <w:trHeight w:val="255"/>
        </w:trPr>
        <w:tc>
          <w:tcPr>
            <w:tcW w:w="4389" w:type="dxa"/>
            <w:tcBorders>
              <w:top w:val="nil"/>
              <w:left w:val="nil"/>
              <w:bottom w:val="nil"/>
              <w:right w:val="nil"/>
              <w:tl2br w:val="nil"/>
              <w:tr2bl w:val="nil"/>
            </w:tcBorders>
            <w:tcMar>
              <w:left w:w="60" w:type="dxa"/>
              <w:right w:w="60" w:type="dxa"/>
            </w:tcMar>
            <w:vAlign w:val="center"/>
          </w:tcPr>
          <w:p>
            <w:pPr>
              <w:pStyle w:val="DMETW36745BIPRNET"/>
              <w:rPr>
                <w:rFonts w:ascii="Verdana" w:eastAsia="Verdana" w:hAnsi="Verdana" w:cs="Verdana"/>
                <w:i/>
                <w:noProof/>
                <w:color w:val="000000"/>
                <w:sz w:val="18"/>
              </w:rPr>
            </w:pPr>
            <w:r>
              <w:rPr>
                <w:rFonts w:ascii="Verdana" w:hAnsi="Verdana"/>
                <w:i/>
                <w:noProof/>
                <w:color w:val="000000"/>
                <w:sz w:val="18"/>
              </w:rPr>
              <w:t>Produits à recevoir et charges à reporter</w:t>
            </w:r>
          </w:p>
        </w:tc>
        <w:tc>
          <w:tcPr>
            <w:tcW w:w="1687" w:type="dxa"/>
            <w:tcBorders>
              <w:top w:val="nil"/>
              <w:left w:val="nil"/>
              <w:bottom w:val="nil"/>
              <w:right w:val="nil"/>
              <w:tl2br w:val="nil"/>
              <w:tr2bl w:val="nil"/>
            </w:tcBorders>
            <w:tcMar>
              <w:left w:w="60" w:type="dxa"/>
              <w:right w:w="60" w:type="dxa"/>
            </w:tcMar>
            <w:vAlign w:val="center"/>
          </w:tcPr>
          <w:p>
            <w:pPr>
              <w:pStyle w:val="DMETW36745BIPRNET"/>
              <w:jc w:val="center"/>
              <w:rPr>
                <w:rFonts w:ascii="Verdana" w:eastAsia="Verdana" w:hAnsi="Verdana" w:cs="Verdana"/>
                <w:i/>
                <w:noProof/>
                <w:color w:val="000000"/>
                <w:sz w:val="18"/>
              </w:rPr>
            </w:pPr>
            <w:r>
              <w:rPr>
                <w:rFonts w:ascii="Verdana" w:hAnsi="Verdana"/>
                <w:i/>
                <w:noProof/>
                <w:color w:val="000000"/>
                <w:sz w:val="18"/>
              </w:rPr>
              <w:t>2.6.1.4</w:t>
            </w:r>
          </w:p>
        </w:tc>
        <w:tc>
          <w:tcPr>
            <w:tcW w:w="1687" w:type="dxa"/>
            <w:tcBorders>
              <w:top w:val="nil"/>
              <w:left w:val="nil"/>
              <w:bottom w:val="nil"/>
              <w:right w:val="nil"/>
              <w:tl2br w:val="nil"/>
              <w:tr2bl w:val="nil"/>
            </w:tcBorders>
            <w:tcMar>
              <w:left w:w="60" w:type="dxa"/>
              <w:right w:w="60" w:type="dxa"/>
            </w:tcMar>
            <w:vAlign w:val="bottom"/>
          </w:tcPr>
          <w:p>
            <w:pPr>
              <w:pStyle w:val="DMETW36745BIPRNET"/>
              <w:jc w:val="right"/>
              <w:rPr>
                <w:rFonts w:ascii="Verdana" w:eastAsia="Verdana" w:hAnsi="Verdana" w:cs="Verdana"/>
                <w:i/>
                <w:noProof/>
                <w:color w:val="000000"/>
                <w:sz w:val="18"/>
              </w:rPr>
            </w:pPr>
            <w:r>
              <w:rPr>
                <w:rFonts w:ascii="Verdana" w:hAnsi="Verdana"/>
                <w:i/>
                <w:noProof/>
                <w:color w:val="000000"/>
                <w:sz w:val="18"/>
              </w:rPr>
              <w:t>2 269</w:t>
            </w:r>
          </w:p>
        </w:tc>
        <w:tc>
          <w:tcPr>
            <w:tcW w:w="1995" w:type="dxa"/>
            <w:tcBorders>
              <w:top w:val="nil"/>
              <w:left w:val="nil"/>
              <w:bottom w:val="nil"/>
              <w:right w:val="nil"/>
              <w:tl2br w:val="nil"/>
              <w:tr2bl w:val="nil"/>
            </w:tcBorders>
            <w:tcMar>
              <w:left w:w="60" w:type="dxa"/>
              <w:right w:w="60" w:type="dxa"/>
            </w:tcMar>
            <w:vAlign w:val="bottom"/>
          </w:tcPr>
          <w:p>
            <w:pPr>
              <w:pStyle w:val="DMETW36745BIPRNET"/>
              <w:jc w:val="right"/>
              <w:rPr>
                <w:rFonts w:ascii="Verdana" w:eastAsia="Verdana" w:hAnsi="Verdana" w:cs="Verdana"/>
                <w:i/>
                <w:noProof/>
                <w:color w:val="000000"/>
                <w:sz w:val="18"/>
              </w:rPr>
            </w:pPr>
            <w:r>
              <w:rPr>
                <w:rFonts w:ascii="Verdana" w:hAnsi="Verdana"/>
                <w:i/>
                <w:noProof/>
                <w:color w:val="000000"/>
                <w:sz w:val="18"/>
              </w:rPr>
              <w:t>1 085</w:t>
            </w:r>
          </w:p>
        </w:tc>
      </w:tr>
      <w:tr>
        <w:trPr>
          <w:trHeight w:val="255"/>
        </w:trPr>
        <w:tc>
          <w:tcPr>
            <w:tcW w:w="4389" w:type="dxa"/>
            <w:tcBorders>
              <w:top w:val="nil"/>
              <w:left w:val="nil"/>
              <w:bottom w:val="single" w:sz="4" w:space="0" w:color="016794"/>
              <w:right w:val="nil"/>
              <w:tl2br w:val="nil"/>
              <w:tr2bl w:val="nil"/>
            </w:tcBorders>
            <w:tcMar>
              <w:left w:w="60" w:type="dxa"/>
              <w:right w:w="60" w:type="dxa"/>
            </w:tcMar>
            <w:vAlign w:val="center"/>
          </w:tcPr>
          <w:p>
            <w:pPr>
              <w:pStyle w:val="DMETW36745BIPRNET"/>
              <w:rPr>
                <w:rFonts w:ascii="Verdana" w:eastAsia="Verdana" w:hAnsi="Verdana" w:cs="Verdana"/>
                <w:i/>
                <w:noProof/>
                <w:color w:val="000000"/>
                <w:sz w:val="18"/>
              </w:rPr>
            </w:pPr>
            <w:r>
              <w:rPr>
                <w:rFonts w:ascii="Verdana" w:hAnsi="Verdana"/>
                <w:i/>
                <w:noProof/>
                <w:color w:val="000000"/>
                <w:sz w:val="18"/>
              </w:rPr>
              <w:t>Autres créances à recouvrer</w:t>
            </w:r>
          </w:p>
        </w:tc>
        <w:tc>
          <w:tcPr>
            <w:tcW w:w="1687" w:type="dxa"/>
            <w:tcBorders>
              <w:top w:val="nil"/>
              <w:left w:val="nil"/>
              <w:bottom w:val="single" w:sz="4" w:space="0" w:color="016794"/>
              <w:right w:val="nil"/>
              <w:tl2br w:val="nil"/>
              <w:tr2bl w:val="nil"/>
            </w:tcBorders>
            <w:tcMar>
              <w:left w:w="60" w:type="dxa"/>
              <w:right w:w="60" w:type="dxa"/>
            </w:tcMar>
            <w:vAlign w:val="center"/>
          </w:tcPr>
          <w:p>
            <w:pPr>
              <w:pStyle w:val="DMETW36745BIPRNET"/>
              <w:jc w:val="center"/>
              <w:rPr>
                <w:rFonts w:ascii="Verdana" w:eastAsia="Verdana" w:hAnsi="Verdana" w:cs="Verdana"/>
                <w:i/>
                <w:noProof/>
                <w:color w:val="000000"/>
                <w:sz w:val="18"/>
              </w:rPr>
            </w:pPr>
          </w:p>
        </w:tc>
        <w:tc>
          <w:tcPr>
            <w:tcW w:w="1687" w:type="dxa"/>
            <w:tcBorders>
              <w:top w:val="nil"/>
              <w:left w:val="nil"/>
              <w:bottom w:val="single" w:sz="4" w:space="0" w:color="016794"/>
              <w:right w:val="nil"/>
              <w:tl2br w:val="nil"/>
              <w:tr2bl w:val="nil"/>
            </w:tcBorders>
            <w:tcMar>
              <w:left w:w="60" w:type="dxa"/>
              <w:right w:w="60" w:type="dxa"/>
            </w:tcMar>
            <w:vAlign w:val="bottom"/>
          </w:tcPr>
          <w:p>
            <w:pPr>
              <w:pStyle w:val="DMETW36745BIPRNET"/>
              <w:jc w:val="right"/>
              <w:rPr>
                <w:rFonts w:ascii="Verdana" w:eastAsia="Verdana" w:hAnsi="Verdana" w:cs="Verdana"/>
                <w:i/>
                <w:noProof/>
                <w:color w:val="000000"/>
                <w:sz w:val="18"/>
              </w:rPr>
            </w:pPr>
            <w:r>
              <w:rPr>
                <w:rFonts w:ascii="Verdana" w:hAnsi="Verdana"/>
                <w:i/>
                <w:noProof/>
                <w:color w:val="000000"/>
                <w:sz w:val="18"/>
              </w:rPr>
              <w:t xml:space="preserve"> 117</w:t>
            </w:r>
          </w:p>
        </w:tc>
        <w:tc>
          <w:tcPr>
            <w:tcW w:w="1995" w:type="dxa"/>
            <w:tcBorders>
              <w:top w:val="nil"/>
              <w:left w:val="nil"/>
              <w:bottom w:val="single" w:sz="4" w:space="0" w:color="016794"/>
              <w:right w:val="nil"/>
              <w:tl2br w:val="nil"/>
              <w:tr2bl w:val="nil"/>
            </w:tcBorders>
            <w:tcMar>
              <w:left w:w="60" w:type="dxa"/>
              <w:right w:w="60" w:type="dxa"/>
            </w:tcMar>
            <w:vAlign w:val="bottom"/>
          </w:tcPr>
          <w:p>
            <w:pPr>
              <w:pStyle w:val="DMETW36745BIPRNET"/>
              <w:jc w:val="right"/>
              <w:rPr>
                <w:rFonts w:ascii="Verdana" w:eastAsia="Verdana" w:hAnsi="Verdana" w:cs="Verdana"/>
                <w:i/>
                <w:noProof/>
                <w:color w:val="000000"/>
                <w:sz w:val="18"/>
              </w:rPr>
            </w:pPr>
            <w:r>
              <w:rPr>
                <w:rFonts w:ascii="Verdana" w:hAnsi="Verdana"/>
                <w:i/>
                <w:noProof/>
                <w:color w:val="000000"/>
                <w:sz w:val="18"/>
              </w:rPr>
              <w:t xml:space="preserve"> 94</w:t>
            </w:r>
          </w:p>
        </w:tc>
      </w:tr>
      <w:tr>
        <w:trPr>
          <w:trHeight w:val="255"/>
        </w:trPr>
        <w:tc>
          <w:tcPr>
            <w:tcW w:w="438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5BIPRNET"/>
              <w:rPr>
                <w:rFonts w:ascii="Verdana" w:eastAsia="Verdana" w:hAnsi="Verdana" w:cs="Verdana"/>
                <w:i/>
                <w:noProof/>
                <w:color w:val="000000"/>
                <w:sz w:val="18"/>
              </w:rPr>
            </w:pPr>
          </w:p>
        </w:tc>
        <w:tc>
          <w:tcPr>
            <w:tcW w:w="1687"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5BIPRNET"/>
              <w:jc w:val="center"/>
              <w:rPr>
                <w:rFonts w:ascii="Verdana" w:eastAsia="Verdana" w:hAnsi="Verdana" w:cs="Verdana"/>
                <w:noProof/>
                <w:color w:val="000000"/>
                <w:sz w:val="18"/>
              </w:rPr>
            </w:pPr>
          </w:p>
        </w:tc>
        <w:tc>
          <w:tcPr>
            <w:tcW w:w="1687"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45BIPRNET"/>
              <w:jc w:val="right"/>
              <w:rPr>
                <w:rFonts w:ascii="Verdana" w:eastAsia="Verdana" w:hAnsi="Verdana" w:cs="Verdana"/>
                <w:b/>
                <w:noProof/>
                <w:color w:val="000000"/>
                <w:sz w:val="18"/>
              </w:rPr>
            </w:pPr>
            <w:r>
              <w:rPr>
                <w:rFonts w:ascii="Verdana" w:hAnsi="Verdana"/>
                <w:b/>
                <w:noProof/>
                <w:color w:val="000000"/>
                <w:sz w:val="18"/>
              </w:rPr>
              <w:t>18 952</w:t>
            </w:r>
          </w:p>
        </w:tc>
        <w:tc>
          <w:tcPr>
            <w:tcW w:w="1995"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45BIPRNET"/>
              <w:jc w:val="right"/>
              <w:rPr>
                <w:rFonts w:ascii="Verdana" w:eastAsia="Verdana" w:hAnsi="Verdana" w:cs="Verdana"/>
                <w:b/>
                <w:noProof/>
                <w:color w:val="000000"/>
                <w:sz w:val="18"/>
              </w:rPr>
            </w:pPr>
            <w:r>
              <w:rPr>
                <w:rFonts w:ascii="Verdana" w:hAnsi="Verdana"/>
                <w:b/>
                <w:noProof/>
                <w:color w:val="000000"/>
                <w:sz w:val="18"/>
              </w:rPr>
              <w:t>16 529</w:t>
            </w:r>
          </w:p>
        </w:tc>
      </w:tr>
      <w:tr>
        <w:trPr>
          <w:trHeight w:val="255"/>
        </w:trPr>
        <w:tc>
          <w:tcPr>
            <w:tcW w:w="438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5BIPRNET"/>
              <w:rPr>
                <w:rFonts w:ascii="Verdana" w:eastAsia="Verdana" w:hAnsi="Verdana" w:cs="Verdana"/>
                <w:b/>
                <w:noProof/>
                <w:color w:val="000000"/>
                <w:sz w:val="18"/>
              </w:rPr>
            </w:pPr>
            <w:r>
              <w:rPr>
                <w:rFonts w:ascii="Verdana" w:hAnsi="Verdana"/>
                <w:b/>
                <w:noProof/>
                <w:color w:val="000000"/>
                <w:sz w:val="18"/>
              </w:rPr>
              <w:t>Total</w:t>
            </w:r>
          </w:p>
        </w:tc>
        <w:tc>
          <w:tcPr>
            <w:tcW w:w="1687"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5BIPRNET"/>
              <w:jc w:val="center"/>
              <w:rPr>
                <w:rFonts w:ascii="Verdana" w:eastAsia="Verdana" w:hAnsi="Verdana" w:cs="Verdana"/>
                <w:noProof/>
                <w:color w:val="000000"/>
                <w:sz w:val="18"/>
              </w:rPr>
            </w:pPr>
          </w:p>
        </w:tc>
        <w:tc>
          <w:tcPr>
            <w:tcW w:w="1687"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45BIPRNET"/>
              <w:jc w:val="right"/>
              <w:rPr>
                <w:rFonts w:ascii="Verdana" w:eastAsia="Verdana" w:hAnsi="Verdana" w:cs="Verdana"/>
                <w:b/>
                <w:noProof/>
                <w:color w:val="000000"/>
                <w:sz w:val="18"/>
              </w:rPr>
            </w:pPr>
            <w:r>
              <w:rPr>
                <w:rFonts w:ascii="Verdana" w:hAnsi="Verdana"/>
                <w:b/>
                <w:noProof/>
                <w:color w:val="000000"/>
                <w:sz w:val="18"/>
              </w:rPr>
              <w:t>29 830</w:t>
            </w:r>
          </w:p>
        </w:tc>
        <w:tc>
          <w:tcPr>
            <w:tcW w:w="1995"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45BIPRNET"/>
              <w:jc w:val="right"/>
              <w:rPr>
                <w:rFonts w:ascii="Verdana" w:eastAsia="Verdana" w:hAnsi="Verdana" w:cs="Verdana"/>
                <w:b/>
                <w:noProof/>
                <w:color w:val="000000"/>
                <w:sz w:val="18"/>
              </w:rPr>
            </w:pPr>
            <w:r>
              <w:rPr>
                <w:rFonts w:ascii="Verdana" w:hAnsi="Verdana"/>
                <w:b/>
                <w:noProof/>
                <w:color w:val="000000"/>
                <w:sz w:val="18"/>
              </w:rPr>
              <w:t>28 070</w:t>
            </w:r>
          </w:p>
        </w:tc>
      </w:tr>
    </w:tbl>
    <w:p>
      <w:pPr>
        <w:pStyle w:val="HEADER4NOTES"/>
        <w:numPr>
          <w:ilvl w:val="3"/>
          <w:numId w:val="15"/>
        </w:numPr>
        <w:spacing w:after="120"/>
        <w:rPr>
          <w:noProof/>
        </w:rPr>
      </w:pPr>
      <w:r>
        <w:rPr>
          <w:noProof/>
        </w:rPr>
        <w:t>Créances à recouvrer auprès des États membres</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28"/>
        <w:gridCol w:w="1895"/>
        <w:gridCol w:w="1735"/>
      </w:tblGrid>
      <w:tr>
        <w:trPr>
          <w:trHeight w:val="255"/>
        </w:trPr>
        <w:tc>
          <w:tcPr>
            <w:tcW w:w="6128" w:type="dxa"/>
            <w:tcBorders>
              <w:top w:val="nil"/>
              <w:left w:val="nil"/>
              <w:bottom w:val="nil"/>
              <w:right w:val="nil"/>
              <w:tl2br w:val="nil"/>
              <w:tr2bl w:val="nil"/>
            </w:tcBorders>
            <w:tcMar>
              <w:left w:w="60" w:type="dxa"/>
              <w:right w:w="60" w:type="dxa"/>
            </w:tcMar>
            <w:vAlign w:val="bottom"/>
          </w:tcPr>
          <w:p>
            <w:pPr>
              <w:pStyle w:val="DMETW36746BIPRMS"/>
              <w:rPr>
                <w:rFonts w:ascii="Arial" w:eastAsia="Arial" w:hAnsi="Arial" w:cs="Arial"/>
                <w:noProof/>
                <w:color w:val="000000"/>
              </w:rPr>
            </w:pPr>
            <w:bookmarkStart w:id="124" w:name="DOC_TBL00032_1_1"/>
            <w:bookmarkEnd w:id="124"/>
          </w:p>
        </w:tc>
        <w:tc>
          <w:tcPr>
            <w:tcW w:w="1895" w:type="dxa"/>
            <w:tcBorders>
              <w:top w:val="nil"/>
              <w:left w:val="nil"/>
              <w:bottom w:val="nil"/>
              <w:right w:val="nil"/>
              <w:tl2br w:val="nil"/>
              <w:tr2bl w:val="nil"/>
            </w:tcBorders>
            <w:tcMar>
              <w:left w:w="60" w:type="dxa"/>
              <w:right w:w="60" w:type="dxa"/>
            </w:tcMar>
            <w:vAlign w:val="bottom"/>
          </w:tcPr>
          <w:p>
            <w:pPr>
              <w:pStyle w:val="DMETW36746BIPRMS"/>
              <w:rPr>
                <w:rFonts w:ascii="Arial" w:eastAsia="Arial" w:hAnsi="Arial" w:cs="Arial"/>
                <w:noProof/>
                <w:color w:val="000000"/>
              </w:rPr>
            </w:pPr>
          </w:p>
        </w:tc>
        <w:tc>
          <w:tcPr>
            <w:tcW w:w="1735" w:type="dxa"/>
            <w:tcBorders>
              <w:top w:val="nil"/>
              <w:left w:val="nil"/>
              <w:bottom w:val="nil"/>
              <w:right w:val="nil"/>
              <w:tl2br w:val="nil"/>
              <w:tr2bl w:val="nil"/>
            </w:tcBorders>
            <w:tcMar>
              <w:left w:w="60" w:type="dxa"/>
              <w:right w:w="60" w:type="dxa"/>
            </w:tcMar>
            <w:vAlign w:val="bottom"/>
          </w:tcPr>
          <w:p>
            <w:pPr>
              <w:pStyle w:val="DMETW36746BIPRMS"/>
              <w:jc w:val="right"/>
              <w:rPr>
                <w:rFonts w:ascii="Verdana" w:eastAsia="Verdana" w:hAnsi="Verdana" w:cs="Verdana"/>
                <w:i/>
                <w:noProof/>
                <w:color w:val="000000"/>
                <w:sz w:val="16"/>
              </w:rPr>
            </w:pPr>
            <w:r>
              <w:rPr>
                <w:rFonts w:ascii="Verdana" w:hAnsi="Verdana"/>
                <w:i/>
                <w:noProof/>
                <w:color w:val="000000"/>
                <w:sz w:val="16"/>
              </w:rPr>
              <w:t>en Mio EUR</w:t>
            </w:r>
          </w:p>
        </w:tc>
      </w:tr>
      <w:tr>
        <w:trPr>
          <w:trHeight w:val="255"/>
        </w:trPr>
        <w:tc>
          <w:tcPr>
            <w:tcW w:w="6128" w:type="dxa"/>
            <w:tcBorders>
              <w:top w:val="nil"/>
              <w:left w:val="nil"/>
              <w:bottom w:val="nil"/>
              <w:right w:val="nil"/>
              <w:tl2br w:val="nil"/>
              <w:tr2bl w:val="nil"/>
            </w:tcBorders>
            <w:shd w:val="solid" w:color="016794" w:fill="FFFFFF"/>
            <w:tcMar>
              <w:left w:w="60" w:type="dxa"/>
              <w:right w:w="60" w:type="dxa"/>
            </w:tcMar>
            <w:vAlign w:val="center"/>
          </w:tcPr>
          <w:p>
            <w:pPr>
              <w:pStyle w:val="DMETW36746BIPRMS"/>
              <w:jc w:val="right"/>
              <w:rPr>
                <w:rFonts w:ascii="Verdana" w:eastAsia="Verdana" w:hAnsi="Verdana" w:cs="Verdana"/>
                <w:noProof/>
                <w:color w:val="FFFFFF"/>
                <w:sz w:val="18"/>
              </w:rPr>
            </w:pPr>
          </w:p>
        </w:tc>
        <w:tc>
          <w:tcPr>
            <w:tcW w:w="1895" w:type="dxa"/>
            <w:tcBorders>
              <w:top w:val="nil"/>
              <w:left w:val="nil"/>
              <w:bottom w:val="nil"/>
              <w:right w:val="nil"/>
              <w:tl2br w:val="nil"/>
              <w:tr2bl w:val="nil"/>
            </w:tcBorders>
            <w:shd w:val="solid" w:color="016794" w:fill="FFFFFF"/>
            <w:tcMar>
              <w:left w:w="60" w:type="dxa"/>
              <w:right w:w="60" w:type="dxa"/>
            </w:tcMar>
            <w:vAlign w:val="center"/>
          </w:tcPr>
          <w:p>
            <w:pPr>
              <w:pStyle w:val="DMETW36746BIPRMS"/>
              <w:jc w:val="right"/>
              <w:rPr>
                <w:rFonts w:ascii="Verdana" w:eastAsia="Verdana" w:hAnsi="Verdana" w:cs="Verdana"/>
                <w:noProof/>
                <w:color w:val="FFFFFF"/>
              </w:rPr>
            </w:pPr>
            <w:r>
              <w:rPr>
                <w:rFonts w:ascii="Verdana" w:hAnsi="Verdana"/>
                <w:noProof/>
                <w:color w:val="FFFFFF"/>
              </w:rPr>
              <w:t>31.12.2025</w:t>
            </w:r>
          </w:p>
        </w:tc>
        <w:tc>
          <w:tcPr>
            <w:tcW w:w="1735" w:type="dxa"/>
            <w:tcBorders>
              <w:top w:val="nil"/>
              <w:left w:val="nil"/>
              <w:bottom w:val="nil"/>
              <w:right w:val="nil"/>
              <w:tl2br w:val="nil"/>
              <w:tr2bl w:val="nil"/>
            </w:tcBorders>
            <w:shd w:val="solid" w:color="016794" w:fill="FFFFFF"/>
            <w:tcMar>
              <w:left w:w="60" w:type="dxa"/>
              <w:right w:w="60" w:type="dxa"/>
            </w:tcMar>
            <w:vAlign w:val="center"/>
          </w:tcPr>
          <w:p>
            <w:pPr>
              <w:pStyle w:val="DMETW36746BIPRMS"/>
              <w:jc w:val="right"/>
              <w:rPr>
                <w:rFonts w:ascii="Verdana" w:eastAsia="Verdana" w:hAnsi="Verdana" w:cs="Verdana"/>
                <w:noProof/>
                <w:color w:val="FFFFFF"/>
              </w:rPr>
            </w:pPr>
            <w:r>
              <w:rPr>
                <w:rFonts w:ascii="Verdana" w:hAnsi="Verdana"/>
                <w:noProof/>
                <w:color w:val="FFFFFF"/>
              </w:rPr>
              <w:t>31.12.2024</w:t>
            </w:r>
          </w:p>
        </w:tc>
      </w:tr>
      <w:tr>
        <w:trPr>
          <w:trHeight w:val="255"/>
        </w:trPr>
        <w:tc>
          <w:tcPr>
            <w:tcW w:w="6128" w:type="dxa"/>
            <w:tcBorders>
              <w:top w:val="nil"/>
              <w:left w:val="nil"/>
              <w:bottom w:val="nil"/>
              <w:right w:val="nil"/>
              <w:tl2br w:val="nil"/>
              <w:tr2bl w:val="nil"/>
            </w:tcBorders>
            <w:tcMar>
              <w:left w:w="60" w:type="dxa"/>
              <w:right w:w="60" w:type="dxa"/>
            </w:tcMar>
            <w:vAlign w:val="center"/>
          </w:tcPr>
          <w:p>
            <w:pPr>
              <w:pStyle w:val="DMETW36746BIPRMS"/>
              <w:rPr>
                <w:rFonts w:ascii="Verdana" w:eastAsia="Verdana" w:hAnsi="Verdana" w:cs="Verdana"/>
                <w:i/>
                <w:noProof/>
                <w:color w:val="000000"/>
                <w:sz w:val="18"/>
              </w:rPr>
            </w:pPr>
            <w:r>
              <w:rPr>
                <w:rFonts w:ascii="Verdana" w:hAnsi="Verdana"/>
                <w:i/>
                <w:noProof/>
                <w:color w:val="000000"/>
                <w:sz w:val="18"/>
              </w:rPr>
              <w:t>Comptabilité A des RPT</w:t>
            </w:r>
          </w:p>
        </w:tc>
        <w:tc>
          <w:tcPr>
            <w:tcW w:w="1895" w:type="dxa"/>
            <w:tcBorders>
              <w:top w:val="nil"/>
              <w:left w:val="nil"/>
              <w:bottom w:val="nil"/>
              <w:right w:val="nil"/>
              <w:tl2br w:val="nil"/>
              <w:tr2bl w:val="nil"/>
            </w:tcBorders>
            <w:tcMar>
              <w:left w:w="60" w:type="dxa"/>
              <w:right w:w="60" w:type="dxa"/>
            </w:tcMar>
            <w:vAlign w:val="center"/>
          </w:tcPr>
          <w:p>
            <w:pPr>
              <w:pStyle w:val="DMETW36746BIPRMS"/>
              <w:jc w:val="right"/>
              <w:rPr>
                <w:rFonts w:ascii="Verdana" w:eastAsia="Verdana" w:hAnsi="Verdana" w:cs="Verdana"/>
                <w:i/>
                <w:noProof/>
                <w:color w:val="000000"/>
                <w:sz w:val="18"/>
              </w:rPr>
            </w:pPr>
            <w:r>
              <w:rPr>
                <w:rFonts w:ascii="Verdana" w:hAnsi="Verdana"/>
                <w:i/>
                <w:noProof/>
                <w:color w:val="000000"/>
                <w:sz w:val="18"/>
              </w:rPr>
              <w:t>3 652</w:t>
            </w:r>
          </w:p>
        </w:tc>
        <w:tc>
          <w:tcPr>
            <w:tcW w:w="1735" w:type="dxa"/>
            <w:tcBorders>
              <w:top w:val="nil"/>
              <w:left w:val="nil"/>
              <w:bottom w:val="nil"/>
              <w:right w:val="nil"/>
              <w:tl2br w:val="nil"/>
              <w:tr2bl w:val="nil"/>
            </w:tcBorders>
            <w:tcMar>
              <w:left w:w="60" w:type="dxa"/>
              <w:right w:w="60" w:type="dxa"/>
            </w:tcMar>
            <w:vAlign w:val="center"/>
          </w:tcPr>
          <w:p>
            <w:pPr>
              <w:pStyle w:val="DMETW36746BIPRMS"/>
              <w:jc w:val="right"/>
              <w:rPr>
                <w:rFonts w:ascii="Verdana" w:eastAsia="Verdana" w:hAnsi="Verdana" w:cs="Verdana"/>
                <w:i/>
                <w:noProof/>
                <w:color w:val="000000"/>
                <w:sz w:val="18"/>
              </w:rPr>
            </w:pPr>
            <w:r>
              <w:rPr>
                <w:rFonts w:ascii="Verdana" w:hAnsi="Verdana"/>
                <w:i/>
                <w:noProof/>
                <w:color w:val="000000"/>
                <w:sz w:val="18"/>
              </w:rPr>
              <w:t>3 277</w:t>
            </w:r>
          </w:p>
        </w:tc>
      </w:tr>
      <w:tr>
        <w:trPr>
          <w:trHeight w:val="255"/>
        </w:trPr>
        <w:tc>
          <w:tcPr>
            <w:tcW w:w="6128" w:type="dxa"/>
            <w:tcBorders>
              <w:top w:val="nil"/>
              <w:left w:val="nil"/>
              <w:bottom w:val="nil"/>
              <w:right w:val="nil"/>
              <w:tl2br w:val="nil"/>
              <w:tr2bl w:val="nil"/>
            </w:tcBorders>
            <w:tcMar>
              <w:left w:w="60" w:type="dxa"/>
              <w:right w:w="60" w:type="dxa"/>
            </w:tcMar>
            <w:vAlign w:val="center"/>
          </w:tcPr>
          <w:p>
            <w:pPr>
              <w:pStyle w:val="DMETW36746BIPRMS"/>
              <w:rPr>
                <w:rFonts w:ascii="Verdana" w:eastAsia="Verdana" w:hAnsi="Verdana" w:cs="Verdana"/>
                <w:i/>
                <w:noProof/>
                <w:color w:val="000000"/>
                <w:sz w:val="18"/>
              </w:rPr>
            </w:pPr>
            <w:r>
              <w:rPr>
                <w:rFonts w:ascii="Verdana" w:hAnsi="Verdana"/>
                <w:i/>
                <w:noProof/>
                <w:color w:val="000000"/>
                <w:sz w:val="18"/>
              </w:rPr>
              <w:t>Comptabilité séparée des RPT</w:t>
            </w:r>
          </w:p>
        </w:tc>
        <w:tc>
          <w:tcPr>
            <w:tcW w:w="1895" w:type="dxa"/>
            <w:tcBorders>
              <w:top w:val="nil"/>
              <w:left w:val="nil"/>
              <w:bottom w:val="nil"/>
              <w:right w:val="nil"/>
              <w:tl2br w:val="nil"/>
              <w:tr2bl w:val="nil"/>
            </w:tcBorders>
            <w:tcMar>
              <w:left w:w="60" w:type="dxa"/>
              <w:right w:w="60" w:type="dxa"/>
            </w:tcMar>
            <w:vAlign w:val="center"/>
          </w:tcPr>
          <w:p>
            <w:pPr>
              <w:pStyle w:val="DMETW36746BIPRMS"/>
              <w:jc w:val="right"/>
              <w:rPr>
                <w:rFonts w:ascii="Verdana" w:eastAsia="Verdana" w:hAnsi="Verdana" w:cs="Verdana"/>
                <w:i/>
                <w:noProof/>
                <w:color w:val="000000"/>
                <w:sz w:val="18"/>
              </w:rPr>
            </w:pPr>
            <w:r>
              <w:rPr>
                <w:rFonts w:ascii="Verdana" w:hAnsi="Verdana"/>
                <w:i/>
                <w:noProof/>
                <w:color w:val="000000"/>
                <w:sz w:val="18"/>
              </w:rPr>
              <w:t xml:space="preserve"> 868</w:t>
            </w:r>
          </w:p>
        </w:tc>
        <w:tc>
          <w:tcPr>
            <w:tcW w:w="1735" w:type="dxa"/>
            <w:tcBorders>
              <w:top w:val="nil"/>
              <w:left w:val="nil"/>
              <w:bottom w:val="nil"/>
              <w:right w:val="nil"/>
              <w:tl2br w:val="nil"/>
              <w:tr2bl w:val="nil"/>
            </w:tcBorders>
            <w:tcMar>
              <w:left w:w="60" w:type="dxa"/>
              <w:right w:w="60" w:type="dxa"/>
            </w:tcMar>
            <w:vAlign w:val="center"/>
          </w:tcPr>
          <w:p>
            <w:pPr>
              <w:pStyle w:val="DMETW36746BIPRMS"/>
              <w:jc w:val="right"/>
              <w:rPr>
                <w:rFonts w:ascii="Verdana" w:eastAsia="Verdana" w:hAnsi="Verdana" w:cs="Verdana"/>
                <w:i/>
                <w:noProof/>
                <w:color w:val="000000"/>
                <w:sz w:val="18"/>
              </w:rPr>
            </w:pPr>
            <w:r>
              <w:rPr>
                <w:rFonts w:ascii="Verdana" w:hAnsi="Verdana"/>
                <w:i/>
                <w:noProof/>
                <w:color w:val="000000"/>
                <w:sz w:val="18"/>
              </w:rPr>
              <w:t xml:space="preserve"> 849</w:t>
            </w:r>
          </w:p>
        </w:tc>
      </w:tr>
      <w:tr>
        <w:trPr>
          <w:trHeight w:val="255"/>
        </w:trPr>
        <w:tc>
          <w:tcPr>
            <w:tcW w:w="6128" w:type="dxa"/>
            <w:tcBorders>
              <w:top w:val="nil"/>
              <w:left w:val="nil"/>
              <w:bottom w:val="nil"/>
              <w:right w:val="nil"/>
              <w:tl2br w:val="nil"/>
              <w:tr2bl w:val="nil"/>
            </w:tcBorders>
            <w:tcMar>
              <w:left w:w="60" w:type="dxa"/>
              <w:right w:w="60" w:type="dxa"/>
            </w:tcMar>
            <w:vAlign w:val="center"/>
          </w:tcPr>
          <w:p>
            <w:pPr>
              <w:pStyle w:val="DMETW36746BIPRMS"/>
              <w:rPr>
                <w:rFonts w:ascii="Verdana" w:eastAsia="Verdana" w:hAnsi="Verdana" w:cs="Verdana"/>
                <w:i/>
                <w:noProof/>
                <w:color w:val="000000"/>
                <w:sz w:val="18"/>
              </w:rPr>
            </w:pPr>
            <w:r>
              <w:rPr>
                <w:rFonts w:ascii="Verdana" w:hAnsi="Verdana"/>
                <w:i/>
                <w:noProof/>
                <w:color w:val="000000"/>
                <w:sz w:val="18"/>
              </w:rPr>
              <w:t>Ressources propres à recevoir</w:t>
            </w:r>
          </w:p>
        </w:tc>
        <w:tc>
          <w:tcPr>
            <w:tcW w:w="1895" w:type="dxa"/>
            <w:tcBorders>
              <w:top w:val="nil"/>
              <w:left w:val="nil"/>
              <w:bottom w:val="nil"/>
              <w:right w:val="nil"/>
              <w:tl2br w:val="nil"/>
              <w:tr2bl w:val="nil"/>
            </w:tcBorders>
            <w:tcMar>
              <w:left w:w="60" w:type="dxa"/>
              <w:right w:w="60" w:type="dxa"/>
            </w:tcMar>
            <w:vAlign w:val="center"/>
          </w:tcPr>
          <w:p>
            <w:pPr>
              <w:pStyle w:val="DMETW36746BIPRMS"/>
              <w:jc w:val="right"/>
              <w:rPr>
                <w:rFonts w:ascii="Verdana" w:eastAsia="Verdana" w:hAnsi="Verdana" w:cs="Verdana"/>
                <w:i/>
                <w:noProof/>
                <w:color w:val="000000"/>
                <w:sz w:val="18"/>
              </w:rPr>
            </w:pPr>
            <w:r>
              <w:rPr>
                <w:rFonts w:ascii="Verdana" w:hAnsi="Verdana"/>
                <w:i/>
                <w:noProof/>
                <w:color w:val="000000"/>
                <w:sz w:val="18"/>
              </w:rPr>
              <w:t>–</w:t>
            </w:r>
          </w:p>
        </w:tc>
        <w:tc>
          <w:tcPr>
            <w:tcW w:w="1735" w:type="dxa"/>
            <w:tcBorders>
              <w:top w:val="nil"/>
              <w:left w:val="nil"/>
              <w:bottom w:val="nil"/>
              <w:right w:val="nil"/>
              <w:tl2br w:val="nil"/>
              <w:tr2bl w:val="nil"/>
            </w:tcBorders>
            <w:tcMar>
              <w:left w:w="60" w:type="dxa"/>
              <w:right w:w="60" w:type="dxa"/>
            </w:tcMar>
            <w:vAlign w:val="center"/>
          </w:tcPr>
          <w:p>
            <w:pPr>
              <w:pStyle w:val="DMETW36746BIPRMS"/>
              <w:jc w:val="right"/>
              <w:rPr>
                <w:rFonts w:ascii="Verdana" w:eastAsia="Verdana" w:hAnsi="Verdana" w:cs="Verdana"/>
                <w:i/>
                <w:noProof/>
                <w:color w:val="000000"/>
                <w:sz w:val="18"/>
              </w:rPr>
            </w:pPr>
            <w:r>
              <w:rPr>
                <w:rFonts w:ascii="Verdana" w:hAnsi="Verdana"/>
                <w:i/>
                <w:noProof/>
                <w:color w:val="000000"/>
                <w:sz w:val="18"/>
              </w:rPr>
              <w:t xml:space="preserve"> 139</w:t>
            </w:r>
          </w:p>
        </w:tc>
      </w:tr>
      <w:tr>
        <w:trPr>
          <w:trHeight w:val="255"/>
        </w:trPr>
        <w:tc>
          <w:tcPr>
            <w:tcW w:w="6128" w:type="dxa"/>
            <w:tcBorders>
              <w:top w:val="nil"/>
              <w:left w:val="nil"/>
              <w:bottom w:val="nil"/>
              <w:right w:val="nil"/>
              <w:tl2br w:val="nil"/>
              <w:tr2bl w:val="nil"/>
            </w:tcBorders>
            <w:tcMar>
              <w:left w:w="60" w:type="dxa"/>
              <w:right w:w="60" w:type="dxa"/>
            </w:tcMar>
            <w:vAlign w:val="center"/>
          </w:tcPr>
          <w:p>
            <w:pPr>
              <w:pStyle w:val="DMETW36746BIPRMS"/>
              <w:rPr>
                <w:rFonts w:ascii="Verdana" w:eastAsia="Verdana" w:hAnsi="Verdana" w:cs="Verdana"/>
                <w:i/>
                <w:noProof/>
                <w:color w:val="000000"/>
                <w:sz w:val="18"/>
              </w:rPr>
            </w:pPr>
            <w:r>
              <w:rPr>
                <w:rFonts w:ascii="Verdana" w:hAnsi="Verdana"/>
                <w:i/>
                <w:noProof/>
                <w:color w:val="000000"/>
                <w:sz w:val="18"/>
              </w:rPr>
              <w:t>Dépréciation</w:t>
            </w:r>
          </w:p>
        </w:tc>
        <w:tc>
          <w:tcPr>
            <w:tcW w:w="1895" w:type="dxa"/>
            <w:tcBorders>
              <w:top w:val="nil"/>
              <w:left w:val="nil"/>
              <w:bottom w:val="nil"/>
              <w:right w:val="nil"/>
              <w:tl2br w:val="nil"/>
              <w:tr2bl w:val="nil"/>
            </w:tcBorders>
            <w:tcMar>
              <w:left w:w="60" w:type="dxa"/>
              <w:right w:w="60" w:type="dxa"/>
            </w:tcMar>
            <w:vAlign w:val="center"/>
          </w:tcPr>
          <w:p>
            <w:pPr>
              <w:pStyle w:val="DMETW36746BIPRMS"/>
              <w:jc w:val="right"/>
              <w:rPr>
                <w:rFonts w:ascii="Verdana" w:eastAsia="Verdana" w:hAnsi="Verdana" w:cs="Verdana"/>
                <w:i/>
                <w:noProof/>
                <w:color w:val="000000"/>
                <w:sz w:val="18"/>
              </w:rPr>
            </w:pPr>
            <w:r>
              <w:rPr>
                <w:rFonts w:ascii="Verdana" w:hAnsi="Verdana"/>
                <w:i/>
                <w:noProof/>
                <w:color w:val="000000"/>
                <w:sz w:val="18"/>
              </w:rPr>
              <w:t xml:space="preserve"> (535)</w:t>
            </w:r>
          </w:p>
        </w:tc>
        <w:tc>
          <w:tcPr>
            <w:tcW w:w="1735" w:type="dxa"/>
            <w:tcBorders>
              <w:top w:val="nil"/>
              <w:left w:val="nil"/>
              <w:bottom w:val="nil"/>
              <w:right w:val="nil"/>
              <w:tl2br w:val="nil"/>
              <w:tr2bl w:val="nil"/>
            </w:tcBorders>
            <w:tcMar>
              <w:left w:w="60" w:type="dxa"/>
              <w:right w:w="60" w:type="dxa"/>
            </w:tcMar>
            <w:vAlign w:val="center"/>
          </w:tcPr>
          <w:p>
            <w:pPr>
              <w:pStyle w:val="DMETW36746BIPRMS"/>
              <w:jc w:val="right"/>
              <w:rPr>
                <w:rFonts w:ascii="Verdana" w:eastAsia="Verdana" w:hAnsi="Verdana" w:cs="Verdana"/>
                <w:i/>
                <w:noProof/>
                <w:color w:val="000000"/>
                <w:sz w:val="18"/>
              </w:rPr>
            </w:pPr>
            <w:r>
              <w:rPr>
                <w:rFonts w:ascii="Verdana" w:hAnsi="Verdana"/>
                <w:i/>
                <w:noProof/>
                <w:color w:val="000000"/>
                <w:sz w:val="18"/>
              </w:rPr>
              <w:t xml:space="preserve"> (553)</w:t>
            </w:r>
          </w:p>
        </w:tc>
      </w:tr>
      <w:tr>
        <w:trPr>
          <w:trHeight w:val="255"/>
        </w:trPr>
        <w:tc>
          <w:tcPr>
            <w:tcW w:w="6128" w:type="dxa"/>
            <w:tcBorders>
              <w:top w:val="nil"/>
              <w:left w:val="nil"/>
              <w:bottom w:val="single" w:sz="4" w:space="0" w:color="016794"/>
              <w:right w:val="nil"/>
              <w:tl2br w:val="nil"/>
              <w:tr2bl w:val="nil"/>
            </w:tcBorders>
            <w:tcMar>
              <w:left w:w="60" w:type="dxa"/>
              <w:right w:w="60" w:type="dxa"/>
            </w:tcMar>
            <w:vAlign w:val="center"/>
          </w:tcPr>
          <w:p>
            <w:pPr>
              <w:pStyle w:val="DMETW36746BIPRMS"/>
              <w:rPr>
                <w:rFonts w:ascii="Verdana" w:eastAsia="Verdana" w:hAnsi="Verdana" w:cs="Verdana"/>
                <w:i/>
                <w:noProof/>
                <w:color w:val="000000"/>
                <w:sz w:val="18"/>
              </w:rPr>
            </w:pPr>
            <w:r>
              <w:rPr>
                <w:rFonts w:ascii="Verdana" w:hAnsi="Verdana"/>
                <w:i/>
                <w:noProof/>
                <w:color w:val="000000"/>
                <w:sz w:val="18"/>
              </w:rPr>
              <w:t>Autres</w:t>
            </w:r>
          </w:p>
        </w:tc>
        <w:tc>
          <w:tcPr>
            <w:tcW w:w="1895" w:type="dxa"/>
            <w:tcBorders>
              <w:top w:val="nil"/>
              <w:left w:val="nil"/>
              <w:bottom w:val="single" w:sz="4" w:space="0" w:color="016794"/>
              <w:right w:val="nil"/>
              <w:tl2br w:val="nil"/>
              <w:tr2bl w:val="nil"/>
            </w:tcBorders>
            <w:tcMar>
              <w:left w:w="60" w:type="dxa"/>
              <w:right w:w="60" w:type="dxa"/>
            </w:tcMar>
            <w:vAlign w:val="center"/>
          </w:tcPr>
          <w:p>
            <w:pPr>
              <w:pStyle w:val="DMETW36746BIPRMS"/>
              <w:jc w:val="right"/>
              <w:rPr>
                <w:rFonts w:ascii="Verdana" w:eastAsia="Verdana" w:hAnsi="Verdana" w:cs="Verdana"/>
                <w:i/>
                <w:noProof/>
                <w:color w:val="000000"/>
                <w:sz w:val="18"/>
              </w:rPr>
            </w:pPr>
            <w:r>
              <w:rPr>
                <w:rFonts w:ascii="Verdana" w:hAnsi="Verdana"/>
                <w:i/>
                <w:noProof/>
                <w:color w:val="000000"/>
                <w:sz w:val="18"/>
              </w:rPr>
              <w:t>–</w:t>
            </w:r>
          </w:p>
        </w:tc>
        <w:tc>
          <w:tcPr>
            <w:tcW w:w="1735" w:type="dxa"/>
            <w:tcBorders>
              <w:top w:val="nil"/>
              <w:left w:val="nil"/>
              <w:bottom w:val="single" w:sz="4" w:space="0" w:color="016794"/>
              <w:right w:val="nil"/>
              <w:tl2br w:val="nil"/>
              <w:tr2bl w:val="nil"/>
            </w:tcBorders>
            <w:tcMar>
              <w:left w:w="60" w:type="dxa"/>
              <w:right w:w="60" w:type="dxa"/>
            </w:tcMar>
            <w:vAlign w:val="center"/>
          </w:tcPr>
          <w:p>
            <w:pPr>
              <w:pStyle w:val="DMETW36746BIPRMS"/>
              <w:jc w:val="right"/>
              <w:rPr>
                <w:rFonts w:ascii="Verdana" w:eastAsia="Verdana" w:hAnsi="Verdana" w:cs="Verdana"/>
                <w:i/>
                <w:noProof/>
                <w:color w:val="000000"/>
                <w:sz w:val="18"/>
              </w:rPr>
            </w:pPr>
            <w:r>
              <w:rPr>
                <w:rFonts w:ascii="Verdana" w:hAnsi="Verdana"/>
                <w:i/>
                <w:noProof/>
                <w:color w:val="000000"/>
                <w:sz w:val="18"/>
              </w:rPr>
              <w:t>–</w:t>
            </w:r>
          </w:p>
        </w:tc>
      </w:tr>
      <w:tr>
        <w:trPr>
          <w:trHeight w:val="255"/>
        </w:trPr>
        <w:tc>
          <w:tcPr>
            <w:tcW w:w="612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6BIPRMS"/>
              <w:rPr>
                <w:rFonts w:ascii="Verdana" w:eastAsia="Verdana" w:hAnsi="Verdana" w:cs="Verdana"/>
                <w:b/>
                <w:noProof/>
                <w:color w:val="000000"/>
                <w:sz w:val="18"/>
              </w:rPr>
            </w:pPr>
            <w:r>
              <w:rPr>
                <w:rFonts w:ascii="Verdana" w:hAnsi="Verdana"/>
                <w:b/>
                <w:noProof/>
                <w:color w:val="000000"/>
                <w:sz w:val="18"/>
              </w:rPr>
              <w:t>Créances à recouvrer au titre des ressources propres</w:t>
            </w:r>
          </w:p>
        </w:tc>
        <w:tc>
          <w:tcPr>
            <w:tcW w:w="189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6BIPRMS"/>
              <w:jc w:val="right"/>
              <w:rPr>
                <w:rFonts w:ascii="Verdana" w:eastAsia="Verdana" w:hAnsi="Verdana" w:cs="Verdana"/>
                <w:b/>
                <w:noProof/>
                <w:color w:val="000000"/>
                <w:sz w:val="18"/>
              </w:rPr>
            </w:pPr>
            <w:r>
              <w:rPr>
                <w:rFonts w:ascii="Verdana" w:hAnsi="Verdana"/>
                <w:b/>
                <w:noProof/>
                <w:color w:val="000000"/>
                <w:sz w:val="18"/>
              </w:rPr>
              <w:t>3 985</w:t>
            </w:r>
          </w:p>
        </w:tc>
        <w:tc>
          <w:tcPr>
            <w:tcW w:w="173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6BIPRMS"/>
              <w:jc w:val="right"/>
              <w:rPr>
                <w:rFonts w:ascii="Verdana" w:eastAsia="Verdana" w:hAnsi="Verdana" w:cs="Verdana"/>
                <w:b/>
                <w:noProof/>
                <w:color w:val="000000"/>
                <w:sz w:val="18"/>
              </w:rPr>
            </w:pPr>
            <w:r>
              <w:rPr>
                <w:rFonts w:ascii="Verdana" w:hAnsi="Verdana"/>
                <w:b/>
                <w:noProof/>
                <w:color w:val="000000"/>
                <w:sz w:val="18"/>
              </w:rPr>
              <w:t>3 712</w:t>
            </w:r>
          </w:p>
        </w:tc>
      </w:tr>
      <w:tr>
        <w:trPr>
          <w:trHeight w:val="255"/>
        </w:trPr>
        <w:tc>
          <w:tcPr>
            <w:tcW w:w="6128" w:type="dxa"/>
            <w:tcBorders>
              <w:top w:val="single" w:sz="4" w:space="0" w:color="016794"/>
              <w:left w:val="nil"/>
              <w:bottom w:val="nil"/>
              <w:right w:val="nil"/>
              <w:tl2br w:val="nil"/>
              <w:tr2bl w:val="nil"/>
            </w:tcBorders>
            <w:tcMar>
              <w:left w:w="60" w:type="dxa"/>
              <w:right w:w="60" w:type="dxa"/>
            </w:tcMar>
            <w:vAlign w:val="center"/>
          </w:tcPr>
          <w:p>
            <w:pPr>
              <w:pStyle w:val="DMETW36746BIPRMS"/>
              <w:rPr>
                <w:rFonts w:ascii="Verdana" w:eastAsia="Verdana" w:hAnsi="Verdana" w:cs="Verdana"/>
                <w:i/>
                <w:noProof/>
                <w:color w:val="000000"/>
                <w:sz w:val="18"/>
              </w:rPr>
            </w:pPr>
            <w:r>
              <w:rPr>
                <w:rFonts w:ascii="Verdana" w:hAnsi="Verdana"/>
                <w:i/>
                <w:noProof/>
                <w:color w:val="000000"/>
                <w:sz w:val="18"/>
              </w:rPr>
              <w:t>Fonds européen agricole de garantie (FEAGA)</w:t>
            </w:r>
          </w:p>
        </w:tc>
        <w:tc>
          <w:tcPr>
            <w:tcW w:w="1895" w:type="dxa"/>
            <w:tcBorders>
              <w:top w:val="single" w:sz="4" w:space="0" w:color="016794"/>
              <w:left w:val="nil"/>
              <w:bottom w:val="nil"/>
              <w:right w:val="nil"/>
              <w:tl2br w:val="nil"/>
              <w:tr2bl w:val="nil"/>
            </w:tcBorders>
            <w:tcMar>
              <w:left w:w="60" w:type="dxa"/>
              <w:right w:w="60" w:type="dxa"/>
            </w:tcMar>
            <w:vAlign w:val="center"/>
          </w:tcPr>
          <w:p>
            <w:pPr>
              <w:pStyle w:val="DMETW36746BIPRMS"/>
              <w:jc w:val="right"/>
              <w:rPr>
                <w:rFonts w:ascii="Verdana" w:eastAsia="Verdana" w:hAnsi="Verdana" w:cs="Verdana"/>
                <w:i/>
                <w:noProof/>
                <w:color w:val="000000"/>
                <w:sz w:val="18"/>
              </w:rPr>
            </w:pPr>
            <w:r>
              <w:rPr>
                <w:rFonts w:ascii="Verdana" w:hAnsi="Verdana"/>
                <w:i/>
                <w:noProof/>
                <w:color w:val="000000"/>
                <w:sz w:val="18"/>
              </w:rPr>
              <w:t>1 802</w:t>
            </w:r>
          </w:p>
        </w:tc>
        <w:tc>
          <w:tcPr>
            <w:tcW w:w="1735" w:type="dxa"/>
            <w:tcBorders>
              <w:top w:val="single" w:sz="4" w:space="0" w:color="016794"/>
              <w:left w:val="nil"/>
              <w:bottom w:val="nil"/>
              <w:right w:val="nil"/>
              <w:tl2br w:val="nil"/>
              <w:tr2bl w:val="nil"/>
            </w:tcBorders>
            <w:tcMar>
              <w:left w:w="60" w:type="dxa"/>
              <w:right w:w="60" w:type="dxa"/>
            </w:tcMar>
            <w:vAlign w:val="center"/>
          </w:tcPr>
          <w:p>
            <w:pPr>
              <w:pStyle w:val="DMETW36746BIPRMS"/>
              <w:jc w:val="right"/>
              <w:rPr>
                <w:rFonts w:ascii="Verdana" w:eastAsia="Verdana" w:hAnsi="Verdana" w:cs="Verdana"/>
                <w:i/>
                <w:noProof/>
                <w:color w:val="000000"/>
                <w:sz w:val="18"/>
              </w:rPr>
            </w:pPr>
            <w:r>
              <w:rPr>
                <w:rFonts w:ascii="Verdana" w:hAnsi="Verdana"/>
                <w:i/>
                <w:noProof/>
                <w:color w:val="000000"/>
                <w:sz w:val="18"/>
              </w:rPr>
              <w:t>1 534</w:t>
            </w:r>
          </w:p>
        </w:tc>
      </w:tr>
      <w:tr>
        <w:trPr>
          <w:trHeight w:val="255"/>
        </w:trPr>
        <w:tc>
          <w:tcPr>
            <w:tcW w:w="6128" w:type="dxa"/>
            <w:tcBorders>
              <w:top w:val="nil"/>
              <w:left w:val="nil"/>
              <w:bottom w:val="nil"/>
              <w:right w:val="nil"/>
              <w:tl2br w:val="nil"/>
              <w:tr2bl w:val="nil"/>
            </w:tcBorders>
            <w:tcMar>
              <w:left w:w="60" w:type="dxa"/>
              <w:right w:w="60" w:type="dxa"/>
            </w:tcMar>
            <w:vAlign w:val="center"/>
          </w:tcPr>
          <w:p>
            <w:pPr>
              <w:pStyle w:val="DMETW36746BIPRMS"/>
              <w:rPr>
                <w:rFonts w:ascii="Verdana" w:eastAsia="Verdana" w:hAnsi="Verdana" w:cs="Verdana"/>
                <w:i/>
                <w:noProof/>
                <w:color w:val="000000"/>
                <w:sz w:val="18"/>
              </w:rPr>
            </w:pPr>
            <w:r>
              <w:rPr>
                <w:rFonts w:ascii="Verdana" w:hAnsi="Verdana"/>
                <w:i/>
                <w:noProof/>
                <w:color w:val="000000"/>
                <w:sz w:val="18"/>
              </w:rPr>
              <w:t>Fonds européen agricole pour le développement rural (Feader) et autres instruments de développement rural</w:t>
            </w:r>
          </w:p>
        </w:tc>
        <w:tc>
          <w:tcPr>
            <w:tcW w:w="1895" w:type="dxa"/>
            <w:tcBorders>
              <w:top w:val="nil"/>
              <w:left w:val="nil"/>
              <w:bottom w:val="nil"/>
              <w:right w:val="nil"/>
              <w:tl2br w:val="nil"/>
              <w:tr2bl w:val="nil"/>
            </w:tcBorders>
            <w:tcMar>
              <w:left w:w="60" w:type="dxa"/>
              <w:right w:w="60" w:type="dxa"/>
            </w:tcMar>
            <w:vAlign w:val="center"/>
          </w:tcPr>
          <w:p>
            <w:pPr>
              <w:pStyle w:val="DMETW36746BIPRMS"/>
              <w:jc w:val="right"/>
              <w:rPr>
                <w:rFonts w:ascii="Verdana" w:eastAsia="Verdana" w:hAnsi="Verdana" w:cs="Verdana"/>
                <w:i/>
                <w:noProof/>
                <w:color w:val="000000"/>
                <w:sz w:val="18"/>
              </w:rPr>
            </w:pPr>
            <w:r>
              <w:rPr>
                <w:rFonts w:ascii="Verdana" w:hAnsi="Verdana"/>
                <w:i/>
                <w:noProof/>
                <w:color w:val="000000"/>
                <w:sz w:val="18"/>
              </w:rPr>
              <w:t xml:space="preserve"> 222</w:t>
            </w:r>
          </w:p>
        </w:tc>
        <w:tc>
          <w:tcPr>
            <w:tcW w:w="1735" w:type="dxa"/>
            <w:tcBorders>
              <w:top w:val="nil"/>
              <w:left w:val="nil"/>
              <w:bottom w:val="nil"/>
              <w:right w:val="nil"/>
              <w:tl2br w:val="nil"/>
              <w:tr2bl w:val="nil"/>
            </w:tcBorders>
            <w:tcMar>
              <w:left w:w="60" w:type="dxa"/>
              <w:right w:w="60" w:type="dxa"/>
            </w:tcMar>
            <w:vAlign w:val="center"/>
          </w:tcPr>
          <w:p>
            <w:pPr>
              <w:pStyle w:val="DMETW36746BIPRMS"/>
              <w:jc w:val="right"/>
              <w:rPr>
                <w:rFonts w:ascii="Verdana" w:eastAsia="Verdana" w:hAnsi="Verdana" w:cs="Verdana"/>
                <w:i/>
                <w:noProof/>
                <w:color w:val="000000"/>
                <w:sz w:val="18"/>
              </w:rPr>
            </w:pPr>
            <w:r>
              <w:rPr>
                <w:rFonts w:ascii="Verdana" w:hAnsi="Verdana"/>
                <w:i/>
                <w:noProof/>
                <w:color w:val="000000"/>
                <w:sz w:val="18"/>
              </w:rPr>
              <w:t xml:space="preserve"> 127</w:t>
            </w:r>
          </w:p>
        </w:tc>
      </w:tr>
      <w:tr>
        <w:trPr>
          <w:trHeight w:val="255"/>
        </w:trPr>
        <w:tc>
          <w:tcPr>
            <w:tcW w:w="6128" w:type="dxa"/>
            <w:tcBorders>
              <w:top w:val="nil"/>
              <w:left w:val="nil"/>
              <w:bottom w:val="single" w:sz="4" w:space="0" w:color="016794"/>
              <w:right w:val="nil"/>
              <w:tl2br w:val="nil"/>
              <w:tr2bl w:val="nil"/>
            </w:tcBorders>
            <w:tcMar>
              <w:left w:w="60" w:type="dxa"/>
              <w:right w:w="60" w:type="dxa"/>
            </w:tcMar>
            <w:vAlign w:val="center"/>
          </w:tcPr>
          <w:p>
            <w:pPr>
              <w:pStyle w:val="DMETW36746BIPRMS"/>
              <w:rPr>
                <w:rFonts w:ascii="Verdana" w:eastAsia="Verdana" w:hAnsi="Verdana" w:cs="Verdana"/>
                <w:i/>
                <w:noProof/>
                <w:color w:val="000000"/>
                <w:sz w:val="18"/>
              </w:rPr>
            </w:pPr>
            <w:r>
              <w:rPr>
                <w:rFonts w:ascii="Verdana" w:hAnsi="Verdana"/>
                <w:i/>
                <w:noProof/>
                <w:color w:val="000000"/>
                <w:sz w:val="18"/>
              </w:rPr>
              <w:t>Dépréciation</w:t>
            </w:r>
          </w:p>
        </w:tc>
        <w:tc>
          <w:tcPr>
            <w:tcW w:w="1895" w:type="dxa"/>
            <w:tcBorders>
              <w:top w:val="nil"/>
              <w:left w:val="nil"/>
              <w:bottom w:val="single" w:sz="4" w:space="0" w:color="016794"/>
              <w:right w:val="nil"/>
              <w:tl2br w:val="nil"/>
              <w:tr2bl w:val="nil"/>
            </w:tcBorders>
            <w:tcMar>
              <w:left w:w="60" w:type="dxa"/>
              <w:right w:w="60" w:type="dxa"/>
            </w:tcMar>
            <w:vAlign w:val="center"/>
          </w:tcPr>
          <w:p>
            <w:pPr>
              <w:pStyle w:val="DMETW36746BIPRMS"/>
              <w:jc w:val="right"/>
              <w:rPr>
                <w:rFonts w:ascii="Verdana" w:eastAsia="Verdana" w:hAnsi="Verdana" w:cs="Verdana"/>
                <w:i/>
                <w:noProof/>
                <w:color w:val="000000"/>
                <w:sz w:val="18"/>
              </w:rPr>
            </w:pPr>
            <w:r>
              <w:rPr>
                <w:rFonts w:ascii="Verdana" w:hAnsi="Verdana"/>
                <w:i/>
                <w:noProof/>
                <w:color w:val="000000"/>
                <w:sz w:val="18"/>
              </w:rPr>
              <w:t xml:space="preserve"> (607)</w:t>
            </w:r>
          </w:p>
        </w:tc>
        <w:tc>
          <w:tcPr>
            <w:tcW w:w="1735" w:type="dxa"/>
            <w:tcBorders>
              <w:top w:val="nil"/>
              <w:left w:val="nil"/>
              <w:bottom w:val="single" w:sz="4" w:space="0" w:color="016794"/>
              <w:right w:val="nil"/>
              <w:tl2br w:val="nil"/>
              <w:tr2bl w:val="nil"/>
            </w:tcBorders>
            <w:tcMar>
              <w:left w:w="60" w:type="dxa"/>
              <w:right w:w="60" w:type="dxa"/>
            </w:tcMar>
            <w:vAlign w:val="center"/>
          </w:tcPr>
          <w:p>
            <w:pPr>
              <w:pStyle w:val="DMETW36746BIPRMS"/>
              <w:jc w:val="right"/>
              <w:rPr>
                <w:rFonts w:ascii="Verdana" w:eastAsia="Verdana" w:hAnsi="Verdana" w:cs="Verdana"/>
                <w:i/>
                <w:noProof/>
                <w:color w:val="000000"/>
                <w:sz w:val="18"/>
              </w:rPr>
            </w:pPr>
            <w:r>
              <w:rPr>
                <w:rFonts w:ascii="Verdana" w:hAnsi="Verdana"/>
                <w:i/>
                <w:noProof/>
                <w:color w:val="000000"/>
                <w:sz w:val="18"/>
              </w:rPr>
              <w:t xml:space="preserve"> (741)</w:t>
            </w:r>
          </w:p>
        </w:tc>
      </w:tr>
      <w:tr>
        <w:trPr>
          <w:trHeight w:val="255"/>
        </w:trPr>
        <w:tc>
          <w:tcPr>
            <w:tcW w:w="612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6BIPRMS"/>
              <w:rPr>
                <w:rFonts w:ascii="Verdana" w:eastAsia="Verdana" w:hAnsi="Verdana" w:cs="Verdana"/>
                <w:b/>
                <w:noProof/>
                <w:color w:val="000000"/>
                <w:sz w:val="18"/>
              </w:rPr>
            </w:pPr>
            <w:r>
              <w:rPr>
                <w:rFonts w:ascii="Verdana" w:hAnsi="Verdana"/>
                <w:b/>
                <w:noProof/>
                <w:color w:val="000000"/>
                <w:sz w:val="18"/>
              </w:rPr>
              <w:t>Créances à recouvrer au titre du FEAGA et du développement rural</w:t>
            </w:r>
          </w:p>
        </w:tc>
        <w:tc>
          <w:tcPr>
            <w:tcW w:w="189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6BIPRMS"/>
              <w:jc w:val="right"/>
              <w:rPr>
                <w:rFonts w:ascii="Verdana" w:eastAsia="Verdana" w:hAnsi="Verdana" w:cs="Verdana"/>
                <w:b/>
                <w:noProof/>
                <w:color w:val="000000"/>
                <w:sz w:val="18"/>
              </w:rPr>
            </w:pPr>
            <w:r>
              <w:rPr>
                <w:rFonts w:ascii="Verdana" w:hAnsi="Verdana"/>
                <w:b/>
                <w:noProof/>
                <w:color w:val="000000"/>
                <w:sz w:val="18"/>
              </w:rPr>
              <w:t>1 417</w:t>
            </w:r>
          </w:p>
        </w:tc>
        <w:tc>
          <w:tcPr>
            <w:tcW w:w="173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6BIPRMS"/>
              <w:jc w:val="right"/>
              <w:rPr>
                <w:rFonts w:ascii="Verdana" w:eastAsia="Verdana" w:hAnsi="Verdana" w:cs="Verdana"/>
                <w:b/>
                <w:noProof/>
                <w:color w:val="000000"/>
                <w:sz w:val="18"/>
              </w:rPr>
            </w:pPr>
            <w:r>
              <w:rPr>
                <w:rFonts w:ascii="Verdana" w:hAnsi="Verdana"/>
                <w:b/>
                <w:noProof/>
                <w:color w:val="000000"/>
                <w:sz w:val="18"/>
              </w:rPr>
              <w:t xml:space="preserve"> 920</w:t>
            </w:r>
          </w:p>
        </w:tc>
      </w:tr>
      <w:tr>
        <w:trPr>
          <w:trHeight w:val="255"/>
        </w:trPr>
        <w:tc>
          <w:tcPr>
            <w:tcW w:w="612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6BIPRMS"/>
              <w:rPr>
                <w:rFonts w:ascii="Verdana" w:eastAsia="Verdana" w:hAnsi="Verdana" w:cs="Verdana"/>
                <w:b/>
                <w:noProof/>
                <w:color w:val="000000"/>
                <w:sz w:val="18"/>
              </w:rPr>
            </w:pPr>
            <w:r>
              <w:rPr>
                <w:rFonts w:ascii="Verdana" w:hAnsi="Verdana"/>
                <w:b/>
                <w:noProof/>
                <w:color w:val="000000"/>
                <w:sz w:val="18"/>
              </w:rPr>
              <w:t>Recouvrement de préfinancements</w:t>
            </w:r>
          </w:p>
        </w:tc>
        <w:tc>
          <w:tcPr>
            <w:tcW w:w="189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6BIPRMS"/>
              <w:jc w:val="right"/>
              <w:rPr>
                <w:rFonts w:ascii="Verdana" w:eastAsia="Verdana" w:hAnsi="Verdana" w:cs="Verdana"/>
                <w:b/>
                <w:noProof/>
                <w:color w:val="000000"/>
                <w:sz w:val="18"/>
              </w:rPr>
            </w:pPr>
            <w:r>
              <w:rPr>
                <w:rFonts w:ascii="Verdana" w:hAnsi="Verdana"/>
                <w:b/>
                <w:noProof/>
                <w:color w:val="000000"/>
                <w:sz w:val="18"/>
              </w:rPr>
              <w:t xml:space="preserve"> 21</w:t>
            </w:r>
          </w:p>
        </w:tc>
        <w:tc>
          <w:tcPr>
            <w:tcW w:w="173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6BIPRMS"/>
              <w:jc w:val="right"/>
              <w:rPr>
                <w:rFonts w:ascii="Verdana" w:eastAsia="Verdana" w:hAnsi="Verdana" w:cs="Verdana"/>
                <w:b/>
                <w:noProof/>
                <w:color w:val="000000"/>
                <w:sz w:val="18"/>
              </w:rPr>
            </w:pPr>
            <w:r>
              <w:rPr>
                <w:rFonts w:ascii="Verdana" w:hAnsi="Verdana"/>
                <w:b/>
                <w:noProof/>
                <w:color w:val="000000"/>
                <w:sz w:val="18"/>
              </w:rPr>
              <w:t xml:space="preserve"> 16</w:t>
            </w:r>
          </w:p>
        </w:tc>
      </w:tr>
      <w:tr>
        <w:trPr>
          <w:trHeight w:val="255"/>
        </w:trPr>
        <w:tc>
          <w:tcPr>
            <w:tcW w:w="612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6BIPRMS"/>
              <w:rPr>
                <w:rFonts w:ascii="Verdana" w:eastAsia="Verdana" w:hAnsi="Verdana" w:cs="Verdana"/>
                <w:b/>
                <w:noProof/>
                <w:color w:val="000000"/>
                <w:sz w:val="18"/>
              </w:rPr>
            </w:pPr>
            <w:r>
              <w:rPr>
                <w:rFonts w:ascii="Verdana" w:hAnsi="Verdana"/>
                <w:b/>
                <w:noProof/>
                <w:color w:val="000000"/>
                <w:sz w:val="18"/>
              </w:rPr>
              <w:lastRenderedPageBreak/>
              <w:t>TVA payée et à récupérer</w:t>
            </w:r>
          </w:p>
        </w:tc>
        <w:tc>
          <w:tcPr>
            <w:tcW w:w="189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6BIPRMS"/>
              <w:jc w:val="right"/>
              <w:rPr>
                <w:rFonts w:ascii="Verdana" w:eastAsia="Verdana" w:hAnsi="Verdana" w:cs="Verdana"/>
                <w:b/>
                <w:noProof/>
                <w:color w:val="000000"/>
                <w:sz w:val="18"/>
              </w:rPr>
            </w:pPr>
            <w:r>
              <w:rPr>
                <w:rFonts w:ascii="Verdana" w:hAnsi="Verdana"/>
                <w:b/>
                <w:noProof/>
                <w:color w:val="000000"/>
                <w:sz w:val="18"/>
              </w:rPr>
              <w:t xml:space="preserve"> 56</w:t>
            </w:r>
          </w:p>
        </w:tc>
        <w:tc>
          <w:tcPr>
            <w:tcW w:w="173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6BIPRMS"/>
              <w:jc w:val="right"/>
              <w:rPr>
                <w:rFonts w:ascii="Verdana" w:eastAsia="Verdana" w:hAnsi="Verdana" w:cs="Verdana"/>
                <w:b/>
                <w:noProof/>
                <w:color w:val="000000"/>
                <w:sz w:val="18"/>
              </w:rPr>
            </w:pPr>
            <w:r>
              <w:rPr>
                <w:rFonts w:ascii="Verdana" w:hAnsi="Verdana"/>
                <w:b/>
                <w:noProof/>
                <w:color w:val="000000"/>
                <w:sz w:val="18"/>
              </w:rPr>
              <w:t xml:space="preserve"> 53</w:t>
            </w:r>
          </w:p>
        </w:tc>
      </w:tr>
      <w:tr>
        <w:trPr>
          <w:trHeight w:val="255"/>
        </w:trPr>
        <w:tc>
          <w:tcPr>
            <w:tcW w:w="612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6BIPRMS"/>
              <w:rPr>
                <w:rFonts w:ascii="Verdana" w:eastAsia="Verdana" w:hAnsi="Verdana" w:cs="Verdana"/>
                <w:b/>
                <w:noProof/>
                <w:color w:val="000000"/>
                <w:sz w:val="18"/>
              </w:rPr>
            </w:pPr>
            <w:r>
              <w:rPr>
                <w:rFonts w:ascii="Verdana" w:hAnsi="Verdana"/>
                <w:b/>
                <w:noProof/>
                <w:color w:val="000000"/>
                <w:sz w:val="18"/>
              </w:rPr>
              <w:t>Autres créances à recouvrer auprès des États membres</w:t>
            </w:r>
          </w:p>
        </w:tc>
        <w:tc>
          <w:tcPr>
            <w:tcW w:w="189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6BIPRMS"/>
              <w:jc w:val="right"/>
              <w:rPr>
                <w:rFonts w:ascii="Verdana" w:eastAsia="Verdana" w:hAnsi="Verdana" w:cs="Verdana"/>
                <w:b/>
                <w:noProof/>
                <w:color w:val="000000"/>
                <w:sz w:val="18"/>
              </w:rPr>
            </w:pPr>
            <w:r>
              <w:rPr>
                <w:rFonts w:ascii="Verdana" w:hAnsi="Verdana"/>
                <w:b/>
                <w:noProof/>
                <w:color w:val="000000"/>
                <w:sz w:val="18"/>
              </w:rPr>
              <w:t xml:space="preserve"> 215</w:t>
            </w:r>
          </w:p>
        </w:tc>
        <w:tc>
          <w:tcPr>
            <w:tcW w:w="173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6BIPRMS"/>
              <w:jc w:val="right"/>
              <w:rPr>
                <w:rFonts w:ascii="Verdana" w:eastAsia="Verdana" w:hAnsi="Verdana" w:cs="Verdana"/>
                <w:b/>
                <w:noProof/>
                <w:color w:val="000000"/>
                <w:sz w:val="18"/>
              </w:rPr>
            </w:pPr>
            <w:r>
              <w:rPr>
                <w:rFonts w:ascii="Verdana" w:hAnsi="Verdana"/>
                <w:b/>
                <w:noProof/>
                <w:color w:val="000000"/>
                <w:sz w:val="18"/>
              </w:rPr>
              <w:t xml:space="preserve"> 242</w:t>
            </w:r>
          </w:p>
        </w:tc>
      </w:tr>
      <w:tr>
        <w:trPr>
          <w:trHeight w:val="255"/>
        </w:trPr>
        <w:tc>
          <w:tcPr>
            <w:tcW w:w="612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6BIPRMS"/>
              <w:rPr>
                <w:rFonts w:ascii="Verdana" w:eastAsia="Verdana" w:hAnsi="Verdana" w:cs="Verdana"/>
                <w:b/>
                <w:noProof/>
                <w:color w:val="000000"/>
                <w:sz w:val="18"/>
              </w:rPr>
            </w:pPr>
            <w:r>
              <w:rPr>
                <w:rFonts w:ascii="Verdana" w:hAnsi="Verdana"/>
                <w:b/>
                <w:noProof/>
                <w:color w:val="000000"/>
                <w:sz w:val="18"/>
              </w:rPr>
              <w:t>Total</w:t>
            </w:r>
          </w:p>
        </w:tc>
        <w:tc>
          <w:tcPr>
            <w:tcW w:w="189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6BIPRMS"/>
              <w:jc w:val="right"/>
              <w:rPr>
                <w:rFonts w:ascii="Verdana" w:eastAsia="Verdana" w:hAnsi="Verdana" w:cs="Verdana"/>
                <w:b/>
                <w:noProof/>
                <w:color w:val="000000"/>
                <w:sz w:val="18"/>
              </w:rPr>
            </w:pPr>
            <w:r>
              <w:rPr>
                <w:rFonts w:ascii="Verdana" w:hAnsi="Verdana"/>
                <w:b/>
                <w:noProof/>
                <w:color w:val="000000"/>
                <w:sz w:val="18"/>
              </w:rPr>
              <w:t>5 694</w:t>
            </w:r>
          </w:p>
        </w:tc>
        <w:tc>
          <w:tcPr>
            <w:tcW w:w="173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6BIPRMS"/>
              <w:jc w:val="right"/>
              <w:rPr>
                <w:rFonts w:ascii="Verdana" w:eastAsia="Verdana" w:hAnsi="Verdana" w:cs="Verdana"/>
                <w:b/>
                <w:noProof/>
                <w:color w:val="000000"/>
                <w:sz w:val="18"/>
              </w:rPr>
            </w:pPr>
            <w:r>
              <w:rPr>
                <w:rFonts w:ascii="Verdana" w:hAnsi="Verdana"/>
                <w:b/>
                <w:noProof/>
                <w:color w:val="000000"/>
                <w:sz w:val="18"/>
              </w:rPr>
              <w:t>4 943</w:t>
            </w:r>
          </w:p>
        </w:tc>
      </w:tr>
      <w:tr>
        <w:trPr>
          <w:trHeight w:val="255"/>
        </w:trPr>
        <w:tc>
          <w:tcPr>
            <w:tcW w:w="6128" w:type="dxa"/>
            <w:tcBorders>
              <w:top w:val="single" w:sz="4" w:space="0" w:color="016794"/>
              <w:left w:val="nil"/>
              <w:bottom w:val="nil"/>
              <w:right w:val="nil"/>
              <w:tl2br w:val="nil"/>
              <w:tr2bl w:val="nil"/>
            </w:tcBorders>
            <w:tcMar>
              <w:left w:w="60" w:type="dxa"/>
              <w:right w:w="60" w:type="dxa"/>
            </w:tcMar>
            <w:vAlign w:val="center"/>
          </w:tcPr>
          <w:p>
            <w:pPr>
              <w:pStyle w:val="DMETW36746BIPRMS"/>
              <w:rPr>
                <w:rFonts w:ascii="Verdana" w:eastAsia="Verdana" w:hAnsi="Verdana" w:cs="Verdana"/>
                <w:i/>
                <w:noProof/>
                <w:color w:val="016794"/>
                <w:sz w:val="18"/>
              </w:rPr>
            </w:pPr>
            <w:r>
              <w:rPr>
                <w:rFonts w:ascii="Verdana" w:hAnsi="Verdana"/>
                <w:i/>
                <w:noProof/>
                <w:color w:val="016794"/>
                <w:sz w:val="18"/>
              </w:rPr>
              <w:t>Non courantes</w:t>
            </w:r>
          </w:p>
        </w:tc>
        <w:tc>
          <w:tcPr>
            <w:tcW w:w="1895" w:type="dxa"/>
            <w:tcBorders>
              <w:top w:val="single" w:sz="4" w:space="0" w:color="016794"/>
              <w:left w:val="nil"/>
              <w:bottom w:val="nil"/>
              <w:right w:val="nil"/>
              <w:tl2br w:val="nil"/>
              <w:tr2bl w:val="nil"/>
            </w:tcBorders>
            <w:tcMar>
              <w:left w:w="60" w:type="dxa"/>
              <w:right w:w="60" w:type="dxa"/>
            </w:tcMar>
            <w:vAlign w:val="center"/>
          </w:tcPr>
          <w:p>
            <w:pPr>
              <w:pStyle w:val="DMETW36746BIPRMS"/>
              <w:jc w:val="right"/>
              <w:rPr>
                <w:rFonts w:ascii="Verdana" w:eastAsia="Verdana" w:hAnsi="Verdana" w:cs="Verdana"/>
                <w:i/>
                <w:noProof/>
                <w:color w:val="016794"/>
                <w:sz w:val="18"/>
              </w:rPr>
            </w:pPr>
            <w:r>
              <w:rPr>
                <w:rFonts w:ascii="Verdana" w:hAnsi="Verdana"/>
                <w:i/>
                <w:noProof/>
                <w:color w:val="016794"/>
                <w:sz w:val="18"/>
              </w:rPr>
              <w:t xml:space="preserve"> 597</w:t>
            </w:r>
          </w:p>
        </w:tc>
        <w:tc>
          <w:tcPr>
            <w:tcW w:w="1735" w:type="dxa"/>
            <w:tcBorders>
              <w:top w:val="single" w:sz="4" w:space="0" w:color="016794"/>
              <w:left w:val="nil"/>
              <w:bottom w:val="nil"/>
              <w:right w:val="nil"/>
              <w:tl2br w:val="nil"/>
              <w:tr2bl w:val="nil"/>
            </w:tcBorders>
            <w:tcMar>
              <w:left w:w="60" w:type="dxa"/>
              <w:right w:w="60" w:type="dxa"/>
            </w:tcMar>
            <w:vAlign w:val="center"/>
          </w:tcPr>
          <w:p>
            <w:pPr>
              <w:pStyle w:val="DMETW36746BIPRMS"/>
              <w:jc w:val="right"/>
              <w:rPr>
                <w:rFonts w:ascii="Verdana" w:eastAsia="Verdana" w:hAnsi="Verdana" w:cs="Verdana"/>
                <w:i/>
                <w:noProof/>
                <w:color w:val="016794"/>
                <w:sz w:val="18"/>
              </w:rPr>
            </w:pPr>
            <w:r>
              <w:rPr>
                <w:rFonts w:ascii="Verdana" w:hAnsi="Verdana"/>
                <w:i/>
                <w:noProof/>
                <w:color w:val="016794"/>
                <w:sz w:val="18"/>
              </w:rPr>
              <w:t xml:space="preserve"> 275</w:t>
            </w:r>
          </w:p>
        </w:tc>
      </w:tr>
      <w:tr>
        <w:trPr>
          <w:trHeight w:val="255"/>
        </w:trPr>
        <w:tc>
          <w:tcPr>
            <w:tcW w:w="6128" w:type="dxa"/>
            <w:tcBorders>
              <w:top w:val="nil"/>
              <w:left w:val="nil"/>
              <w:bottom w:val="nil"/>
              <w:right w:val="nil"/>
              <w:tl2br w:val="nil"/>
              <w:tr2bl w:val="nil"/>
            </w:tcBorders>
            <w:tcMar>
              <w:left w:w="60" w:type="dxa"/>
              <w:right w:w="60" w:type="dxa"/>
            </w:tcMar>
            <w:vAlign w:val="center"/>
          </w:tcPr>
          <w:p>
            <w:pPr>
              <w:pStyle w:val="DMETW36746BIPRMS"/>
              <w:rPr>
                <w:rFonts w:ascii="Verdana" w:eastAsia="Verdana" w:hAnsi="Verdana" w:cs="Verdana"/>
                <w:i/>
                <w:noProof/>
                <w:color w:val="016794"/>
                <w:sz w:val="18"/>
              </w:rPr>
            </w:pPr>
            <w:r>
              <w:rPr>
                <w:rFonts w:ascii="Verdana" w:hAnsi="Verdana"/>
                <w:i/>
                <w:noProof/>
                <w:color w:val="016794"/>
                <w:sz w:val="18"/>
              </w:rPr>
              <w:t>Courantes</w:t>
            </w:r>
          </w:p>
        </w:tc>
        <w:tc>
          <w:tcPr>
            <w:tcW w:w="1895" w:type="dxa"/>
            <w:tcBorders>
              <w:top w:val="nil"/>
              <w:left w:val="nil"/>
              <w:bottom w:val="nil"/>
              <w:right w:val="nil"/>
              <w:tl2br w:val="nil"/>
              <w:tr2bl w:val="nil"/>
            </w:tcBorders>
            <w:tcMar>
              <w:left w:w="60" w:type="dxa"/>
              <w:right w:w="60" w:type="dxa"/>
            </w:tcMar>
            <w:vAlign w:val="center"/>
          </w:tcPr>
          <w:p>
            <w:pPr>
              <w:pStyle w:val="DMETW36746BIPRMS"/>
              <w:jc w:val="right"/>
              <w:rPr>
                <w:rFonts w:ascii="Verdana" w:eastAsia="Verdana" w:hAnsi="Verdana" w:cs="Verdana"/>
                <w:i/>
                <w:noProof/>
                <w:color w:val="016794"/>
                <w:sz w:val="18"/>
              </w:rPr>
            </w:pPr>
            <w:r>
              <w:rPr>
                <w:rFonts w:ascii="Verdana" w:hAnsi="Verdana"/>
                <w:i/>
                <w:noProof/>
                <w:color w:val="016794"/>
                <w:sz w:val="18"/>
              </w:rPr>
              <w:t>5 097</w:t>
            </w:r>
          </w:p>
        </w:tc>
        <w:tc>
          <w:tcPr>
            <w:tcW w:w="1735" w:type="dxa"/>
            <w:tcBorders>
              <w:top w:val="nil"/>
              <w:left w:val="nil"/>
              <w:bottom w:val="nil"/>
              <w:right w:val="nil"/>
              <w:tl2br w:val="nil"/>
              <w:tr2bl w:val="nil"/>
            </w:tcBorders>
            <w:tcMar>
              <w:left w:w="60" w:type="dxa"/>
              <w:right w:w="60" w:type="dxa"/>
            </w:tcMar>
            <w:vAlign w:val="center"/>
          </w:tcPr>
          <w:p>
            <w:pPr>
              <w:pStyle w:val="DMETW36746BIPRMS"/>
              <w:jc w:val="right"/>
              <w:rPr>
                <w:rFonts w:ascii="Verdana" w:eastAsia="Verdana" w:hAnsi="Verdana" w:cs="Verdana"/>
                <w:i/>
                <w:noProof/>
                <w:color w:val="016794"/>
                <w:sz w:val="18"/>
              </w:rPr>
            </w:pPr>
            <w:r>
              <w:rPr>
                <w:rFonts w:ascii="Verdana" w:hAnsi="Verdana"/>
                <w:i/>
                <w:noProof/>
                <w:color w:val="016794"/>
                <w:sz w:val="18"/>
              </w:rPr>
              <w:t>4 667</w:t>
            </w:r>
          </w:p>
        </w:tc>
      </w:tr>
    </w:tbl>
    <w:p>
      <w:pPr>
        <w:pStyle w:val="Textstand-alone"/>
        <w:rPr>
          <w:rFonts w:eastAsia="Calibri"/>
        </w:rPr>
      </w:pPr>
      <w:r>
        <w:t>Les montants non courants dus par les États membres concernent principalement des décisions d’apurement de conformité non exécutées pour le Fonds européen agricole de garantie (FEAGA) et le Fonds européen agricole pour le développement rural (Feader). Les montants liés à ces décisions sont recouvrés par tranches annuelles.</w:t>
      </w:r>
    </w:p>
    <w:p>
      <w:pPr>
        <w:pStyle w:val="Textstand-alone"/>
        <w:rPr>
          <w:b/>
        </w:rPr>
      </w:pPr>
      <w:r>
        <w:rPr>
          <w:color w:val="016794"/>
        </w:rPr>
        <w:t>Créances à recouvrer au titre des ressources propres</w:t>
      </w:r>
    </w:p>
    <w:p>
      <w:pPr>
        <w:pStyle w:val="DGTextstand-alone"/>
      </w:pPr>
      <w:r>
        <w:t xml:space="preserve">La «comptabilité A» se rapporte aux relevés mensuels dans lesquels les États membres communiquent les droits constatés relatifs aux ressources propres traditionnelles (RPT). Le tableau reprend les montants de la «comptabilité A» qui n’ont pas encore été versés à la Commission. Les RPT sont essentiellement des droits de douane perçus par les États membres pour le compte de la Commission. </w:t>
      </w:r>
    </w:p>
    <w:p>
      <w:pPr>
        <w:pStyle w:val="DGTextstand-alone"/>
      </w:pPr>
      <w:r>
        <w:t xml:space="preserve">En fin d’exercice, la «comptabilité A» atteint généralement des montants de l’ordre de 3 à 4 milliards d’EUR. En 2025, les montants déclarés par les États membres sont proches du niveau habituel. Le montant final reflète dans une large mesure les droits de douane constatés en novembre et décembre 2025. </w:t>
      </w:r>
    </w:p>
    <w:p>
      <w:pPr>
        <w:pStyle w:val="DGTextstand-alone"/>
      </w:pPr>
      <w:r>
        <w:t xml:space="preserve">En ce qui concerne la procédure d’infraction engagée contre le Royaume-Uni (infraction nº 2018/2008), le 8 mars 2022, la Cour a rendu son arrêt et a confirmé que le Royaume-Uni avait manqué à ses obligations en matière de protection du budget de l’Union. La procédure trouve son origine dans un rapport de l’OLAF de 2017, selon lequel des importateurs au Royaume-Uni avaient éludé des montants élevés de droits de douane en utilisant des fausses factures et des factures fictives et en présentant des déclarations de valeur en douane incorrectes au moment de l’importation. </w:t>
      </w:r>
    </w:p>
    <w:p>
      <w:pPr>
        <w:pStyle w:val="DGTextstand-alone"/>
      </w:pPr>
      <w:r>
        <w:t xml:space="preserve">La Commission a examiné l’arrêt et en particulier les observations de la Cour concernant la détermination des montants dus. À la suite d’une analyse détaillée, le Royaume-Uni a payé tant le principal que les intérêts de retard entre 2022 et 2023 (1,6 milliard d’EUR pour le principal et 1,4 milliard d’EUR pour les intérêts de retard avant la réduction de la part du Royaume-Uni). </w:t>
      </w:r>
    </w:p>
    <w:p>
      <w:pPr>
        <w:pStyle w:val="DGTextstand-alone"/>
      </w:pPr>
      <w:r>
        <w:t>En appliquant les mêmes paramètres pour le calcul des pertes de RPT estimées dues pour les textiles et les chaussures importés de Chine à une valeur nettement sous-estimée, les États membres ont versé, au titre de la réserve, un montant de 1,9 milliard d’EUR en 2021 et 2022. À la suite de la clôture en 2023 du dossier relatif à la sous-évaluation concernant le Royaume-Uni, la Commission a recalculé, en coopération avec les États membres, leurs montants dus définitifs respectifs conformément à l’arrêt de la Cour dans l’affaire C-213/19. En 2024 et 2025, les montants dus définitifs du principal et des intérêts ont été convenus avec plusieurs États membres et les dossiers respectifs ont été clôturés. Des clarifications sont toujours en cours avec les États membres afin d’établir les montants dus définitifs. Au 31 décembre 2025, les comptes étaient ajustés à la baisse de 0,24 milliard d’EUR, de manière à refléter la correction des recettes.</w:t>
      </w:r>
    </w:p>
    <w:p>
      <w:pPr>
        <w:pStyle w:val="DGTextstand-alone"/>
      </w:pPr>
      <w:r>
        <w:t>Les intérêts de retard dus dans ces procédures sont actuellement estimés à 0,3 milliard d’EUR au 31 décembre 2025 (voir note </w:t>
      </w:r>
      <w:r>
        <w:rPr>
          <w:b/>
          <w:bCs/>
        </w:rPr>
        <w:t>2.6.2</w:t>
      </w:r>
      <w:r>
        <w:t xml:space="preserve">). </w:t>
      </w:r>
    </w:p>
    <w:p>
      <w:pPr>
        <w:pStyle w:val="DGTextstand-alone"/>
      </w:pPr>
      <w:r>
        <w:t>La «comptabilité séparée» reprend les droits constatés qui n’ont pas été inscrits dans la «comptabilité A» parce qu’ils n’ont pas été recouvrés par les États membres et qu’aucune garantie n’a été constituée (ou, si une garantie a été fournie, les montants sont contestés). Ces droits font l’objet d’une dépréciation en fonction des informations transmises chaque année par les États membres. Les montants de dépréciation représentent généralement un pourcentage similaire du montant principal à chaque fin d’exercice.</w:t>
      </w:r>
    </w:p>
    <w:p>
      <w:pPr>
        <w:pStyle w:val="Textstand-alone"/>
        <w:rPr>
          <w:b/>
        </w:rPr>
      </w:pPr>
      <w:r>
        <w:rPr>
          <w:color w:val="016794"/>
        </w:rPr>
        <w:t>Créances à recouvrer au titre du FEAGA et du développement rural</w:t>
      </w:r>
    </w:p>
    <w:p>
      <w:pPr>
        <w:pStyle w:val="DGTextstand-alone"/>
        <w:rPr>
          <w:rFonts w:eastAsia="Calibri"/>
        </w:rPr>
      </w:pPr>
      <w:r>
        <w:t>Ce poste comprend principalement les montants dus par les États membres au 31 décembre 2025, tels que déclarés et certifiés par eux au 15 octobre 2025. Il est procédé à une estimation pour les créances à recouvrer nées après cette déclaration et jusqu’au 31 décembre 2025. La Commission estime également la réduction de valeur pour les montants dus par les bénéficiaires dont le recouvrement est improbable. La réalisation de cet ajustement n’implique pas que la Commission renonce au recouvrement futur de ces montants. Une déduction de 20 % est en outre comprise dans cet ajustement et correspond à la retenue que les États membres sont autorisés à opérer pour couvrir leurs frais administratifs.</w:t>
      </w:r>
      <w:r>
        <w:br w:type="page"/>
      </w:r>
    </w:p>
    <w:p>
      <w:pPr>
        <w:pStyle w:val="HEADER4NOTES"/>
        <w:numPr>
          <w:ilvl w:val="3"/>
          <w:numId w:val="15"/>
        </w:numPr>
        <w:rPr>
          <w:noProof/>
        </w:rPr>
      </w:pPr>
      <w:r>
        <w:rPr>
          <w:noProof/>
        </w:rPr>
        <w:lastRenderedPageBreak/>
        <w:t>Accord de retrait du Royaume-Uni</w:t>
      </w:r>
    </w:p>
    <w:p>
      <w:pPr>
        <w:pStyle w:val="DGTextstand-alone"/>
        <w:spacing w:after="120"/>
      </w:pPr>
      <w:r>
        <w:t>L’«accord sur le retrait du Royaume-Uni de Grande-Bretagne et d’Irlande du Nord de l’Union européenne et de la Communauté européenne de l’énergie atomique» (réf. 2019/C 384 I/01) (ci-après l’«accord de retrait») signé entre l’UE et le Royaume-Uni prévoit diverses obligations financières incombant aux deux parties. Au 31 décembre 2025, la créance nette du Royaume-Uni sur la base de ces obligations s’élevait à 10,761 milliards d’EUR (contre 12,762 milliards d’EUR en 2024), dont 505 millions d’EUR doivent être reçus dans les 12 mois suivant la date de déclaration (contre 1,530 milliard d’EUR en 2024):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6"/>
        <w:gridCol w:w="1293"/>
        <w:gridCol w:w="1293"/>
        <w:gridCol w:w="1293"/>
        <w:gridCol w:w="1290"/>
        <w:gridCol w:w="1283"/>
      </w:tblGrid>
      <w:tr>
        <w:trPr>
          <w:trHeight w:val="255"/>
        </w:trPr>
        <w:tc>
          <w:tcPr>
            <w:tcW w:w="3306" w:type="dxa"/>
            <w:tcBorders>
              <w:top w:val="nil"/>
              <w:left w:val="nil"/>
              <w:bottom w:val="nil"/>
              <w:right w:val="nil"/>
              <w:tl2br w:val="nil"/>
              <w:tr2bl w:val="nil"/>
            </w:tcBorders>
            <w:tcMar>
              <w:left w:w="60" w:type="dxa"/>
              <w:right w:w="60" w:type="dxa"/>
            </w:tcMar>
            <w:vAlign w:val="bottom"/>
          </w:tcPr>
          <w:p>
            <w:pPr>
              <w:pStyle w:val="DMETW36745BIPUKWA"/>
              <w:rPr>
                <w:rFonts w:ascii="Arial" w:eastAsia="Arial" w:hAnsi="Arial" w:cs="Arial"/>
                <w:noProof/>
                <w:color w:val="000000"/>
              </w:rPr>
            </w:pPr>
            <w:bookmarkStart w:id="125" w:name="DOC_TBL00033_1_1"/>
            <w:bookmarkEnd w:id="125"/>
          </w:p>
        </w:tc>
        <w:tc>
          <w:tcPr>
            <w:tcW w:w="1293" w:type="dxa"/>
            <w:tcBorders>
              <w:top w:val="nil"/>
              <w:left w:val="nil"/>
              <w:bottom w:val="nil"/>
              <w:right w:val="nil"/>
              <w:tl2br w:val="nil"/>
              <w:tr2bl w:val="nil"/>
            </w:tcBorders>
            <w:tcMar>
              <w:left w:w="60" w:type="dxa"/>
              <w:right w:w="60" w:type="dxa"/>
            </w:tcMar>
            <w:vAlign w:val="bottom"/>
          </w:tcPr>
          <w:p>
            <w:pPr>
              <w:pStyle w:val="DMETW36745BIPUKWA"/>
              <w:rPr>
                <w:rFonts w:ascii="Arial" w:eastAsia="Arial" w:hAnsi="Arial" w:cs="Arial"/>
                <w:noProof/>
                <w:color w:val="000000"/>
              </w:rPr>
            </w:pPr>
          </w:p>
        </w:tc>
        <w:tc>
          <w:tcPr>
            <w:tcW w:w="1293" w:type="dxa"/>
            <w:tcBorders>
              <w:top w:val="nil"/>
              <w:left w:val="nil"/>
              <w:bottom w:val="nil"/>
              <w:right w:val="nil"/>
              <w:tl2br w:val="nil"/>
              <w:tr2bl w:val="nil"/>
            </w:tcBorders>
            <w:tcMar>
              <w:left w:w="60" w:type="dxa"/>
              <w:right w:w="60" w:type="dxa"/>
            </w:tcMar>
            <w:vAlign w:val="bottom"/>
          </w:tcPr>
          <w:p>
            <w:pPr>
              <w:pStyle w:val="DMETW36745BIPUKWA"/>
              <w:rPr>
                <w:rFonts w:cs="Calibri"/>
                <w:noProof/>
                <w:color w:val="000000"/>
                <w:sz w:val="22"/>
              </w:rPr>
            </w:pPr>
          </w:p>
        </w:tc>
        <w:tc>
          <w:tcPr>
            <w:tcW w:w="1293" w:type="dxa"/>
            <w:tcBorders>
              <w:top w:val="nil"/>
              <w:left w:val="nil"/>
              <w:bottom w:val="nil"/>
              <w:right w:val="nil"/>
              <w:tl2br w:val="nil"/>
              <w:tr2bl w:val="nil"/>
            </w:tcBorders>
            <w:tcMar>
              <w:left w:w="60" w:type="dxa"/>
              <w:right w:w="60" w:type="dxa"/>
            </w:tcMar>
            <w:vAlign w:val="bottom"/>
          </w:tcPr>
          <w:p>
            <w:pPr>
              <w:pStyle w:val="DMETW36745BIPUKWA"/>
              <w:jc w:val="right"/>
              <w:rPr>
                <w:rFonts w:ascii="Verdana" w:eastAsia="Verdana" w:hAnsi="Verdana" w:cs="Verdana"/>
                <w:b/>
                <w:noProof/>
                <w:color w:val="000000"/>
                <w:sz w:val="18"/>
              </w:rPr>
            </w:pPr>
          </w:p>
        </w:tc>
        <w:tc>
          <w:tcPr>
            <w:tcW w:w="1290" w:type="dxa"/>
            <w:tcBorders>
              <w:top w:val="nil"/>
              <w:left w:val="nil"/>
              <w:bottom w:val="nil"/>
              <w:right w:val="nil"/>
              <w:tl2br w:val="nil"/>
              <w:tr2bl w:val="nil"/>
            </w:tcBorders>
            <w:tcMar>
              <w:left w:w="60" w:type="dxa"/>
              <w:right w:w="60" w:type="dxa"/>
            </w:tcMar>
            <w:vAlign w:val="bottom"/>
          </w:tcPr>
          <w:p>
            <w:pPr>
              <w:pStyle w:val="DMETW36745BIPUKWA"/>
              <w:rPr>
                <w:rFonts w:cs="Calibri"/>
                <w:noProof/>
                <w:color w:val="000000"/>
                <w:sz w:val="22"/>
              </w:rPr>
            </w:pPr>
          </w:p>
        </w:tc>
        <w:tc>
          <w:tcPr>
            <w:tcW w:w="1283" w:type="dxa"/>
            <w:tcBorders>
              <w:top w:val="nil"/>
              <w:left w:val="nil"/>
              <w:bottom w:val="nil"/>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00000"/>
                <w:sz w:val="16"/>
              </w:rPr>
            </w:pPr>
            <w:r>
              <w:rPr>
                <w:rFonts w:ascii="Verdana" w:hAnsi="Verdana"/>
                <w:i/>
                <w:noProof/>
                <w:color w:val="000000"/>
                <w:sz w:val="16"/>
              </w:rPr>
              <w:t>En Mio EUR</w:t>
            </w:r>
          </w:p>
        </w:tc>
      </w:tr>
      <w:tr>
        <w:trPr>
          <w:trHeight w:val="255"/>
        </w:trPr>
        <w:tc>
          <w:tcPr>
            <w:tcW w:w="3306" w:type="dxa"/>
            <w:tcBorders>
              <w:top w:val="nil"/>
              <w:left w:val="nil"/>
              <w:bottom w:val="nil"/>
              <w:right w:val="nil"/>
              <w:tl2br w:val="nil"/>
              <w:tr2bl w:val="nil"/>
            </w:tcBorders>
            <w:shd w:val="solid" w:color="016794" w:fill="FFFFFF"/>
            <w:tcMar>
              <w:left w:w="60" w:type="dxa"/>
              <w:right w:w="60" w:type="dxa"/>
            </w:tcMar>
            <w:vAlign w:val="center"/>
          </w:tcPr>
          <w:p>
            <w:pPr>
              <w:pStyle w:val="DMETW36745BIPUKWA"/>
              <w:jc w:val="center"/>
              <w:rPr>
                <w:rFonts w:ascii="Verdana" w:eastAsia="Verdana" w:hAnsi="Verdana" w:cs="Verdana"/>
                <w:noProof/>
                <w:color w:val="FFFFFF"/>
              </w:rPr>
            </w:pPr>
          </w:p>
        </w:tc>
        <w:tc>
          <w:tcPr>
            <w:tcW w:w="1293" w:type="dxa"/>
            <w:tcBorders>
              <w:top w:val="nil"/>
              <w:left w:val="nil"/>
              <w:bottom w:val="nil"/>
              <w:right w:val="nil"/>
              <w:tl2br w:val="nil"/>
              <w:tr2bl w:val="nil"/>
            </w:tcBorders>
            <w:shd w:val="solid" w:color="016794" w:fill="FFFFFF"/>
            <w:tcMar>
              <w:left w:w="60" w:type="dxa"/>
              <w:right w:w="60" w:type="dxa"/>
            </w:tcMar>
            <w:vAlign w:val="center"/>
          </w:tcPr>
          <w:p>
            <w:pPr>
              <w:pStyle w:val="DMETW36745BIPUKWA"/>
              <w:jc w:val="right"/>
              <w:rPr>
                <w:rFonts w:ascii="Verdana" w:eastAsia="Verdana" w:hAnsi="Verdana" w:cs="Verdana"/>
                <w:noProof/>
                <w:color w:val="FFFFFF"/>
              </w:rPr>
            </w:pPr>
            <w:r>
              <w:rPr>
                <w:rFonts w:ascii="Verdana" w:hAnsi="Verdana"/>
                <w:noProof/>
                <w:color w:val="FFFFFF"/>
              </w:rPr>
              <w:t>Article 140</w:t>
            </w:r>
          </w:p>
        </w:tc>
        <w:tc>
          <w:tcPr>
            <w:tcW w:w="1293" w:type="dxa"/>
            <w:tcBorders>
              <w:top w:val="nil"/>
              <w:left w:val="nil"/>
              <w:bottom w:val="nil"/>
              <w:right w:val="nil"/>
              <w:tl2br w:val="nil"/>
              <w:tr2bl w:val="nil"/>
            </w:tcBorders>
            <w:shd w:val="solid" w:color="016794" w:fill="FFFFFF"/>
            <w:tcMar>
              <w:left w:w="60" w:type="dxa"/>
              <w:right w:w="60" w:type="dxa"/>
            </w:tcMar>
            <w:vAlign w:val="center"/>
          </w:tcPr>
          <w:p>
            <w:pPr>
              <w:pStyle w:val="DMETW36745BIPUKWA"/>
              <w:jc w:val="right"/>
              <w:rPr>
                <w:rFonts w:ascii="Verdana" w:eastAsia="Verdana" w:hAnsi="Verdana" w:cs="Verdana"/>
                <w:noProof/>
                <w:color w:val="FFFFFF"/>
              </w:rPr>
            </w:pPr>
            <w:r>
              <w:rPr>
                <w:rFonts w:ascii="Verdana" w:hAnsi="Verdana"/>
                <w:noProof/>
                <w:color w:val="FFFFFF"/>
              </w:rPr>
              <w:t>Article 142</w:t>
            </w:r>
          </w:p>
        </w:tc>
        <w:tc>
          <w:tcPr>
            <w:tcW w:w="1293" w:type="dxa"/>
            <w:tcBorders>
              <w:top w:val="nil"/>
              <w:left w:val="nil"/>
              <w:bottom w:val="nil"/>
              <w:right w:val="nil"/>
              <w:tl2br w:val="nil"/>
              <w:tr2bl w:val="nil"/>
            </w:tcBorders>
            <w:shd w:val="solid" w:color="016794" w:fill="FFFFFF"/>
            <w:tcMar>
              <w:left w:w="60" w:type="dxa"/>
              <w:right w:w="60" w:type="dxa"/>
            </w:tcMar>
            <w:vAlign w:val="center"/>
          </w:tcPr>
          <w:p>
            <w:pPr>
              <w:pStyle w:val="DMETW36745BIPUKWA"/>
              <w:jc w:val="right"/>
              <w:rPr>
                <w:rFonts w:ascii="Verdana" w:eastAsia="Verdana" w:hAnsi="Verdana" w:cs="Verdana"/>
                <w:noProof/>
                <w:color w:val="FFFFFF"/>
              </w:rPr>
            </w:pPr>
            <w:r>
              <w:rPr>
                <w:rFonts w:ascii="Verdana" w:hAnsi="Verdana"/>
                <w:noProof/>
                <w:color w:val="FFFFFF"/>
              </w:rPr>
              <w:t>Autres</w:t>
            </w:r>
          </w:p>
        </w:tc>
        <w:tc>
          <w:tcPr>
            <w:tcW w:w="1290" w:type="dxa"/>
            <w:tcBorders>
              <w:top w:val="nil"/>
              <w:left w:val="nil"/>
              <w:bottom w:val="nil"/>
              <w:right w:val="nil"/>
              <w:tl2br w:val="nil"/>
              <w:tr2bl w:val="nil"/>
            </w:tcBorders>
            <w:shd w:val="solid" w:color="016794" w:fill="FFFFFF"/>
            <w:tcMar>
              <w:left w:w="60" w:type="dxa"/>
              <w:right w:w="60" w:type="dxa"/>
            </w:tcMar>
            <w:vAlign w:val="center"/>
          </w:tcPr>
          <w:p>
            <w:pPr>
              <w:pStyle w:val="DMETW36745BIPUKWA"/>
              <w:jc w:val="right"/>
              <w:rPr>
                <w:rFonts w:ascii="Verdana" w:eastAsia="Verdana" w:hAnsi="Verdana" w:cs="Verdana"/>
                <w:noProof/>
                <w:color w:val="FFFFFF"/>
              </w:rPr>
            </w:pPr>
            <w:r>
              <w:rPr>
                <w:rFonts w:ascii="Verdana" w:hAnsi="Verdana"/>
                <w:noProof/>
                <w:color w:val="FFFFFF"/>
              </w:rPr>
              <w:t>31.12.2025</w:t>
            </w:r>
          </w:p>
        </w:tc>
        <w:tc>
          <w:tcPr>
            <w:tcW w:w="1283" w:type="dxa"/>
            <w:tcBorders>
              <w:top w:val="nil"/>
              <w:left w:val="nil"/>
              <w:bottom w:val="nil"/>
              <w:right w:val="nil"/>
              <w:tl2br w:val="nil"/>
              <w:tr2bl w:val="nil"/>
            </w:tcBorders>
            <w:shd w:val="solid" w:color="016794" w:fill="FFFFFF"/>
            <w:tcMar>
              <w:left w:w="60" w:type="dxa"/>
              <w:right w:w="60" w:type="dxa"/>
            </w:tcMar>
            <w:vAlign w:val="center"/>
          </w:tcPr>
          <w:p>
            <w:pPr>
              <w:pStyle w:val="DMETW36745BIPUKWA"/>
              <w:jc w:val="right"/>
              <w:rPr>
                <w:rFonts w:ascii="Verdana" w:eastAsia="Verdana" w:hAnsi="Verdana" w:cs="Verdana"/>
                <w:noProof/>
                <w:color w:val="FFFFFF"/>
              </w:rPr>
            </w:pPr>
            <w:r>
              <w:rPr>
                <w:rFonts w:ascii="Verdana" w:hAnsi="Verdana"/>
                <w:noProof/>
                <w:color w:val="FFFFFF"/>
              </w:rPr>
              <w:t>31.12.2024</w:t>
            </w:r>
          </w:p>
        </w:tc>
      </w:tr>
      <w:tr>
        <w:trPr>
          <w:trHeight w:val="255"/>
        </w:trPr>
        <w:tc>
          <w:tcPr>
            <w:tcW w:w="3306" w:type="dxa"/>
            <w:tcBorders>
              <w:top w:val="nil"/>
              <w:left w:val="nil"/>
              <w:bottom w:val="nil"/>
              <w:right w:val="nil"/>
              <w:tl2br w:val="nil"/>
              <w:tr2bl w:val="nil"/>
            </w:tcBorders>
            <w:tcMar>
              <w:left w:w="60" w:type="dxa"/>
              <w:right w:w="60" w:type="dxa"/>
            </w:tcMar>
            <w:vAlign w:val="bottom"/>
          </w:tcPr>
          <w:p>
            <w:pPr>
              <w:pStyle w:val="DMETW36745BIPUKWA"/>
              <w:rPr>
                <w:rFonts w:ascii="Verdana" w:eastAsia="Verdana" w:hAnsi="Verdana" w:cs="Verdana"/>
                <w:i/>
                <w:noProof/>
                <w:color w:val="000000"/>
                <w:sz w:val="18"/>
              </w:rPr>
            </w:pPr>
            <w:r>
              <w:rPr>
                <w:rFonts w:ascii="Verdana" w:hAnsi="Verdana"/>
                <w:i/>
                <w:noProof/>
                <w:color w:val="000000"/>
                <w:sz w:val="18"/>
              </w:rPr>
              <w:t>Montants dus par le Royaume-Uni</w:t>
            </w:r>
          </w:p>
        </w:tc>
        <w:tc>
          <w:tcPr>
            <w:tcW w:w="1293" w:type="dxa"/>
            <w:tcBorders>
              <w:top w:val="nil"/>
              <w:left w:val="nil"/>
              <w:bottom w:val="nil"/>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00000"/>
                <w:sz w:val="18"/>
              </w:rPr>
            </w:pPr>
            <w:r>
              <w:rPr>
                <w:rFonts w:ascii="Verdana" w:hAnsi="Verdana"/>
                <w:i/>
                <w:noProof/>
                <w:color w:val="000000"/>
                <w:sz w:val="18"/>
              </w:rPr>
              <w:t>2 327</w:t>
            </w:r>
          </w:p>
        </w:tc>
        <w:tc>
          <w:tcPr>
            <w:tcW w:w="1293" w:type="dxa"/>
            <w:tcBorders>
              <w:top w:val="nil"/>
              <w:left w:val="nil"/>
              <w:bottom w:val="nil"/>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00000"/>
                <w:sz w:val="18"/>
              </w:rPr>
            </w:pPr>
            <w:r>
              <w:rPr>
                <w:rFonts w:ascii="Verdana" w:hAnsi="Verdana"/>
                <w:i/>
                <w:noProof/>
                <w:color w:val="000000"/>
                <w:sz w:val="18"/>
              </w:rPr>
              <w:t>9 599</w:t>
            </w:r>
          </w:p>
        </w:tc>
        <w:tc>
          <w:tcPr>
            <w:tcW w:w="1293" w:type="dxa"/>
            <w:tcBorders>
              <w:top w:val="nil"/>
              <w:left w:val="nil"/>
              <w:bottom w:val="nil"/>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00000"/>
                <w:sz w:val="18"/>
              </w:rPr>
            </w:pPr>
            <w:r>
              <w:rPr>
                <w:rFonts w:ascii="Verdana" w:hAnsi="Verdana"/>
                <w:i/>
                <w:noProof/>
                <w:color w:val="000000"/>
                <w:sz w:val="18"/>
              </w:rPr>
              <w:t xml:space="preserve"> 166</w:t>
            </w:r>
          </w:p>
        </w:tc>
        <w:tc>
          <w:tcPr>
            <w:tcW w:w="1290" w:type="dxa"/>
            <w:tcBorders>
              <w:top w:val="nil"/>
              <w:left w:val="nil"/>
              <w:bottom w:val="nil"/>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00000"/>
                <w:sz w:val="18"/>
              </w:rPr>
            </w:pPr>
            <w:r>
              <w:rPr>
                <w:rFonts w:ascii="Verdana" w:hAnsi="Verdana"/>
                <w:i/>
                <w:noProof/>
                <w:color w:val="000000"/>
                <w:sz w:val="18"/>
              </w:rPr>
              <w:t>12 092</w:t>
            </w:r>
          </w:p>
        </w:tc>
        <w:tc>
          <w:tcPr>
            <w:tcW w:w="1283" w:type="dxa"/>
            <w:tcBorders>
              <w:top w:val="nil"/>
              <w:left w:val="nil"/>
              <w:bottom w:val="nil"/>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00000"/>
                <w:sz w:val="18"/>
              </w:rPr>
            </w:pPr>
            <w:r>
              <w:rPr>
                <w:rFonts w:ascii="Verdana" w:hAnsi="Verdana"/>
                <w:i/>
                <w:noProof/>
                <w:color w:val="000000"/>
                <w:sz w:val="18"/>
              </w:rPr>
              <w:t>14 683</w:t>
            </w:r>
          </w:p>
        </w:tc>
      </w:tr>
      <w:tr>
        <w:trPr>
          <w:trHeight w:val="255"/>
        </w:trPr>
        <w:tc>
          <w:tcPr>
            <w:tcW w:w="3306" w:type="dxa"/>
            <w:tcBorders>
              <w:top w:val="nil"/>
              <w:left w:val="nil"/>
              <w:bottom w:val="single" w:sz="4" w:space="0" w:color="016794"/>
              <w:right w:val="nil"/>
              <w:tl2br w:val="nil"/>
              <w:tr2bl w:val="nil"/>
            </w:tcBorders>
            <w:tcMar>
              <w:left w:w="60" w:type="dxa"/>
              <w:right w:w="60" w:type="dxa"/>
            </w:tcMar>
            <w:vAlign w:val="bottom"/>
          </w:tcPr>
          <w:p>
            <w:pPr>
              <w:pStyle w:val="DMETW36745BIPUKWA"/>
              <w:rPr>
                <w:rFonts w:ascii="Verdana" w:eastAsia="Verdana" w:hAnsi="Verdana" w:cs="Verdana"/>
                <w:i/>
                <w:noProof/>
                <w:color w:val="000000"/>
                <w:sz w:val="18"/>
              </w:rPr>
            </w:pPr>
            <w:r>
              <w:rPr>
                <w:rFonts w:ascii="Verdana" w:hAnsi="Verdana"/>
                <w:i/>
                <w:noProof/>
                <w:color w:val="000000"/>
                <w:sz w:val="18"/>
              </w:rPr>
              <w:t>Montants dus au Royaume-Uni</w:t>
            </w:r>
          </w:p>
        </w:tc>
        <w:tc>
          <w:tcPr>
            <w:tcW w:w="1293" w:type="dxa"/>
            <w:tcBorders>
              <w:top w:val="nil"/>
              <w:left w:val="nil"/>
              <w:bottom w:val="single" w:sz="4" w:space="0" w:color="016794"/>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00000"/>
                <w:sz w:val="18"/>
              </w:rPr>
            </w:pPr>
            <w:r>
              <w:rPr>
                <w:rFonts w:ascii="Verdana" w:hAnsi="Verdana"/>
                <w:i/>
                <w:noProof/>
                <w:color w:val="000000"/>
                <w:sz w:val="18"/>
              </w:rPr>
              <w:t>–</w:t>
            </w:r>
          </w:p>
        </w:tc>
        <w:tc>
          <w:tcPr>
            <w:tcW w:w="1293" w:type="dxa"/>
            <w:tcBorders>
              <w:top w:val="nil"/>
              <w:left w:val="nil"/>
              <w:bottom w:val="single" w:sz="4" w:space="0" w:color="016794"/>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00000"/>
                <w:sz w:val="18"/>
              </w:rPr>
            </w:pPr>
            <w:r>
              <w:rPr>
                <w:rFonts w:ascii="Verdana" w:hAnsi="Verdana"/>
                <w:i/>
                <w:noProof/>
                <w:color w:val="000000"/>
                <w:sz w:val="18"/>
              </w:rPr>
              <w:t>–</w:t>
            </w:r>
          </w:p>
        </w:tc>
        <w:tc>
          <w:tcPr>
            <w:tcW w:w="1293" w:type="dxa"/>
            <w:tcBorders>
              <w:top w:val="nil"/>
              <w:left w:val="nil"/>
              <w:bottom w:val="single" w:sz="4" w:space="0" w:color="016794"/>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00000"/>
                <w:sz w:val="18"/>
              </w:rPr>
            </w:pPr>
            <w:r>
              <w:rPr>
                <w:rFonts w:ascii="Verdana" w:hAnsi="Verdana"/>
                <w:i/>
                <w:noProof/>
                <w:color w:val="000000"/>
                <w:sz w:val="18"/>
              </w:rPr>
              <w:t>(1 331)</w:t>
            </w:r>
          </w:p>
        </w:tc>
        <w:tc>
          <w:tcPr>
            <w:tcW w:w="1290" w:type="dxa"/>
            <w:tcBorders>
              <w:top w:val="nil"/>
              <w:left w:val="nil"/>
              <w:bottom w:val="single" w:sz="4" w:space="0" w:color="016794"/>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00000"/>
                <w:sz w:val="18"/>
              </w:rPr>
            </w:pPr>
            <w:r>
              <w:rPr>
                <w:rFonts w:ascii="Verdana" w:hAnsi="Verdana"/>
                <w:i/>
                <w:noProof/>
                <w:color w:val="000000"/>
                <w:sz w:val="18"/>
              </w:rPr>
              <w:t>(1 331)</w:t>
            </w:r>
          </w:p>
        </w:tc>
        <w:tc>
          <w:tcPr>
            <w:tcW w:w="1283" w:type="dxa"/>
            <w:tcBorders>
              <w:top w:val="nil"/>
              <w:left w:val="nil"/>
              <w:bottom w:val="single" w:sz="4" w:space="0" w:color="016794"/>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00000"/>
                <w:sz w:val="18"/>
              </w:rPr>
            </w:pPr>
            <w:r>
              <w:rPr>
                <w:rFonts w:ascii="Verdana" w:hAnsi="Verdana"/>
                <w:i/>
                <w:noProof/>
                <w:color w:val="000000"/>
                <w:sz w:val="18"/>
              </w:rPr>
              <w:t>(1 922)</w:t>
            </w:r>
          </w:p>
        </w:tc>
      </w:tr>
      <w:tr>
        <w:trPr>
          <w:trHeight w:val="255"/>
        </w:trPr>
        <w:tc>
          <w:tcPr>
            <w:tcW w:w="330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5BIPUKWA"/>
              <w:rPr>
                <w:rFonts w:ascii="Verdana" w:eastAsia="Verdana" w:hAnsi="Verdana" w:cs="Verdana"/>
                <w:b/>
                <w:noProof/>
                <w:color w:val="000000"/>
                <w:sz w:val="18"/>
              </w:rPr>
            </w:pPr>
            <w:r>
              <w:rPr>
                <w:rFonts w:ascii="Verdana" w:hAnsi="Verdana"/>
                <w:b/>
                <w:noProof/>
                <w:color w:val="000000"/>
                <w:sz w:val="18"/>
              </w:rPr>
              <w:t>Total</w:t>
            </w:r>
          </w:p>
        </w:tc>
        <w:tc>
          <w:tcPr>
            <w:tcW w:w="1293"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45BIPUKWA"/>
              <w:jc w:val="right"/>
              <w:rPr>
                <w:rFonts w:ascii="Verdana" w:eastAsia="Verdana" w:hAnsi="Verdana" w:cs="Verdana"/>
                <w:b/>
                <w:noProof/>
                <w:color w:val="000000"/>
                <w:sz w:val="18"/>
              </w:rPr>
            </w:pPr>
            <w:r>
              <w:rPr>
                <w:rFonts w:ascii="Verdana" w:hAnsi="Verdana"/>
                <w:b/>
                <w:noProof/>
                <w:color w:val="000000"/>
                <w:sz w:val="18"/>
              </w:rPr>
              <w:t>2 327</w:t>
            </w:r>
          </w:p>
        </w:tc>
        <w:tc>
          <w:tcPr>
            <w:tcW w:w="1293"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45BIPUKWA"/>
              <w:jc w:val="right"/>
              <w:rPr>
                <w:rFonts w:ascii="Verdana" w:eastAsia="Verdana" w:hAnsi="Verdana" w:cs="Verdana"/>
                <w:b/>
                <w:noProof/>
                <w:color w:val="000000"/>
                <w:sz w:val="18"/>
              </w:rPr>
            </w:pPr>
            <w:r>
              <w:rPr>
                <w:rFonts w:ascii="Verdana" w:hAnsi="Verdana"/>
                <w:b/>
                <w:noProof/>
                <w:color w:val="000000"/>
                <w:sz w:val="18"/>
              </w:rPr>
              <w:t>9 599</w:t>
            </w:r>
          </w:p>
        </w:tc>
        <w:tc>
          <w:tcPr>
            <w:tcW w:w="1293"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45BIPUKWA"/>
              <w:jc w:val="right"/>
              <w:rPr>
                <w:rFonts w:ascii="Verdana" w:eastAsia="Verdana" w:hAnsi="Verdana" w:cs="Verdana"/>
                <w:b/>
                <w:noProof/>
                <w:color w:val="000000"/>
                <w:sz w:val="18"/>
              </w:rPr>
            </w:pPr>
            <w:r>
              <w:rPr>
                <w:rFonts w:ascii="Verdana" w:hAnsi="Verdana"/>
                <w:b/>
                <w:noProof/>
                <w:color w:val="000000"/>
                <w:sz w:val="18"/>
              </w:rPr>
              <w:t>(1 165)</w:t>
            </w:r>
          </w:p>
        </w:tc>
        <w:tc>
          <w:tcPr>
            <w:tcW w:w="1290"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45BIPUKWA"/>
              <w:jc w:val="right"/>
              <w:rPr>
                <w:rFonts w:ascii="Verdana" w:eastAsia="Verdana" w:hAnsi="Verdana" w:cs="Verdana"/>
                <w:b/>
                <w:noProof/>
                <w:color w:val="000000"/>
                <w:sz w:val="18"/>
              </w:rPr>
            </w:pPr>
            <w:r>
              <w:rPr>
                <w:rFonts w:ascii="Verdana" w:hAnsi="Verdana"/>
                <w:b/>
                <w:noProof/>
                <w:color w:val="000000"/>
                <w:sz w:val="18"/>
              </w:rPr>
              <w:t>10 761</w:t>
            </w:r>
          </w:p>
        </w:tc>
        <w:tc>
          <w:tcPr>
            <w:tcW w:w="1283"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45BIPUKWA"/>
              <w:jc w:val="right"/>
              <w:rPr>
                <w:rFonts w:ascii="Verdana" w:eastAsia="Verdana" w:hAnsi="Verdana" w:cs="Verdana"/>
                <w:b/>
                <w:noProof/>
                <w:color w:val="000000"/>
                <w:sz w:val="18"/>
              </w:rPr>
            </w:pPr>
            <w:r>
              <w:rPr>
                <w:rFonts w:ascii="Verdana" w:hAnsi="Verdana"/>
                <w:b/>
                <w:noProof/>
                <w:color w:val="000000"/>
                <w:sz w:val="18"/>
              </w:rPr>
              <w:t>12 762</w:t>
            </w:r>
          </w:p>
        </w:tc>
      </w:tr>
      <w:tr>
        <w:trPr>
          <w:trHeight w:val="255"/>
        </w:trPr>
        <w:tc>
          <w:tcPr>
            <w:tcW w:w="3306" w:type="dxa"/>
            <w:tcBorders>
              <w:top w:val="single" w:sz="4" w:space="0" w:color="016794"/>
              <w:left w:val="nil"/>
              <w:bottom w:val="nil"/>
              <w:right w:val="nil"/>
              <w:tl2br w:val="nil"/>
              <w:tr2bl w:val="nil"/>
            </w:tcBorders>
            <w:tcMar>
              <w:left w:w="60" w:type="dxa"/>
              <w:right w:w="60" w:type="dxa"/>
            </w:tcMar>
            <w:vAlign w:val="center"/>
          </w:tcPr>
          <w:p>
            <w:pPr>
              <w:pStyle w:val="DMETW36745BIPUKWA"/>
              <w:rPr>
                <w:rFonts w:ascii="Verdana" w:eastAsia="Verdana" w:hAnsi="Verdana" w:cs="Verdana"/>
                <w:i/>
                <w:noProof/>
                <w:color w:val="016794"/>
                <w:sz w:val="18"/>
              </w:rPr>
            </w:pPr>
            <w:r>
              <w:rPr>
                <w:rFonts w:ascii="Verdana" w:hAnsi="Verdana"/>
                <w:i/>
                <w:noProof/>
                <w:color w:val="016794"/>
                <w:sz w:val="18"/>
              </w:rPr>
              <w:t>Non courants</w:t>
            </w:r>
          </w:p>
        </w:tc>
        <w:tc>
          <w:tcPr>
            <w:tcW w:w="1293" w:type="dxa"/>
            <w:tcBorders>
              <w:top w:val="single" w:sz="4" w:space="0" w:color="016794"/>
              <w:left w:val="nil"/>
              <w:bottom w:val="nil"/>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16794"/>
                <w:sz w:val="18"/>
              </w:rPr>
            </w:pPr>
            <w:r>
              <w:rPr>
                <w:rFonts w:ascii="Verdana" w:hAnsi="Verdana"/>
                <w:i/>
                <w:noProof/>
                <w:color w:val="016794"/>
                <w:sz w:val="18"/>
              </w:rPr>
              <w:t>1 928</w:t>
            </w:r>
          </w:p>
        </w:tc>
        <w:tc>
          <w:tcPr>
            <w:tcW w:w="1293" w:type="dxa"/>
            <w:tcBorders>
              <w:top w:val="single" w:sz="4" w:space="0" w:color="016794"/>
              <w:left w:val="nil"/>
              <w:bottom w:val="nil"/>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16794"/>
                <w:sz w:val="18"/>
              </w:rPr>
            </w:pPr>
            <w:r>
              <w:rPr>
                <w:rFonts w:ascii="Verdana" w:hAnsi="Verdana"/>
                <w:i/>
                <w:noProof/>
                <w:color w:val="016794"/>
                <w:sz w:val="18"/>
              </w:rPr>
              <w:t>9 244</w:t>
            </w:r>
          </w:p>
        </w:tc>
        <w:tc>
          <w:tcPr>
            <w:tcW w:w="1293" w:type="dxa"/>
            <w:tcBorders>
              <w:top w:val="single" w:sz="4" w:space="0" w:color="016794"/>
              <w:left w:val="nil"/>
              <w:bottom w:val="nil"/>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16794"/>
                <w:sz w:val="18"/>
              </w:rPr>
            </w:pPr>
            <w:r>
              <w:rPr>
                <w:rFonts w:ascii="Verdana" w:hAnsi="Verdana"/>
                <w:i/>
                <w:noProof/>
                <w:color w:val="016794"/>
                <w:sz w:val="18"/>
              </w:rPr>
              <w:t xml:space="preserve"> (915)</w:t>
            </w:r>
          </w:p>
        </w:tc>
        <w:tc>
          <w:tcPr>
            <w:tcW w:w="1290" w:type="dxa"/>
            <w:tcBorders>
              <w:top w:val="single" w:sz="4" w:space="0" w:color="016794"/>
              <w:left w:val="nil"/>
              <w:bottom w:val="nil"/>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16794"/>
                <w:sz w:val="18"/>
              </w:rPr>
            </w:pPr>
            <w:r>
              <w:rPr>
                <w:rFonts w:ascii="Verdana" w:hAnsi="Verdana"/>
                <w:i/>
                <w:noProof/>
                <w:color w:val="016794"/>
                <w:sz w:val="18"/>
              </w:rPr>
              <w:t>10 256</w:t>
            </w:r>
          </w:p>
        </w:tc>
        <w:tc>
          <w:tcPr>
            <w:tcW w:w="1283" w:type="dxa"/>
            <w:tcBorders>
              <w:top w:val="single" w:sz="4" w:space="0" w:color="016794"/>
              <w:left w:val="nil"/>
              <w:bottom w:val="nil"/>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16794"/>
                <w:sz w:val="18"/>
              </w:rPr>
            </w:pPr>
            <w:r>
              <w:rPr>
                <w:rFonts w:ascii="Verdana" w:hAnsi="Verdana"/>
                <w:i/>
                <w:noProof/>
                <w:color w:val="016794"/>
                <w:sz w:val="18"/>
              </w:rPr>
              <w:t>11 231</w:t>
            </w:r>
          </w:p>
        </w:tc>
      </w:tr>
      <w:tr>
        <w:trPr>
          <w:trHeight w:val="255"/>
        </w:trPr>
        <w:tc>
          <w:tcPr>
            <w:tcW w:w="3306" w:type="dxa"/>
            <w:tcBorders>
              <w:top w:val="nil"/>
              <w:left w:val="nil"/>
              <w:bottom w:val="nil"/>
              <w:right w:val="nil"/>
              <w:tl2br w:val="nil"/>
              <w:tr2bl w:val="nil"/>
            </w:tcBorders>
            <w:tcMar>
              <w:left w:w="60" w:type="dxa"/>
              <w:right w:w="60" w:type="dxa"/>
            </w:tcMar>
            <w:vAlign w:val="center"/>
          </w:tcPr>
          <w:p>
            <w:pPr>
              <w:pStyle w:val="DMETW36745BIPUKWA"/>
              <w:rPr>
                <w:rFonts w:ascii="Verdana" w:eastAsia="Verdana" w:hAnsi="Verdana" w:cs="Verdana"/>
                <w:i/>
                <w:noProof/>
                <w:color w:val="016794"/>
                <w:sz w:val="18"/>
              </w:rPr>
            </w:pPr>
            <w:r>
              <w:rPr>
                <w:rFonts w:ascii="Verdana" w:hAnsi="Verdana"/>
                <w:i/>
                <w:noProof/>
                <w:color w:val="016794"/>
                <w:sz w:val="18"/>
              </w:rPr>
              <w:t>Courants</w:t>
            </w:r>
          </w:p>
        </w:tc>
        <w:tc>
          <w:tcPr>
            <w:tcW w:w="1293" w:type="dxa"/>
            <w:tcBorders>
              <w:top w:val="nil"/>
              <w:left w:val="nil"/>
              <w:bottom w:val="nil"/>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16794"/>
                <w:sz w:val="18"/>
              </w:rPr>
            </w:pPr>
            <w:r>
              <w:rPr>
                <w:rFonts w:ascii="Verdana" w:hAnsi="Verdana"/>
                <w:i/>
                <w:noProof/>
                <w:color w:val="016794"/>
                <w:sz w:val="18"/>
              </w:rPr>
              <w:t xml:space="preserve"> 399</w:t>
            </w:r>
          </w:p>
        </w:tc>
        <w:tc>
          <w:tcPr>
            <w:tcW w:w="1293" w:type="dxa"/>
            <w:tcBorders>
              <w:top w:val="nil"/>
              <w:left w:val="nil"/>
              <w:bottom w:val="nil"/>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16794"/>
                <w:sz w:val="18"/>
              </w:rPr>
            </w:pPr>
            <w:r>
              <w:rPr>
                <w:rFonts w:ascii="Verdana" w:hAnsi="Verdana"/>
                <w:i/>
                <w:noProof/>
                <w:color w:val="016794"/>
                <w:sz w:val="18"/>
              </w:rPr>
              <w:t xml:space="preserve"> 355</w:t>
            </w:r>
          </w:p>
        </w:tc>
        <w:tc>
          <w:tcPr>
            <w:tcW w:w="1293" w:type="dxa"/>
            <w:tcBorders>
              <w:top w:val="nil"/>
              <w:left w:val="nil"/>
              <w:bottom w:val="nil"/>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16794"/>
                <w:sz w:val="18"/>
              </w:rPr>
            </w:pPr>
            <w:r>
              <w:rPr>
                <w:rFonts w:ascii="Verdana" w:hAnsi="Verdana"/>
                <w:i/>
                <w:noProof/>
                <w:color w:val="016794"/>
                <w:sz w:val="18"/>
              </w:rPr>
              <w:t xml:space="preserve"> (250)</w:t>
            </w:r>
          </w:p>
        </w:tc>
        <w:tc>
          <w:tcPr>
            <w:tcW w:w="1290" w:type="dxa"/>
            <w:tcBorders>
              <w:top w:val="nil"/>
              <w:left w:val="nil"/>
              <w:bottom w:val="nil"/>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16794"/>
                <w:sz w:val="18"/>
              </w:rPr>
            </w:pPr>
            <w:r>
              <w:rPr>
                <w:rFonts w:ascii="Verdana" w:hAnsi="Verdana"/>
                <w:i/>
                <w:noProof/>
                <w:color w:val="016794"/>
                <w:sz w:val="18"/>
              </w:rPr>
              <w:t xml:space="preserve"> 505</w:t>
            </w:r>
          </w:p>
        </w:tc>
        <w:tc>
          <w:tcPr>
            <w:tcW w:w="1283" w:type="dxa"/>
            <w:tcBorders>
              <w:top w:val="nil"/>
              <w:left w:val="nil"/>
              <w:bottom w:val="nil"/>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16794"/>
                <w:sz w:val="18"/>
              </w:rPr>
            </w:pPr>
            <w:r>
              <w:rPr>
                <w:rFonts w:ascii="Verdana" w:hAnsi="Verdana"/>
                <w:i/>
                <w:noProof/>
                <w:color w:val="016794"/>
                <w:sz w:val="18"/>
              </w:rPr>
              <w:t>1 530</w:t>
            </w:r>
          </w:p>
        </w:tc>
      </w:tr>
    </w:tbl>
    <w:p>
      <w:pPr>
        <w:pStyle w:val="Textstand-alone"/>
        <w:rPr>
          <w:color w:val="016794"/>
        </w:rPr>
      </w:pPr>
      <w:r>
        <w:rPr>
          <w:color w:val="016794"/>
        </w:rPr>
        <w:t>Montant dû par le Royaume-Uni — Variation par rapport à l’année précédente</w:t>
      </w:r>
    </w:p>
    <w:p>
      <w:pPr>
        <w:pStyle w:val="DGTextstand-alone"/>
        <w:spacing w:after="0"/>
      </w:pPr>
      <w:r>
        <w:t>La diminution de la créance nette de 2,001 milliards d’EUR (passant de 12,762 milliards d’EUR à la fin de 2024 à 10,761 milliards d’EUR à la fin de 2025) est principalement due aux paiements nets reçus en 2025 (1,535 milliard d’EUR) ainsi qu’à un ajustement hors trésorerie de 465 millions d’EUR. Cet ajustement hors trésorerie, qui est comptabilisé en charges nettes, résulte:</w:t>
      </w:r>
    </w:p>
    <w:p>
      <w:pPr>
        <w:pStyle w:val="DGTextstand-alone"/>
        <w:numPr>
          <w:ilvl w:val="0"/>
          <w:numId w:val="21"/>
        </w:numPr>
        <w:spacing w:before="120" w:after="0"/>
        <w:ind w:left="357" w:hanging="357"/>
      </w:pPr>
      <w:r>
        <w:t>de la diminution du montant dû par le Royaume-Uni au titre de l’article 142 pour sa part des valorisations restantes concernant le PSEO et le RCAM (529 millions d’EUR);</w:t>
      </w:r>
    </w:p>
    <w:p>
      <w:pPr>
        <w:pStyle w:val="DGTextstand-alone"/>
        <w:numPr>
          <w:ilvl w:val="0"/>
          <w:numId w:val="21"/>
        </w:numPr>
        <w:spacing w:before="0" w:after="0"/>
        <w:ind w:left="357" w:hanging="357"/>
      </w:pPr>
      <w:r>
        <w:t>de la diminution du montant dû par le Royaume-Uni au titre de l’article 140 (142 millions d’EUR) en raison de positions de compensation supplémentaires (58 millions d’EUR) et de l’ajustement de la non-exécution estimée (84 millions d’EUR);</w:t>
      </w:r>
    </w:p>
    <w:p>
      <w:pPr>
        <w:pStyle w:val="DGTextstand-alone"/>
        <w:numPr>
          <w:ilvl w:val="0"/>
          <w:numId w:val="21"/>
        </w:numPr>
        <w:spacing w:before="0" w:after="0"/>
        <w:ind w:left="357" w:hanging="357"/>
      </w:pPr>
      <w:r>
        <w:t>du montant dû au Royaume-Uni au titre des articles 143 et 144 de l’accord de retrait (198 millions d’EUR et 43 millions d’EUR, respectivement);</w:t>
      </w:r>
    </w:p>
    <w:p>
      <w:pPr>
        <w:pStyle w:val="DGTextstand-alone"/>
        <w:numPr>
          <w:ilvl w:val="0"/>
          <w:numId w:val="21"/>
        </w:numPr>
        <w:spacing w:before="0" w:after="0"/>
        <w:ind w:left="357" w:hanging="357"/>
      </w:pPr>
      <w:r>
        <w:t>de la diminution nette du montant dû par le Royaume-Uni pour les affaires juridiques au titre de l’article 147 (5 millions d’EUR, comprenant le montant dû par le Royaume-Uni pour sa part des montants nets payés en 2025, soit 7 millions d’EUR, et la diminution du montant estimé dû par le Royaume-Uni pour les affaires juridiques non encore résolues, soit 12 millions d’EUR);</w:t>
      </w:r>
    </w:p>
    <w:p>
      <w:pPr>
        <w:pStyle w:val="DGTextstand-alone"/>
        <w:spacing w:before="120" w:after="0"/>
      </w:pPr>
      <w:r>
        <w:t>contrebalancés par</w:t>
      </w:r>
    </w:p>
    <w:p>
      <w:pPr>
        <w:pStyle w:val="DGTextstand-alone"/>
        <w:numPr>
          <w:ilvl w:val="0"/>
          <w:numId w:val="21"/>
        </w:numPr>
        <w:spacing w:before="120" w:after="0"/>
        <w:ind w:left="357" w:hanging="357"/>
      </w:pPr>
      <w:bookmarkStart w:id="126" w:name="_Hlk228778745"/>
      <w:r>
        <w:t>le montant dû par le Royaume-Uni au titre de l’article 142 pour sa part des paiements nets effectués à partir du budget de l’Union en 2025 en faveur des bénéficiaires du régime de pensions des fonctionnaires et autres agents de l’Union européenne et du RCAM (326 millions d’EUR)</w:t>
      </w:r>
      <w:bookmarkEnd w:id="126"/>
      <w:r>
        <w:t>;</w:t>
      </w:r>
    </w:p>
    <w:p>
      <w:pPr>
        <w:pStyle w:val="DGTextstand-alone"/>
        <w:numPr>
          <w:ilvl w:val="0"/>
          <w:numId w:val="21"/>
        </w:numPr>
        <w:spacing w:before="0" w:after="0"/>
        <w:ind w:left="357" w:hanging="357"/>
      </w:pPr>
      <w:r>
        <w:t>la diminution du montant dû au Royaume-Uni au titre de l’article 141 en raison d’une réduction de la base d’évaluation de la part du Royaume-Uni dans les amendes (109 millions d’EUR); et</w:t>
      </w:r>
    </w:p>
    <w:p>
      <w:pPr>
        <w:pStyle w:val="DGTextstand-alone"/>
        <w:numPr>
          <w:ilvl w:val="0"/>
          <w:numId w:val="21"/>
        </w:numPr>
        <w:spacing w:before="0" w:after="0"/>
        <w:ind w:left="357" w:hanging="357"/>
      </w:pPr>
      <w:r>
        <w:t>l’augmentation du montant dû par le Royaume-Uni au titre de l’article 136 en raison de la mise à jour des estimations et des montants supplémentaires (17 millions d’EUR).</w:t>
      </w:r>
    </w:p>
    <w:p>
      <w:pPr>
        <w:pStyle w:val="Textstand-alone"/>
        <w:rPr>
          <w:color w:val="016794"/>
        </w:rPr>
      </w:pPr>
      <w:r>
        <w:rPr>
          <w:color w:val="016794"/>
        </w:rPr>
        <w:t>Montant à payer dans les 12 mois suivant la date de clôture</w:t>
      </w:r>
    </w:p>
    <w:p>
      <w:pPr>
        <w:pStyle w:val="DGTextstand-alone"/>
        <w:spacing w:after="0"/>
      </w:pPr>
      <w:r>
        <w:t>Le montant de 505 millions d’EUR à payer par le Royaume-Uni dans les 12 mois suivant la date de clôture comprend le reste de la facture de septembre 2025 (338 millions d’EUR), la facture d’avril 2026 (78 millions d’EUR, y compris une adaptation prévue de 27,9 millions d’EUR liée à l’article 140) et la part de la facture estimée de septembre 2026 à payer au cours de la période allant d’octobre à décembre 2026 (89 millions d’EUR):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1952"/>
        <w:gridCol w:w="1951"/>
        <w:gridCol w:w="1952"/>
        <w:gridCol w:w="1952"/>
      </w:tblGrid>
      <w:tr>
        <w:trPr>
          <w:trHeight w:val="255"/>
        </w:trPr>
        <w:tc>
          <w:tcPr>
            <w:tcW w:w="1951" w:type="dxa"/>
            <w:tcBorders>
              <w:top w:val="nil"/>
              <w:left w:val="nil"/>
              <w:bottom w:val="nil"/>
              <w:right w:val="nil"/>
            </w:tcBorders>
            <w:tcMar>
              <w:top w:w="0" w:type="dxa"/>
              <w:left w:w="60" w:type="dxa"/>
              <w:bottom w:w="0" w:type="dxa"/>
              <w:right w:w="60" w:type="dxa"/>
            </w:tcMar>
            <w:vAlign w:val="bottom"/>
          </w:tcPr>
          <w:p>
            <w:pPr>
              <w:rPr>
                <w:rFonts w:ascii="Arial" w:hAnsi="Arial" w:cs="Arial"/>
                <w:noProof/>
                <w:color w:val="000000"/>
              </w:rPr>
            </w:pPr>
          </w:p>
        </w:tc>
        <w:tc>
          <w:tcPr>
            <w:tcW w:w="1952" w:type="dxa"/>
            <w:tcBorders>
              <w:top w:val="nil"/>
              <w:left w:val="nil"/>
              <w:bottom w:val="nil"/>
              <w:right w:val="nil"/>
            </w:tcBorders>
            <w:tcMar>
              <w:top w:w="0" w:type="dxa"/>
              <w:left w:w="60" w:type="dxa"/>
              <w:bottom w:w="0" w:type="dxa"/>
              <w:right w:w="60" w:type="dxa"/>
            </w:tcMar>
            <w:vAlign w:val="bottom"/>
          </w:tcPr>
          <w:p>
            <w:pPr>
              <w:jc w:val="right"/>
              <w:rPr>
                <w:noProof/>
                <w:color w:val="000000"/>
                <w:sz w:val="22"/>
              </w:rPr>
            </w:pPr>
          </w:p>
        </w:tc>
        <w:tc>
          <w:tcPr>
            <w:tcW w:w="1951" w:type="dxa"/>
            <w:tcBorders>
              <w:top w:val="nil"/>
              <w:left w:val="nil"/>
              <w:bottom w:val="nil"/>
              <w:right w:val="nil"/>
            </w:tcBorders>
            <w:tcMar>
              <w:top w:w="0" w:type="dxa"/>
              <w:left w:w="60" w:type="dxa"/>
              <w:bottom w:w="0" w:type="dxa"/>
              <w:right w:w="60" w:type="dxa"/>
            </w:tcMar>
            <w:vAlign w:val="bottom"/>
          </w:tcPr>
          <w:p>
            <w:pPr>
              <w:jc w:val="right"/>
              <w:rPr>
                <w:rFonts w:ascii="Verdana" w:hAnsi="Verdana" w:cs="Verdana"/>
                <w:b/>
                <w:noProof/>
                <w:color w:val="000000"/>
                <w:sz w:val="18"/>
              </w:rPr>
            </w:pPr>
          </w:p>
        </w:tc>
        <w:tc>
          <w:tcPr>
            <w:tcW w:w="1952" w:type="dxa"/>
            <w:tcBorders>
              <w:top w:val="nil"/>
              <w:left w:val="nil"/>
              <w:bottom w:val="nil"/>
              <w:right w:val="nil"/>
            </w:tcBorders>
            <w:tcMar>
              <w:top w:w="0" w:type="dxa"/>
              <w:left w:w="60" w:type="dxa"/>
              <w:bottom w:w="0" w:type="dxa"/>
              <w:right w:w="60" w:type="dxa"/>
            </w:tcMar>
            <w:vAlign w:val="bottom"/>
          </w:tcPr>
          <w:p>
            <w:pPr>
              <w:jc w:val="right"/>
              <w:rPr>
                <w:noProof/>
                <w:color w:val="000000"/>
                <w:sz w:val="22"/>
              </w:rPr>
            </w:pPr>
          </w:p>
        </w:tc>
        <w:tc>
          <w:tcPr>
            <w:tcW w:w="1952" w:type="dxa"/>
            <w:tcBorders>
              <w:top w:val="nil"/>
              <w:left w:val="nil"/>
              <w:bottom w:val="nil"/>
              <w:right w:val="nil"/>
            </w:tcBorders>
            <w:tcMar>
              <w:top w:w="0" w:type="dxa"/>
              <w:left w:w="60" w:type="dxa"/>
              <w:bottom w:w="0" w:type="dxa"/>
              <w:right w:w="60" w:type="dxa"/>
            </w:tcMar>
            <w:vAlign w:val="bottom"/>
          </w:tcPr>
          <w:p>
            <w:pPr>
              <w:jc w:val="right"/>
              <w:rPr>
                <w:rFonts w:ascii="Verdana" w:hAnsi="Verdana" w:cs="Verdana"/>
                <w:i/>
                <w:noProof/>
                <w:color w:val="000000"/>
                <w:sz w:val="16"/>
              </w:rPr>
            </w:pPr>
            <w:r>
              <w:rPr>
                <w:rFonts w:ascii="Verdana" w:hAnsi="Verdana"/>
                <w:i/>
                <w:noProof/>
                <w:color w:val="000000"/>
                <w:sz w:val="16"/>
              </w:rPr>
              <w:t>en Mio EUR</w:t>
            </w:r>
          </w:p>
        </w:tc>
      </w:tr>
      <w:tr>
        <w:trPr>
          <w:trHeight w:val="255"/>
        </w:trPr>
        <w:tc>
          <w:tcPr>
            <w:tcW w:w="1951" w:type="dxa"/>
            <w:tcBorders>
              <w:top w:val="nil"/>
              <w:left w:val="nil"/>
              <w:bottom w:val="nil"/>
              <w:right w:val="nil"/>
            </w:tcBorders>
            <w:shd w:val="clear" w:color="auto" w:fill="016794"/>
            <w:tcMar>
              <w:top w:w="0" w:type="dxa"/>
              <w:left w:w="60" w:type="dxa"/>
              <w:bottom w:w="0" w:type="dxa"/>
              <w:right w:w="60" w:type="dxa"/>
            </w:tcMar>
            <w:vAlign w:val="bottom"/>
          </w:tcPr>
          <w:p>
            <w:pPr>
              <w:rPr>
                <w:rFonts w:ascii="Verdana" w:hAnsi="Verdana" w:cs="Arial"/>
                <w:b/>
                <w:bCs/>
                <w:noProof/>
                <w:color w:val="000000"/>
                <w:sz w:val="18"/>
                <w:szCs w:val="18"/>
              </w:rPr>
            </w:pPr>
          </w:p>
        </w:tc>
        <w:tc>
          <w:tcPr>
            <w:tcW w:w="1952" w:type="dxa"/>
            <w:tcBorders>
              <w:top w:val="nil"/>
              <w:left w:val="nil"/>
              <w:bottom w:val="nil"/>
              <w:right w:val="nil"/>
            </w:tcBorders>
            <w:shd w:val="clear" w:color="auto" w:fill="016794"/>
            <w:tcMar>
              <w:top w:w="0" w:type="dxa"/>
              <w:left w:w="60" w:type="dxa"/>
              <w:bottom w:w="0" w:type="dxa"/>
              <w:right w:w="60" w:type="dxa"/>
            </w:tcMar>
            <w:vAlign w:val="bottom"/>
          </w:tcPr>
          <w:p>
            <w:pPr>
              <w:jc w:val="right"/>
              <w:rPr>
                <w:rFonts w:ascii="Verdana" w:hAnsi="Verdana"/>
                <w:noProof/>
                <w:color w:val="FFFFFF" w:themeColor="background1"/>
                <w:sz w:val="18"/>
                <w:szCs w:val="18"/>
              </w:rPr>
            </w:pPr>
            <w:r>
              <w:rPr>
                <w:rFonts w:ascii="Verdana" w:hAnsi="Verdana"/>
                <w:noProof/>
                <w:color w:val="FFFFFF" w:themeColor="background1"/>
                <w:sz w:val="18"/>
              </w:rPr>
              <w:t>Reste de la facture</w:t>
            </w:r>
            <w:r>
              <w:rPr>
                <w:rFonts w:ascii="Verdana" w:hAnsi="Verdana"/>
                <w:noProof/>
                <w:color w:val="FFFFFF" w:themeColor="background1"/>
                <w:sz w:val="18"/>
              </w:rPr>
              <w:br/>
              <w:t>de septembre 2025</w:t>
            </w:r>
          </w:p>
        </w:tc>
        <w:tc>
          <w:tcPr>
            <w:tcW w:w="1951" w:type="dxa"/>
            <w:tcBorders>
              <w:top w:val="nil"/>
              <w:left w:val="nil"/>
              <w:bottom w:val="nil"/>
              <w:right w:val="nil"/>
            </w:tcBorders>
            <w:shd w:val="clear" w:color="auto" w:fill="016794"/>
            <w:tcMar>
              <w:top w:w="0" w:type="dxa"/>
              <w:left w:w="60" w:type="dxa"/>
              <w:bottom w:w="0" w:type="dxa"/>
              <w:right w:w="60" w:type="dxa"/>
            </w:tcMar>
            <w:vAlign w:val="bottom"/>
          </w:tcPr>
          <w:p>
            <w:pPr>
              <w:jc w:val="right"/>
              <w:rPr>
                <w:rFonts w:ascii="Verdana" w:hAnsi="Verdana" w:cs="Verdana"/>
                <w:noProof/>
                <w:color w:val="FFFFFF" w:themeColor="background1"/>
                <w:sz w:val="18"/>
                <w:szCs w:val="18"/>
              </w:rPr>
            </w:pPr>
            <w:r>
              <w:rPr>
                <w:rFonts w:ascii="Verdana" w:hAnsi="Verdana"/>
                <w:noProof/>
                <w:color w:val="FFFFFF" w:themeColor="background1"/>
                <w:sz w:val="18"/>
              </w:rPr>
              <w:br/>
              <w:t xml:space="preserve">Facture </w:t>
            </w:r>
            <w:r>
              <w:rPr>
                <w:rFonts w:ascii="Verdana" w:hAnsi="Verdana"/>
                <w:noProof/>
                <w:color w:val="FFFFFF" w:themeColor="background1"/>
                <w:sz w:val="18"/>
              </w:rPr>
              <w:br/>
              <w:t>d’avril 2026</w:t>
            </w:r>
          </w:p>
        </w:tc>
        <w:tc>
          <w:tcPr>
            <w:tcW w:w="1952" w:type="dxa"/>
            <w:tcBorders>
              <w:top w:val="nil"/>
              <w:left w:val="nil"/>
              <w:bottom w:val="nil"/>
              <w:right w:val="nil"/>
            </w:tcBorders>
            <w:shd w:val="clear" w:color="auto" w:fill="016794"/>
            <w:tcMar>
              <w:top w:w="0" w:type="dxa"/>
              <w:left w:w="60" w:type="dxa"/>
              <w:bottom w:w="0" w:type="dxa"/>
              <w:right w:w="60" w:type="dxa"/>
            </w:tcMar>
            <w:vAlign w:val="bottom"/>
          </w:tcPr>
          <w:p>
            <w:pPr>
              <w:jc w:val="right"/>
              <w:rPr>
                <w:rFonts w:ascii="Verdana" w:hAnsi="Verdana"/>
                <w:noProof/>
                <w:color w:val="FFFFFF" w:themeColor="background1"/>
                <w:sz w:val="18"/>
                <w:szCs w:val="18"/>
              </w:rPr>
            </w:pPr>
            <w:r>
              <w:rPr>
                <w:rFonts w:ascii="Verdana" w:hAnsi="Verdana"/>
                <w:noProof/>
                <w:color w:val="FFFFFF" w:themeColor="background1"/>
                <w:sz w:val="18"/>
              </w:rPr>
              <w:t>Estimation</w:t>
            </w:r>
            <w:r>
              <w:rPr>
                <w:rFonts w:ascii="Verdana" w:hAnsi="Verdana"/>
                <w:noProof/>
                <w:color w:val="FFFFFF" w:themeColor="background1"/>
                <w:sz w:val="18"/>
              </w:rPr>
              <w:br/>
              <w:t>de la facture</w:t>
            </w:r>
            <w:r>
              <w:rPr>
                <w:rFonts w:ascii="Verdana" w:hAnsi="Verdana"/>
                <w:noProof/>
                <w:color w:val="FFFFFF" w:themeColor="background1"/>
                <w:sz w:val="18"/>
              </w:rPr>
              <w:br/>
              <w:t>de septembre 2026</w:t>
            </w:r>
            <w:r>
              <w:rPr>
                <w:rFonts w:ascii="Verdana" w:hAnsi="Verdana"/>
                <w:noProof/>
                <w:color w:val="FFFFFF" w:themeColor="background1"/>
                <w:sz w:val="18"/>
              </w:rPr>
              <w:br/>
              <w:t xml:space="preserve">(portion oct. -déc.) </w:t>
            </w:r>
          </w:p>
        </w:tc>
        <w:tc>
          <w:tcPr>
            <w:tcW w:w="1952" w:type="dxa"/>
            <w:tcBorders>
              <w:top w:val="nil"/>
              <w:left w:val="nil"/>
              <w:bottom w:val="nil"/>
              <w:right w:val="nil"/>
            </w:tcBorders>
            <w:shd w:val="clear" w:color="auto" w:fill="016794"/>
            <w:tcMar>
              <w:top w:w="0" w:type="dxa"/>
              <w:left w:w="60" w:type="dxa"/>
              <w:bottom w:w="0" w:type="dxa"/>
              <w:right w:w="60" w:type="dxa"/>
            </w:tcMar>
            <w:vAlign w:val="bottom"/>
          </w:tcPr>
          <w:p>
            <w:pPr>
              <w:jc w:val="right"/>
              <w:rPr>
                <w:rFonts w:ascii="Verdana" w:hAnsi="Verdana" w:cs="Verdana"/>
                <w:iCs/>
                <w:noProof/>
                <w:color w:val="000000"/>
                <w:sz w:val="18"/>
                <w:szCs w:val="18"/>
              </w:rPr>
            </w:pPr>
            <w:r>
              <w:rPr>
                <w:rFonts w:ascii="Verdana" w:hAnsi="Verdana"/>
                <w:noProof/>
                <w:color w:val="FFFFFF" w:themeColor="background1"/>
                <w:sz w:val="18"/>
              </w:rPr>
              <w:t>Total</w:t>
            </w:r>
          </w:p>
        </w:tc>
      </w:tr>
      <w:tr>
        <w:trPr>
          <w:trHeight w:val="255"/>
        </w:trPr>
        <w:tc>
          <w:tcPr>
            <w:tcW w:w="1951" w:type="dxa"/>
            <w:tcBorders>
              <w:top w:val="nil"/>
              <w:left w:val="nil"/>
              <w:bottom w:val="nil"/>
              <w:right w:val="nil"/>
            </w:tcBorders>
            <w:tcMar>
              <w:top w:w="0" w:type="dxa"/>
              <w:left w:w="60" w:type="dxa"/>
              <w:bottom w:w="0" w:type="dxa"/>
              <w:right w:w="60" w:type="dxa"/>
            </w:tcMar>
            <w:vAlign w:val="bottom"/>
          </w:tcPr>
          <w:p>
            <w:pPr>
              <w:rPr>
                <w:rFonts w:ascii="Verdana" w:hAnsi="Verdana" w:cs="Verdana"/>
                <w:i/>
                <w:noProof/>
                <w:color w:val="000000"/>
                <w:sz w:val="18"/>
              </w:rPr>
            </w:pPr>
            <w:r>
              <w:rPr>
                <w:rFonts w:ascii="Verdana" w:hAnsi="Verdana"/>
                <w:i/>
                <w:noProof/>
                <w:color w:val="000000"/>
                <w:sz w:val="18"/>
              </w:rPr>
              <w:t>Article 136</w:t>
            </w:r>
          </w:p>
        </w:tc>
        <w:tc>
          <w:tcPr>
            <w:tcW w:w="1952" w:type="dxa"/>
            <w:tcBorders>
              <w:top w:val="nil"/>
              <w:left w:val="nil"/>
              <w:bottom w:val="nil"/>
              <w:right w:val="nil"/>
            </w:tcBorders>
            <w:tcMar>
              <w:top w:w="0" w:type="dxa"/>
              <w:left w:w="60" w:type="dxa"/>
              <w:bottom w:w="0" w:type="dxa"/>
              <w:right w:w="60" w:type="dxa"/>
            </w:tcMar>
            <w:vAlign w:val="bottom"/>
          </w:tcPr>
          <w:p>
            <w:pPr>
              <w:jc w:val="right"/>
              <w:rPr>
                <w:rFonts w:ascii="Verdana" w:hAnsi="Verdana" w:cs="Verdana"/>
                <w:i/>
                <w:noProof/>
                <w:color w:val="000000"/>
                <w:sz w:val="18"/>
              </w:rPr>
            </w:pPr>
            <w:r>
              <w:rPr>
                <w:rFonts w:ascii="Verdana" w:hAnsi="Verdana"/>
                <w:i/>
                <w:noProof/>
                <w:color w:val="000000"/>
                <w:sz w:val="18"/>
              </w:rPr>
              <w:t>9</w:t>
            </w:r>
          </w:p>
        </w:tc>
        <w:tc>
          <w:tcPr>
            <w:tcW w:w="1951" w:type="dxa"/>
            <w:tcBorders>
              <w:top w:val="nil"/>
              <w:left w:val="nil"/>
              <w:bottom w:val="nil"/>
              <w:right w:val="nil"/>
            </w:tcBorders>
            <w:tcMar>
              <w:top w:w="0" w:type="dxa"/>
              <w:left w:w="60" w:type="dxa"/>
              <w:bottom w:w="0" w:type="dxa"/>
              <w:right w:w="60" w:type="dxa"/>
            </w:tcMar>
            <w:vAlign w:val="bottom"/>
          </w:tcPr>
          <w:p>
            <w:pPr>
              <w:jc w:val="right"/>
              <w:rPr>
                <w:rFonts w:ascii="Verdana" w:hAnsi="Verdana" w:cs="Verdana"/>
                <w:i/>
                <w:noProof/>
                <w:color w:val="000000"/>
                <w:sz w:val="18"/>
              </w:rPr>
            </w:pPr>
            <w:r>
              <w:rPr>
                <w:rFonts w:ascii="Verdana" w:hAnsi="Verdana"/>
                <w:i/>
                <w:noProof/>
                <w:color w:val="000000"/>
                <w:sz w:val="18"/>
              </w:rPr>
              <w:t>122</w:t>
            </w:r>
          </w:p>
        </w:tc>
        <w:tc>
          <w:tcPr>
            <w:tcW w:w="1952" w:type="dxa"/>
            <w:tcBorders>
              <w:top w:val="nil"/>
              <w:left w:val="nil"/>
              <w:bottom w:val="nil"/>
              <w:right w:val="nil"/>
            </w:tcBorders>
            <w:tcMar>
              <w:top w:w="0" w:type="dxa"/>
              <w:left w:w="60" w:type="dxa"/>
              <w:bottom w:w="0" w:type="dxa"/>
              <w:right w:w="60" w:type="dxa"/>
            </w:tcMar>
            <w:vAlign w:val="bottom"/>
          </w:tcPr>
          <w:p>
            <w:pPr>
              <w:jc w:val="right"/>
              <w:rPr>
                <w:rFonts w:ascii="Verdana" w:hAnsi="Verdana" w:cs="Verdana"/>
                <w:i/>
                <w:noProof/>
                <w:color w:val="000000"/>
                <w:sz w:val="18"/>
              </w:rPr>
            </w:pPr>
          </w:p>
        </w:tc>
        <w:tc>
          <w:tcPr>
            <w:tcW w:w="1952" w:type="dxa"/>
            <w:tcBorders>
              <w:top w:val="nil"/>
              <w:left w:val="nil"/>
              <w:bottom w:val="nil"/>
              <w:right w:val="nil"/>
            </w:tcBorders>
            <w:tcMar>
              <w:top w:w="0" w:type="dxa"/>
              <w:left w:w="60" w:type="dxa"/>
              <w:bottom w:w="0" w:type="dxa"/>
              <w:right w:w="60" w:type="dxa"/>
            </w:tcMar>
            <w:vAlign w:val="bottom"/>
          </w:tcPr>
          <w:p>
            <w:pPr>
              <w:jc w:val="right"/>
              <w:rPr>
                <w:rFonts w:ascii="Verdana" w:hAnsi="Verdana" w:cs="Verdana"/>
                <w:i/>
                <w:noProof/>
                <w:color w:val="000000"/>
                <w:sz w:val="18"/>
              </w:rPr>
            </w:pPr>
            <w:r>
              <w:rPr>
                <w:rFonts w:ascii="Verdana" w:hAnsi="Verdana"/>
                <w:i/>
                <w:noProof/>
                <w:color w:val="000000"/>
                <w:sz w:val="18"/>
              </w:rPr>
              <w:t>130</w:t>
            </w:r>
          </w:p>
        </w:tc>
      </w:tr>
      <w:tr>
        <w:trPr>
          <w:trHeight w:val="255"/>
        </w:trPr>
        <w:tc>
          <w:tcPr>
            <w:tcW w:w="1951" w:type="dxa"/>
            <w:tcBorders>
              <w:top w:val="nil"/>
              <w:left w:val="nil"/>
              <w:bottom w:val="nil"/>
              <w:right w:val="nil"/>
            </w:tcBorders>
            <w:tcMar>
              <w:top w:w="0" w:type="dxa"/>
              <w:left w:w="60" w:type="dxa"/>
              <w:bottom w:w="0" w:type="dxa"/>
              <w:right w:w="60" w:type="dxa"/>
            </w:tcMar>
            <w:vAlign w:val="bottom"/>
          </w:tcPr>
          <w:p>
            <w:pPr>
              <w:rPr>
                <w:rFonts w:ascii="Verdana" w:hAnsi="Verdana" w:cs="Verdana"/>
                <w:i/>
                <w:noProof/>
                <w:color w:val="000000"/>
                <w:sz w:val="18"/>
              </w:rPr>
            </w:pPr>
            <w:r>
              <w:rPr>
                <w:rFonts w:ascii="Verdana" w:hAnsi="Verdana"/>
                <w:i/>
                <w:noProof/>
                <w:color w:val="000000"/>
                <w:sz w:val="18"/>
              </w:rPr>
              <w:t>Article 140</w:t>
            </w:r>
          </w:p>
        </w:tc>
        <w:tc>
          <w:tcPr>
            <w:tcW w:w="1952" w:type="dxa"/>
            <w:tcBorders>
              <w:top w:val="nil"/>
              <w:left w:val="nil"/>
              <w:bottom w:val="nil"/>
              <w:right w:val="nil"/>
            </w:tcBorders>
            <w:tcMar>
              <w:top w:w="0" w:type="dxa"/>
              <w:left w:w="60" w:type="dxa"/>
              <w:bottom w:w="0" w:type="dxa"/>
              <w:right w:w="60" w:type="dxa"/>
            </w:tcMar>
            <w:vAlign w:val="bottom"/>
          </w:tcPr>
          <w:p>
            <w:pPr>
              <w:jc w:val="right"/>
              <w:rPr>
                <w:rFonts w:ascii="Verdana" w:hAnsi="Verdana" w:cs="Verdana"/>
                <w:i/>
                <w:noProof/>
                <w:color w:val="000000"/>
                <w:sz w:val="18"/>
              </w:rPr>
            </w:pPr>
            <w:r>
              <w:rPr>
                <w:rFonts w:ascii="Verdana" w:hAnsi="Verdana"/>
                <w:i/>
                <w:noProof/>
                <w:color w:val="000000"/>
                <w:sz w:val="18"/>
              </w:rPr>
              <w:t>406</w:t>
            </w:r>
          </w:p>
        </w:tc>
        <w:tc>
          <w:tcPr>
            <w:tcW w:w="1951" w:type="dxa"/>
            <w:tcBorders>
              <w:top w:val="nil"/>
              <w:left w:val="nil"/>
              <w:bottom w:val="nil"/>
              <w:right w:val="nil"/>
            </w:tcBorders>
            <w:tcMar>
              <w:top w:w="0" w:type="dxa"/>
              <w:left w:w="60" w:type="dxa"/>
              <w:bottom w:w="0" w:type="dxa"/>
              <w:right w:w="60" w:type="dxa"/>
            </w:tcMar>
            <w:vAlign w:val="bottom"/>
          </w:tcPr>
          <w:p>
            <w:pPr>
              <w:jc w:val="right"/>
              <w:rPr>
                <w:rFonts w:ascii="Verdana" w:hAnsi="Verdana" w:cs="Verdana"/>
                <w:i/>
                <w:noProof/>
                <w:color w:val="000000"/>
                <w:sz w:val="18"/>
              </w:rPr>
            </w:pPr>
            <w:r>
              <w:rPr>
                <w:rFonts w:ascii="Verdana" w:hAnsi="Verdana"/>
                <w:i/>
                <w:noProof/>
                <w:color w:val="000000"/>
                <w:sz w:val="18"/>
              </w:rPr>
              <w:t>(136)</w:t>
            </w:r>
          </w:p>
        </w:tc>
        <w:tc>
          <w:tcPr>
            <w:tcW w:w="1952" w:type="dxa"/>
            <w:tcBorders>
              <w:top w:val="nil"/>
              <w:left w:val="nil"/>
              <w:bottom w:val="nil"/>
              <w:right w:val="nil"/>
            </w:tcBorders>
            <w:tcMar>
              <w:top w:w="0" w:type="dxa"/>
              <w:left w:w="60" w:type="dxa"/>
              <w:bottom w:w="0" w:type="dxa"/>
              <w:right w:w="60" w:type="dxa"/>
            </w:tcMar>
            <w:vAlign w:val="bottom"/>
          </w:tcPr>
          <w:p>
            <w:pPr>
              <w:jc w:val="right"/>
              <w:rPr>
                <w:rFonts w:ascii="Verdana" w:hAnsi="Verdana" w:cs="Verdana"/>
                <w:i/>
                <w:noProof/>
                <w:color w:val="000000"/>
                <w:sz w:val="18"/>
              </w:rPr>
            </w:pPr>
            <w:r>
              <w:rPr>
                <w:rFonts w:ascii="Verdana" w:hAnsi="Verdana"/>
                <w:i/>
                <w:noProof/>
                <w:color w:val="000000"/>
                <w:sz w:val="18"/>
              </w:rPr>
              <w:t>129</w:t>
            </w:r>
          </w:p>
        </w:tc>
        <w:tc>
          <w:tcPr>
            <w:tcW w:w="1952" w:type="dxa"/>
            <w:tcBorders>
              <w:top w:val="nil"/>
              <w:left w:val="nil"/>
              <w:bottom w:val="nil"/>
              <w:right w:val="nil"/>
            </w:tcBorders>
            <w:tcMar>
              <w:top w:w="0" w:type="dxa"/>
              <w:left w:w="60" w:type="dxa"/>
              <w:bottom w:w="0" w:type="dxa"/>
              <w:right w:w="60" w:type="dxa"/>
            </w:tcMar>
            <w:vAlign w:val="bottom"/>
          </w:tcPr>
          <w:p>
            <w:pPr>
              <w:jc w:val="right"/>
              <w:rPr>
                <w:rFonts w:ascii="Verdana" w:hAnsi="Verdana" w:cs="Verdana"/>
                <w:i/>
                <w:noProof/>
                <w:color w:val="000000"/>
                <w:sz w:val="18"/>
              </w:rPr>
            </w:pPr>
            <w:r>
              <w:rPr>
                <w:rFonts w:ascii="Verdana" w:hAnsi="Verdana"/>
                <w:i/>
                <w:noProof/>
                <w:color w:val="000000"/>
                <w:sz w:val="18"/>
              </w:rPr>
              <w:t>399</w:t>
            </w:r>
          </w:p>
        </w:tc>
      </w:tr>
      <w:tr>
        <w:trPr>
          <w:trHeight w:val="255"/>
        </w:trPr>
        <w:tc>
          <w:tcPr>
            <w:tcW w:w="1951" w:type="dxa"/>
            <w:tcBorders>
              <w:top w:val="nil"/>
              <w:left w:val="nil"/>
              <w:bottom w:val="nil"/>
              <w:right w:val="nil"/>
            </w:tcBorders>
            <w:tcMar>
              <w:top w:w="0" w:type="dxa"/>
              <w:left w:w="60" w:type="dxa"/>
              <w:bottom w:w="0" w:type="dxa"/>
              <w:right w:w="60" w:type="dxa"/>
            </w:tcMar>
            <w:vAlign w:val="bottom"/>
          </w:tcPr>
          <w:p>
            <w:pPr>
              <w:rPr>
                <w:rFonts w:ascii="Verdana" w:hAnsi="Verdana" w:cs="Verdana"/>
                <w:i/>
                <w:noProof/>
                <w:color w:val="000000"/>
                <w:sz w:val="18"/>
              </w:rPr>
            </w:pPr>
            <w:r>
              <w:rPr>
                <w:rFonts w:ascii="Verdana" w:hAnsi="Verdana"/>
                <w:i/>
                <w:noProof/>
                <w:color w:val="000000"/>
                <w:sz w:val="18"/>
              </w:rPr>
              <w:t>Article 141</w:t>
            </w:r>
          </w:p>
        </w:tc>
        <w:tc>
          <w:tcPr>
            <w:tcW w:w="1952" w:type="dxa"/>
            <w:tcBorders>
              <w:top w:val="nil"/>
              <w:left w:val="nil"/>
              <w:bottom w:val="nil"/>
              <w:right w:val="nil"/>
            </w:tcBorders>
            <w:tcMar>
              <w:top w:w="0" w:type="dxa"/>
              <w:left w:w="60" w:type="dxa"/>
              <w:bottom w:w="0" w:type="dxa"/>
              <w:right w:w="60" w:type="dxa"/>
            </w:tcMar>
            <w:vAlign w:val="bottom"/>
          </w:tcPr>
          <w:p>
            <w:pPr>
              <w:jc w:val="right"/>
              <w:rPr>
                <w:rFonts w:ascii="Verdana" w:hAnsi="Verdana" w:cs="Verdana"/>
                <w:i/>
                <w:noProof/>
                <w:color w:val="000000"/>
                <w:sz w:val="18"/>
              </w:rPr>
            </w:pPr>
            <w:r>
              <w:rPr>
                <w:rFonts w:ascii="Verdana" w:hAnsi="Verdana"/>
                <w:i/>
                <w:noProof/>
                <w:color w:val="000000"/>
                <w:sz w:val="18"/>
              </w:rPr>
              <w:t>(95)</w:t>
            </w:r>
          </w:p>
        </w:tc>
        <w:tc>
          <w:tcPr>
            <w:tcW w:w="1951" w:type="dxa"/>
            <w:tcBorders>
              <w:top w:val="nil"/>
              <w:left w:val="nil"/>
              <w:bottom w:val="nil"/>
              <w:right w:val="nil"/>
            </w:tcBorders>
            <w:tcMar>
              <w:top w:w="0" w:type="dxa"/>
              <w:left w:w="60" w:type="dxa"/>
              <w:bottom w:w="0" w:type="dxa"/>
              <w:right w:w="60" w:type="dxa"/>
            </w:tcMar>
            <w:vAlign w:val="bottom"/>
          </w:tcPr>
          <w:p>
            <w:pPr>
              <w:jc w:val="right"/>
              <w:rPr>
                <w:rFonts w:ascii="Verdana" w:hAnsi="Verdana" w:cs="Verdana"/>
                <w:i/>
                <w:noProof/>
                <w:color w:val="000000"/>
                <w:sz w:val="18"/>
              </w:rPr>
            </w:pPr>
          </w:p>
        </w:tc>
        <w:tc>
          <w:tcPr>
            <w:tcW w:w="1952" w:type="dxa"/>
            <w:tcBorders>
              <w:top w:val="nil"/>
              <w:left w:val="nil"/>
              <w:bottom w:val="nil"/>
              <w:right w:val="nil"/>
            </w:tcBorders>
            <w:tcMar>
              <w:top w:w="0" w:type="dxa"/>
              <w:left w:w="60" w:type="dxa"/>
              <w:bottom w:w="0" w:type="dxa"/>
              <w:right w:w="60" w:type="dxa"/>
            </w:tcMar>
            <w:vAlign w:val="bottom"/>
          </w:tcPr>
          <w:p>
            <w:pPr>
              <w:jc w:val="right"/>
              <w:rPr>
                <w:rFonts w:ascii="Verdana" w:hAnsi="Verdana" w:cs="Verdana"/>
                <w:i/>
                <w:noProof/>
                <w:color w:val="000000"/>
                <w:sz w:val="18"/>
              </w:rPr>
            </w:pPr>
            <w:r>
              <w:rPr>
                <w:rFonts w:ascii="Verdana" w:hAnsi="Verdana"/>
                <w:i/>
                <w:noProof/>
                <w:color w:val="000000"/>
                <w:sz w:val="18"/>
              </w:rPr>
              <w:t>(50)</w:t>
            </w:r>
          </w:p>
        </w:tc>
        <w:tc>
          <w:tcPr>
            <w:tcW w:w="1952" w:type="dxa"/>
            <w:tcBorders>
              <w:top w:val="nil"/>
              <w:left w:val="nil"/>
              <w:bottom w:val="nil"/>
              <w:right w:val="nil"/>
            </w:tcBorders>
            <w:tcMar>
              <w:top w:w="0" w:type="dxa"/>
              <w:left w:w="60" w:type="dxa"/>
              <w:bottom w:w="0" w:type="dxa"/>
              <w:right w:w="60" w:type="dxa"/>
            </w:tcMar>
            <w:vAlign w:val="bottom"/>
          </w:tcPr>
          <w:p>
            <w:pPr>
              <w:jc w:val="right"/>
              <w:rPr>
                <w:rFonts w:ascii="Verdana" w:hAnsi="Verdana" w:cs="Verdana"/>
                <w:i/>
                <w:noProof/>
                <w:color w:val="000000"/>
                <w:sz w:val="18"/>
              </w:rPr>
            </w:pPr>
            <w:r>
              <w:rPr>
                <w:rFonts w:ascii="Verdana" w:hAnsi="Verdana"/>
                <w:i/>
                <w:noProof/>
                <w:color w:val="000000"/>
                <w:sz w:val="18"/>
              </w:rPr>
              <w:t>(146)</w:t>
            </w:r>
          </w:p>
        </w:tc>
      </w:tr>
      <w:tr>
        <w:trPr>
          <w:trHeight w:val="255"/>
        </w:trPr>
        <w:tc>
          <w:tcPr>
            <w:tcW w:w="1951" w:type="dxa"/>
            <w:tcBorders>
              <w:top w:val="nil"/>
              <w:left w:val="nil"/>
              <w:bottom w:val="nil"/>
              <w:right w:val="nil"/>
            </w:tcBorders>
            <w:tcMar>
              <w:top w:w="0" w:type="dxa"/>
              <w:left w:w="60" w:type="dxa"/>
              <w:bottom w:w="0" w:type="dxa"/>
              <w:right w:w="60" w:type="dxa"/>
            </w:tcMar>
            <w:vAlign w:val="bottom"/>
          </w:tcPr>
          <w:p>
            <w:pPr>
              <w:rPr>
                <w:rFonts w:ascii="Verdana" w:hAnsi="Verdana" w:cs="Verdana"/>
                <w:i/>
                <w:noProof/>
                <w:color w:val="000000"/>
                <w:sz w:val="18"/>
              </w:rPr>
            </w:pPr>
            <w:r>
              <w:rPr>
                <w:rFonts w:ascii="Verdana" w:hAnsi="Verdana"/>
                <w:i/>
                <w:noProof/>
                <w:color w:val="000000"/>
                <w:sz w:val="18"/>
              </w:rPr>
              <w:t>Article 142</w:t>
            </w:r>
          </w:p>
        </w:tc>
        <w:tc>
          <w:tcPr>
            <w:tcW w:w="1952" w:type="dxa"/>
            <w:tcBorders>
              <w:top w:val="nil"/>
              <w:left w:val="nil"/>
              <w:bottom w:val="nil"/>
              <w:right w:val="nil"/>
            </w:tcBorders>
            <w:tcMar>
              <w:top w:w="0" w:type="dxa"/>
              <w:left w:w="60" w:type="dxa"/>
              <w:bottom w:w="0" w:type="dxa"/>
              <w:right w:w="60" w:type="dxa"/>
            </w:tcMar>
            <w:vAlign w:val="bottom"/>
          </w:tcPr>
          <w:p>
            <w:pPr>
              <w:jc w:val="right"/>
              <w:rPr>
                <w:rFonts w:ascii="Verdana" w:hAnsi="Verdana" w:cs="Verdana"/>
                <w:i/>
                <w:noProof/>
                <w:color w:val="000000"/>
                <w:sz w:val="18"/>
              </w:rPr>
            </w:pPr>
            <w:r>
              <w:rPr>
                <w:rFonts w:ascii="Verdana" w:hAnsi="Verdana"/>
                <w:i/>
                <w:noProof/>
                <w:color w:val="000000"/>
                <w:sz w:val="18"/>
              </w:rPr>
              <w:t>18</w:t>
            </w:r>
          </w:p>
        </w:tc>
        <w:tc>
          <w:tcPr>
            <w:tcW w:w="1951" w:type="dxa"/>
            <w:tcBorders>
              <w:top w:val="nil"/>
              <w:left w:val="nil"/>
              <w:bottom w:val="nil"/>
              <w:right w:val="nil"/>
            </w:tcBorders>
            <w:tcMar>
              <w:top w:w="0" w:type="dxa"/>
              <w:left w:w="60" w:type="dxa"/>
              <w:bottom w:w="0" w:type="dxa"/>
              <w:right w:w="60" w:type="dxa"/>
            </w:tcMar>
            <w:vAlign w:val="bottom"/>
          </w:tcPr>
          <w:p>
            <w:pPr>
              <w:jc w:val="right"/>
              <w:rPr>
                <w:rFonts w:ascii="Verdana" w:hAnsi="Verdana" w:cs="Verdana"/>
                <w:i/>
                <w:noProof/>
                <w:color w:val="000000"/>
                <w:sz w:val="18"/>
              </w:rPr>
            </w:pPr>
            <w:r>
              <w:rPr>
                <w:rFonts w:ascii="Verdana" w:hAnsi="Verdana"/>
                <w:i/>
                <w:noProof/>
                <w:color w:val="000000"/>
                <w:sz w:val="18"/>
              </w:rPr>
              <w:t>326</w:t>
            </w:r>
          </w:p>
        </w:tc>
        <w:tc>
          <w:tcPr>
            <w:tcW w:w="1952" w:type="dxa"/>
            <w:tcBorders>
              <w:top w:val="nil"/>
              <w:left w:val="nil"/>
              <w:bottom w:val="nil"/>
              <w:right w:val="nil"/>
            </w:tcBorders>
            <w:tcMar>
              <w:top w:w="0" w:type="dxa"/>
              <w:left w:w="60" w:type="dxa"/>
              <w:bottom w:w="0" w:type="dxa"/>
              <w:right w:w="60" w:type="dxa"/>
            </w:tcMar>
            <w:vAlign w:val="bottom"/>
          </w:tcPr>
          <w:p>
            <w:pPr>
              <w:jc w:val="right"/>
              <w:rPr>
                <w:rFonts w:ascii="Verdana" w:hAnsi="Verdana" w:cs="Verdana"/>
                <w:i/>
                <w:noProof/>
                <w:color w:val="000000"/>
                <w:sz w:val="18"/>
              </w:rPr>
            </w:pPr>
            <w:r>
              <w:rPr>
                <w:rFonts w:ascii="Verdana" w:hAnsi="Verdana"/>
                <w:i/>
                <w:noProof/>
                <w:color w:val="000000"/>
                <w:sz w:val="18"/>
              </w:rPr>
              <w:t>11</w:t>
            </w:r>
          </w:p>
        </w:tc>
        <w:tc>
          <w:tcPr>
            <w:tcW w:w="1952" w:type="dxa"/>
            <w:tcBorders>
              <w:top w:val="nil"/>
              <w:left w:val="nil"/>
              <w:bottom w:val="nil"/>
              <w:right w:val="nil"/>
            </w:tcBorders>
            <w:tcMar>
              <w:top w:w="0" w:type="dxa"/>
              <w:left w:w="60" w:type="dxa"/>
              <w:bottom w:w="0" w:type="dxa"/>
              <w:right w:w="60" w:type="dxa"/>
            </w:tcMar>
            <w:vAlign w:val="bottom"/>
          </w:tcPr>
          <w:p>
            <w:pPr>
              <w:jc w:val="right"/>
              <w:rPr>
                <w:rFonts w:ascii="Verdana" w:hAnsi="Verdana" w:cs="Verdana"/>
                <w:i/>
                <w:noProof/>
                <w:color w:val="000000"/>
                <w:sz w:val="18"/>
              </w:rPr>
            </w:pPr>
            <w:r>
              <w:rPr>
                <w:rFonts w:ascii="Verdana" w:hAnsi="Verdana"/>
                <w:i/>
                <w:noProof/>
                <w:color w:val="000000"/>
                <w:sz w:val="18"/>
              </w:rPr>
              <w:t>355</w:t>
            </w:r>
          </w:p>
        </w:tc>
      </w:tr>
      <w:tr>
        <w:trPr>
          <w:trHeight w:val="255"/>
        </w:trPr>
        <w:tc>
          <w:tcPr>
            <w:tcW w:w="1951" w:type="dxa"/>
            <w:tcBorders>
              <w:top w:val="nil"/>
              <w:left w:val="nil"/>
              <w:bottom w:val="nil"/>
              <w:right w:val="nil"/>
            </w:tcBorders>
            <w:tcMar>
              <w:top w:w="0" w:type="dxa"/>
              <w:left w:w="60" w:type="dxa"/>
              <w:bottom w:w="0" w:type="dxa"/>
              <w:right w:w="60" w:type="dxa"/>
            </w:tcMar>
            <w:vAlign w:val="bottom"/>
          </w:tcPr>
          <w:p>
            <w:pPr>
              <w:rPr>
                <w:rFonts w:ascii="Verdana" w:hAnsi="Verdana" w:cs="Verdana"/>
                <w:i/>
                <w:noProof/>
                <w:color w:val="000000"/>
                <w:sz w:val="18"/>
              </w:rPr>
            </w:pPr>
            <w:r>
              <w:rPr>
                <w:rFonts w:ascii="Verdana" w:hAnsi="Verdana"/>
                <w:i/>
                <w:noProof/>
                <w:color w:val="000000"/>
                <w:sz w:val="18"/>
              </w:rPr>
              <w:t>Article 143</w:t>
            </w:r>
          </w:p>
        </w:tc>
        <w:tc>
          <w:tcPr>
            <w:tcW w:w="1952" w:type="dxa"/>
            <w:tcBorders>
              <w:top w:val="nil"/>
              <w:left w:val="nil"/>
              <w:bottom w:val="nil"/>
              <w:right w:val="nil"/>
            </w:tcBorders>
            <w:tcMar>
              <w:top w:w="0" w:type="dxa"/>
              <w:left w:w="60" w:type="dxa"/>
              <w:bottom w:w="0" w:type="dxa"/>
              <w:right w:w="60" w:type="dxa"/>
            </w:tcMar>
            <w:vAlign w:val="bottom"/>
          </w:tcPr>
          <w:p>
            <w:pPr>
              <w:jc w:val="right"/>
              <w:rPr>
                <w:rFonts w:ascii="Verdana" w:hAnsi="Verdana" w:cs="Verdana"/>
                <w:i/>
                <w:noProof/>
                <w:color w:val="000000"/>
                <w:sz w:val="18"/>
              </w:rPr>
            </w:pPr>
          </w:p>
        </w:tc>
        <w:tc>
          <w:tcPr>
            <w:tcW w:w="1951" w:type="dxa"/>
            <w:tcBorders>
              <w:top w:val="nil"/>
              <w:left w:val="nil"/>
              <w:bottom w:val="nil"/>
              <w:right w:val="nil"/>
            </w:tcBorders>
            <w:tcMar>
              <w:top w:w="0" w:type="dxa"/>
              <w:left w:w="60" w:type="dxa"/>
              <w:bottom w:w="0" w:type="dxa"/>
              <w:right w:w="60" w:type="dxa"/>
            </w:tcMar>
            <w:vAlign w:val="bottom"/>
          </w:tcPr>
          <w:p>
            <w:pPr>
              <w:jc w:val="right"/>
              <w:rPr>
                <w:rFonts w:ascii="Verdana" w:hAnsi="Verdana" w:cs="Verdana"/>
                <w:i/>
                <w:noProof/>
                <w:color w:val="000000"/>
                <w:sz w:val="18"/>
              </w:rPr>
            </w:pPr>
            <w:r>
              <w:rPr>
                <w:rFonts w:ascii="Verdana" w:hAnsi="Verdana"/>
                <w:i/>
                <w:noProof/>
                <w:color w:val="000000"/>
                <w:sz w:val="18"/>
              </w:rPr>
              <w:t>(198)</w:t>
            </w:r>
          </w:p>
        </w:tc>
        <w:tc>
          <w:tcPr>
            <w:tcW w:w="1952" w:type="dxa"/>
            <w:tcBorders>
              <w:top w:val="nil"/>
              <w:left w:val="nil"/>
              <w:bottom w:val="nil"/>
              <w:right w:val="nil"/>
            </w:tcBorders>
            <w:tcMar>
              <w:top w:w="0" w:type="dxa"/>
              <w:left w:w="60" w:type="dxa"/>
              <w:bottom w:w="0" w:type="dxa"/>
              <w:right w:w="60" w:type="dxa"/>
            </w:tcMar>
            <w:vAlign w:val="bottom"/>
          </w:tcPr>
          <w:p>
            <w:pPr>
              <w:jc w:val="right"/>
              <w:rPr>
                <w:rFonts w:ascii="Verdana" w:hAnsi="Verdana" w:cs="Verdana"/>
                <w:i/>
                <w:noProof/>
                <w:color w:val="000000"/>
                <w:sz w:val="18"/>
              </w:rPr>
            </w:pPr>
          </w:p>
        </w:tc>
        <w:tc>
          <w:tcPr>
            <w:tcW w:w="1952" w:type="dxa"/>
            <w:tcBorders>
              <w:top w:val="nil"/>
              <w:left w:val="nil"/>
              <w:bottom w:val="nil"/>
              <w:right w:val="nil"/>
            </w:tcBorders>
            <w:tcMar>
              <w:top w:w="0" w:type="dxa"/>
              <w:left w:w="60" w:type="dxa"/>
              <w:bottom w:w="0" w:type="dxa"/>
              <w:right w:w="60" w:type="dxa"/>
            </w:tcMar>
            <w:vAlign w:val="bottom"/>
          </w:tcPr>
          <w:p>
            <w:pPr>
              <w:jc w:val="right"/>
              <w:rPr>
                <w:rFonts w:ascii="Verdana" w:hAnsi="Verdana" w:cs="Verdana"/>
                <w:i/>
                <w:noProof/>
                <w:color w:val="000000"/>
                <w:sz w:val="18"/>
              </w:rPr>
            </w:pPr>
            <w:r>
              <w:rPr>
                <w:rFonts w:ascii="Verdana" w:hAnsi="Verdana"/>
                <w:i/>
                <w:noProof/>
                <w:color w:val="000000"/>
                <w:sz w:val="18"/>
              </w:rPr>
              <w:t>(198)</w:t>
            </w:r>
          </w:p>
        </w:tc>
      </w:tr>
      <w:tr>
        <w:trPr>
          <w:trHeight w:val="255"/>
        </w:trPr>
        <w:tc>
          <w:tcPr>
            <w:tcW w:w="1951" w:type="dxa"/>
            <w:tcBorders>
              <w:top w:val="nil"/>
              <w:left w:val="nil"/>
              <w:bottom w:val="nil"/>
              <w:right w:val="nil"/>
            </w:tcBorders>
            <w:tcMar>
              <w:top w:w="0" w:type="dxa"/>
              <w:left w:w="60" w:type="dxa"/>
              <w:bottom w:w="0" w:type="dxa"/>
              <w:right w:w="60" w:type="dxa"/>
            </w:tcMar>
            <w:vAlign w:val="bottom"/>
          </w:tcPr>
          <w:p>
            <w:pPr>
              <w:rPr>
                <w:rFonts w:ascii="Verdana" w:hAnsi="Verdana" w:cs="Verdana"/>
                <w:i/>
                <w:noProof/>
                <w:color w:val="000000"/>
                <w:sz w:val="18"/>
              </w:rPr>
            </w:pPr>
            <w:r>
              <w:rPr>
                <w:rFonts w:ascii="Verdana" w:hAnsi="Verdana"/>
                <w:i/>
                <w:noProof/>
                <w:color w:val="000000"/>
                <w:sz w:val="18"/>
              </w:rPr>
              <w:t>Article 144</w:t>
            </w:r>
          </w:p>
        </w:tc>
        <w:tc>
          <w:tcPr>
            <w:tcW w:w="1952" w:type="dxa"/>
            <w:tcBorders>
              <w:top w:val="nil"/>
              <w:left w:val="nil"/>
              <w:bottom w:val="nil"/>
              <w:right w:val="nil"/>
            </w:tcBorders>
            <w:tcMar>
              <w:top w:w="0" w:type="dxa"/>
              <w:left w:w="60" w:type="dxa"/>
              <w:bottom w:w="0" w:type="dxa"/>
              <w:right w:w="60" w:type="dxa"/>
            </w:tcMar>
            <w:vAlign w:val="bottom"/>
          </w:tcPr>
          <w:p>
            <w:pPr>
              <w:jc w:val="right"/>
              <w:rPr>
                <w:rFonts w:ascii="Verdana" w:hAnsi="Verdana" w:cs="Verdana"/>
                <w:i/>
                <w:noProof/>
                <w:color w:val="000000"/>
                <w:sz w:val="18"/>
              </w:rPr>
            </w:pPr>
          </w:p>
        </w:tc>
        <w:tc>
          <w:tcPr>
            <w:tcW w:w="1951" w:type="dxa"/>
            <w:tcBorders>
              <w:top w:val="nil"/>
              <w:left w:val="nil"/>
              <w:bottom w:val="nil"/>
              <w:right w:val="nil"/>
            </w:tcBorders>
            <w:tcMar>
              <w:top w:w="0" w:type="dxa"/>
              <w:left w:w="60" w:type="dxa"/>
              <w:bottom w:w="0" w:type="dxa"/>
              <w:right w:w="60" w:type="dxa"/>
            </w:tcMar>
            <w:vAlign w:val="bottom"/>
          </w:tcPr>
          <w:p>
            <w:pPr>
              <w:jc w:val="right"/>
              <w:rPr>
                <w:rFonts w:ascii="Verdana" w:hAnsi="Verdana" w:cs="Verdana"/>
                <w:i/>
                <w:noProof/>
                <w:color w:val="000000"/>
                <w:sz w:val="18"/>
              </w:rPr>
            </w:pPr>
            <w:r>
              <w:rPr>
                <w:rFonts w:ascii="Verdana" w:hAnsi="Verdana"/>
                <w:i/>
                <w:noProof/>
                <w:color w:val="000000"/>
                <w:sz w:val="18"/>
              </w:rPr>
              <w:t>(43)</w:t>
            </w:r>
          </w:p>
        </w:tc>
        <w:tc>
          <w:tcPr>
            <w:tcW w:w="1952" w:type="dxa"/>
            <w:tcBorders>
              <w:top w:val="nil"/>
              <w:left w:val="nil"/>
              <w:bottom w:val="nil"/>
              <w:right w:val="nil"/>
            </w:tcBorders>
            <w:tcMar>
              <w:top w:w="0" w:type="dxa"/>
              <w:left w:w="60" w:type="dxa"/>
              <w:bottom w:w="0" w:type="dxa"/>
              <w:right w:w="60" w:type="dxa"/>
            </w:tcMar>
            <w:vAlign w:val="bottom"/>
          </w:tcPr>
          <w:p>
            <w:pPr>
              <w:jc w:val="right"/>
              <w:rPr>
                <w:rFonts w:ascii="Verdana" w:hAnsi="Verdana" w:cs="Verdana"/>
                <w:i/>
                <w:noProof/>
                <w:color w:val="000000"/>
                <w:sz w:val="18"/>
              </w:rPr>
            </w:pPr>
          </w:p>
        </w:tc>
        <w:tc>
          <w:tcPr>
            <w:tcW w:w="1952" w:type="dxa"/>
            <w:tcBorders>
              <w:top w:val="nil"/>
              <w:left w:val="nil"/>
              <w:bottom w:val="nil"/>
              <w:right w:val="nil"/>
            </w:tcBorders>
            <w:tcMar>
              <w:top w:w="0" w:type="dxa"/>
              <w:left w:w="60" w:type="dxa"/>
              <w:bottom w:w="0" w:type="dxa"/>
              <w:right w:w="60" w:type="dxa"/>
            </w:tcMar>
            <w:vAlign w:val="bottom"/>
          </w:tcPr>
          <w:p>
            <w:pPr>
              <w:jc w:val="right"/>
              <w:rPr>
                <w:rFonts w:ascii="Verdana" w:hAnsi="Verdana" w:cs="Verdana"/>
                <w:i/>
                <w:noProof/>
                <w:color w:val="000000"/>
                <w:sz w:val="18"/>
              </w:rPr>
            </w:pPr>
            <w:r>
              <w:rPr>
                <w:rFonts w:ascii="Verdana" w:hAnsi="Verdana"/>
                <w:i/>
                <w:noProof/>
                <w:color w:val="000000"/>
                <w:sz w:val="18"/>
              </w:rPr>
              <w:t>(43)</w:t>
            </w:r>
          </w:p>
        </w:tc>
      </w:tr>
      <w:tr>
        <w:trPr>
          <w:trHeight w:val="255"/>
        </w:trPr>
        <w:tc>
          <w:tcPr>
            <w:tcW w:w="1951" w:type="dxa"/>
            <w:tcBorders>
              <w:top w:val="nil"/>
              <w:left w:val="nil"/>
              <w:bottom w:val="single" w:sz="8" w:space="0" w:color="016794"/>
              <w:right w:val="nil"/>
            </w:tcBorders>
            <w:tcMar>
              <w:top w:w="0" w:type="dxa"/>
              <w:left w:w="60" w:type="dxa"/>
              <w:bottom w:w="0" w:type="dxa"/>
              <w:right w:w="60" w:type="dxa"/>
            </w:tcMar>
            <w:vAlign w:val="bottom"/>
          </w:tcPr>
          <w:p>
            <w:pPr>
              <w:rPr>
                <w:rFonts w:ascii="Verdana" w:hAnsi="Verdana" w:cs="Verdana"/>
                <w:i/>
                <w:noProof/>
                <w:color w:val="000000"/>
                <w:sz w:val="18"/>
              </w:rPr>
            </w:pPr>
            <w:r>
              <w:rPr>
                <w:rFonts w:ascii="Verdana" w:hAnsi="Verdana"/>
                <w:i/>
                <w:noProof/>
                <w:color w:val="000000"/>
                <w:sz w:val="18"/>
              </w:rPr>
              <w:lastRenderedPageBreak/>
              <w:t>Article 147</w:t>
            </w:r>
          </w:p>
        </w:tc>
        <w:tc>
          <w:tcPr>
            <w:tcW w:w="1952" w:type="dxa"/>
            <w:tcBorders>
              <w:top w:val="nil"/>
              <w:left w:val="nil"/>
              <w:bottom w:val="single" w:sz="8" w:space="0" w:color="016794"/>
              <w:right w:val="nil"/>
            </w:tcBorders>
            <w:tcMar>
              <w:top w:w="0" w:type="dxa"/>
              <w:left w:w="60" w:type="dxa"/>
              <w:bottom w:w="0" w:type="dxa"/>
              <w:right w:w="60" w:type="dxa"/>
            </w:tcMar>
            <w:vAlign w:val="bottom"/>
          </w:tcPr>
          <w:p>
            <w:pPr>
              <w:jc w:val="right"/>
              <w:rPr>
                <w:rFonts w:ascii="Verdana" w:hAnsi="Verdana" w:cs="Verdana"/>
                <w:i/>
                <w:noProof/>
                <w:color w:val="000000"/>
                <w:sz w:val="18"/>
              </w:rPr>
            </w:pPr>
          </w:p>
        </w:tc>
        <w:tc>
          <w:tcPr>
            <w:tcW w:w="1951" w:type="dxa"/>
            <w:tcBorders>
              <w:top w:val="nil"/>
              <w:left w:val="nil"/>
              <w:bottom w:val="single" w:sz="8" w:space="0" w:color="016794"/>
              <w:right w:val="nil"/>
            </w:tcBorders>
            <w:tcMar>
              <w:top w:w="0" w:type="dxa"/>
              <w:left w:w="60" w:type="dxa"/>
              <w:bottom w:w="0" w:type="dxa"/>
              <w:right w:w="60" w:type="dxa"/>
            </w:tcMar>
            <w:vAlign w:val="bottom"/>
          </w:tcPr>
          <w:p>
            <w:pPr>
              <w:jc w:val="right"/>
              <w:rPr>
                <w:rFonts w:ascii="Verdana" w:hAnsi="Verdana" w:cs="Verdana"/>
                <w:i/>
                <w:noProof/>
                <w:color w:val="000000"/>
                <w:sz w:val="18"/>
              </w:rPr>
            </w:pPr>
            <w:r>
              <w:rPr>
                <w:rFonts w:ascii="Verdana" w:hAnsi="Verdana"/>
                <w:i/>
                <w:noProof/>
                <w:color w:val="000000"/>
                <w:sz w:val="18"/>
              </w:rPr>
              <w:t>7</w:t>
            </w:r>
          </w:p>
        </w:tc>
        <w:tc>
          <w:tcPr>
            <w:tcW w:w="1952" w:type="dxa"/>
            <w:tcBorders>
              <w:top w:val="nil"/>
              <w:left w:val="nil"/>
              <w:bottom w:val="single" w:sz="8" w:space="0" w:color="016794"/>
              <w:right w:val="nil"/>
            </w:tcBorders>
            <w:tcMar>
              <w:top w:w="0" w:type="dxa"/>
              <w:left w:w="60" w:type="dxa"/>
              <w:bottom w:w="0" w:type="dxa"/>
              <w:right w:w="60" w:type="dxa"/>
            </w:tcMar>
            <w:vAlign w:val="bottom"/>
          </w:tcPr>
          <w:p>
            <w:pPr>
              <w:jc w:val="right"/>
              <w:rPr>
                <w:rFonts w:ascii="Verdana" w:hAnsi="Verdana" w:cs="Verdana"/>
                <w:i/>
                <w:noProof/>
                <w:color w:val="000000"/>
                <w:sz w:val="18"/>
              </w:rPr>
            </w:pPr>
          </w:p>
        </w:tc>
        <w:tc>
          <w:tcPr>
            <w:tcW w:w="1952" w:type="dxa"/>
            <w:tcBorders>
              <w:top w:val="nil"/>
              <w:left w:val="nil"/>
              <w:bottom w:val="single" w:sz="8" w:space="0" w:color="016794"/>
              <w:right w:val="nil"/>
            </w:tcBorders>
            <w:tcMar>
              <w:top w:w="0" w:type="dxa"/>
              <w:left w:w="60" w:type="dxa"/>
              <w:bottom w:w="0" w:type="dxa"/>
              <w:right w:w="60" w:type="dxa"/>
            </w:tcMar>
            <w:vAlign w:val="bottom"/>
          </w:tcPr>
          <w:p>
            <w:pPr>
              <w:jc w:val="right"/>
              <w:rPr>
                <w:rFonts w:ascii="Verdana" w:hAnsi="Verdana" w:cs="Verdana"/>
                <w:i/>
                <w:noProof/>
                <w:color w:val="000000"/>
                <w:sz w:val="18"/>
              </w:rPr>
            </w:pPr>
            <w:r>
              <w:rPr>
                <w:rFonts w:ascii="Verdana" w:hAnsi="Verdana"/>
                <w:i/>
                <w:noProof/>
                <w:color w:val="000000"/>
                <w:sz w:val="18"/>
              </w:rPr>
              <w:t>7</w:t>
            </w:r>
          </w:p>
        </w:tc>
      </w:tr>
      <w:tr>
        <w:trPr>
          <w:trHeight w:val="255"/>
        </w:trPr>
        <w:tc>
          <w:tcPr>
            <w:tcW w:w="1951" w:type="dxa"/>
            <w:tcBorders>
              <w:top w:val="single" w:sz="8" w:space="0" w:color="016794"/>
              <w:left w:val="nil"/>
              <w:bottom w:val="single" w:sz="8" w:space="0" w:color="016794"/>
              <w:right w:val="nil"/>
            </w:tcBorders>
            <w:tcMar>
              <w:top w:w="0" w:type="dxa"/>
              <w:left w:w="60" w:type="dxa"/>
              <w:bottom w:w="0" w:type="dxa"/>
              <w:right w:w="60" w:type="dxa"/>
            </w:tcMar>
            <w:vAlign w:val="center"/>
          </w:tcPr>
          <w:p>
            <w:pPr>
              <w:rPr>
                <w:rFonts w:ascii="Verdana" w:hAnsi="Verdana" w:cs="Verdana"/>
                <w:b/>
                <w:noProof/>
                <w:color w:val="000000"/>
                <w:sz w:val="18"/>
              </w:rPr>
            </w:pPr>
            <w:r>
              <w:rPr>
                <w:rFonts w:ascii="Verdana" w:hAnsi="Verdana"/>
                <w:b/>
                <w:noProof/>
                <w:color w:val="000000"/>
                <w:sz w:val="18"/>
              </w:rPr>
              <w:t>Total</w:t>
            </w:r>
          </w:p>
        </w:tc>
        <w:tc>
          <w:tcPr>
            <w:tcW w:w="1952" w:type="dxa"/>
            <w:tcBorders>
              <w:top w:val="single" w:sz="8" w:space="0" w:color="016794"/>
              <w:left w:val="nil"/>
              <w:bottom w:val="single" w:sz="8" w:space="0" w:color="016794"/>
              <w:right w:val="nil"/>
            </w:tcBorders>
            <w:tcMar>
              <w:top w:w="0" w:type="dxa"/>
              <w:left w:w="60" w:type="dxa"/>
              <w:bottom w:w="0" w:type="dxa"/>
              <w:right w:w="60" w:type="dxa"/>
            </w:tcMar>
            <w:vAlign w:val="bottom"/>
          </w:tcPr>
          <w:p>
            <w:pPr>
              <w:jc w:val="right"/>
              <w:rPr>
                <w:rFonts w:ascii="Verdana" w:hAnsi="Verdana" w:cs="Verdana"/>
                <w:b/>
                <w:noProof/>
                <w:color w:val="000000"/>
                <w:sz w:val="18"/>
              </w:rPr>
            </w:pPr>
            <w:r>
              <w:rPr>
                <w:rFonts w:ascii="Verdana" w:hAnsi="Verdana"/>
                <w:b/>
                <w:noProof/>
                <w:color w:val="000000"/>
                <w:sz w:val="18"/>
              </w:rPr>
              <w:t>338</w:t>
            </w:r>
          </w:p>
        </w:tc>
        <w:tc>
          <w:tcPr>
            <w:tcW w:w="1951" w:type="dxa"/>
            <w:tcBorders>
              <w:top w:val="single" w:sz="8" w:space="0" w:color="016794"/>
              <w:left w:val="nil"/>
              <w:bottom w:val="single" w:sz="8" w:space="0" w:color="016794"/>
              <w:right w:val="nil"/>
            </w:tcBorders>
            <w:tcMar>
              <w:top w:w="0" w:type="dxa"/>
              <w:left w:w="60" w:type="dxa"/>
              <w:bottom w:w="0" w:type="dxa"/>
              <w:right w:w="60" w:type="dxa"/>
            </w:tcMar>
            <w:vAlign w:val="bottom"/>
          </w:tcPr>
          <w:p>
            <w:pPr>
              <w:jc w:val="right"/>
              <w:rPr>
                <w:rFonts w:ascii="Verdana" w:hAnsi="Verdana" w:cs="Verdana"/>
                <w:b/>
                <w:noProof/>
                <w:color w:val="000000"/>
                <w:sz w:val="18"/>
              </w:rPr>
            </w:pPr>
            <w:r>
              <w:rPr>
                <w:rFonts w:ascii="Verdana" w:hAnsi="Verdana"/>
                <w:b/>
                <w:noProof/>
                <w:color w:val="000000"/>
                <w:sz w:val="18"/>
              </w:rPr>
              <w:t>78</w:t>
            </w:r>
          </w:p>
        </w:tc>
        <w:tc>
          <w:tcPr>
            <w:tcW w:w="1952" w:type="dxa"/>
            <w:tcBorders>
              <w:top w:val="single" w:sz="8" w:space="0" w:color="016794"/>
              <w:left w:val="nil"/>
              <w:bottom w:val="single" w:sz="8" w:space="0" w:color="016794"/>
              <w:right w:val="nil"/>
            </w:tcBorders>
            <w:tcMar>
              <w:top w:w="0" w:type="dxa"/>
              <w:left w:w="60" w:type="dxa"/>
              <w:bottom w:w="0" w:type="dxa"/>
              <w:right w:w="60" w:type="dxa"/>
            </w:tcMar>
            <w:vAlign w:val="bottom"/>
          </w:tcPr>
          <w:p>
            <w:pPr>
              <w:jc w:val="right"/>
              <w:rPr>
                <w:rFonts w:ascii="Verdana" w:hAnsi="Verdana" w:cs="Verdana"/>
                <w:b/>
                <w:noProof/>
                <w:color w:val="000000"/>
                <w:sz w:val="18"/>
              </w:rPr>
            </w:pPr>
            <w:r>
              <w:rPr>
                <w:rFonts w:ascii="Verdana" w:hAnsi="Verdana"/>
                <w:b/>
                <w:noProof/>
                <w:color w:val="000000"/>
                <w:sz w:val="18"/>
              </w:rPr>
              <w:t>89</w:t>
            </w:r>
          </w:p>
        </w:tc>
        <w:tc>
          <w:tcPr>
            <w:tcW w:w="1952" w:type="dxa"/>
            <w:tcBorders>
              <w:top w:val="single" w:sz="8" w:space="0" w:color="016794"/>
              <w:left w:val="nil"/>
              <w:bottom w:val="single" w:sz="8" w:space="0" w:color="016794"/>
              <w:right w:val="nil"/>
            </w:tcBorders>
            <w:tcMar>
              <w:top w:w="0" w:type="dxa"/>
              <w:left w:w="60" w:type="dxa"/>
              <w:bottom w:w="0" w:type="dxa"/>
              <w:right w:w="60" w:type="dxa"/>
            </w:tcMar>
            <w:vAlign w:val="bottom"/>
          </w:tcPr>
          <w:p>
            <w:pPr>
              <w:jc w:val="right"/>
              <w:rPr>
                <w:rFonts w:ascii="Verdana" w:hAnsi="Verdana" w:cs="Verdana"/>
                <w:b/>
                <w:bCs/>
                <w:iCs/>
                <w:noProof/>
                <w:color w:val="000000"/>
                <w:sz w:val="18"/>
              </w:rPr>
            </w:pPr>
            <w:r>
              <w:rPr>
                <w:rFonts w:ascii="Verdana" w:hAnsi="Verdana"/>
                <w:b/>
                <w:noProof/>
                <w:color w:val="000000"/>
                <w:sz w:val="18"/>
              </w:rPr>
              <w:t>505</w:t>
            </w:r>
          </w:p>
        </w:tc>
      </w:tr>
    </w:tbl>
    <w:p>
      <w:pPr>
        <w:pStyle w:val="Textstand-alone"/>
        <w:rPr>
          <w:color w:val="016794"/>
        </w:rPr>
      </w:pPr>
      <w:r>
        <w:rPr>
          <w:color w:val="016794"/>
        </w:rPr>
        <w:t>Part du Royaume-Uni (article 139)</w:t>
      </w:r>
    </w:p>
    <w:p>
      <w:pPr>
        <w:pStyle w:val="DGTextstand-alone"/>
      </w:pPr>
      <w:r>
        <w:t>Conformément à l’article 139, la part du Royaume-Uni dans les obligations financières découlant de l’accord de retrait est un pourcentage obtenu en divisant les ressources propres mises à disposition par le Royaume-Uni pour les années 2014 à 2020 par les ressources propres mises à disposition pendant cette période par tous les États membres et le Royaume-Uni telles qu’ajustées du montant communiqué aux États membres avant le 1</w:t>
      </w:r>
      <w:r>
        <w:rPr>
          <w:vertAlign w:val="superscript"/>
        </w:rPr>
        <w:t>er</w:t>
      </w:r>
      <w:r>
        <w:t> février 2022. La part finale du Royaume-Uni a été estimée à 12,431681219587700 %.</w:t>
      </w:r>
    </w:p>
    <w:p>
      <w:pPr>
        <w:pStyle w:val="Textstand-alone"/>
        <w:rPr>
          <w:color w:val="016794"/>
        </w:rPr>
      </w:pPr>
      <w:r>
        <w:rPr>
          <w:color w:val="016794"/>
        </w:rPr>
        <w:t>Paiements au titre de l’accord de retrait</w:t>
      </w:r>
    </w:p>
    <w:p>
      <w:pPr>
        <w:pStyle w:val="DGTextstand-alone"/>
      </w:pPr>
      <w:r>
        <w:t>Le mécanisme de paiement à appliquer aux obligations prévues entre les deux parties est défini à l’article 148. En résumé, l’UE facture les montants nets dus par le Royaume-Uni en avril et en septembre de chaque année, et le Royaume-Uni les acquitte sur une base mensuelle. Le paiement des montants déclarés en avril d’une année donnée doit être effectué en quatre versements mensuels égaux de juin à septembre de l’année en question. Le paiement des montants déclarés en septembre doit être effectué en huit versements mensuels égaux d’octobre de ladite année au mois de mai de l’année suivante. Étant donné que certains montants déclarés reposent nécessairement sur des prévisions et des estimations, la déclaration est mise à jour chaque année sur la base des chiffres réels.</w:t>
      </w:r>
    </w:p>
    <w:p>
      <w:pPr>
        <w:pStyle w:val="Textstand-alone"/>
      </w:pPr>
      <w:r>
        <w:t>En 2025, le montant net déclaré au Royaume-Uni au titre de l’article 136 et des articles 140 à 147 s’élevait à 754 millions d’EUR (contre 377 millions d’EUR en 2024), dont 213 millions d’EUR ont été déclarés en avril 2025 et 541 millions d’EUR en septembre 2025 [contre, respectivement, 1,414 milliard d’EUR (à payer au Royaume-Uni) et 1,791 milliard d’EUR (à payer par le Royaume-Uni) en 2024].</w:t>
      </w:r>
    </w:p>
    <w:p>
      <w:pPr>
        <w:pStyle w:val="Textstand-alone"/>
      </w:pPr>
      <w:r>
        <w:t>Le total des paiements reçus en 2025 se chiffrait à 1,535 milliard d’EUR (contre 2,391 milliards d’EUR en 2024). Sur ce montant, 1,120 milliard d’EUR étaient liés au reste du rapport de septembre 2024 et ont été versés par le Royaume-Uni en cinq tranches égales au cours de la période allant de janvier à mai 2025 (contre 3,133 milliards d’EUR en 2024), 213 millions d’EUR concernaient le rapport d’avril 2025 et ont été versés par le Royaume-Uni en quatre tranches mensuelles égales au cours de la période allant de juin à septembre 2025 (contre 1,414 milliard d’EUR versés au Royaume-Uni en 2024), tandis que 203 millions d’EUR concernaient le rapport de septembre 2025 et ont été versés par le Royaume-Uni en trois tranches égales au cours de la période allant d’octobre à décembre 2025 (contre 672 millions d’EUR en 2024).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1952"/>
        <w:gridCol w:w="1951"/>
        <w:gridCol w:w="1952"/>
        <w:gridCol w:w="1952"/>
      </w:tblGrid>
      <w:tr>
        <w:trPr>
          <w:trHeight w:hRule="exact" w:val="255"/>
        </w:trPr>
        <w:tc>
          <w:tcPr>
            <w:tcW w:w="1951" w:type="dxa"/>
            <w:tcBorders>
              <w:top w:val="nil"/>
              <w:left w:val="nil"/>
              <w:bottom w:val="single" w:sz="12" w:space="0" w:color="016794"/>
              <w:right w:val="nil"/>
              <w:tl2br w:val="nil"/>
              <w:tr2bl w:val="nil"/>
            </w:tcBorders>
            <w:tcMar>
              <w:left w:w="60" w:type="dxa"/>
              <w:right w:w="60" w:type="dxa"/>
            </w:tcMar>
            <w:vAlign w:val="bottom"/>
          </w:tcPr>
          <w:p>
            <w:pPr>
              <w:pStyle w:val="DMETW36745BIPPAYWA"/>
              <w:rPr>
                <w:rFonts w:ascii="Arial" w:eastAsia="Arial" w:hAnsi="Arial" w:cs="Arial"/>
                <w:noProof/>
                <w:color w:val="000000"/>
              </w:rPr>
            </w:pPr>
            <w:bookmarkStart w:id="127" w:name="DOC_TBL00034_1_1"/>
            <w:bookmarkEnd w:id="127"/>
          </w:p>
        </w:tc>
        <w:tc>
          <w:tcPr>
            <w:tcW w:w="1952" w:type="dxa"/>
            <w:tcBorders>
              <w:top w:val="nil"/>
              <w:left w:val="nil"/>
              <w:bottom w:val="single" w:sz="12" w:space="0" w:color="016794"/>
              <w:right w:val="nil"/>
              <w:tl2br w:val="nil"/>
              <w:tr2bl w:val="nil"/>
            </w:tcBorders>
            <w:tcMar>
              <w:left w:w="60" w:type="dxa"/>
              <w:right w:w="60" w:type="dxa"/>
            </w:tcMar>
            <w:vAlign w:val="bottom"/>
          </w:tcPr>
          <w:p>
            <w:pPr>
              <w:pStyle w:val="DMETW36745BIPPAYWA"/>
              <w:rPr>
                <w:rFonts w:ascii="Arial" w:eastAsia="Arial" w:hAnsi="Arial" w:cs="Arial"/>
                <w:noProof/>
                <w:color w:val="000000"/>
              </w:rPr>
            </w:pPr>
          </w:p>
        </w:tc>
        <w:tc>
          <w:tcPr>
            <w:tcW w:w="1951" w:type="dxa"/>
            <w:tcBorders>
              <w:top w:val="nil"/>
              <w:left w:val="nil"/>
              <w:bottom w:val="single" w:sz="12" w:space="0" w:color="016794"/>
              <w:right w:val="nil"/>
              <w:tl2br w:val="nil"/>
              <w:tr2bl w:val="nil"/>
            </w:tcBorders>
            <w:tcMar>
              <w:left w:w="60" w:type="dxa"/>
              <w:right w:w="60" w:type="dxa"/>
            </w:tcMar>
            <w:vAlign w:val="bottom"/>
          </w:tcPr>
          <w:p>
            <w:pPr>
              <w:pStyle w:val="DMETW36745BIPPAYWA"/>
              <w:jc w:val="right"/>
              <w:rPr>
                <w:rFonts w:ascii="Verdana" w:eastAsia="Verdana" w:hAnsi="Verdana" w:cs="Verdana"/>
                <w:b/>
                <w:noProof/>
                <w:color w:val="000000"/>
                <w:sz w:val="18"/>
              </w:rPr>
            </w:pPr>
          </w:p>
        </w:tc>
        <w:tc>
          <w:tcPr>
            <w:tcW w:w="1952" w:type="dxa"/>
            <w:tcBorders>
              <w:top w:val="nil"/>
              <w:left w:val="nil"/>
              <w:bottom w:val="single" w:sz="12" w:space="0" w:color="016794"/>
              <w:right w:val="nil"/>
              <w:tl2br w:val="nil"/>
              <w:tr2bl w:val="nil"/>
            </w:tcBorders>
            <w:tcMar>
              <w:left w:w="60" w:type="dxa"/>
              <w:right w:w="60" w:type="dxa"/>
            </w:tcMar>
            <w:vAlign w:val="bottom"/>
          </w:tcPr>
          <w:p>
            <w:pPr>
              <w:pStyle w:val="DMETW36745BIPPAYWA"/>
              <w:rPr>
                <w:rFonts w:cs="Calibri"/>
                <w:noProof/>
                <w:color w:val="000000"/>
                <w:sz w:val="22"/>
              </w:rPr>
            </w:pPr>
          </w:p>
        </w:tc>
        <w:tc>
          <w:tcPr>
            <w:tcW w:w="1952" w:type="dxa"/>
            <w:tcBorders>
              <w:top w:val="nil"/>
              <w:left w:val="nil"/>
              <w:bottom w:val="single" w:sz="12" w:space="0" w:color="016794"/>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6"/>
              </w:rPr>
            </w:pPr>
            <w:r>
              <w:rPr>
                <w:rFonts w:ascii="Verdana" w:hAnsi="Verdana"/>
                <w:i/>
                <w:noProof/>
                <w:color w:val="000000"/>
                <w:sz w:val="16"/>
              </w:rPr>
              <w:t>en Mio EUR</w:t>
            </w:r>
          </w:p>
        </w:tc>
      </w:tr>
      <w:tr>
        <w:trPr>
          <w:trHeight w:hRule="exact" w:val="1531"/>
        </w:trPr>
        <w:tc>
          <w:tcPr>
            <w:tcW w:w="1951" w:type="dxa"/>
            <w:tcBorders>
              <w:top w:val="single" w:sz="12" w:space="0" w:color="016794"/>
              <w:left w:val="nil"/>
              <w:bottom w:val="nil"/>
              <w:right w:val="nil"/>
              <w:tl2br w:val="nil"/>
              <w:tr2bl w:val="nil"/>
            </w:tcBorders>
            <w:shd w:val="solid" w:color="016794" w:fill="FFFFFF"/>
            <w:tcMar>
              <w:left w:w="60" w:type="dxa"/>
              <w:right w:w="60" w:type="dxa"/>
            </w:tcMar>
            <w:vAlign w:val="center"/>
          </w:tcPr>
          <w:p>
            <w:pPr>
              <w:pStyle w:val="DMETW36745BIPPAYWA"/>
              <w:jc w:val="right"/>
              <w:rPr>
                <w:rFonts w:ascii="Verdana" w:eastAsia="Verdana" w:hAnsi="Verdana" w:cs="Verdana"/>
                <w:noProof/>
                <w:color w:val="FFFFFF"/>
                <w:sz w:val="18"/>
              </w:rPr>
            </w:pPr>
          </w:p>
        </w:tc>
        <w:tc>
          <w:tcPr>
            <w:tcW w:w="1952" w:type="dxa"/>
            <w:tcBorders>
              <w:top w:val="single" w:sz="12" w:space="0" w:color="016794"/>
              <w:left w:val="nil"/>
              <w:bottom w:val="nil"/>
              <w:right w:val="nil"/>
              <w:tl2br w:val="nil"/>
              <w:tr2bl w:val="nil"/>
            </w:tcBorders>
            <w:shd w:val="solid" w:color="016794" w:fill="FFFFFF"/>
            <w:tcMar>
              <w:left w:w="60" w:type="dxa"/>
              <w:right w:w="60" w:type="dxa"/>
            </w:tcMar>
            <w:vAlign w:val="bottom"/>
          </w:tcPr>
          <w:p>
            <w:pPr>
              <w:pStyle w:val="DMETW36745BIPPAYWA"/>
              <w:jc w:val="right"/>
              <w:rPr>
                <w:rFonts w:ascii="Verdana" w:eastAsia="Verdana" w:hAnsi="Verdana" w:cs="Verdana"/>
                <w:noProof/>
                <w:color w:val="FFFFFF"/>
                <w:sz w:val="18"/>
              </w:rPr>
            </w:pPr>
            <w:r>
              <w:rPr>
                <w:rFonts w:ascii="Verdana" w:hAnsi="Verdana"/>
                <w:noProof/>
                <w:color w:val="FFFFFF"/>
                <w:sz w:val="18"/>
              </w:rPr>
              <w:t>Reste du</w:t>
            </w:r>
          </w:p>
          <w:p>
            <w:pPr>
              <w:pStyle w:val="DMETW36745BIPPAYWA"/>
              <w:jc w:val="right"/>
              <w:rPr>
                <w:rFonts w:ascii="Verdana" w:eastAsia="Verdana" w:hAnsi="Verdana" w:cs="Verdana"/>
                <w:noProof/>
                <w:color w:val="FFFFFF"/>
                <w:sz w:val="18"/>
              </w:rPr>
            </w:pPr>
            <w:r>
              <w:rPr>
                <w:rFonts w:ascii="Verdana" w:hAnsi="Verdana"/>
                <w:noProof/>
                <w:color w:val="FFFFFF"/>
                <w:sz w:val="18"/>
              </w:rPr>
              <w:t xml:space="preserve">Rapport </w:t>
            </w:r>
          </w:p>
          <w:p>
            <w:pPr>
              <w:pStyle w:val="DMETW36745BIPPAYWA"/>
              <w:jc w:val="right"/>
              <w:rPr>
                <w:rFonts w:ascii="Verdana" w:eastAsia="Verdana" w:hAnsi="Verdana" w:cs="Verdana"/>
                <w:noProof/>
                <w:color w:val="FFFFFF"/>
                <w:sz w:val="18"/>
              </w:rPr>
            </w:pPr>
            <w:r>
              <w:rPr>
                <w:rFonts w:ascii="Verdana" w:hAnsi="Verdana"/>
                <w:noProof/>
                <w:color w:val="FFFFFF"/>
                <w:sz w:val="18"/>
              </w:rPr>
              <w:t>de septembre 2024:</w:t>
            </w:r>
          </w:p>
          <w:p>
            <w:pPr>
              <w:pStyle w:val="DMETW36745BIPPAYWA"/>
              <w:jc w:val="right"/>
              <w:rPr>
                <w:rFonts w:ascii="Verdana" w:eastAsia="Verdana" w:hAnsi="Verdana" w:cs="Verdana"/>
                <w:noProof/>
                <w:color w:val="FFFFFF"/>
                <w:sz w:val="18"/>
              </w:rPr>
            </w:pPr>
          </w:p>
          <w:p>
            <w:pPr>
              <w:pStyle w:val="DMETW36745BIPPAYWA"/>
              <w:jc w:val="right"/>
              <w:rPr>
                <w:rFonts w:ascii="Verdana" w:eastAsia="Verdana" w:hAnsi="Verdana" w:cs="Verdana"/>
                <w:noProof/>
                <w:color w:val="FFFFFF"/>
                <w:sz w:val="18"/>
              </w:rPr>
            </w:pPr>
            <w:r>
              <w:rPr>
                <w:rFonts w:ascii="Verdana" w:hAnsi="Verdana"/>
                <w:noProof/>
                <w:color w:val="FFFFFF"/>
                <w:sz w:val="18"/>
              </w:rPr>
              <w:t>(montant dû et payé de janvier à mai 2025)</w:t>
            </w:r>
          </w:p>
        </w:tc>
        <w:tc>
          <w:tcPr>
            <w:tcW w:w="1951" w:type="dxa"/>
            <w:tcBorders>
              <w:top w:val="single" w:sz="12" w:space="0" w:color="016794"/>
              <w:left w:val="nil"/>
              <w:bottom w:val="nil"/>
              <w:right w:val="nil"/>
              <w:tl2br w:val="nil"/>
              <w:tr2bl w:val="nil"/>
            </w:tcBorders>
            <w:shd w:val="solid" w:color="016794" w:fill="FFFFFF"/>
            <w:tcMar>
              <w:left w:w="60" w:type="dxa"/>
              <w:right w:w="60" w:type="dxa"/>
            </w:tcMar>
            <w:vAlign w:val="bottom"/>
          </w:tcPr>
          <w:p>
            <w:pPr>
              <w:pStyle w:val="DMETW36745BIPPAYWA"/>
              <w:jc w:val="right"/>
              <w:rPr>
                <w:rFonts w:ascii="Verdana" w:eastAsia="Verdana" w:hAnsi="Verdana" w:cs="Verdana"/>
                <w:noProof/>
                <w:color w:val="FFFFFF"/>
                <w:sz w:val="18"/>
              </w:rPr>
            </w:pPr>
            <w:r>
              <w:rPr>
                <w:rFonts w:ascii="Verdana" w:hAnsi="Verdana"/>
                <w:noProof/>
                <w:color w:val="FFFFFF"/>
                <w:sz w:val="18"/>
              </w:rPr>
              <w:t>Rapport</w:t>
            </w:r>
          </w:p>
          <w:p>
            <w:pPr>
              <w:pStyle w:val="DMETW36745BIPPAYWA"/>
              <w:jc w:val="right"/>
              <w:rPr>
                <w:rFonts w:ascii="Verdana" w:eastAsia="Verdana" w:hAnsi="Verdana" w:cs="Verdana"/>
                <w:noProof/>
                <w:color w:val="FFFFFF"/>
                <w:sz w:val="18"/>
              </w:rPr>
            </w:pPr>
            <w:r>
              <w:rPr>
                <w:rFonts w:ascii="Verdana" w:hAnsi="Verdana"/>
                <w:noProof/>
                <w:color w:val="FFFFFF"/>
                <w:sz w:val="18"/>
              </w:rPr>
              <w:t>d’avril 2025:</w:t>
            </w:r>
          </w:p>
          <w:p>
            <w:pPr>
              <w:pStyle w:val="DMETW36745BIPPAYWA"/>
              <w:jc w:val="right"/>
              <w:rPr>
                <w:rFonts w:ascii="Verdana" w:eastAsia="Verdana" w:hAnsi="Verdana" w:cs="Verdana"/>
                <w:noProof/>
                <w:color w:val="FFFFFF"/>
                <w:sz w:val="18"/>
              </w:rPr>
            </w:pPr>
          </w:p>
          <w:p>
            <w:pPr>
              <w:pStyle w:val="DMETW36745BIPPAYWA"/>
              <w:jc w:val="right"/>
              <w:rPr>
                <w:rFonts w:ascii="Verdana" w:eastAsia="Verdana" w:hAnsi="Verdana" w:cs="Verdana"/>
                <w:noProof/>
                <w:color w:val="FFFFFF"/>
                <w:sz w:val="18"/>
              </w:rPr>
            </w:pPr>
            <w:r>
              <w:rPr>
                <w:rFonts w:ascii="Verdana" w:hAnsi="Verdana"/>
                <w:noProof/>
                <w:color w:val="FFFFFF"/>
                <w:sz w:val="18"/>
              </w:rPr>
              <w:t>(montants dû et payé</w:t>
            </w:r>
          </w:p>
          <w:p>
            <w:pPr>
              <w:pStyle w:val="DMETW36745BIPPAYWA"/>
              <w:jc w:val="right"/>
              <w:rPr>
                <w:rFonts w:ascii="Verdana" w:eastAsia="Verdana" w:hAnsi="Verdana" w:cs="Verdana"/>
                <w:noProof/>
                <w:color w:val="FFFFFF"/>
                <w:sz w:val="18"/>
              </w:rPr>
            </w:pPr>
            <w:r>
              <w:rPr>
                <w:rFonts w:ascii="Verdana" w:hAnsi="Verdana"/>
                <w:noProof/>
                <w:color w:val="FFFFFF"/>
                <w:sz w:val="18"/>
              </w:rPr>
              <w:t>de juin à</w:t>
            </w:r>
          </w:p>
          <w:p>
            <w:pPr>
              <w:pStyle w:val="DMETW36745BIPPAYWA"/>
              <w:jc w:val="right"/>
              <w:rPr>
                <w:rFonts w:ascii="Verdana" w:eastAsia="Verdana" w:hAnsi="Verdana" w:cs="Verdana"/>
                <w:noProof/>
                <w:color w:val="FFFFFF"/>
                <w:sz w:val="18"/>
              </w:rPr>
            </w:pPr>
            <w:r>
              <w:rPr>
                <w:rFonts w:ascii="Verdana" w:hAnsi="Verdana"/>
                <w:noProof/>
                <w:color w:val="FFFFFF"/>
                <w:sz w:val="18"/>
              </w:rPr>
              <w:t>septembre 2025)</w:t>
            </w:r>
          </w:p>
        </w:tc>
        <w:tc>
          <w:tcPr>
            <w:tcW w:w="1952" w:type="dxa"/>
            <w:tcBorders>
              <w:top w:val="single" w:sz="12" w:space="0" w:color="016794"/>
              <w:left w:val="nil"/>
              <w:bottom w:val="nil"/>
              <w:right w:val="nil"/>
              <w:tl2br w:val="nil"/>
              <w:tr2bl w:val="nil"/>
            </w:tcBorders>
            <w:shd w:val="solid" w:color="016794" w:fill="FFFFFF"/>
            <w:tcMar>
              <w:left w:w="60" w:type="dxa"/>
              <w:right w:w="60" w:type="dxa"/>
            </w:tcMar>
            <w:vAlign w:val="bottom"/>
          </w:tcPr>
          <w:p>
            <w:pPr>
              <w:pStyle w:val="DMETW36745BIPPAYWA"/>
              <w:jc w:val="right"/>
              <w:rPr>
                <w:rFonts w:ascii="Verdana" w:eastAsia="Verdana" w:hAnsi="Verdana" w:cs="Verdana"/>
                <w:noProof/>
                <w:color w:val="FFFFFF"/>
                <w:sz w:val="18"/>
              </w:rPr>
            </w:pPr>
            <w:r>
              <w:rPr>
                <w:rFonts w:ascii="Verdana" w:hAnsi="Verdana"/>
                <w:noProof/>
                <w:color w:val="FFFFFF"/>
                <w:sz w:val="18"/>
              </w:rPr>
              <w:t>Rapport</w:t>
            </w:r>
          </w:p>
          <w:p>
            <w:pPr>
              <w:pStyle w:val="DMETW36745BIPPAYWA"/>
              <w:jc w:val="right"/>
              <w:rPr>
                <w:rFonts w:ascii="Verdana" w:eastAsia="Verdana" w:hAnsi="Verdana" w:cs="Verdana"/>
                <w:noProof/>
                <w:color w:val="FFFFFF"/>
                <w:sz w:val="18"/>
              </w:rPr>
            </w:pPr>
            <w:r>
              <w:rPr>
                <w:rFonts w:ascii="Verdana" w:hAnsi="Verdana"/>
                <w:noProof/>
                <w:color w:val="FFFFFF"/>
                <w:sz w:val="18"/>
              </w:rPr>
              <w:t>de septembre 2025:</w:t>
            </w:r>
          </w:p>
          <w:p>
            <w:pPr>
              <w:pStyle w:val="DMETW36745BIPPAYWA"/>
              <w:jc w:val="right"/>
              <w:rPr>
                <w:rFonts w:ascii="Verdana" w:eastAsia="Verdana" w:hAnsi="Verdana" w:cs="Verdana"/>
                <w:noProof/>
                <w:color w:val="FFFFFF"/>
                <w:sz w:val="18"/>
              </w:rPr>
            </w:pPr>
          </w:p>
          <w:p>
            <w:pPr>
              <w:pStyle w:val="DMETW36745BIPPAYWA"/>
              <w:jc w:val="right"/>
              <w:rPr>
                <w:rFonts w:ascii="Verdana" w:eastAsia="Verdana" w:hAnsi="Verdana" w:cs="Verdana"/>
                <w:noProof/>
                <w:color w:val="FFFFFF"/>
                <w:sz w:val="18"/>
              </w:rPr>
            </w:pPr>
            <w:r>
              <w:rPr>
                <w:rFonts w:ascii="Verdana" w:hAnsi="Verdana"/>
                <w:noProof/>
                <w:color w:val="FFFFFF"/>
                <w:sz w:val="18"/>
              </w:rPr>
              <w:t>(montants dû et payé</w:t>
            </w:r>
          </w:p>
          <w:p>
            <w:pPr>
              <w:pStyle w:val="DMETW36745BIPPAYWA"/>
              <w:jc w:val="right"/>
              <w:rPr>
                <w:rFonts w:ascii="Verdana" w:eastAsia="Verdana" w:hAnsi="Verdana" w:cs="Verdana"/>
                <w:noProof/>
                <w:color w:val="FFFFFF"/>
                <w:sz w:val="18"/>
              </w:rPr>
            </w:pPr>
            <w:r>
              <w:rPr>
                <w:rFonts w:ascii="Verdana" w:hAnsi="Verdana"/>
                <w:noProof/>
                <w:color w:val="FFFFFF"/>
                <w:sz w:val="18"/>
              </w:rPr>
              <w:t>d’octobre à</w:t>
            </w:r>
          </w:p>
          <w:p>
            <w:pPr>
              <w:pStyle w:val="DMETW36745BIPPAYWA"/>
              <w:jc w:val="right"/>
              <w:rPr>
                <w:rFonts w:ascii="Verdana" w:eastAsia="Verdana" w:hAnsi="Verdana" w:cs="Verdana"/>
                <w:noProof/>
                <w:color w:val="FFFFFF"/>
                <w:sz w:val="18"/>
              </w:rPr>
            </w:pPr>
            <w:r>
              <w:rPr>
                <w:rFonts w:ascii="Verdana" w:hAnsi="Verdana"/>
                <w:noProof/>
                <w:color w:val="FFFFFF"/>
                <w:sz w:val="18"/>
              </w:rPr>
              <w:t>décembre 2025)</w:t>
            </w:r>
          </w:p>
        </w:tc>
        <w:tc>
          <w:tcPr>
            <w:tcW w:w="1952" w:type="dxa"/>
            <w:tcBorders>
              <w:top w:val="single" w:sz="12" w:space="0" w:color="016794"/>
              <w:left w:val="nil"/>
              <w:bottom w:val="nil"/>
              <w:right w:val="nil"/>
              <w:tl2br w:val="nil"/>
              <w:tr2bl w:val="nil"/>
            </w:tcBorders>
            <w:shd w:val="solid" w:color="016794" w:fill="FFFFFF"/>
            <w:tcMar>
              <w:left w:w="60" w:type="dxa"/>
              <w:right w:w="60" w:type="dxa"/>
            </w:tcMar>
            <w:vAlign w:val="bottom"/>
          </w:tcPr>
          <w:p>
            <w:pPr>
              <w:pStyle w:val="DMETW36745BIPPAYWA"/>
              <w:jc w:val="right"/>
              <w:rPr>
                <w:rFonts w:ascii="Verdana" w:eastAsia="Verdana" w:hAnsi="Verdana" w:cs="Verdana"/>
                <w:noProof/>
                <w:color w:val="FFFFFF"/>
                <w:sz w:val="18"/>
              </w:rPr>
            </w:pPr>
            <w:r>
              <w:rPr>
                <w:rFonts w:ascii="Verdana" w:hAnsi="Verdana"/>
                <w:noProof/>
                <w:color w:val="FFFFFF"/>
                <w:sz w:val="18"/>
              </w:rPr>
              <w:t xml:space="preserve">Paiements </w:t>
            </w:r>
          </w:p>
          <w:p>
            <w:pPr>
              <w:pStyle w:val="DMETW36745BIPPAYWA"/>
              <w:jc w:val="right"/>
              <w:rPr>
                <w:rFonts w:ascii="Verdana" w:eastAsia="Verdana" w:hAnsi="Verdana" w:cs="Verdana"/>
                <w:noProof/>
                <w:color w:val="FFFFFF"/>
                <w:sz w:val="18"/>
              </w:rPr>
            </w:pPr>
            <w:r>
              <w:rPr>
                <w:rFonts w:ascii="Verdana" w:hAnsi="Verdana"/>
                <w:noProof/>
                <w:color w:val="FFFFFF"/>
                <w:sz w:val="18"/>
              </w:rPr>
              <w:t>totaux</w:t>
            </w:r>
          </w:p>
          <w:p>
            <w:pPr>
              <w:pStyle w:val="DMETW36745BIPPAYWA"/>
              <w:jc w:val="right"/>
              <w:rPr>
                <w:rFonts w:ascii="Verdana" w:eastAsia="Verdana" w:hAnsi="Verdana" w:cs="Verdana"/>
                <w:noProof/>
                <w:color w:val="FFFFFF"/>
                <w:sz w:val="18"/>
              </w:rPr>
            </w:pPr>
            <w:r>
              <w:rPr>
                <w:rFonts w:ascii="Verdana" w:hAnsi="Verdana"/>
                <w:noProof/>
                <w:color w:val="FFFFFF"/>
                <w:sz w:val="18"/>
              </w:rPr>
              <w:t>en 2025</w:t>
            </w:r>
          </w:p>
        </w:tc>
      </w:tr>
      <w:tr>
        <w:trPr>
          <w:trHeight w:hRule="exact" w:val="255"/>
        </w:trPr>
        <w:tc>
          <w:tcPr>
            <w:tcW w:w="1951" w:type="dxa"/>
            <w:tcBorders>
              <w:top w:val="nil"/>
              <w:left w:val="nil"/>
              <w:bottom w:val="nil"/>
              <w:right w:val="nil"/>
              <w:tl2br w:val="nil"/>
              <w:tr2bl w:val="nil"/>
            </w:tcBorders>
            <w:tcMar>
              <w:left w:w="60" w:type="dxa"/>
              <w:right w:w="60" w:type="dxa"/>
            </w:tcMar>
            <w:vAlign w:val="center"/>
          </w:tcPr>
          <w:p>
            <w:pPr>
              <w:pStyle w:val="DMETW36745BIPPAYWA"/>
              <w:rPr>
                <w:rFonts w:ascii="Verdana" w:eastAsia="Verdana" w:hAnsi="Verdana" w:cs="Verdana"/>
                <w:i/>
                <w:noProof/>
                <w:color w:val="000000"/>
                <w:sz w:val="18"/>
              </w:rPr>
            </w:pPr>
            <w:r>
              <w:rPr>
                <w:rFonts w:ascii="Verdana" w:hAnsi="Verdana"/>
                <w:i/>
                <w:noProof/>
                <w:color w:val="000000"/>
                <w:sz w:val="18"/>
              </w:rPr>
              <w:t>Article 140</w:t>
            </w:r>
          </w:p>
        </w:tc>
        <w:tc>
          <w:tcPr>
            <w:tcW w:w="1952" w:type="dxa"/>
            <w:tcBorders>
              <w:top w:val="nil"/>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1 119</w:t>
            </w:r>
          </w:p>
        </w:tc>
        <w:tc>
          <w:tcPr>
            <w:tcW w:w="1951" w:type="dxa"/>
            <w:tcBorders>
              <w:top w:val="nil"/>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599</w:t>
            </w:r>
          </w:p>
        </w:tc>
        <w:tc>
          <w:tcPr>
            <w:tcW w:w="1952" w:type="dxa"/>
            <w:tcBorders>
              <w:top w:val="nil"/>
              <w:left w:val="nil"/>
              <w:bottom w:val="nil"/>
              <w:right w:val="nil"/>
              <w:tl2br w:val="nil"/>
              <w:tr2bl w:val="nil"/>
            </w:tcBorders>
            <w:tcMar>
              <w:left w:w="60" w:type="dxa"/>
              <w:right w:w="60" w:type="dxa"/>
            </w:tcMar>
            <w:vAlign w:val="center"/>
          </w:tcPr>
          <w:p>
            <w:pPr>
              <w:pStyle w:val="DMETW36745BIPPAYWA"/>
              <w:jc w:val="right"/>
              <w:rPr>
                <w:rFonts w:ascii="Verdana" w:eastAsia="Verdana" w:hAnsi="Verdana" w:cs="Verdana"/>
                <w:i/>
                <w:noProof/>
                <w:color w:val="000000"/>
                <w:sz w:val="18"/>
              </w:rPr>
            </w:pPr>
            <w:r>
              <w:rPr>
                <w:rFonts w:ascii="Verdana" w:hAnsi="Verdana"/>
                <w:i/>
                <w:noProof/>
                <w:color w:val="000000"/>
                <w:sz w:val="18"/>
              </w:rPr>
              <w:t>244</w:t>
            </w:r>
          </w:p>
        </w:tc>
        <w:tc>
          <w:tcPr>
            <w:tcW w:w="1952" w:type="dxa"/>
            <w:tcBorders>
              <w:top w:val="nil"/>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1 963</w:t>
            </w:r>
          </w:p>
        </w:tc>
      </w:tr>
      <w:tr>
        <w:trPr>
          <w:trHeight w:hRule="exact" w:val="255"/>
        </w:trPr>
        <w:tc>
          <w:tcPr>
            <w:tcW w:w="1951" w:type="dxa"/>
            <w:tcBorders>
              <w:top w:val="nil"/>
              <w:left w:val="nil"/>
              <w:bottom w:val="nil"/>
              <w:right w:val="nil"/>
              <w:tl2br w:val="nil"/>
              <w:tr2bl w:val="nil"/>
            </w:tcBorders>
            <w:tcMar>
              <w:left w:w="60" w:type="dxa"/>
              <w:right w:w="60" w:type="dxa"/>
            </w:tcMar>
            <w:vAlign w:val="center"/>
          </w:tcPr>
          <w:p>
            <w:pPr>
              <w:pStyle w:val="DMETW36745BIPPAYWA"/>
              <w:rPr>
                <w:rFonts w:ascii="Verdana" w:eastAsia="Verdana" w:hAnsi="Verdana" w:cs="Verdana"/>
                <w:i/>
                <w:noProof/>
                <w:color w:val="000000"/>
                <w:sz w:val="18"/>
              </w:rPr>
            </w:pPr>
            <w:r>
              <w:rPr>
                <w:rFonts w:ascii="Verdana" w:hAnsi="Verdana"/>
                <w:i/>
                <w:noProof/>
                <w:color w:val="000000"/>
                <w:sz w:val="18"/>
              </w:rPr>
              <w:t>Article 142</w:t>
            </w:r>
          </w:p>
        </w:tc>
        <w:tc>
          <w:tcPr>
            <w:tcW w:w="1952" w:type="dxa"/>
            <w:tcBorders>
              <w:top w:val="nil"/>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 xml:space="preserve"> 18</w:t>
            </w:r>
          </w:p>
        </w:tc>
        <w:tc>
          <w:tcPr>
            <w:tcW w:w="1951" w:type="dxa"/>
            <w:tcBorders>
              <w:top w:val="nil"/>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 xml:space="preserve"> 305</w:t>
            </w:r>
          </w:p>
        </w:tc>
        <w:tc>
          <w:tcPr>
            <w:tcW w:w="1952" w:type="dxa"/>
            <w:tcBorders>
              <w:top w:val="nil"/>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 xml:space="preserve"> 11</w:t>
            </w:r>
          </w:p>
        </w:tc>
        <w:tc>
          <w:tcPr>
            <w:tcW w:w="1952" w:type="dxa"/>
            <w:tcBorders>
              <w:top w:val="nil"/>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 xml:space="preserve"> 334</w:t>
            </w:r>
          </w:p>
        </w:tc>
      </w:tr>
      <w:tr>
        <w:trPr>
          <w:trHeight w:hRule="exact" w:val="255"/>
        </w:trPr>
        <w:tc>
          <w:tcPr>
            <w:tcW w:w="1951" w:type="dxa"/>
            <w:tcBorders>
              <w:top w:val="nil"/>
              <w:left w:val="nil"/>
              <w:bottom w:val="nil"/>
              <w:right w:val="nil"/>
              <w:tl2br w:val="nil"/>
              <w:tr2bl w:val="nil"/>
            </w:tcBorders>
            <w:tcMar>
              <w:left w:w="60" w:type="dxa"/>
              <w:right w:w="60" w:type="dxa"/>
            </w:tcMar>
            <w:vAlign w:val="center"/>
          </w:tcPr>
          <w:p>
            <w:pPr>
              <w:pStyle w:val="DMETW36745BIPPAYWA"/>
              <w:rPr>
                <w:rFonts w:ascii="Verdana" w:eastAsia="Verdana" w:hAnsi="Verdana" w:cs="Verdana"/>
                <w:i/>
                <w:noProof/>
                <w:color w:val="000000"/>
                <w:sz w:val="18"/>
              </w:rPr>
            </w:pPr>
            <w:r>
              <w:rPr>
                <w:rFonts w:ascii="Verdana" w:hAnsi="Verdana"/>
                <w:i/>
                <w:noProof/>
                <w:color w:val="000000"/>
                <w:sz w:val="18"/>
              </w:rPr>
              <w:t>Article 136</w:t>
            </w:r>
          </w:p>
        </w:tc>
        <w:tc>
          <w:tcPr>
            <w:tcW w:w="1952" w:type="dxa"/>
            <w:tcBorders>
              <w:top w:val="nil"/>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 xml:space="preserve"> 13</w:t>
            </w:r>
          </w:p>
        </w:tc>
        <w:tc>
          <w:tcPr>
            <w:tcW w:w="1951" w:type="dxa"/>
            <w:tcBorders>
              <w:top w:val="nil"/>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w:t>
            </w:r>
          </w:p>
        </w:tc>
        <w:tc>
          <w:tcPr>
            <w:tcW w:w="1952" w:type="dxa"/>
            <w:tcBorders>
              <w:top w:val="nil"/>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 xml:space="preserve"> 5</w:t>
            </w:r>
          </w:p>
        </w:tc>
        <w:tc>
          <w:tcPr>
            <w:tcW w:w="1952" w:type="dxa"/>
            <w:tcBorders>
              <w:top w:val="nil"/>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 xml:space="preserve"> 18</w:t>
            </w:r>
          </w:p>
        </w:tc>
      </w:tr>
      <w:tr>
        <w:trPr>
          <w:trHeight w:hRule="exact" w:val="255"/>
        </w:trPr>
        <w:tc>
          <w:tcPr>
            <w:tcW w:w="1951" w:type="dxa"/>
            <w:tcBorders>
              <w:top w:val="nil"/>
              <w:left w:val="nil"/>
              <w:bottom w:val="single" w:sz="12" w:space="0" w:color="016794"/>
              <w:right w:val="nil"/>
              <w:tl2br w:val="nil"/>
              <w:tr2bl w:val="nil"/>
            </w:tcBorders>
            <w:tcMar>
              <w:left w:w="60" w:type="dxa"/>
              <w:right w:w="60" w:type="dxa"/>
            </w:tcMar>
            <w:vAlign w:val="center"/>
          </w:tcPr>
          <w:p>
            <w:pPr>
              <w:pStyle w:val="DMETW36745BIPPAYWA"/>
              <w:rPr>
                <w:rFonts w:ascii="Verdana" w:eastAsia="Verdana" w:hAnsi="Verdana" w:cs="Verdana"/>
                <w:i/>
                <w:noProof/>
                <w:color w:val="000000"/>
                <w:sz w:val="18"/>
              </w:rPr>
            </w:pPr>
            <w:r>
              <w:rPr>
                <w:rFonts w:ascii="Verdana" w:hAnsi="Verdana"/>
                <w:i/>
                <w:noProof/>
                <w:color w:val="000000"/>
                <w:sz w:val="18"/>
              </w:rPr>
              <w:t>Article 147</w:t>
            </w:r>
          </w:p>
        </w:tc>
        <w:tc>
          <w:tcPr>
            <w:tcW w:w="1952" w:type="dxa"/>
            <w:tcBorders>
              <w:top w:val="nil"/>
              <w:left w:val="nil"/>
              <w:bottom w:val="single" w:sz="12" w:space="0" w:color="016794"/>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w:t>
            </w:r>
          </w:p>
        </w:tc>
        <w:tc>
          <w:tcPr>
            <w:tcW w:w="1951" w:type="dxa"/>
            <w:tcBorders>
              <w:top w:val="nil"/>
              <w:left w:val="nil"/>
              <w:bottom w:val="single" w:sz="12" w:space="0" w:color="016794"/>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 xml:space="preserve"> 69</w:t>
            </w:r>
          </w:p>
        </w:tc>
        <w:tc>
          <w:tcPr>
            <w:tcW w:w="1952" w:type="dxa"/>
            <w:tcBorders>
              <w:top w:val="nil"/>
              <w:left w:val="nil"/>
              <w:bottom w:val="single" w:sz="12" w:space="0" w:color="016794"/>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w:t>
            </w:r>
          </w:p>
        </w:tc>
        <w:tc>
          <w:tcPr>
            <w:tcW w:w="1952" w:type="dxa"/>
            <w:tcBorders>
              <w:top w:val="nil"/>
              <w:left w:val="nil"/>
              <w:bottom w:val="single" w:sz="12" w:space="0" w:color="016794"/>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 xml:space="preserve"> 69</w:t>
            </w:r>
          </w:p>
        </w:tc>
      </w:tr>
      <w:tr>
        <w:trPr>
          <w:trHeight w:hRule="exact" w:val="255"/>
        </w:trPr>
        <w:tc>
          <w:tcPr>
            <w:tcW w:w="1951" w:type="dxa"/>
            <w:tcBorders>
              <w:top w:val="single" w:sz="12" w:space="0" w:color="016794"/>
              <w:left w:val="nil"/>
              <w:bottom w:val="nil"/>
              <w:right w:val="nil"/>
              <w:tl2br w:val="nil"/>
              <w:tr2bl w:val="nil"/>
            </w:tcBorders>
            <w:tcMar>
              <w:left w:w="60" w:type="dxa"/>
              <w:right w:w="60" w:type="dxa"/>
            </w:tcMar>
            <w:vAlign w:val="center"/>
          </w:tcPr>
          <w:p>
            <w:pPr>
              <w:pStyle w:val="DMETW36745BIPPAYWA"/>
              <w:rPr>
                <w:rFonts w:ascii="Verdana" w:eastAsia="Verdana" w:hAnsi="Verdana" w:cs="Verdana"/>
                <w:i/>
                <w:noProof/>
                <w:color w:val="016794"/>
                <w:sz w:val="18"/>
              </w:rPr>
            </w:pPr>
          </w:p>
        </w:tc>
        <w:tc>
          <w:tcPr>
            <w:tcW w:w="1952" w:type="dxa"/>
            <w:tcBorders>
              <w:top w:val="single" w:sz="12" w:space="0" w:color="016794"/>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16794"/>
                <w:sz w:val="18"/>
              </w:rPr>
            </w:pPr>
            <w:r>
              <w:rPr>
                <w:rFonts w:ascii="Verdana" w:hAnsi="Verdana"/>
                <w:i/>
                <w:noProof/>
                <w:color w:val="016794"/>
                <w:sz w:val="18"/>
              </w:rPr>
              <w:t>1 150</w:t>
            </w:r>
          </w:p>
        </w:tc>
        <w:tc>
          <w:tcPr>
            <w:tcW w:w="1951" w:type="dxa"/>
            <w:tcBorders>
              <w:top w:val="single" w:sz="12" w:space="0" w:color="016794"/>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16794"/>
                <w:sz w:val="18"/>
              </w:rPr>
            </w:pPr>
            <w:r>
              <w:rPr>
                <w:rFonts w:ascii="Verdana" w:hAnsi="Verdana"/>
                <w:i/>
                <w:noProof/>
                <w:color w:val="016794"/>
                <w:sz w:val="18"/>
              </w:rPr>
              <w:t xml:space="preserve"> 973</w:t>
            </w:r>
          </w:p>
        </w:tc>
        <w:tc>
          <w:tcPr>
            <w:tcW w:w="1952" w:type="dxa"/>
            <w:tcBorders>
              <w:top w:val="single" w:sz="12" w:space="0" w:color="016794"/>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16794"/>
                <w:sz w:val="18"/>
              </w:rPr>
            </w:pPr>
            <w:r>
              <w:rPr>
                <w:rFonts w:ascii="Verdana" w:hAnsi="Verdana"/>
                <w:i/>
                <w:noProof/>
                <w:color w:val="016794"/>
                <w:sz w:val="18"/>
              </w:rPr>
              <w:t xml:space="preserve"> 260</w:t>
            </w:r>
          </w:p>
        </w:tc>
        <w:tc>
          <w:tcPr>
            <w:tcW w:w="1952" w:type="dxa"/>
            <w:tcBorders>
              <w:top w:val="single" w:sz="12" w:space="0" w:color="016794"/>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16794"/>
                <w:sz w:val="18"/>
              </w:rPr>
            </w:pPr>
            <w:r>
              <w:rPr>
                <w:rFonts w:ascii="Verdana" w:hAnsi="Verdana"/>
                <w:i/>
                <w:noProof/>
                <w:color w:val="016794"/>
                <w:sz w:val="18"/>
              </w:rPr>
              <w:t>2 384</w:t>
            </w:r>
          </w:p>
        </w:tc>
      </w:tr>
      <w:tr>
        <w:trPr>
          <w:trHeight w:hRule="exact" w:val="255"/>
        </w:trPr>
        <w:tc>
          <w:tcPr>
            <w:tcW w:w="1951" w:type="dxa"/>
            <w:tcBorders>
              <w:top w:val="nil"/>
              <w:left w:val="nil"/>
              <w:bottom w:val="nil"/>
              <w:right w:val="nil"/>
              <w:tl2br w:val="nil"/>
              <w:tr2bl w:val="nil"/>
            </w:tcBorders>
            <w:tcMar>
              <w:left w:w="60" w:type="dxa"/>
              <w:right w:w="60" w:type="dxa"/>
            </w:tcMar>
            <w:vAlign w:val="center"/>
          </w:tcPr>
          <w:p>
            <w:pPr>
              <w:pStyle w:val="DMETW36745BIPPAYWA"/>
              <w:rPr>
                <w:rFonts w:ascii="Verdana" w:eastAsia="Verdana" w:hAnsi="Verdana" w:cs="Verdana"/>
                <w:i/>
                <w:noProof/>
                <w:color w:val="000000"/>
                <w:sz w:val="18"/>
              </w:rPr>
            </w:pPr>
          </w:p>
        </w:tc>
        <w:tc>
          <w:tcPr>
            <w:tcW w:w="1952" w:type="dxa"/>
            <w:tcBorders>
              <w:top w:val="nil"/>
              <w:left w:val="nil"/>
              <w:bottom w:val="nil"/>
              <w:right w:val="nil"/>
              <w:tl2br w:val="nil"/>
              <w:tr2bl w:val="nil"/>
            </w:tcBorders>
            <w:tcMar>
              <w:left w:w="60" w:type="dxa"/>
              <w:right w:w="60" w:type="dxa"/>
            </w:tcMar>
            <w:vAlign w:val="center"/>
          </w:tcPr>
          <w:p>
            <w:pPr>
              <w:pStyle w:val="DMETW36745BIPPAYWA"/>
              <w:rPr>
                <w:rFonts w:ascii="Verdana" w:eastAsia="Verdana" w:hAnsi="Verdana" w:cs="Verdana"/>
                <w:i/>
                <w:noProof/>
                <w:color w:val="000000"/>
                <w:sz w:val="18"/>
              </w:rPr>
            </w:pPr>
          </w:p>
        </w:tc>
        <w:tc>
          <w:tcPr>
            <w:tcW w:w="1951" w:type="dxa"/>
            <w:tcBorders>
              <w:top w:val="nil"/>
              <w:left w:val="nil"/>
              <w:bottom w:val="nil"/>
              <w:right w:val="nil"/>
              <w:tl2br w:val="nil"/>
              <w:tr2bl w:val="nil"/>
            </w:tcBorders>
            <w:tcMar>
              <w:left w:w="60" w:type="dxa"/>
              <w:right w:w="60" w:type="dxa"/>
            </w:tcMar>
            <w:vAlign w:val="center"/>
          </w:tcPr>
          <w:p>
            <w:pPr>
              <w:pStyle w:val="DMETW36745BIPPAYWA"/>
              <w:jc w:val="right"/>
              <w:rPr>
                <w:rFonts w:ascii="Verdana" w:eastAsia="Verdana" w:hAnsi="Verdana" w:cs="Verdana"/>
                <w:i/>
                <w:noProof/>
                <w:color w:val="000000"/>
                <w:sz w:val="18"/>
              </w:rPr>
            </w:pPr>
          </w:p>
        </w:tc>
        <w:tc>
          <w:tcPr>
            <w:tcW w:w="1952" w:type="dxa"/>
            <w:tcBorders>
              <w:top w:val="nil"/>
              <w:left w:val="nil"/>
              <w:bottom w:val="nil"/>
              <w:right w:val="nil"/>
              <w:tl2br w:val="nil"/>
              <w:tr2bl w:val="nil"/>
            </w:tcBorders>
            <w:tcMar>
              <w:left w:w="60" w:type="dxa"/>
              <w:right w:w="60" w:type="dxa"/>
            </w:tcMar>
            <w:vAlign w:val="center"/>
          </w:tcPr>
          <w:p>
            <w:pPr>
              <w:pStyle w:val="DMETW36745BIPPAYWA"/>
              <w:jc w:val="right"/>
              <w:rPr>
                <w:rFonts w:ascii="Verdana" w:eastAsia="Verdana" w:hAnsi="Verdana" w:cs="Verdana"/>
                <w:i/>
                <w:noProof/>
                <w:color w:val="000000"/>
                <w:sz w:val="18"/>
              </w:rPr>
            </w:pPr>
          </w:p>
        </w:tc>
        <w:tc>
          <w:tcPr>
            <w:tcW w:w="1952" w:type="dxa"/>
            <w:tcBorders>
              <w:top w:val="nil"/>
              <w:left w:val="nil"/>
              <w:bottom w:val="nil"/>
              <w:right w:val="nil"/>
              <w:tl2br w:val="nil"/>
              <w:tr2bl w:val="nil"/>
            </w:tcBorders>
            <w:tcMar>
              <w:left w:w="60" w:type="dxa"/>
              <w:right w:w="60" w:type="dxa"/>
            </w:tcMar>
            <w:vAlign w:val="center"/>
          </w:tcPr>
          <w:p>
            <w:pPr>
              <w:pStyle w:val="DMETW36745BIPPAYWA"/>
              <w:jc w:val="right"/>
              <w:rPr>
                <w:rFonts w:ascii="Verdana" w:eastAsia="Verdana" w:hAnsi="Verdana" w:cs="Verdana"/>
                <w:i/>
                <w:noProof/>
                <w:color w:val="000000"/>
                <w:sz w:val="18"/>
                <w:lang w:bidi="en-GB"/>
              </w:rPr>
            </w:pPr>
          </w:p>
        </w:tc>
      </w:tr>
      <w:tr>
        <w:trPr>
          <w:trHeight w:hRule="exact" w:val="255"/>
        </w:trPr>
        <w:tc>
          <w:tcPr>
            <w:tcW w:w="1951" w:type="dxa"/>
            <w:tcBorders>
              <w:top w:val="nil"/>
              <w:left w:val="nil"/>
              <w:bottom w:val="nil"/>
              <w:right w:val="nil"/>
              <w:tl2br w:val="nil"/>
              <w:tr2bl w:val="nil"/>
            </w:tcBorders>
            <w:tcMar>
              <w:left w:w="60" w:type="dxa"/>
              <w:right w:w="60" w:type="dxa"/>
            </w:tcMar>
            <w:vAlign w:val="center"/>
          </w:tcPr>
          <w:p>
            <w:pPr>
              <w:pStyle w:val="DMETW36745BIPPAYWA"/>
              <w:rPr>
                <w:rFonts w:ascii="Verdana" w:eastAsia="Verdana" w:hAnsi="Verdana" w:cs="Verdana"/>
                <w:i/>
                <w:noProof/>
                <w:color w:val="000000"/>
                <w:sz w:val="18"/>
              </w:rPr>
            </w:pPr>
          </w:p>
        </w:tc>
        <w:tc>
          <w:tcPr>
            <w:tcW w:w="1952" w:type="dxa"/>
            <w:tcBorders>
              <w:top w:val="nil"/>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p>
        </w:tc>
        <w:tc>
          <w:tcPr>
            <w:tcW w:w="1951" w:type="dxa"/>
            <w:tcBorders>
              <w:top w:val="nil"/>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p>
        </w:tc>
        <w:tc>
          <w:tcPr>
            <w:tcW w:w="1952" w:type="dxa"/>
            <w:tcBorders>
              <w:top w:val="nil"/>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p>
        </w:tc>
        <w:tc>
          <w:tcPr>
            <w:tcW w:w="1952" w:type="dxa"/>
            <w:tcBorders>
              <w:top w:val="nil"/>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lang w:bidi="en-GB"/>
              </w:rPr>
            </w:pPr>
          </w:p>
        </w:tc>
      </w:tr>
      <w:tr>
        <w:trPr>
          <w:trHeight w:hRule="exact" w:val="255"/>
        </w:trPr>
        <w:tc>
          <w:tcPr>
            <w:tcW w:w="1951" w:type="dxa"/>
            <w:tcBorders>
              <w:top w:val="nil"/>
              <w:left w:val="nil"/>
              <w:bottom w:val="nil"/>
              <w:right w:val="nil"/>
              <w:tl2br w:val="nil"/>
              <w:tr2bl w:val="nil"/>
            </w:tcBorders>
            <w:tcMar>
              <w:left w:w="60" w:type="dxa"/>
              <w:right w:w="60" w:type="dxa"/>
            </w:tcMar>
            <w:vAlign w:val="center"/>
          </w:tcPr>
          <w:p>
            <w:pPr>
              <w:pStyle w:val="DMETW36745BIPPAYWA"/>
              <w:rPr>
                <w:rFonts w:ascii="Verdana" w:eastAsia="Verdana" w:hAnsi="Verdana" w:cs="Verdana"/>
                <w:i/>
                <w:noProof/>
                <w:color w:val="000000"/>
                <w:sz w:val="18"/>
              </w:rPr>
            </w:pPr>
            <w:r>
              <w:rPr>
                <w:rFonts w:ascii="Verdana" w:hAnsi="Verdana"/>
                <w:i/>
                <w:noProof/>
                <w:color w:val="000000"/>
                <w:sz w:val="18"/>
              </w:rPr>
              <w:t>Article 136</w:t>
            </w:r>
          </w:p>
        </w:tc>
        <w:tc>
          <w:tcPr>
            <w:tcW w:w="1952" w:type="dxa"/>
            <w:tcBorders>
              <w:top w:val="nil"/>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w:t>
            </w:r>
          </w:p>
        </w:tc>
        <w:tc>
          <w:tcPr>
            <w:tcW w:w="1951" w:type="dxa"/>
            <w:tcBorders>
              <w:top w:val="nil"/>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 xml:space="preserve"> (126)</w:t>
            </w:r>
          </w:p>
        </w:tc>
        <w:tc>
          <w:tcPr>
            <w:tcW w:w="1952" w:type="dxa"/>
            <w:tcBorders>
              <w:top w:val="nil"/>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w:t>
            </w:r>
          </w:p>
        </w:tc>
        <w:tc>
          <w:tcPr>
            <w:tcW w:w="1952" w:type="dxa"/>
            <w:tcBorders>
              <w:top w:val="nil"/>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 xml:space="preserve"> (126)</w:t>
            </w:r>
          </w:p>
        </w:tc>
      </w:tr>
      <w:tr>
        <w:trPr>
          <w:trHeight w:hRule="exact" w:val="255"/>
        </w:trPr>
        <w:tc>
          <w:tcPr>
            <w:tcW w:w="1951" w:type="dxa"/>
            <w:tcBorders>
              <w:top w:val="nil"/>
              <w:left w:val="nil"/>
              <w:bottom w:val="nil"/>
              <w:right w:val="nil"/>
              <w:tl2br w:val="nil"/>
              <w:tr2bl w:val="nil"/>
            </w:tcBorders>
            <w:tcMar>
              <w:left w:w="60" w:type="dxa"/>
              <w:right w:w="60" w:type="dxa"/>
            </w:tcMar>
            <w:vAlign w:val="center"/>
          </w:tcPr>
          <w:p>
            <w:pPr>
              <w:pStyle w:val="DMETW36745BIPPAYWA"/>
              <w:rPr>
                <w:rFonts w:ascii="Verdana" w:eastAsia="Verdana" w:hAnsi="Verdana" w:cs="Verdana"/>
                <w:i/>
                <w:noProof/>
                <w:color w:val="000000"/>
                <w:sz w:val="18"/>
              </w:rPr>
            </w:pPr>
            <w:r>
              <w:rPr>
                <w:rFonts w:ascii="Verdana" w:hAnsi="Verdana"/>
                <w:i/>
                <w:noProof/>
                <w:color w:val="000000"/>
                <w:sz w:val="18"/>
              </w:rPr>
              <w:t>Article 141</w:t>
            </w:r>
          </w:p>
        </w:tc>
        <w:tc>
          <w:tcPr>
            <w:tcW w:w="1952" w:type="dxa"/>
            <w:tcBorders>
              <w:top w:val="nil"/>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 xml:space="preserve"> (31)</w:t>
            </w:r>
          </w:p>
        </w:tc>
        <w:tc>
          <w:tcPr>
            <w:tcW w:w="1951" w:type="dxa"/>
            <w:tcBorders>
              <w:top w:val="nil"/>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 xml:space="preserve"> (343)</w:t>
            </w:r>
          </w:p>
        </w:tc>
        <w:tc>
          <w:tcPr>
            <w:tcW w:w="1952" w:type="dxa"/>
            <w:tcBorders>
              <w:top w:val="nil"/>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 xml:space="preserve"> (57)</w:t>
            </w:r>
          </w:p>
        </w:tc>
        <w:tc>
          <w:tcPr>
            <w:tcW w:w="1952" w:type="dxa"/>
            <w:tcBorders>
              <w:top w:val="nil"/>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 xml:space="preserve"> (431)</w:t>
            </w:r>
          </w:p>
        </w:tc>
      </w:tr>
      <w:tr>
        <w:trPr>
          <w:trHeight w:hRule="exact" w:val="255"/>
        </w:trPr>
        <w:tc>
          <w:tcPr>
            <w:tcW w:w="1951" w:type="dxa"/>
            <w:tcBorders>
              <w:top w:val="nil"/>
              <w:left w:val="nil"/>
              <w:bottom w:val="nil"/>
              <w:right w:val="nil"/>
              <w:tl2br w:val="nil"/>
              <w:tr2bl w:val="nil"/>
            </w:tcBorders>
            <w:tcMar>
              <w:left w:w="60" w:type="dxa"/>
              <w:right w:w="60" w:type="dxa"/>
            </w:tcMar>
            <w:vAlign w:val="center"/>
          </w:tcPr>
          <w:p>
            <w:pPr>
              <w:pStyle w:val="DMETW36745BIPPAYWA"/>
              <w:rPr>
                <w:rFonts w:ascii="Verdana" w:eastAsia="Verdana" w:hAnsi="Verdana" w:cs="Verdana"/>
                <w:i/>
                <w:noProof/>
                <w:color w:val="000000"/>
                <w:sz w:val="18"/>
              </w:rPr>
            </w:pPr>
            <w:r>
              <w:rPr>
                <w:rFonts w:ascii="Verdana" w:hAnsi="Verdana"/>
                <w:i/>
                <w:noProof/>
                <w:color w:val="000000"/>
                <w:sz w:val="18"/>
              </w:rPr>
              <w:t>Article 143</w:t>
            </w:r>
          </w:p>
        </w:tc>
        <w:tc>
          <w:tcPr>
            <w:tcW w:w="1952" w:type="dxa"/>
            <w:tcBorders>
              <w:top w:val="nil"/>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w:t>
            </w:r>
          </w:p>
        </w:tc>
        <w:tc>
          <w:tcPr>
            <w:tcW w:w="1951" w:type="dxa"/>
            <w:tcBorders>
              <w:top w:val="nil"/>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 xml:space="preserve"> (191)</w:t>
            </w:r>
          </w:p>
        </w:tc>
        <w:tc>
          <w:tcPr>
            <w:tcW w:w="1952" w:type="dxa"/>
            <w:tcBorders>
              <w:top w:val="nil"/>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w:t>
            </w:r>
          </w:p>
        </w:tc>
        <w:tc>
          <w:tcPr>
            <w:tcW w:w="1952" w:type="dxa"/>
            <w:tcBorders>
              <w:top w:val="nil"/>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 xml:space="preserve"> (191)</w:t>
            </w:r>
          </w:p>
        </w:tc>
      </w:tr>
      <w:tr>
        <w:trPr>
          <w:trHeight w:hRule="exact" w:val="255"/>
        </w:trPr>
        <w:tc>
          <w:tcPr>
            <w:tcW w:w="1951" w:type="dxa"/>
            <w:tcBorders>
              <w:top w:val="nil"/>
              <w:left w:val="nil"/>
              <w:bottom w:val="nil"/>
              <w:right w:val="nil"/>
              <w:tl2br w:val="nil"/>
              <w:tr2bl w:val="nil"/>
            </w:tcBorders>
            <w:tcMar>
              <w:left w:w="60" w:type="dxa"/>
              <w:right w:w="60" w:type="dxa"/>
            </w:tcMar>
            <w:vAlign w:val="center"/>
          </w:tcPr>
          <w:p>
            <w:pPr>
              <w:pStyle w:val="DMETW36745BIPPAYWA"/>
              <w:rPr>
                <w:rFonts w:ascii="Verdana" w:eastAsia="Verdana" w:hAnsi="Verdana" w:cs="Verdana"/>
                <w:i/>
                <w:noProof/>
                <w:color w:val="000000"/>
                <w:sz w:val="18"/>
              </w:rPr>
            </w:pPr>
            <w:r>
              <w:rPr>
                <w:rFonts w:ascii="Verdana" w:hAnsi="Verdana"/>
                <w:i/>
                <w:noProof/>
                <w:color w:val="000000"/>
                <w:sz w:val="18"/>
              </w:rPr>
              <w:t>Article 144</w:t>
            </w:r>
          </w:p>
        </w:tc>
        <w:tc>
          <w:tcPr>
            <w:tcW w:w="1952" w:type="dxa"/>
            <w:tcBorders>
              <w:top w:val="nil"/>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w:t>
            </w:r>
          </w:p>
        </w:tc>
        <w:tc>
          <w:tcPr>
            <w:tcW w:w="1951" w:type="dxa"/>
            <w:tcBorders>
              <w:top w:val="nil"/>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 xml:space="preserve"> (58)</w:t>
            </w:r>
          </w:p>
        </w:tc>
        <w:tc>
          <w:tcPr>
            <w:tcW w:w="1952" w:type="dxa"/>
            <w:tcBorders>
              <w:top w:val="nil"/>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w:t>
            </w:r>
          </w:p>
        </w:tc>
        <w:tc>
          <w:tcPr>
            <w:tcW w:w="1952" w:type="dxa"/>
            <w:tcBorders>
              <w:top w:val="nil"/>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 xml:space="preserve"> (58)</w:t>
            </w:r>
          </w:p>
        </w:tc>
      </w:tr>
      <w:tr>
        <w:trPr>
          <w:trHeight w:hRule="exact" w:val="255"/>
        </w:trPr>
        <w:tc>
          <w:tcPr>
            <w:tcW w:w="1951" w:type="dxa"/>
            <w:tcBorders>
              <w:top w:val="nil"/>
              <w:left w:val="nil"/>
              <w:bottom w:val="nil"/>
              <w:right w:val="nil"/>
              <w:tl2br w:val="nil"/>
              <w:tr2bl w:val="nil"/>
            </w:tcBorders>
            <w:tcMar>
              <w:left w:w="60" w:type="dxa"/>
              <w:right w:w="60" w:type="dxa"/>
            </w:tcMar>
            <w:vAlign w:val="center"/>
          </w:tcPr>
          <w:p>
            <w:pPr>
              <w:pStyle w:val="DMETW36745BIPPAYWA"/>
              <w:rPr>
                <w:rFonts w:ascii="Verdana" w:eastAsia="Verdana" w:hAnsi="Verdana" w:cs="Verdana"/>
                <w:i/>
                <w:noProof/>
                <w:color w:val="000000"/>
                <w:sz w:val="18"/>
              </w:rPr>
            </w:pPr>
            <w:r>
              <w:rPr>
                <w:rFonts w:ascii="Verdana" w:hAnsi="Verdana"/>
                <w:i/>
                <w:noProof/>
                <w:color w:val="000000"/>
                <w:sz w:val="18"/>
              </w:rPr>
              <w:t>Article 145</w:t>
            </w:r>
          </w:p>
        </w:tc>
        <w:tc>
          <w:tcPr>
            <w:tcW w:w="1952" w:type="dxa"/>
            <w:tcBorders>
              <w:top w:val="nil"/>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w:t>
            </w:r>
          </w:p>
        </w:tc>
        <w:tc>
          <w:tcPr>
            <w:tcW w:w="1951" w:type="dxa"/>
            <w:tcBorders>
              <w:top w:val="nil"/>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 xml:space="preserve"> (37)</w:t>
            </w:r>
          </w:p>
        </w:tc>
        <w:tc>
          <w:tcPr>
            <w:tcW w:w="1952" w:type="dxa"/>
            <w:tcBorders>
              <w:top w:val="nil"/>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w:t>
            </w:r>
          </w:p>
        </w:tc>
        <w:tc>
          <w:tcPr>
            <w:tcW w:w="1952" w:type="dxa"/>
            <w:tcBorders>
              <w:top w:val="nil"/>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 xml:space="preserve"> (37)</w:t>
            </w:r>
          </w:p>
        </w:tc>
      </w:tr>
      <w:tr>
        <w:trPr>
          <w:trHeight w:hRule="exact" w:val="255"/>
        </w:trPr>
        <w:tc>
          <w:tcPr>
            <w:tcW w:w="1951" w:type="dxa"/>
            <w:tcBorders>
              <w:top w:val="nil"/>
              <w:left w:val="nil"/>
              <w:bottom w:val="single" w:sz="12" w:space="0" w:color="016794"/>
              <w:right w:val="nil"/>
              <w:tl2br w:val="nil"/>
              <w:tr2bl w:val="nil"/>
            </w:tcBorders>
            <w:tcMar>
              <w:left w:w="60" w:type="dxa"/>
              <w:right w:w="60" w:type="dxa"/>
            </w:tcMar>
            <w:vAlign w:val="center"/>
          </w:tcPr>
          <w:p>
            <w:pPr>
              <w:pStyle w:val="DMETW36745BIPPAYWA"/>
              <w:rPr>
                <w:rFonts w:ascii="Verdana" w:eastAsia="Verdana" w:hAnsi="Verdana" w:cs="Verdana"/>
                <w:i/>
                <w:noProof/>
                <w:color w:val="000000"/>
                <w:sz w:val="18"/>
              </w:rPr>
            </w:pPr>
            <w:r>
              <w:rPr>
                <w:rFonts w:ascii="Verdana" w:hAnsi="Verdana"/>
                <w:i/>
                <w:noProof/>
                <w:color w:val="000000"/>
                <w:sz w:val="18"/>
              </w:rPr>
              <w:t>Article 146</w:t>
            </w:r>
          </w:p>
        </w:tc>
        <w:tc>
          <w:tcPr>
            <w:tcW w:w="1952" w:type="dxa"/>
            <w:tcBorders>
              <w:top w:val="nil"/>
              <w:left w:val="nil"/>
              <w:bottom w:val="single" w:sz="12" w:space="0" w:color="016794"/>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w:t>
            </w:r>
          </w:p>
        </w:tc>
        <w:tc>
          <w:tcPr>
            <w:tcW w:w="1951" w:type="dxa"/>
            <w:tcBorders>
              <w:top w:val="nil"/>
              <w:left w:val="nil"/>
              <w:bottom w:val="single" w:sz="12" w:space="0" w:color="016794"/>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 xml:space="preserve"> (7)</w:t>
            </w:r>
          </w:p>
        </w:tc>
        <w:tc>
          <w:tcPr>
            <w:tcW w:w="1952" w:type="dxa"/>
            <w:tcBorders>
              <w:top w:val="nil"/>
              <w:left w:val="nil"/>
              <w:bottom w:val="single" w:sz="12" w:space="0" w:color="016794"/>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w:t>
            </w:r>
          </w:p>
        </w:tc>
        <w:tc>
          <w:tcPr>
            <w:tcW w:w="1952" w:type="dxa"/>
            <w:tcBorders>
              <w:top w:val="nil"/>
              <w:left w:val="nil"/>
              <w:bottom w:val="single" w:sz="12" w:space="0" w:color="016794"/>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 xml:space="preserve"> (7)</w:t>
            </w:r>
          </w:p>
        </w:tc>
      </w:tr>
      <w:tr>
        <w:trPr>
          <w:trHeight w:hRule="exact" w:val="255"/>
        </w:trPr>
        <w:tc>
          <w:tcPr>
            <w:tcW w:w="1951" w:type="dxa"/>
            <w:tcBorders>
              <w:top w:val="single" w:sz="12" w:space="0" w:color="016794"/>
              <w:left w:val="nil"/>
              <w:bottom w:val="single" w:sz="12" w:space="0" w:color="016794"/>
              <w:right w:val="nil"/>
              <w:tl2br w:val="nil"/>
              <w:tr2bl w:val="nil"/>
            </w:tcBorders>
            <w:tcMar>
              <w:left w:w="60" w:type="dxa"/>
              <w:right w:w="60" w:type="dxa"/>
            </w:tcMar>
            <w:vAlign w:val="center"/>
          </w:tcPr>
          <w:p>
            <w:pPr>
              <w:pStyle w:val="DMETW36745BIPPAYWA"/>
              <w:rPr>
                <w:rFonts w:ascii="Verdana" w:eastAsia="Verdana" w:hAnsi="Verdana" w:cs="Verdana"/>
                <w:i/>
                <w:noProof/>
                <w:color w:val="016794"/>
                <w:sz w:val="18"/>
              </w:rPr>
            </w:pPr>
          </w:p>
        </w:tc>
        <w:tc>
          <w:tcPr>
            <w:tcW w:w="1952" w:type="dxa"/>
            <w:tcBorders>
              <w:top w:val="single" w:sz="12" w:space="0" w:color="016794"/>
              <w:left w:val="nil"/>
              <w:bottom w:val="single" w:sz="12" w:space="0" w:color="016794"/>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16794"/>
                <w:sz w:val="18"/>
              </w:rPr>
            </w:pPr>
            <w:r>
              <w:rPr>
                <w:rFonts w:ascii="Verdana" w:hAnsi="Verdana"/>
                <w:i/>
                <w:noProof/>
                <w:color w:val="016794"/>
                <w:sz w:val="18"/>
              </w:rPr>
              <w:t xml:space="preserve"> (31)</w:t>
            </w:r>
          </w:p>
        </w:tc>
        <w:tc>
          <w:tcPr>
            <w:tcW w:w="1951" w:type="dxa"/>
            <w:tcBorders>
              <w:top w:val="single" w:sz="12" w:space="0" w:color="016794"/>
              <w:left w:val="nil"/>
              <w:bottom w:val="single" w:sz="12" w:space="0" w:color="016794"/>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16794"/>
                <w:sz w:val="18"/>
              </w:rPr>
            </w:pPr>
            <w:r>
              <w:rPr>
                <w:rFonts w:ascii="Verdana" w:hAnsi="Verdana"/>
                <w:i/>
                <w:noProof/>
                <w:color w:val="016794"/>
                <w:sz w:val="18"/>
              </w:rPr>
              <w:t xml:space="preserve"> (760)</w:t>
            </w:r>
          </w:p>
        </w:tc>
        <w:tc>
          <w:tcPr>
            <w:tcW w:w="1952" w:type="dxa"/>
            <w:tcBorders>
              <w:top w:val="single" w:sz="12" w:space="0" w:color="016794"/>
              <w:left w:val="nil"/>
              <w:bottom w:val="single" w:sz="12" w:space="0" w:color="016794"/>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16794"/>
                <w:sz w:val="18"/>
              </w:rPr>
            </w:pPr>
            <w:r>
              <w:rPr>
                <w:rFonts w:ascii="Verdana" w:hAnsi="Verdana"/>
                <w:i/>
                <w:noProof/>
                <w:color w:val="016794"/>
                <w:sz w:val="18"/>
              </w:rPr>
              <w:t xml:space="preserve"> (57)</w:t>
            </w:r>
          </w:p>
        </w:tc>
        <w:tc>
          <w:tcPr>
            <w:tcW w:w="1952" w:type="dxa"/>
            <w:tcBorders>
              <w:top w:val="single" w:sz="12" w:space="0" w:color="016794"/>
              <w:left w:val="nil"/>
              <w:bottom w:val="single" w:sz="12" w:space="0" w:color="016794"/>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16794"/>
                <w:sz w:val="18"/>
              </w:rPr>
            </w:pPr>
            <w:r>
              <w:rPr>
                <w:rFonts w:ascii="Verdana" w:hAnsi="Verdana"/>
                <w:i/>
                <w:noProof/>
                <w:color w:val="016794"/>
                <w:sz w:val="18"/>
              </w:rPr>
              <w:t xml:space="preserve"> (848)</w:t>
            </w:r>
          </w:p>
        </w:tc>
      </w:tr>
      <w:tr>
        <w:trPr>
          <w:trHeight w:hRule="exact" w:val="300"/>
        </w:trPr>
        <w:tc>
          <w:tcPr>
            <w:tcW w:w="1951" w:type="dxa"/>
            <w:tcBorders>
              <w:top w:val="single" w:sz="12" w:space="0" w:color="016794"/>
              <w:left w:val="nil"/>
              <w:bottom w:val="single" w:sz="12" w:space="0" w:color="016794"/>
              <w:right w:val="nil"/>
              <w:tl2br w:val="nil"/>
              <w:tr2bl w:val="nil"/>
            </w:tcBorders>
            <w:tcMar>
              <w:left w:w="60" w:type="dxa"/>
              <w:right w:w="60" w:type="dxa"/>
            </w:tcMar>
            <w:vAlign w:val="center"/>
          </w:tcPr>
          <w:p>
            <w:pPr>
              <w:pStyle w:val="DMETW36745BIPPAYWA"/>
              <w:rPr>
                <w:rFonts w:ascii="Verdana" w:eastAsia="Verdana" w:hAnsi="Verdana" w:cs="Verdana"/>
                <w:b/>
                <w:noProof/>
                <w:color w:val="000000"/>
                <w:sz w:val="18"/>
              </w:rPr>
            </w:pPr>
            <w:r>
              <w:rPr>
                <w:rFonts w:ascii="Verdana" w:hAnsi="Verdana"/>
                <w:b/>
                <w:noProof/>
                <w:color w:val="000000"/>
                <w:sz w:val="18"/>
              </w:rPr>
              <w:t>Total</w:t>
            </w:r>
          </w:p>
        </w:tc>
        <w:tc>
          <w:tcPr>
            <w:tcW w:w="1952" w:type="dxa"/>
            <w:tcBorders>
              <w:top w:val="single" w:sz="12" w:space="0" w:color="016794"/>
              <w:left w:val="nil"/>
              <w:bottom w:val="single" w:sz="12" w:space="0" w:color="016794"/>
              <w:right w:val="nil"/>
              <w:tl2br w:val="nil"/>
              <w:tr2bl w:val="nil"/>
            </w:tcBorders>
            <w:tcMar>
              <w:left w:w="60" w:type="dxa"/>
              <w:right w:w="60" w:type="dxa"/>
            </w:tcMar>
            <w:vAlign w:val="bottom"/>
          </w:tcPr>
          <w:p>
            <w:pPr>
              <w:pStyle w:val="DMETW36745BIPPAYWA"/>
              <w:jc w:val="right"/>
              <w:rPr>
                <w:rFonts w:ascii="Verdana" w:eastAsia="Verdana" w:hAnsi="Verdana" w:cs="Verdana"/>
                <w:b/>
                <w:noProof/>
                <w:color w:val="000000"/>
                <w:sz w:val="18"/>
              </w:rPr>
            </w:pPr>
            <w:r>
              <w:rPr>
                <w:rFonts w:ascii="Verdana" w:hAnsi="Verdana"/>
                <w:b/>
                <w:noProof/>
                <w:color w:val="000000"/>
                <w:sz w:val="18"/>
              </w:rPr>
              <w:t>1 120</w:t>
            </w:r>
          </w:p>
        </w:tc>
        <w:tc>
          <w:tcPr>
            <w:tcW w:w="1951" w:type="dxa"/>
            <w:tcBorders>
              <w:top w:val="single" w:sz="12" w:space="0" w:color="016794"/>
              <w:left w:val="nil"/>
              <w:bottom w:val="single" w:sz="12" w:space="0" w:color="016794"/>
              <w:right w:val="nil"/>
              <w:tl2br w:val="nil"/>
              <w:tr2bl w:val="nil"/>
            </w:tcBorders>
            <w:tcMar>
              <w:left w:w="60" w:type="dxa"/>
              <w:right w:w="60" w:type="dxa"/>
            </w:tcMar>
            <w:vAlign w:val="bottom"/>
          </w:tcPr>
          <w:p>
            <w:pPr>
              <w:pStyle w:val="DMETW36745BIPPAYWA"/>
              <w:jc w:val="right"/>
              <w:rPr>
                <w:rFonts w:ascii="Verdana" w:eastAsia="Verdana" w:hAnsi="Verdana" w:cs="Verdana"/>
                <w:b/>
                <w:noProof/>
                <w:color w:val="000000"/>
                <w:sz w:val="18"/>
              </w:rPr>
            </w:pPr>
            <w:r>
              <w:rPr>
                <w:rFonts w:ascii="Verdana" w:hAnsi="Verdana"/>
                <w:b/>
                <w:noProof/>
                <w:color w:val="000000"/>
                <w:sz w:val="18"/>
              </w:rPr>
              <w:t xml:space="preserve"> 213</w:t>
            </w:r>
          </w:p>
        </w:tc>
        <w:tc>
          <w:tcPr>
            <w:tcW w:w="1952" w:type="dxa"/>
            <w:tcBorders>
              <w:top w:val="single" w:sz="12" w:space="0" w:color="016794"/>
              <w:left w:val="nil"/>
              <w:bottom w:val="single" w:sz="12" w:space="0" w:color="016794"/>
              <w:right w:val="nil"/>
              <w:tl2br w:val="nil"/>
              <w:tr2bl w:val="nil"/>
            </w:tcBorders>
            <w:tcMar>
              <w:left w:w="60" w:type="dxa"/>
              <w:right w:w="60" w:type="dxa"/>
            </w:tcMar>
            <w:vAlign w:val="bottom"/>
          </w:tcPr>
          <w:p>
            <w:pPr>
              <w:pStyle w:val="DMETW36745BIPPAYWA"/>
              <w:jc w:val="right"/>
              <w:rPr>
                <w:rFonts w:ascii="Verdana" w:eastAsia="Verdana" w:hAnsi="Verdana" w:cs="Verdana"/>
                <w:b/>
                <w:noProof/>
                <w:color w:val="000000"/>
                <w:sz w:val="18"/>
              </w:rPr>
            </w:pPr>
            <w:r>
              <w:rPr>
                <w:rFonts w:ascii="Verdana" w:hAnsi="Verdana"/>
                <w:b/>
                <w:noProof/>
                <w:color w:val="000000"/>
                <w:sz w:val="18"/>
              </w:rPr>
              <w:t xml:space="preserve"> 203</w:t>
            </w:r>
          </w:p>
        </w:tc>
        <w:tc>
          <w:tcPr>
            <w:tcW w:w="1952" w:type="dxa"/>
            <w:tcBorders>
              <w:top w:val="single" w:sz="12" w:space="0" w:color="016794"/>
              <w:left w:val="nil"/>
              <w:bottom w:val="single" w:sz="12" w:space="0" w:color="016794"/>
              <w:right w:val="nil"/>
              <w:tl2br w:val="nil"/>
              <w:tr2bl w:val="nil"/>
            </w:tcBorders>
            <w:tcMar>
              <w:left w:w="60" w:type="dxa"/>
              <w:right w:w="60" w:type="dxa"/>
            </w:tcMar>
            <w:vAlign w:val="bottom"/>
          </w:tcPr>
          <w:p>
            <w:pPr>
              <w:pStyle w:val="DMETW36745BIPPAYWA"/>
              <w:jc w:val="right"/>
              <w:rPr>
                <w:rFonts w:ascii="Verdana" w:eastAsia="Verdana" w:hAnsi="Verdana" w:cs="Verdana"/>
                <w:b/>
                <w:noProof/>
                <w:color w:val="000000"/>
                <w:sz w:val="18"/>
              </w:rPr>
            </w:pPr>
            <w:r>
              <w:rPr>
                <w:rFonts w:ascii="Verdana" w:hAnsi="Verdana"/>
                <w:b/>
                <w:noProof/>
                <w:color w:val="000000"/>
                <w:sz w:val="18"/>
              </w:rPr>
              <w:t>1 535</w:t>
            </w:r>
          </w:p>
        </w:tc>
      </w:tr>
    </w:tbl>
    <w:p>
      <w:pPr>
        <w:pStyle w:val="DGTextstand-alone"/>
      </w:pPr>
      <w:r>
        <w:lastRenderedPageBreak/>
        <w:t>Le paiement du solde de la facture de septembre 2025 à la fin de l’année, d’un montant de 338 millions d’EUR, payable par le Royaume-Uni, doit être effectué en cinq versements mensuels égaux au cours de la période allant de janvier à mai 2026 (contre 1,120 milliard d’EUR en 2024).</w:t>
      </w:r>
    </w:p>
    <w:p>
      <w:pPr>
        <w:pStyle w:val="Textstand-alone"/>
        <w:rPr>
          <w:color w:val="016794"/>
        </w:rPr>
      </w:pPr>
      <w:r>
        <w:rPr>
          <w:color w:val="016794"/>
        </w:rPr>
        <w:t>Article 140 – Engagements restant à liquider</w:t>
      </w:r>
    </w:p>
    <w:p>
      <w:pPr>
        <w:pStyle w:val="DGTextstand-alone"/>
        <w:spacing w:after="120"/>
      </w:pPr>
      <w:r>
        <w:t>Le Royaume-Uni s’est engagé à verser à l’UE sa part des engagements budgétaires restant à liquider au 31 décembre 2020 (le «RAL lié au Brexit»), telle qu’ajustée selon les exigences de l’article 140. Au 31 décembre 2025, le montant total comptabilisé en tant que créance s’élevait à 2,327 milliards d’EUR (contre 4,432 milliards d’EUR en 2024), dont 399 millions d’EUR doivent être payés dans les 12 mois suivant la fin de l’exercice. Le tableau suivant présente les principaux mouvements entre le montant total comptabilisé en tant que créance à recevoir au 31 décembre 2024 et le montant total comptabilisé en tant que créance à recevoir au 31 décembre 2025: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56"/>
        <w:gridCol w:w="1902"/>
      </w:tblGrid>
      <w:tr>
        <w:trPr>
          <w:trHeight w:hRule="exact" w:val="255"/>
        </w:trPr>
        <w:tc>
          <w:tcPr>
            <w:tcW w:w="7856" w:type="dxa"/>
            <w:tcBorders>
              <w:top w:val="nil"/>
              <w:left w:val="nil"/>
              <w:bottom w:val="nil"/>
              <w:right w:val="nil"/>
              <w:tl2br w:val="nil"/>
              <w:tr2bl w:val="nil"/>
            </w:tcBorders>
            <w:tcMar>
              <w:left w:w="60" w:type="dxa"/>
              <w:right w:w="60" w:type="dxa"/>
            </w:tcMar>
            <w:vAlign w:val="bottom"/>
          </w:tcPr>
          <w:p>
            <w:pPr>
              <w:pStyle w:val="DMETW36745BIPOComm"/>
              <w:rPr>
                <w:rFonts w:ascii="Arial" w:eastAsia="Arial" w:hAnsi="Arial" w:cs="Arial"/>
                <w:noProof/>
                <w:color w:val="000000"/>
              </w:rPr>
            </w:pPr>
            <w:bookmarkStart w:id="128" w:name="DOC_TBL00035_1_1"/>
            <w:bookmarkEnd w:id="128"/>
          </w:p>
        </w:tc>
        <w:tc>
          <w:tcPr>
            <w:tcW w:w="1902" w:type="dxa"/>
            <w:tcBorders>
              <w:top w:val="nil"/>
              <w:left w:val="nil"/>
              <w:bottom w:val="nil"/>
              <w:right w:val="nil"/>
              <w:tl2br w:val="nil"/>
              <w:tr2bl w:val="nil"/>
            </w:tcBorders>
            <w:tcMar>
              <w:left w:w="60" w:type="dxa"/>
              <w:right w:w="60" w:type="dxa"/>
            </w:tcMar>
            <w:vAlign w:val="bottom"/>
          </w:tcPr>
          <w:p>
            <w:pPr>
              <w:pStyle w:val="DMETW36745BIPOComm"/>
              <w:jc w:val="right"/>
              <w:rPr>
                <w:rFonts w:ascii="Verdana" w:eastAsia="Verdana" w:hAnsi="Verdana" w:cs="Verdana"/>
                <w:i/>
                <w:noProof/>
                <w:color w:val="000000"/>
                <w:sz w:val="16"/>
              </w:rPr>
            </w:pPr>
            <w:r>
              <w:rPr>
                <w:rFonts w:ascii="Verdana" w:hAnsi="Verdana"/>
                <w:i/>
                <w:noProof/>
                <w:color w:val="000000"/>
                <w:sz w:val="16"/>
              </w:rPr>
              <w:t>en Mio EUR</w:t>
            </w:r>
          </w:p>
        </w:tc>
      </w:tr>
      <w:tr>
        <w:trPr>
          <w:trHeight w:hRule="exact" w:val="255"/>
        </w:trPr>
        <w:tc>
          <w:tcPr>
            <w:tcW w:w="7856" w:type="dxa"/>
            <w:tcBorders>
              <w:top w:val="nil"/>
              <w:left w:val="nil"/>
              <w:bottom w:val="single" w:sz="12" w:space="0" w:color="016794"/>
              <w:right w:val="nil"/>
              <w:tl2br w:val="nil"/>
              <w:tr2bl w:val="nil"/>
            </w:tcBorders>
            <w:shd w:val="solid" w:color="016794" w:fill="FFFFFF"/>
            <w:tcMar>
              <w:left w:w="60" w:type="dxa"/>
              <w:right w:w="60" w:type="dxa"/>
            </w:tcMar>
            <w:vAlign w:val="center"/>
          </w:tcPr>
          <w:p>
            <w:pPr>
              <w:pStyle w:val="DMETW36745BIPOComm"/>
              <w:jc w:val="center"/>
              <w:rPr>
                <w:rFonts w:ascii="Verdana" w:eastAsia="Verdana" w:hAnsi="Verdana" w:cs="Verdana"/>
                <w:noProof/>
                <w:color w:val="FFFFFF"/>
              </w:rPr>
            </w:pPr>
          </w:p>
        </w:tc>
        <w:tc>
          <w:tcPr>
            <w:tcW w:w="1902" w:type="dxa"/>
            <w:tcBorders>
              <w:top w:val="nil"/>
              <w:left w:val="nil"/>
              <w:bottom w:val="single" w:sz="12" w:space="0" w:color="016794"/>
              <w:right w:val="nil"/>
              <w:tl2br w:val="nil"/>
              <w:tr2bl w:val="nil"/>
            </w:tcBorders>
            <w:shd w:val="solid" w:color="016794" w:fill="FFFFFF"/>
            <w:tcMar>
              <w:left w:w="60" w:type="dxa"/>
              <w:right w:w="60" w:type="dxa"/>
            </w:tcMar>
            <w:vAlign w:val="center"/>
          </w:tcPr>
          <w:p>
            <w:pPr>
              <w:pStyle w:val="DMETW36745BIPOComm"/>
              <w:jc w:val="right"/>
              <w:rPr>
                <w:rFonts w:ascii="Verdana" w:eastAsia="Verdana" w:hAnsi="Verdana" w:cs="Verdana"/>
                <w:noProof/>
                <w:color w:val="FFFFFF"/>
                <w:lang w:bidi="en-GB"/>
              </w:rPr>
            </w:pPr>
          </w:p>
        </w:tc>
      </w:tr>
      <w:tr>
        <w:trPr>
          <w:trHeight w:hRule="exact" w:val="255"/>
        </w:trPr>
        <w:tc>
          <w:tcPr>
            <w:tcW w:w="7856" w:type="dxa"/>
            <w:tcBorders>
              <w:top w:val="single" w:sz="12" w:space="0" w:color="016794"/>
              <w:left w:val="nil"/>
              <w:bottom w:val="nil"/>
              <w:right w:val="nil"/>
              <w:tl2br w:val="nil"/>
              <w:tr2bl w:val="nil"/>
            </w:tcBorders>
            <w:shd w:val="solid" w:color="FFFFFF" w:fill="FFFFFF"/>
            <w:tcMar>
              <w:left w:w="60" w:type="dxa"/>
              <w:right w:w="60" w:type="dxa"/>
            </w:tcMar>
            <w:vAlign w:val="center"/>
          </w:tcPr>
          <w:p>
            <w:pPr>
              <w:pStyle w:val="DMETW36745BIPOComm"/>
              <w:rPr>
                <w:rFonts w:ascii="Verdana" w:eastAsia="Verdana" w:hAnsi="Verdana" w:cs="Verdana"/>
                <w:b/>
                <w:noProof/>
                <w:color w:val="000000"/>
                <w:sz w:val="18"/>
              </w:rPr>
            </w:pPr>
            <w:r>
              <w:rPr>
                <w:rFonts w:ascii="Verdana" w:hAnsi="Verdana"/>
                <w:b/>
                <w:noProof/>
                <w:color w:val="000000"/>
                <w:sz w:val="18"/>
              </w:rPr>
              <w:t>Montant dû par le Royaume-Uni au 31.12.2024</w:t>
            </w:r>
          </w:p>
        </w:tc>
        <w:tc>
          <w:tcPr>
            <w:tcW w:w="1902" w:type="dxa"/>
            <w:tcBorders>
              <w:top w:val="single" w:sz="12" w:space="0" w:color="016794"/>
              <w:left w:val="nil"/>
              <w:bottom w:val="nil"/>
              <w:right w:val="nil"/>
              <w:tl2br w:val="nil"/>
              <w:tr2bl w:val="nil"/>
            </w:tcBorders>
            <w:tcMar>
              <w:left w:w="60" w:type="dxa"/>
              <w:right w:w="60" w:type="dxa"/>
            </w:tcMar>
            <w:vAlign w:val="center"/>
          </w:tcPr>
          <w:p>
            <w:pPr>
              <w:pStyle w:val="DMETW36745BIPOComm"/>
              <w:jc w:val="right"/>
              <w:rPr>
                <w:rFonts w:ascii="Verdana" w:eastAsia="Verdana" w:hAnsi="Verdana" w:cs="Verdana"/>
                <w:b/>
                <w:noProof/>
                <w:color w:val="000000"/>
                <w:sz w:val="18"/>
              </w:rPr>
            </w:pPr>
            <w:r>
              <w:rPr>
                <w:rFonts w:ascii="Verdana" w:hAnsi="Verdana"/>
                <w:b/>
                <w:noProof/>
                <w:color w:val="000000"/>
                <w:sz w:val="18"/>
              </w:rPr>
              <w:t>4 432</w:t>
            </w:r>
          </w:p>
        </w:tc>
      </w:tr>
      <w:tr>
        <w:trPr>
          <w:trHeight w:hRule="exact" w:val="255"/>
        </w:trPr>
        <w:tc>
          <w:tcPr>
            <w:tcW w:w="7856" w:type="dxa"/>
            <w:tcBorders>
              <w:top w:val="nil"/>
              <w:left w:val="nil"/>
              <w:bottom w:val="single" w:sz="12" w:space="0" w:color="016794"/>
              <w:right w:val="nil"/>
              <w:tl2br w:val="nil"/>
              <w:tr2bl w:val="nil"/>
            </w:tcBorders>
            <w:shd w:val="solid" w:color="FFFFFF" w:fill="FFFFFF"/>
            <w:tcMar>
              <w:left w:w="60" w:type="dxa"/>
              <w:right w:w="60" w:type="dxa"/>
            </w:tcMar>
            <w:vAlign w:val="center"/>
          </w:tcPr>
          <w:p>
            <w:pPr>
              <w:pStyle w:val="DMETW36745BIPOComm"/>
              <w:rPr>
                <w:rFonts w:ascii="Verdana" w:eastAsia="Verdana" w:hAnsi="Verdana" w:cs="Verdana"/>
                <w:i/>
                <w:noProof/>
                <w:color w:val="000000"/>
                <w:sz w:val="18"/>
              </w:rPr>
            </w:pPr>
            <w:r>
              <w:rPr>
                <w:rFonts w:ascii="Verdana" w:hAnsi="Verdana"/>
                <w:i/>
                <w:noProof/>
                <w:color w:val="000000"/>
                <w:sz w:val="18"/>
              </w:rPr>
              <w:t>Corrections financières nettes liées à la période 2014--2020 ou aux périodes de programmation précédentes</w:t>
            </w:r>
          </w:p>
          <w:p>
            <w:pPr>
              <w:pStyle w:val="DMETW36745BIPOComm"/>
              <w:rPr>
                <w:rFonts w:ascii="Verdana" w:eastAsia="Verdana" w:hAnsi="Verdana" w:cs="Verdana"/>
                <w:i/>
                <w:noProof/>
                <w:color w:val="000000"/>
                <w:sz w:val="18"/>
              </w:rPr>
            </w:pPr>
            <w:r>
              <w:rPr>
                <w:rFonts w:ascii="Verdana" w:hAnsi="Verdana"/>
                <w:i/>
                <w:noProof/>
                <w:color w:val="000000"/>
                <w:sz w:val="18"/>
              </w:rPr>
              <w:t>(y compris l’ajustement des déductions de 2025)</w:t>
            </w:r>
          </w:p>
        </w:tc>
        <w:tc>
          <w:tcPr>
            <w:tcW w:w="1902" w:type="dxa"/>
            <w:tcBorders>
              <w:top w:val="nil"/>
              <w:left w:val="nil"/>
              <w:bottom w:val="single" w:sz="12" w:space="0" w:color="016794"/>
              <w:right w:val="nil"/>
              <w:tl2br w:val="nil"/>
              <w:tr2bl w:val="nil"/>
            </w:tcBorders>
            <w:tcMar>
              <w:left w:w="60" w:type="dxa"/>
              <w:right w:w="60" w:type="dxa"/>
            </w:tcMar>
            <w:vAlign w:val="center"/>
          </w:tcPr>
          <w:p>
            <w:pPr>
              <w:pStyle w:val="DMETW36745BIPOComm"/>
              <w:jc w:val="right"/>
              <w:rPr>
                <w:rFonts w:ascii="Verdana" w:eastAsia="Verdana" w:hAnsi="Verdana" w:cs="Verdana"/>
                <w:i/>
                <w:noProof/>
                <w:color w:val="000000"/>
                <w:sz w:val="18"/>
              </w:rPr>
            </w:pPr>
            <w:r>
              <w:rPr>
                <w:rFonts w:ascii="Verdana" w:hAnsi="Verdana"/>
                <w:i/>
                <w:noProof/>
                <w:color w:val="000000"/>
                <w:sz w:val="18"/>
              </w:rPr>
              <w:t xml:space="preserve"> (58)</w:t>
            </w:r>
          </w:p>
        </w:tc>
      </w:tr>
      <w:tr>
        <w:trPr>
          <w:trHeight w:hRule="exact" w:val="255"/>
        </w:trPr>
        <w:tc>
          <w:tcPr>
            <w:tcW w:w="7856" w:type="dxa"/>
            <w:tcBorders>
              <w:top w:val="single" w:sz="12" w:space="0" w:color="016794"/>
              <w:left w:val="nil"/>
              <w:bottom w:val="single" w:sz="12" w:space="0" w:color="016794"/>
              <w:right w:val="nil"/>
              <w:tl2br w:val="nil"/>
              <w:tr2bl w:val="nil"/>
            </w:tcBorders>
            <w:shd w:val="solid" w:color="FFFFFF" w:fill="FFFFFF"/>
            <w:tcMar>
              <w:left w:w="60" w:type="dxa"/>
              <w:right w:w="60" w:type="dxa"/>
            </w:tcMar>
            <w:vAlign w:val="center"/>
          </w:tcPr>
          <w:p>
            <w:pPr>
              <w:pStyle w:val="DMETW36745BIPOComm"/>
              <w:rPr>
                <w:rFonts w:ascii="Verdana" w:eastAsia="Verdana" w:hAnsi="Verdana" w:cs="Verdana"/>
                <w:i/>
                <w:noProof/>
                <w:color w:val="000000"/>
                <w:sz w:val="18"/>
              </w:rPr>
            </w:pPr>
            <w:r>
              <w:rPr>
                <w:rFonts w:ascii="Verdana" w:hAnsi="Verdana"/>
                <w:i/>
                <w:noProof/>
                <w:color w:val="000000"/>
                <w:sz w:val="18"/>
              </w:rPr>
              <w:t>Procédures d’infraction relatives aux ressources propres</w:t>
            </w:r>
          </w:p>
        </w:tc>
        <w:tc>
          <w:tcPr>
            <w:tcW w:w="1902" w:type="dxa"/>
            <w:tcBorders>
              <w:top w:val="single" w:sz="12" w:space="0" w:color="016794"/>
              <w:left w:val="nil"/>
              <w:bottom w:val="single" w:sz="12" w:space="0" w:color="016794"/>
              <w:right w:val="nil"/>
              <w:tl2br w:val="nil"/>
              <w:tr2bl w:val="nil"/>
            </w:tcBorders>
            <w:tcMar>
              <w:left w:w="60" w:type="dxa"/>
              <w:right w:w="60" w:type="dxa"/>
            </w:tcMar>
            <w:vAlign w:val="center"/>
          </w:tcPr>
          <w:p>
            <w:pPr>
              <w:pStyle w:val="DMETW36745BIPOComm"/>
              <w:jc w:val="right"/>
              <w:rPr>
                <w:rFonts w:ascii="Verdana" w:eastAsia="Verdana" w:hAnsi="Verdana" w:cs="Verdana"/>
                <w:i/>
                <w:noProof/>
                <w:color w:val="000000"/>
                <w:sz w:val="18"/>
              </w:rPr>
            </w:pPr>
            <w:r>
              <w:rPr>
                <w:rFonts w:ascii="Verdana" w:hAnsi="Verdana"/>
                <w:i/>
                <w:noProof/>
                <w:color w:val="000000"/>
                <w:sz w:val="18"/>
              </w:rPr>
              <w:t xml:space="preserve"> (0)</w:t>
            </w:r>
          </w:p>
        </w:tc>
      </w:tr>
      <w:tr>
        <w:trPr>
          <w:trHeight w:hRule="exact" w:val="255"/>
        </w:trPr>
        <w:tc>
          <w:tcPr>
            <w:tcW w:w="7856" w:type="dxa"/>
            <w:tcBorders>
              <w:top w:val="single" w:sz="12" w:space="0" w:color="016794"/>
              <w:left w:val="nil"/>
              <w:bottom w:val="single" w:sz="12" w:space="0" w:color="016794"/>
              <w:right w:val="nil"/>
              <w:tl2br w:val="nil"/>
              <w:tr2bl w:val="nil"/>
            </w:tcBorders>
            <w:shd w:val="solid" w:color="FFFFFF" w:fill="FFFFFF"/>
            <w:tcMar>
              <w:left w:w="60" w:type="dxa"/>
              <w:right w:w="60" w:type="dxa"/>
            </w:tcMar>
            <w:vAlign w:val="center"/>
          </w:tcPr>
          <w:p>
            <w:pPr>
              <w:pStyle w:val="DMETW36745BIPOComm"/>
              <w:rPr>
                <w:rFonts w:ascii="Verdana" w:eastAsia="Verdana" w:hAnsi="Verdana" w:cs="Verdana"/>
                <w:i/>
                <w:noProof/>
                <w:color w:val="000000"/>
                <w:sz w:val="18"/>
              </w:rPr>
            </w:pPr>
            <w:r>
              <w:rPr>
                <w:rFonts w:ascii="Verdana" w:hAnsi="Verdana"/>
                <w:i/>
                <w:noProof/>
                <w:color w:val="000000"/>
                <w:sz w:val="18"/>
              </w:rPr>
              <w:t>Paiements nets reçus du Royaume-Uni en 2025</w:t>
            </w:r>
          </w:p>
        </w:tc>
        <w:tc>
          <w:tcPr>
            <w:tcW w:w="1902" w:type="dxa"/>
            <w:tcBorders>
              <w:top w:val="single" w:sz="12" w:space="0" w:color="016794"/>
              <w:left w:val="nil"/>
              <w:bottom w:val="single" w:sz="12" w:space="0" w:color="016794"/>
              <w:right w:val="nil"/>
              <w:tl2br w:val="nil"/>
              <w:tr2bl w:val="nil"/>
            </w:tcBorders>
            <w:tcMar>
              <w:left w:w="60" w:type="dxa"/>
              <w:right w:w="60" w:type="dxa"/>
            </w:tcMar>
            <w:vAlign w:val="center"/>
          </w:tcPr>
          <w:p>
            <w:pPr>
              <w:pStyle w:val="DMETW36745BIPOComm"/>
              <w:jc w:val="right"/>
              <w:rPr>
                <w:rFonts w:ascii="Verdana" w:eastAsia="Verdana" w:hAnsi="Verdana" w:cs="Verdana"/>
                <w:i/>
                <w:noProof/>
                <w:color w:val="000000"/>
                <w:sz w:val="18"/>
              </w:rPr>
            </w:pPr>
            <w:r>
              <w:rPr>
                <w:rFonts w:ascii="Verdana" w:hAnsi="Verdana"/>
                <w:i/>
                <w:noProof/>
                <w:color w:val="000000"/>
                <w:sz w:val="18"/>
              </w:rPr>
              <w:t>(1 963)</w:t>
            </w:r>
          </w:p>
        </w:tc>
      </w:tr>
      <w:tr>
        <w:trPr>
          <w:trHeight w:hRule="exact" w:val="255"/>
        </w:trPr>
        <w:tc>
          <w:tcPr>
            <w:tcW w:w="7856" w:type="dxa"/>
            <w:tcBorders>
              <w:top w:val="single" w:sz="12" w:space="0" w:color="016794"/>
              <w:left w:val="nil"/>
              <w:bottom w:val="single" w:sz="12" w:space="0" w:color="016794"/>
              <w:right w:val="nil"/>
              <w:tl2br w:val="nil"/>
              <w:tr2bl w:val="nil"/>
            </w:tcBorders>
            <w:shd w:val="solid" w:color="FFFFFF" w:fill="FFFFFF"/>
            <w:tcMar>
              <w:left w:w="60" w:type="dxa"/>
              <w:right w:w="60" w:type="dxa"/>
            </w:tcMar>
            <w:vAlign w:val="center"/>
          </w:tcPr>
          <w:p>
            <w:pPr>
              <w:pStyle w:val="DMETW36745BIPOComm"/>
              <w:rPr>
                <w:rFonts w:ascii="Verdana" w:eastAsia="Verdana" w:hAnsi="Verdana" w:cs="Verdana"/>
                <w:i/>
                <w:noProof/>
                <w:color w:val="000000"/>
                <w:sz w:val="18"/>
              </w:rPr>
            </w:pPr>
            <w:r>
              <w:rPr>
                <w:rFonts w:ascii="Verdana" w:hAnsi="Verdana"/>
                <w:i/>
                <w:noProof/>
                <w:color w:val="000000"/>
                <w:sz w:val="18"/>
              </w:rPr>
              <w:t>Ajustement de la non-exécution estimée</w:t>
            </w:r>
          </w:p>
        </w:tc>
        <w:tc>
          <w:tcPr>
            <w:tcW w:w="1902" w:type="dxa"/>
            <w:tcBorders>
              <w:top w:val="single" w:sz="12" w:space="0" w:color="016794"/>
              <w:left w:val="nil"/>
              <w:bottom w:val="single" w:sz="12" w:space="0" w:color="016794"/>
              <w:right w:val="nil"/>
              <w:tl2br w:val="nil"/>
              <w:tr2bl w:val="nil"/>
            </w:tcBorders>
            <w:tcMar>
              <w:left w:w="60" w:type="dxa"/>
              <w:right w:w="60" w:type="dxa"/>
            </w:tcMar>
            <w:vAlign w:val="center"/>
          </w:tcPr>
          <w:p>
            <w:pPr>
              <w:pStyle w:val="DMETW36745BIPOComm"/>
              <w:jc w:val="right"/>
              <w:rPr>
                <w:rFonts w:ascii="Verdana" w:eastAsia="Verdana" w:hAnsi="Verdana" w:cs="Verdana"/>
                <w:i/>
                <w:noProof/>
                <w:color w:val="000000"/>
                <w:sz w:val="18"/>
              </w:rPr>
            </w:pPr>
            <w:r>
              <w:rPr>
                <w:rFonts w:ascii="Verdana" w:hAnsi="Verdana"/>
                <w:i/>
                <w:noProof/>
                <w:color w:val="000000"/>
                <w:sz w:val="18"/>
              </w:rPr>
              <w:t xml:space="preserve"> (84)</w:t>
            </w:r>
          </w:p>
        </w:tc>
      </w:tr>
      <w:tr>
        <w:trPr>
          <w:trHeight w:hRule="exact" w:val="255"/>
        </w:trPr>
        <w:tc>
          <w:tcPr>
            <w:tcW w:w="7856" w:type="dxa"/>
            <w:tcBorders>
              <w:top w:val="single" w:sz="12" w:space="0" w:color="016794"/>
              <w:left w:val="nil"/>
              <w:bottom w:val="single" w:sz="12" w:space="0" w:color="016794"/>
              <w:right w:val="nil"/>
              <w:tl2br w:val="nil"/>
              <w:tr2bl w:val="nil"/>
            </w:tcBorders>
            <w:shd w:val="solid" w:color="FFFFFF" w:fill="FFFFFF"/>
            <w:tcMar>
              <w:left w:w="60" w:type="dxa"/>
              <w:right w:w="60" w:type="dxa"/>
            </w:tcMar>
            <w:vAlign w:val="center"/>
          </w:tcPr>
          <w:p>
            <w:pPr>
              <w:pStyle w:val="DMETW36745BIPOComm"/>
              <w:rPr>
                <w:rFonts w:ascii="Verdana" w:eastAsia="Verdana" w:hAnsi="Verdana" w:cs="Verdana"/>
                <w:b/>
                <w:noProof/>
                <w:color w:val="000000"/>
                <w:sz w:val="18"/>
              </w:rPr>
            </w:pPr>
            <w:r>
              <w:rPr>
                <w:rFonts w:ascii="Verdana" w:hAnsi="Verdana"/>
                <w:b/>
                <w:noProof/>
                <w:color w:val="000000"/>
                <w:sz w:val="18"/>
              </w:rPr>
              <w:t>Montant dû par le Royaume-Uni au 31.12.2025</w:t>
            </w:r>
          </w:p>
        </w:tc>
        <w:tc>
          <w:tcPr>
            <w:tcW w:w="1902" w:type="dxa"/>
            <w:tcBorders>
              <w:top w:val="single" w:sz="12" w:space="0" w:color="016794"/>
              <w:left w:val="nil"/>
              <w:bottom w:val="single" w:sz="12" w:space="0" w:color="016794"/>
              <w:right w:val="nil"/>
              <w:tl2br w:val="nil"/>
              <w:tr2bl w:val="nil"/>
            </w:tcBorders>
            <w:tcMar>
              <w:left w:w="60" w:type="dxa"/>
              <w:right w:w="60" w:type="dxa"/>
            </w:tcMar>
            <w:vAlign w:val="center"/>
          </w:tcPr>
          <w:p>
            <w:pPr>
              <w:pStyle w:val="DMETW36745BIPOComm"/>
              <w:jc w:val="right"/>
              <w:rPr>
                <w:rFonts w:ascii="Verdana" w:eastAsia="Verdana" w:hAnsi="Verdana" w:cs="Verdana"/>
                <w:b/>
                <w:noProof/>
                <w:color w:val="000000"/>
                <w:sz w:val="18"/>
              </w:rPr>
            </w:pPr>
            <w:r>
              <w:rPr>
                <w:rFonts w:ascii="Verdana" w:hAnsi="Verdana"/>
                <w:b/>
                <w:noProof/>
                <w:color w:val="000000"/>
                <w:sz w:val="18"/>
              </w:rPr>
              <w:t>2 327</w:t>
            </w:r>
          </w:p>
        </w:tc>
      </w:tr>
      <w:tr>
        <w:trPr>
          <w:trHeight w:hRule="exact" w:val="255"/>
        </w:trPr>
        <w:tc>
          <w:tcPr>
            <w:tcW w:w="7856" w:type="dxa"/>
            <w:tcBorders>
              <w:top w:val="single" w:sz="12" w:space="0" w:color="016794"/>
              <w:left w:val="nil"/>
              <w:bottom w:val="nil"/>
              <w:right w:val="nil"/>
              <w:tl2br w:val="nil"/>
              <w:tr2bl w:val="nil"/>
            </w:tcBorders>
            <w:shd w:val="solid" w:color="FFFFFF" w:fill="FFFFFF"/>
            <w:tcMar>
              <w:left w:w="60" w:type="dxa"/>
              <w:right w:w="60" w:type="dxa"/>
            </w:tcMar>
            <w:vAlign w:val="center"/>
          </w:tcPr>
          <w:p>
            <w:pPr>
              <w:pStyle w:val="DMETW36745BIPOComm"/>
              <w:rPr>
                <w:rFonts w:ascii="Verdana" w:eastAsia="Verdana" w:hAnsi="Verdana" w:cs="Verdana"/>
                <w:i/>
                <w:noProof/>
                <w:color w:val="016794"/>
                <w:sz w:val="18"/>
              </w:rPr>
            </w:pPr>
            <w:r>
              <w:rPr>
                <w:rFonts w:ascii="Verdana" w:hAnsi="Verdana"/>
                <w:i/>
                <w:noProof/>
                <w:color w:val="016794"/>
                <w:sz w:val="18"/>
              </w:rPr>
              <w:t>Non courant</w:t>
            </w:r>
          </w:p>
        </w:tc>
        <w:tc>
          <w:tcPr>
            <w:tcW w:w="1902" w:type="dxa"/>
            <w:tcBorders>
              <w:top w:val="single" w:sz="12" w:space="0" w:color="016794"/>
              <w:left w:val="nil"/>
              <w:bottom w:val="nil"/>
              <w:right w:val="nil"/>
              <w:tl2br w:val="nil"/>
              <w:tr2bl w:val="nil"/>
            </w:tcBorders>
            <w:tcMar>
              <w:left w:w="60" w:type="dxa"/>
              <w:right w:w="60" w:type="dxa"/>
            </w:tcMar>
            <w:vAlign w:val="center"/>
          </w:tcPr>
          <w:p>
            <w:pPr>
              <w:pStyle w:val="DMETW36745BIPOComm"/>
              <w:jc w:val="right"/>
              <w:rPr>
                <w:rFonts w:ascii="Verdana" w:eastAsia="Verdana" w:hAnsi="Verdana" w:cs="Verdana"/>
                <w:i/>
                <w:noProof/>
                <w:color w:val="016794"/>
                <w:sz w:val="18"/>
              </w:rPr>
            </w:pPr>
            <w:r>
              <w:rPr>
                <w:rFonts w:ascii="Verdana" w:hAnsi="Verdana"/>
                <w:i/>
                <w:noProof/>
                <w:color w:val="016794"/>
                <w:sz w:val="18"/>
              </w:rPr>
              <w:t>1 928</w:t>
            </w:r>
          </w:p>
        </w:tc>
      </w:tr>
      <w:tr>
        <w:trPr>
          <w:trHeight w:hRule="exact" w:val="290"/>
        </w:trPr>
        <w:tc>
          <w:tcPr>
            <w:tcW w:w="7856" w:type="dxa"/>
            <w:tcBorders>
              <w:top w:val="nil"/>
              <w:left w:val="nil"/>
              <w:bottom w:val="nil"/>
              <w:right w:val="nil"/>
              <w:tl2br w:val="nil"/>
              <w:tr2bl w:val="nil"/>
            </w:tcBorders>
            <w:shd w:val="solid" w:color="FFFFFF" w:fill="FFFFFF"/>
            <w:tcMar>
              <w:left w:w="60" w:type="dxa"/>
              <w:right w:w="60" w:type="dxa"/>
            </w:tcMar>
            <w:vAlign w:val="center"/>
          </w:tcPr>
          <w:p>
            <w:pPr>
              <w:pStyle w:val="DMETW36745BIPOComm"/>
              <w:rPr>
                <w:rFonts w:ascii="Verdana" w:eastAsia="Verdana" w:hAnsi="Verdana" w:cs="Verdana"/>
                <w:i/>
                <w:noProof/>
                <w:color w:val="016794"/>
                <w:sz w:val="18"/>
              </w:rPr>
            </w:pPr>
            <w:r>
              <w:rPr>
                <w:rFonts w:ascii="Verdana" w:hAnsi="Verdana"/>
                <w:i/>
                <w:noProof/>
                <w:color w:val="016794"/>
                <w:sz w:val="18"/>
              </w:rPr>
              <w:t>Courant</w:t>
            </w:r>
          </w:p>
        </w:tc>
        <w:tc>
          <w:tcPr>
            <w:tcW w:w="1902" w:type="dxa"/>
            <w:tcBorders>
              <w:top w:val="nil"/>
              <w:left w:val="nil"/>
              <w:bottom w:val="nil"/>
              <w:right w:val="nil"/>
              <w:tl2br w:val="nil"/>
              <w:tr2bl w:val="nil"/>
            </w:tcBorders>
            <w:tcMar>
              <w:left w:w="60" w:type="dxa"/>
              <w:right w:w="60" w:type="dxa"/>
            </w:tcMar>
            <w:vAlign w:val="center"/>
          </w:tcPr>
          <w:p>
            <w:pPr>
              <w:pStyle w:val="DMETW36745BIPOComm"/>
              <w:jc w:val="right"/>
              <w:rPr>
                <w:rFonts w:ascii="Verdana" w:eastAsia="Verdana" w:hAnsi="Verdana" w:cs="Verdana"/>
                <w:i/>
                <w:noProof/>
                <w:color w:val="016794"/>
                <w:sz w:val="18"/>
              </w:rPr>
            </w:pPr>
            <w:r>
              <w:rPr>
                <w:rFonts w:ascii="Verdana" w:hAnsi="Verdana"/>
                <w:i/>
                <w:noProof/>
                <w:color w:val="016794"/>
                <w:sz w:val="18"/>
              </w:rPr>
              <w:t xml:space="preserve"> 399</w:t>
            </w:r>
          </w:p>
        </w:tc>
      </w:tr>
    </w:tbl>
    <w:p>
      <w:pPr>
        <w:pStyle w:val="DGTextstand-alone"/>
      </w:pPr>
      <w:r>
        <w:t>La diminution annuelle du montant total comptabilisé en tant que créance à recevoir s’élevait à 2,104 milliards d’EUR (contre 3,909 milliards d’EUR en 2024) et s’expliquait principalement par les paiements reçus du Royaume-Uni en 2025.</w:t>
      </w:r>
    </w:p>
    <w:p>
      <w:pPr>
        <w:pStyle w:val="DGTextstand-alone"/>
      </w:pPr>
      <w:r>
        <w:t>Le montant à payer dans les 12 mois suivant la date de clôture (399 millions d’EUR) comprend le solde restant de la facture de septembre 2025 (406,5 millions d’EUR), payable par le Royaume-Uni au cours de la période allant de janvier à mai 2026, le montant facturé en avril 2026 (136,3 millions d’EUR, dont un ajustement prévu de 27,9 millions d’EUR), payable au Royaume-Uni au cours de la période allant de juin à septembre 2026 et la part du montant estimé à facturer en septembre 2026, payable par le Royaume-Uni au cours de la période allant d’octobre à décembre 2026 (128,9 millions d’EUR).</w:t>
      </w:r>
    </w:p>
    <w:p>
      <w:pPr>
        <w:pStyle w:val="DGTextstand-alone"/>
      </w:pPr>
      <w:r>
        <w:t>Le montant facturé en avril 2026 se compose de 200,6 millions d’EUR relatifs à la part du Royaume-Uni dans l’exécution du RAL estimée en 2026, d’un montant négatif de 336,4 millions d’EUR (dont un ajustement prévu de 27,9 millions d’EUR) lié à l’ajustement de la part du Royaume-Uni dans l’exécution du RAL en 2025, et d’un montant négatif de 0,5 million d’EUR lié aux procédures d’infraction relatives aux ressources propres.</w:t>
      </w:r>
    </w:p>
    <w:p>
      <w:pPr>
        <w:pStyle w:val="DGTextstand-alone"/>
      </w:pPr>
      <w:r>
        <w:t>Le montant estimé à facturer en septembre 2026 et à payer au cours de la période allant d’octobre à décembre 2026 se compose de 150,4 millions d’EUR correspondant à la part du Royaume-Uni dans l’exécution du RAL estimée en 2026 et d’un montant négatif de 21,6 millions d’EUR relatifs à la part du Royaume-Uni dans les corrections financières nettes estimées liées à la période 2014-2020 ou aux périodes de programmation précédentes (y compris l’ajustement des déductions de 2025).</w:t>
      </w:r>
    </w:p>
    <w:p>
      <w:pPr>
        <w:pStyle w:val="DGTextstand-alone"/>
        <w:rPr>
          <w:color w:val="FF0000"/>
        </w:rPr>
      </w:pPr>
      <w:r>
        <w:t>La non-exécution estimée a été ajustée de 84 millions d’EUR afin de tenir compte des dégagements réalisés en 2025 ainsi que des futurs dégagements du solde de RAL lié au Brexit tels qu’estimés à la fin de l’exercice 2025.</w:t>
      </w:r>
    </w:p>
    <w:p>
      <w:pPr>
        <w:pStyle w:val="Textstand-alone"/>
        <w:rPr>
          <w:color w:val="016794"/>
        </w:rPr>
      </w:pPr>
      <w:r>
        <w:rPr>
          <w:color w:val="016794"/>
        </w:rPr>
        <w:t>Article 142 – Passifs de l’Union à la fin 2020</w:t>
      </w:r>
    </w:p>
    <w:p>
      <w:pPr>
        <w:pStyle w:val="DGTextstand-alone"/>
        <w:spacing w:after="120"/>
      </w:pPr>
      <w:r>
        <w:t>Le Royaume-Uni s’est engagé à payer à l’UE sa part des passifs de l’Union à la fin de 2020, à l’exception de ce qui suit: a) les passifs et les actifs correspondants et b) les passifs liés au fonctionnement du budget et à la gestion des ressources propres (y compris les montants déjà couverts par les engagements restant à liquider, voir article 140 ci-dessus). En l’occurrence, le montant principal concerne les passifs de l’UE liés aux avantages postérieurs à l’emploi (pensions et assurance maladie) existant au 31 décembre 2020.</w:t>
      </w:r>
    </w:p>
    <w:p>
      <w:pPr>
        <w:rPr>
          <w:rFonts w:ascii="Verdana" w:hAnsi="Verdana"/>
          <w:noProof/>
          <w:sz w:val="18"/>
          <w:szCs w:val="18"/>
        </w:rPr>
      </w:pPr>
      <w:r>
        <w:rPr>
          <w:noProof/>
        </w:rPr>
        <w:br w:type="page"/>
      </w:r>
    </w:p>
    <w:p>
      <w:pPr>
        <w:pStyle w:val="Textstand-alone"/>
        <w:spacing w:after="0"/>
        <w:rPr>
          <w:i/>
          <w:color w:val="016794"/>
        </w:rPr>
      </w:pPr>
      <w:r>
        <w:rPr>
          <w:i/>
          <w:color w:val="016794"/>
        </w:rPr>
        <w:lastRenderedPageBreak/>
        <w:t>Encours des passifs de 2020 au titre de l’article 142, paragraphe 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40"/>
        <w:gridCol w:w="1523"/>
        <w:gridCol w:w="1523"/>
        <w:gridCol w:w="1523"/>
        <w:gridCol w:w="1249"/>
      </w:tblGrid>
      <w:tr>
        <w:trPr>
          <w:trHeight w:val="255"/>
        </w:trPr>
        <w:tc>
          <w:tcPr>
            <w:tcW w:w="3940" w:type="dxa"/>
            <w:tcBorders>
              <w:top w:val="nil"/>
              <w:left w:val="nil"/>
              <w:bottom w:val="nil"/>
              <w:right w:val="nil"/>
              <w:tl2br w:val="nil"/>
              <w:tr2bl w:val="nil"/>
            </w:tcBorders>
            <w:tcMar>
              <w:left w:w="60" w:type="dxa"/>
              <w:right w:w="60" w:type="dxa"/>
            </w:tcMar>
            <w:vAlign w:val="bottom"/>
          </w:tcPr>
          <w:p>
            <w:pPr>
              <w:pStyle w:val="DMETW36745BIPUliab"/>
              <w:rPr>
                <w:rFonts w:ascii="Arial" w:eastAsia="Arial" w:hAnsi="Arial" w:cs="Arial"/>
                <w:noProof/>
                <w:color w:val="000000"/>
              </w:rPr>
            </w:pPr>
            <w:bookmarkStart w:id="129" w:name="DOC_TBL00036_1_1"/>
            <w:bookmarkEnd w:id="129"/>
          </w:p>
        </w:tc>
        <w:tc>
          <w:tcPr>
            <w:tcW w:w="1523" w:type="dxa"/>
            <w:tcBorders>
              <w:top w:val="nil"/>
              <w:left w:val="nil"/>
              <w:bottom w:val="nil"/>
              <w:right w:val="nil"/>
              <w:tl2br w:val="nil"/>
              <w:tr2bl w:val="nil"/>
            </w:tcBorders>
            <w:tcMar>
              <w:left w:w="60" w:type="dxa"/>
              <w:right w:w="60" w:type="dxa"/>
            </w:tcMar>
            <w:vAlign w:val="bottom"/>
          </w:tcPr>
          <w:p>
            <w:pPr>
              <w:pStyle w:val="DMETW36745BIPUliab"/>
              <w:rPr>
                <w:rFonts w:ascii="Arial" w:eastAsia="Arial" w:hAnsi="Arial" w:cs="Arial"/>
                <w:noProof/>
                <w:color w:val="000000"/>
              </w:rPr>
            </w:pPr>
          </w:p>
        </w:tc>
        <w:tc>
          <w:tcPr>
            <w:tcW w:w="1523" w:type="dxa"/>
            <w:tcBorders>
              <w:top w:val="nil"/>
              <w:left w:val="nil"/>
              <w:bottom w:val="nil"/>
              <w:right w:val="nil"/>
              <w:tl2br w:val="nil"/>
              <w:tr2bl w:val="nil"/>
            </w:tcBorders>
            <w:tcMar>
              <w:left w:w="60" w:type="dxa"/>
              <w:right w:w="60" w:type="dxa"/>
            </w:tcMar>
            <w:vAlign w:val="bottom"/>
          </w:tcPr>
          <w:p>
            <w:pPr>
              <w:pStyle w:val="DMETW36745BIPUliab"/>
              <w:rPr>
                <w:rFonts w:cs="Calibri"/>
                <w:noProof/>
                <w:color w:val="000000"/>
                <w:sz w:val="22"/>
              </w:rPr>
            </w:pPr>
          </w:p>
        </w:tc>
        <w:tc>
          <w:tcPr>
            <w:tcW w:w="1523" w:type="dxa"/>
            <w:tcBorders>
              <w:top w:val="nil"/>
              <w:left w:val="nil"/>
              <w:bottom w:val="nil"/>
              <w:right w:val="nil"/>
              <w:tl2br w:val="nil"/>
              <w:tr2bl w:val="nil"/>
            </w:tcBorders>
            <w:tcMar>
              <w:left w:w="60" w:type="dxa"/>
              <w:right w:w="60" w:type="dxa"/>
            </w:tcMar>
            <w:vAlign w:val="bottom"/>
          </w:tcPr>
          <w:p>
            <w:pPr>
              <w:pStyle w:val="DMETW36745BIPUliab"/>
              <w:jc w:val="right"/>
              <w:rPr>
                <w:rFonts w:ascii="Verdana" w:eastAsia="Verdana" w:hAnsi="Verdana" w:cs="Verdana"/>
                <w:b/>
                <w:noProof/>
                <w:color w:val="000000"/>
                <w:sz w:val="18"/>
              </w:rPr>
            </w:pPr>
          </w:p>
        </w:tc>
        <w:tc>
          <w:tcPr>
            <w:tcW w:w="1249" w:type="dxa"/>
            <w:tcBorders>
              <w:top w:val="nil"/>
              <w:left w:val="nil"/>
              <w:bottom w:val="nil"/>
              <w:right w:val="nil"/>
              <w:tl2br w:val="nil"/>
              <w:tr2bl w:val="nil"/>
            </w:tcBorders>
            <w:tcMar>
              <w:left w:w="60" w:type="dxa"/>
              <w:right w:w="60" w:type="dxa"/>
            </w:tcMar>
            <w:vAlign w:val="bottom"/>
          </w:tcPr>
          <w:p>
            <w:pPr>
              <w:pStyle w:val="DMETW36745BIPUliab"/>
              <w:jc w:val="right"/>
              <w:rPr>
                <w:rFonts w:ascii="Verdana" w:eastAsia="Verdana" w:hAnsi="Verdana" w:cs="Verdana"/>
                <w:i/>
                <w:noProof/>
                <w:color w:val="000000"/>
                <w:sz w:val="16"/>
              </w:rPr>
            </w:pPr>
            <w:r>
              <w:rPr>
                <w:rFonts w:ascii="Verdana" w:hAnsi="Verdana"/>
                <w:i/>
                <w:noProof/>
                <w:color w:val="000000"/>
                <w:sz w:val="16"/>
              </w:rPr>
              <w:t>en Mio EUR</w:t>
            </w:r>
          </w:p>
        </w:tc>
      </w:tr>
      <w:tr>
        <w:trPr>
          <w:trHeight w:val="255"/>
        </w:trPr>
        <w:tc>
          <w:tcPr>
            <w:tcW w:w="3940" w:type="dxa"/>
            <w:tcBorders>
              <w:top w:val="nil"/>
              <w:left w:val="nil"/>
              <w:bottom w:val="nil"/>
              <w:right w:val="nil"/>
              <w:tl2br w:val="nil"/>
              <w:tr2bl w:val="nil"/>
            </w:tcBorders>
            <w:shd w:val="solid" w:color="016794" w:fill="FFFFFF"/>
            <w:tcMar>
              <w:left w:w="60" w:type="dxa"/>
              <w:right w:w="60" w:type="dxa"/>
            </w:tcMar>
            <w:vAlign w:val="center"/>
          </w:tcPr>
          <w:p>
            <w:pPr>
              <w:pStyle w:val="DMETW36745BIPUliab"/>
              <w:jc w:val="center"/>
              <w:rPr>
                <w:rFonts w:ascii="Verdana" w:eastAsia="Verdana" w:hAnsi="Verdana" w:cs="Verdana"/>
                <w:noProof/>
                <w:color w:val="FFFFFF"/>
              </w:rPr>
            </w:pPr>
          </w:p>
        </w:tc>
        <w:tc>
          <w:tcPr>
            <w:tcW w:w="1523" w:type="dxa"/>
            <w:tcBorders>
              <w:top w:val="nil"/>
              <w:left w:val="nil"/>
              <w:bottom w:val="nil"/>
              <w:right w:val="nil"/>
              <w:tl2br w:val="nil"/>
              <w:tr2bl w:val="nil"/>
            </w:tcBorders>
            <w:shd w:val="solid" w:color="016794" w:fill="FFFFFF"/>
            <w:tcMar>
              <w:left w:w="60" w:type="dxa"/>
              <w:right w:w="60" w:type="dxa"/>
            </w:tcMar>
            <w:vAlign w:val="center"/>
          </w:tcPr>
          <w:p>
            <w:pPr>
              <w:pStyle w:val="DMETW36745BIPUliab"/>
              <w:jc w:val="right"/>
              <w:rPr>
                <w:rFonts w:ascii="Verdana" w:eastAsia="Verdana" w:hAnsi="Verdana" w:cs="Verdana"/>
                <w:noProof/>
                <w:color w:val="FFFFFF"/>
                <w:sz w:val="16"/>
              </w:rPr>
            </w:pPr>
            <w:r>
              <w:rPr>
                <w:rFonts w:ascii="Verdana" w:hAnsi="Verdana"/>
                <w:noProof/>
                <w:color w:val="FFFFFF"/>
                <w:sz w:val="16"/>
              </w:rPr>
              <w:t>Régime de pension des fonctionnaires européens</w:t>
            </w:r>
          </w:p>
        </w:tc>
        <w:tc>
          <w:tcPr>
            <w:tcW w:w="1523" w:type="dxa"/>
            <w:tcBorders>
              <w:top w:val="nil"/>
              <w:left w:val="nil"/>
              <w:bottom w:val="nil"/>
              <w:right w:val="nil"/>
              <w:tl2br w:val="nil"/>
              <w:tr2bl w:val="nil"/>
            </w:tcBorders>
            <w:shd w:val="solid" w:color="016794" w:fill="FFFFFF"/>
            <w:tcMar>
              <w:left w:w="60" w:type="dxa"/>
              <w:right w:w="60" w:type="dxa"/>
            </w:tcMar>
            <w:vAlign w:val="center"/>
          </w:tcPr>
          <w:p>
            <w:pPr>
              <w:pStyle w:val="DMETW36745BIPUliab"/>
              <w:jc w:val="right"/>
              <w:rPr>
                <w:rFonts w:ascii="Verdana" w:eastAsia="Verdana" w:hAnsi="Verdana" w:cs="Verdana"/>
                <w:noProof/>
                <w:color w:val="FFFFFF"/>
                <w:sz w:val="16"/>
              </w:rPr>
            </w:pPr>
            <w:r>
              <w:rPr>
                <w:rFonts w:ascii="Verdana" w:hAnsi="Verdana"/>
                <w:noProof/>
                <w:color w:val="FFFFFF"/>
                <w:sz w:val="16"/>
              </w:rPr>
              <w:t>Régime commun d’assurance maladie</w:t>
            </w:r>
          </w:p>
        </w:tc>
        <w:tc>
          <w:tcPr>
            <w:tcW w:w="1523" w:type="dxa"/>
            <w:tcBorders>
              <w:top w:val="nil"/>
              <w:left w:val="nil"/>
              <w:bottom w:val="nil"/>
              <w:right w:val="nil"/>
              <w:tl2br w:val="nil"/>
              <w:tr2bl w:val="nil"/>
            </w:tcBorders>
            <w:shd w:val="solid" w:color="016794" w:fill="FFFFFF"/>
            <w:tcMar>
              <w:left w:w="60" w:type="dxa"/>
              <w:right w:w="60" w:type="dxa"/>
            </w:tcMar>
            <w:vAlign w:val="center"/>
          </w:tcPr>
          <w:p>
            <w:pPr>
              <w:pStyle w:val="DMETW36745BIPUliab"/>
              <w:jc w:val="right"/>
              <w:rPr>
                <w:rFonts w:ascii="Verdana" w:eastAsia="Verdana" w:hAnsi="Verdana" w:cs="Verdana"/>
                <w:noProof/>
                <w:color w:val="FFFFFF"/>
                <w:sz w:val="16"/>
              </w:rPr>
            </w:pPr>
            <w:r>
              <w:rPr>
                <w:rFonts w:ascii="Verdana" w:hAnsi="Verdana"/>
                <w:noProof/>
                <w:color w:val="FFFFFF"/>
                <w:sz w:val="16"/>
              </w:rPr>
              <w:t>31.12.2025</w:t>
            </w:r>
          </w:p>
        </w:tc>
        <w:tc>
          <w:tcPr>
            <w:tcW w:w="1249" w:type="dxa"/>
            <w:tcBorders>
              <w:top w:val="nil"/>
              <w:left w:val="nil"/>
              <w:bottom w:val="nil"/>
              <w:right w:val="nil"/>
              <w:tl2br w:val="nil"/>
              <w:tr2bl w:val="nil"/>
            </w:tcBorders>
            <w:shd w:val="solid" w:color="016794" w:fill="FFFFFF"/>
            <w:tcMar>
              <w:left w:w="60" w:type="dxa"/>
              <w:right w:w="60" w:type="dxa"/>
            </w:tcMar>
            <w:vAlign w:val="center"/>
          </w:tcPr>
          <w:p>
            <w:pPr>
              <w:pStyle w:val="DMETW36745BIPUliab"/>
              <w:jc w:val="right"/>
              <w:rPr>
                <w:rFonts w:ascii="Verdana" w:eastAsia="Verdana" w:hAnsi="Verdana" w:cs="Verdana"/>
                <w:noProof/>
                <w:color w:val="FFFFFF"/>
                <w:sz w:val="16"/>
              </w:rPr>
            </w:pPr>
            <w:r>
              <w:rPr>
                <w:rFonts w:ascii="Verdana" w:hAnsi="Verdana"/>
                <w:noProof/>
                <w:color w:val="FFFFFF"/>
                <w:sz w:val="16"/>
              </w:rPr>
              <w:t>31.12.2024</w:t>
            </w:r>
          </w:p>
        </w:tc>
      </w:tr>
      <w:tr>
        <w:trPr>
          <w:trHeight w:val="255"/>
        </w:trPr>
        <w:tc>
          <w:tcPr>
            <w:tcW w:w="3940" w:type="dxa"/>
            <w:tcBorders>
              <w:top w:val="nil"/>
              <w:left w:val="nil"/>
              <w:bottom w:val="nil"/>
              <w:right w:val="nil"/>
              <w:tl2br w:val="nil"/>
              <w:tr2bl w:val="nil"/>
            </w:tcBorders>
            <w:tcMar>
              <w:left w:w="60" w:type="dxa"/>
              <w:right w:w="60" w:type="dxa"/>
            </w:tcMar>
            <w:vAlign w:val="center"/>
          </w:tcPr>
          <w:p>
            <w:pPr>
              <w:pStyle w:val="DMETW36745BIPUliab"/>
              <w:rPr>
                <w:rFonts w:ascii="Verdana" w:eastAsia="Verdana" w:hAnsi="Verdana" w:cs="Verdana"/>
                <w:i/>
                <w:noProof/>
                <w:color w:val="000000"/>
                <w:sz w:val="18"/>
              </w:rPr>
            </w:pPr>
            <w:r>
              <w:rPr>
                <w:rFonts w:ascii="Verdana" w:hAnsi="Verdana"/>
                <w:i/>
                <w:noProof/>
                <w:color w:val="000000"/>
                <w:sz w:val="18"/>
              </w:rPr>
              <w:t>Encours des passifs de 2020</w:t>
            </w:r>
          </w:p>
        </w:tc>
        <w:tc>
          <w:tcPr>
            <w:tcW w:w="1523" w:type="dxa"/>
            <w:tcBorders>
              <w:top w:val="nil"/>
              <w:left w:val="nil"/>
              <w:bottom w:val="nil"/>
              <w:right w:val="nil"/>
              <w:tl2br w:val="nil"/>
              <w:tr2bl w:val="nil"/>
            </w:tcBorders>
            <w:tcMar>
              <w:left w:w="60" w:type="dxa"/>
              <w:right w:w="60" w:type="dxa"/>
            </w:tcMar>
            <w:vAlign w:val="bottom"/>
          </w:tcPr>
          <w:p>
            <w:pPr>
              <w:pStyle w:val="DMETW36745BIPUliab"/>
              <w:jc w:val="right"/>
              <w:rPr>
                <w:rFonts w:ascii="Verdana" w:eastAsia="Verdana" w:hAnsi="Verdana" w:cs="Verdana"/>
                <w:i/>
                <w:noProof/>
                <w:color w:val="000000"/>
                <w:sz w:val="18"/>
              </w:rPr>
            </w:pPr>
            <w:r>
              <w:rPr>
                <w:rFonts w:ascii="Verdana" w:hAnsi="Verdana"/>
                <w:i/>
                <w:noProof/>
                <w:color w:val="000000"/>
                <w:sz w:val="18"/>
              </w:rPr>
              <w:t>68 944</w:t>
            </w:r>
          </w:p>
        </w:tc>
        <w:tc>
          <w:tcPr>
            <w:tcW w:w="1523" w:type="dxa"/>
            <w:tcBorders>
              <w:top w:val="nil"/>
              <w:left w:val="nil"/>
              <w:bottom w:val="nil"/>
              <w:right w:val="nil"/>
              <w:tl2br w:val="nil"/>
              <w:tr2bl w:val="nil"/>
            </w:tcBorders>
            <w:tcMar>
              <w:left w:w="60" w:type="dxa"/>
              <w:right w:w="60" w:type="dxa"/>
            </w:tcMar>
            <w:vAlign w:val="bottom"/>
          </w:tcPr>
          <w:p>
            <w:pPr>
              <w:pStyle w:val="DMETW36745BIPUliab"/>
              <w:jc w:val="right"/>
              <w:rPr>
                <w:rFonts w:ascii="Verdana" w:eastAsia="Verdana" w:hAnsi="Verdana" w:cs="Verdana"/>
                <w:i/>
                <w:noProof/>
                <w:color w:val="000000"/>
                <w:sz w:val="18"/>
              </w:rPr>
            </w:pPr>
            <w:r>
              <w:rPr>
                <w:rFonts w:ascii="Verdana" w:hAnsi="Verdana"/>
                <w:i/>
                <w:noProof/>
                <w:color w:val="000000"/>
                <w:sz w:val="18"/>
              </w:rPr>
              <w:t>4 326</w:t>
            </w:r>
          </w:p>
        </w:tc>
        <w:tc>
          <w:tcPr>
            <w:tcW w:w="1523" w:type="dxa"/>
            <w:tcBorders>
              <w:top w:val="nil"/>
              <w:left w:val="nil"/>
              <w:bottom w:val="nil"/>
              <w:right w:val="nil"/>
              <w:tl2br w:val="nil"/>
              <w:tr2bl w:val="nil"/>
            </w:tcBorders>
            <w:tcMar>
              <w:left w:w="60" w:type="dxa"/>
              <w:right w:w="60" w:type="dxa"/>
            </w:tcMar>
            <w:vAlign w:val="bottom"/>
          </w:tcPr>
          <w:p>
            <w:pPr>
              <w:pStyle w:val="DMETW36745BIPUliab"/>
              <w:jc w:val="right"/>
              <w:rPr>
                <w:rFonts w:ascii="Verdana" w:eastAsia="Verdana" w:hAnsi="Verdana" w:cs="Verdana"/>
                <w:i/>
                <w:noProof/>
                <w:color w:val="000000"/>
                <w:sz w:val="18"/>
              </w:rPr>
            </w:pPr>
            <w:r>
              <w:rPr>
                <w:rFonts w:ascii="Verdana" w:hAnsi="Verdana"/>
                <w:i/>
                <w:noProof/>
                <w:color w:val="000000"/>
                <w:sz w:val="18"/>
              </w:rPr>
              <w:t>73 271</w:t>
            </w:r>
          </w:p>
        </w:tc>
        <w:tc>
          <w:tcPr>
            <w:tcW w:w="1249" w:type="dxa"/>
            <w:tcBorders>
              <w:top w:val="nil"/>
              <w:left w:val="nil"/>
              <w:bottom w:val="nil"/>
              <w:right w:val="nil"/>
              <w:tl2br w:val="nil"/>
              <w:tr2bl w:val="nil"/>
            </w:tcBorders>
            <w:tcMar>
              <w:left w:w="60" w:type="dxa"/>
              <w:right w:w="60" w:type="dxa"/>
            </w:tcMar>
            <w:vAlign w:val="bottom"/>
          </w:tcPr>
          <w:p>
            <w:pPr>
              <w:pStyle w:val="DMETW36745BIPUliab"/>
              <w:jc w:val="right"/>
              <w:rPr>
                <w:rFonts w:ascii="Verdana" w:eastAsia="Verdana" w:hAnsi="Verdana" w:cs="Verdana"/>
                <w:i/>
                <w:noProof/>
                <w:color w:val="000000"/>
                <w:sz w:val="18"/>
              </w:rPr>
            </w:pPr>
            <w:r>
              <w:rPr>
                <w:rFonts w:ascii="Verdana" w:hAnsi="Verdana"/>
                <w:i/>
                <w:noProof/>
                <w:color w:val="000000"/>
                <w:sz w:val="18"/>
              </w:rPr>
              <w:t>77 529</w:t>
            </w:r>
          </w:p>
        </w:tc>
      </w:tr>
      <w:tr>
        <w:trPr>
          <w:trHeight w:val="255"/>
        </w:trPr>
        <w:tc>
          <w:tcPr>
            <w:tcW w:w="3940" w:type="dxa"/>
            <w:tcBorders>
              <w:top w:val="nil"/>
              <w:left w:val="nil"/>
              <w:bottom w:val="single" w:sz="12" w:space="0" w:color="016794"/>
              <w:right w:val="nil"/>
              <w:tl2br w:val="nil"/>
              <w:tr2bl w:val="nil"/>
            </w:tcBorders>
            <w:tcMar>
              <w:left w:w="60" w:type="dxa"/>
              <w:right w:w="60" w:type="dxa"/>
            </w:tcMar>
            <w:vAlign w:val="center"/>
          </w:tcPr>
          <w:p>
            <w:pPr>
              <w:pStyle w:val="DMETW36745BIPUliab"/>
              <w:rPr>
                <w:rFonts w:ascii="Verdana" w:eastAsia="Verdana" w:hAnsi="Verdana" w:cs="Verdana"/>
                <w:b/>
                <w:noProof/>
                <w:color w:val="000000"/>
                <w:sz w:val="18"/>
              </w:rPr>
            </w:pPr>
            <w:r>
              <w:rPr>
                <w:rFonts w:ascii="Verdana" w:hAnsi="Verdana"/>
                <w:b/>
                <w:noProof/>
                <w:color w:val="000000"/>
                <w:sz w:val="18"/>
              </w:rPr>
              <w:t>Part du Royaume-Uni</w:t>
            </w:r>
          </w:p>
        </w:tc>
        <w:tc>
          <w:tcPr>
            <w:tcW w:w="1523" w:type="dxa"/>
            <w:tcBorders>
              <w:top w:val="nil"/>
              <w:left w:val="nil"/>
              <w:bottom w:val="single" w:sz="12" w:space="0" w:color="016794"/>
              <w:right w:val="nil"/>
              <w:tl2br w:val="nil"/>
              <w:tr2bl w:val="nil"/>
            </w:tcBorders>
            <w:tcMar>
              <w:left w:w="60" w:type="dxa"/>
              <w:right w:w="60" w:type="dxa"/>
            </w:tcMar>
            <w:vAlign w:val="bottom"/>
          </w:tcPr>
          <w:p>
            <w:pPr>
              <w:pStyle w:val="DMETW36745BIPUliab"/>
              <w:jc w:val="right"/>
              <w:rPr>
                <w:rFonts w:ascii="Verdana" w:eastAsia="Verdana" w:hAnsi="Verdana" w:cs="Verdana"/>
                <w:b/>
                <w:noProof/>
                <w:color w:val="000000"/>
                <w:sz w:val="18"/>
              </w:rPr>
            </w:pPr>
            <w:r>
              <w:rPr>
                <w:rFonts w:ascii="Verdana" w:hAnsi="Verdana"/>
                <w:b/>
                <w:noProof/>
                <w:color w:val="000000"/>
                <w:sz w:val="18"/>
              </w:rPr>
              <w:t>8 571</w:t>
            </w:r>
          </w:p>
        </w:tc>
        <w:tc>
          <w:tcPr>
            <w:tcW w:w="1523" w:type="dxa"/>
            <w:tcBorders>
              <w:top w:val="nil"/>
              <w:left w:val="nil"/>
              <w:bottom w:val="single" w:sz="12" w:space="0" w:color="016794"/>
              <w:right w:val="nil"/>
              <w:tl2br w:val="nil"/>
              <w:tr2bl w:val="nil"/>
            </w:tcBorders>
            <w:tcMar>
              <w:left w:w="60" w:type="dxa"/>
              <w:right w:w="60" w:type="dxa"/>
            </w:tcMar>
            <w:vAlign w:val="bottom"/>
          </w:tcPr>
          <w:p>
            <w:pPr>
              <w:pStyle w:val="DMETW36745BIPUliab"/>
              <w:jc w:val="right"/>
              <w:rPr>
                <w:rFonts w:ascii="Verdana" w:eastAsia="Verdana" w:hAnsi="Verdana" w:cs="Verdana"/>
                <w:b/>
                <w:noProof/>
                <w:color w:val="000000"/>
                <w:sz w:val="18"/>
              </w:rPr>
            </w:pPr>
            <w:r>
              <w:rPr>
                <w:rFonts w:ascii="Verdana" w:hAnsi="Verdana"/>
                <w:b/>
                <w:noProof/>
                <w:color w:val="000000"/>
                <w:sz w:val="18"/>
              </w:rPr>
              <w:t xml:space="preserve"> 538</w:t>
            </w:r>
          </w:p>
        </w:tc>
        <w:tc>
          <w:tcPr>
            <w:tcW w:w="1523" w:type="dxa"/>
            <w:tcBorders>
              <w:top w:val="nil"/>
              <w:left w:val="nil"/>
              <w:bottom w:val="single" w:sz="12" w:space="0" w:color="016794"/>
              <w:right w:val="nil"/>
              <w:tl2br w:val="nil"/>
              <w:tr2bl w:val="nil"/>
            </w:tcBorders>
            <w:tcMar>
              <w:left w:w="60" w:type="dxa"/>
              <w:right w:w="60" w:type="dxa"/>
            </w:tcMar>
            <w:vAlign w:val="bottom"/>
          </w:tcPr>
          <w:p>
            <w:pPr>
              <w:pStyle w:val="DMETW36745BIPUliab"/>
              <w:jc w:val="right"/>
              <w:rPr>
                <w:rFonts w:ascii="Verdana" w:eastAsia="Verdana" w:hAnsi="Verdana" w:cs="Verdana"/>
                <w:b/>
                <w:noProof/>
                <w:color w:val="000000"/>
                <w:sz w:val="18"/>
              </w:rPr>
            </w:pPr>
            <w:r>
              <w:rPr>
                <w:rFonts w:ascii="Verdana" w:hAnsi="Verdana"/>
                <w:b/>
                <w:noProof/>
                <w:color w:val="000000"/>
                <w:sz w:val="18"/>
              </w:rPr>
              <w:t>9 109</w:t>
            </w:r>
          </w:p>
        </w:tc>
        <w:tc>
          <w:tcPr>
            <w:tcW w:w="1249" w:type="dxa"/>
            <w:tcBorders>
              <w:top w:val="nil"/>
              <w:left w:val="nil"/>
              <w:bottom w:val="single" w:sz="12" w:space="0" w:color="000000"/>
              <w:right w:val="nil"/>
              <w:tl2br w:val="nil"/>
              <w:tr2bl w:val="nil"/>
            </w:tcBorders>
            <w:tcMar>
              <w:left w:w="60" w:type="dxa"/>
              <w:right w:w="60" w:type="dxa"/>
            </w:tcMar>
            <w:vAlign w:val="bottom"/>
          </w:tcPr>
          <w:p>
            <w:pPr>
              <w:pStyle w:val="DMETW36745BIPUliab"/>
              <w:jc w:val="right"/>
              <w:rPr>
                <w:rFonts w:ascii="Verdana" w:eastAsia="Verdana" w:hAnsi="Verdana" w:cs="Verdana"/>
                <w:b/>
                <w:noProof/>
                <w:color w:val="000000"/>
                <w:sz w:val="18"/>
              </w:rPr>
            </w:pPr>
            <w:r>
              <w:rPr>
                <w:rFonts w:ascii="Verdana" w:hAnsi="Verdana"/>
                <w:b/>
                <w:noProof/>
                <w:color w:val="000000"/>
                <w:sz w:val="18"/>
              </w:rPr>
              <w:t>9 638</w:t>
            </w:r>
          </w:p>
        </w:tc>
      </w:tr>
      <w:tr>
        <w:trPr>
          <w:trHeight w:val="255"/>
        </w:trPr>
        <w:tc>
          <w:tcPr>
            <w:tcW w:w="3940" w:type="dxa"/>
            <w:tcBorders>
              <w:top w:val="single" w:sz="12" w:space="0" w:color="016794"/>
              <w:left w:val="nil"/>
              <w:bottom w:val="single" w:sz="12" w:space="0" w:color="016794"/>
              <w:right w:val="nil"/>
              <w:tl2br w:val="nil"/>
              <w:tr2bl w:val="nil"/>
            </w:tcBorders>
            <w:tcMar>
              <w:left w:w="60" w:type="dxa"/>
              <w:right w:w="60" w:type="dxa"/>
            </w:tcMar>
            <w:vAlign w:val="center"/>
          </w:tcPr>
          <w:p>
            <w:pPr>
              <w:pStyle w:val="DMETW36745BIPUliab"/>
              <w:rPr>
                <w:rFonts w:ascii="Verdana" w:eastAsia="Verdana" w:hAnsi="Verdana" w:cs="Verdana"/>
                <w:b/>
                <w:noProof/>
                <w:color w:val="000000"/>
                <w:sz w:val="18"/>
              </w:rPr>
            </w:pPr>
            <w:r>
              <w:rPr>
                <w:rFonts w:ascii="Verdana" w:hAnsi="Verdana"/>
                <w:b/>
                <w:noProof/>
                <w:color w:val="000000"/>
                <w:sz w:val="18"/>
              </w:rPr>
              <w:t>Contributions du PSEO/RCAM</w:t>
            </w:r>
          </w:p>
        </w:tc>
        <w:tc>
          <w:tcPr>
            <w:tcW w:w="1523" w:type="dxa"/>
            <w:tcBorders>
              <w:top w:val="single" w:sz="12" w:space="0" w:color="016794"/>
              <w:left w:val="nil"/>
              <w:bottom w:val="single" w:sz="12" w:space="0" w:color="016794"/>
              <w:right w:val="nil"/>
              <w:tl2br w:val="nil"/>
              <w:tr2bl w:val="nil"/>
            </w:tcBorders>
            <w:tcMar>
              <w:left w:w="60" w:type="dxa"/>
              <w:right w:w="60" w:type="dxa"/>
            </w:tcMar>
            <w:vAlign w:val="center"/>
          </w:tcPr>
          <w:p>
            <w:pPr>
              <w:pStyle w:val="DMETW36745BIPUliab"/>
              <w:jc w:val="right"/>
              <w:rPr>
                <w:rFonts w:ascii="Verdana" w:eastAsia="Verdana" w:hAnsi="Verdana" w:cs="Verdana"/>
                <w:b/>
                <w:noProof/>
                <w:color w:val="000000"/>
                <w:sz w:val="18"/>
              </w:rPr>
            </w:pPr>
            <w:r>
              <w:rPr>
                <w:rFonts w:ascii="Verdana" w:hAnsi="Verdana"/>
                <w:b/>
                <w:noProof/>
                <w:color w:val="000000"/>
                <w:sz w:val="18"/>
              </w:rPr>
              <w:t>315</w:t>
            </w:r>
          </w:p>
        </w:tc>
        <w:tc>
          <w:tcPr>
            <w:tcW w:w="1523" w:type="dxa"/>
            <w:tcBorders>
              <w:top w:val="single" w:sz="12" w:space="0" w:color="016794"/>
              <w:left w:val="nil"/>
              <w:bottom w:val="single" w:sz="12" w:space="0" w:color="016794"/>
              <w:right w:val="nil"/>
              <w:tl2br w:val="nil"/>
              <w:tr2bl w:val="nil"/>
            </w:tcBorders>
            <w:tcMar>
              <w:left w:w="60" w:type="dxa"/>
              <w:right w:w="60" w:type="dxa"/>
            </w:tcMar>
            <w:vAlign w:val="center"/>
          </w:tcPr>
          <w:p>
            <w:pPr>
              <w:pStyle w:val="DMETW36745BIPUliab"/>
              <w:jc w:val="right"/>
              <w:rPr>
                <w:rFonts w:ascii="Verdana" w:eastAsia="Verdana" w:hAnsi="Verdana" w:cs="Verdana"/>
                <w:b/>
                <w:noProof/>
                <w:color w:val="000000"/>
                <w:sz w:val="18"/>
              </w:rPr>
            </w:pPr>
            <w:r>
              <w:rPr>
                <w:rFonts w:ascii="Verdana" w:hAnsi="Verdana"/>
                <w:b/>
                <w:noProof/>
                <w:color w:val="000000"/>
                <w:sz w:val="18"/>
              </w:rPr>
              <w:t>12</w:t>
            </w:r>
          </w:p>
        </w:tc>
        <w:tc>
          <w:tcPr>
            <w:tcW w:w="1523" w:type="dxa"/>
            <w:tcBorders>
              <w:top w:val="single" w:sz="12" w:space="0" w:color="016794"/>
              <w:left w:val="nil"/>
              <w:bottom w:val="single" w:sz="12" w:space="0" w:color="016794"/>
              <w:right w:val="nil"/>
              <w:tl2br w:val="nil"/>
              <w:tr2bl w:val="nil"/>
            </w:tcBorders>
            <w:tcMar>
              <w:left w:w="60" w:type="dxa"/>
              <w:right w:w="60" w:type="dxa"/>
            </w:tcMar>
            <w:vAlign w:val="center"/>
          </w:tcPr>
          <w:p>
            <w:pPr>
              <w:pStyle w:val="DMETW36745BIPUliab"/>
              <w:jc w:val="right"/>
              <w:rPr>
                <w:rFonts w:ascii="Verdana" w:eastAsia="Verdana" w:hAnsi="Verdana" w:cs="Verdana"/>
                <w:b/>
                <w:noProof/>
                <w:color w:val="000000"/>
                <w:sz w:val="18"/>
              </w:rPr>
            </w:pPr>
            <w:r>
              <w:rPr>
                <w:rFonts w:ascii="Verdana" w:hAnsi="Verdana"/>
                <w:b/>
                <w:noProof/>
                <w:color w:val="000000"/>
                <w:sz w:val="18"/>
              </w:rPr>
              <w:t xml:space="preserve"> 326</w:t>
            </w:r>
          </w:p>
        </w:tc>
        <w:tc>
          <w:tcPr>
            <w:tcW w:w="1249" w:type="dxa"/>
            <w:tcBorders>
              <w:top w:val="single" w:sz="12" w:space="0" w:color="000000"/>
              <w:left w:val="nil"/>
              <w:bottom w:val="single" w:sz="12" w:space="0" w:color="016794"/>
              <w:right w:val="nil"/>
              <w:tl2br w:val="nil"/>
              <w:tr2bl w:val="nil"/>
            </w:tcBorders>
            <w:tcMar>
              <w:left w:w="60" w:type="dxa"/>
              <w:right w:w="60" w:type="dxa"/>
            </w:tcMar>
            <w:vAlign w:val="bottom"/>
          </w:tcPr>
          <w:p>
            <w:pPr>
              <w:pStyle w:val="DMETW36745BIPUliab"/>
              <w:jc w:val="right"/>
              <w:rPr>
                <w:rFonts w:ascii="Verdana" w:eastAsia="Verdana" w:hAnsi="Verdana" w:cs="Verdana"/>
                <w:b/>
                <w:noProof/>
                <w:color w:val="000000"/>
                <w:sz w:val="18"/>
              </w:rPr>
            </w:pPr>
            <w:r>
              <w:rPr>
                <w:rFonts w:ascii="Verdana" w:hAnsi="Verdana"/>
                <w:b/>
                <w:noProof/>
                <w:color w:val="000000"/>
                <w:sz w:val="18"/>
              </w:rPr>
              <w:t xml:space="preserve"> 305</w:t>
            </w:r>
          </w:p>
        </w:tc>
      </w:tr>
      <w:tr>
        <w:trPr>
          <w:trHeight w:val="255"/>
        </w:trPr>
        <w:tc>
          <w:tcPr>
            <w:tcW w:w="3940" w:type="dxa"/>
            <w:tcBorders>
              <w:top w:val="single" w:sz="12" w:space="0" w:color="016794"/>
              <w:left w:val="nil"/>
              <w:bottom w:val="single" w:sz="12" w:space="0" w:color="016794"/>
              <w:right w:val="nil"/>
              <w:tl2br w:val="nil"/>
              <w:tr2bl w:val="nil"/>
            </w:tcBorders>
            <w:tcMar>
              <w:left w:w="60" w:type="dxa"/>
              <w:right w:w="60" w:type="dxa"/>
            </w:tcMar>
            <w:vAlign w:val="center"/>
          </w:tcPr>
          <w:p>
            <w:pPr>
              <w:pStyle w:val="DMETW36745BIPUliab"/>
              <w:rPr>
                <w:rFonts w:ascii="Verdana" w:eastAsia="Verdana" w:hAnsi="Verdana" w:cs="Verdana"/>
                <w:b/>
                <w:noProof/>
                <w:color w:val="000000"/>
                <w:sz w:val="18"/>
              </w:rPr>
            </w:pPr>
            <w:r>
              <w:rPr>
                <w:rFonts w:ascii="Verdana" w:hAnsi="Verdana"/>
                <w:b/>
                <w:noProof/>
                <w:color w:val="000000"/>
                <w:sz w:val="18"/>
              </w:rPr>
              <w:t>Total</w:t>
            </w:r>
          </w:p>
        </w:tc>
        <w:tc>
          <w:tcPr>
            <w:tcW w:w="1523" w:type="dxa"/>
            <w:tcBorders>
              <w:top w:val="single" w:sz="12" w:space="0" w:color="016794"/>
              <w:left w:val="nil"/>
              <w:bottom w:val="single" w:sz="12" w:space="0" w:color="016794"/>
              <w:right w:val="nil"/>
              <w:tl2br w:val="nil"/>
              <w:tr2bl w:val="nil"/>
            </w:tcBorders>
            <w:tcMar>
              <w:left w:w="60" w:type="dxa"/>
              <w:right w:w="60" w:type="dxa"/>
            </w:tcMar>
            <w:vAlign w:val="bottom"/>
          </w:tcPr>
          <w:p>
            <w:pPr>
              <w:pStyle w:val="DMETW36745BIPUliab"/>
              <w:jc w:val="right"/>
              <w:rPr>
                <w:rFonts w:ascii="Verdana" w:eastAsia="Verdana" w:hAnsi="Verdana" w:cs="Verdana"/>
                <w:b/>
                <w:noProof/>
                <w:color w:val="000000"/>
                <w:sz w:val="18"/>
              </w:rPr>
            </w:pPr>
            <w:r>
              <w:rPr>
                <w:rFonts w:ascii="Verdana" w:hAnsi="Verdana"/>
                <w:b/>
                <w:noProof/>
                <w:color w:val="000000"/>
                <w:sz w:val="18"/>
              </w:rPr>
              <w:t>8 885</w:t>
            </w:r>
          </w:p>
        </w:tc>
        <w:tc>
          <w:tcPr>
            <w:tcW w:w="1523" w:type="dxa"/>
            <w:tcBorders>
              <w:top w:val="single" w:sz="12" w:space="0" w:color="016794"/>
              <w:left w:val="nil"/>
              <w:bottom w:val="single" w:sz="12" w:space="0" w:color="016794"/>
              <w:right w:val="nil"/>
              <w:tl2br w:val="nil"/>
              <w:tr2bl w:val="nil"/>
            </w:tcBorders>
            <w:tcMar>
              <w:left w:w="60" w:type="dxa"/>
              <w:right w:w="60" w:type="dxa"/>
            </w:tcMar>
            <w:vAlign w:val="bottom"/>
          </w:tcPr>
          <w:p>
            <w:pPr>
              <w:pStyle w:val="DMETW36745BIPUliab"/>
              <w:jc w:val="right"/>
              <w:rPr>
                <w:rFonts w:ascii="Verdana" w:eastAsia="Verdana" w:hAnsi="Verdana" w:cs="Verdana"/>
                <w:b/>
                <w:noProof/>
                <w:color w:val="000000"/>
                <w:sz w:val="18"/>
              </w:rPr>
            </w:pPr>
            <w:r>
              <w:rPr>
                <w:rFonts w:ascii="Verdana" w:hAnsi="Verdana"/>
                <w:b/>
                <w:noProof/>
                <w:color w:val="000000"/>
                <w:sz w:val="18"/>
              </w:rPr>
              <w:t xml:space="preserve"> 550</w:t>
            </w:r>
          </w:p>
        </w:tc>
        <w:tc>
          <w:tcPr>
            <w:tcW w:w="1523" w:type="dxa"/>
            <w:tcBorders>
              <w:top w:val="single" w:sz="12" w:space="0" w:color="016794"/>
              <w:left w:val="nil"/>
              <w:bottom w:val="single" w:sz="12" w:space="0" w:color="016794"/>
              <w:right w:val="nil"/>
              <w:tl2br w:val="nil"/>
              <w:tr2bl w:val="nil"/>
            </w:tcBorders>
            <w:tcMar>
              <w:left w:w="60" w:type="dxa"/>
              <w:right w:w="60" w:type="dxa"/>
            </w:tcMar>
            <w:vAlign w:val="bottom"/>
          </w:tcPr>
          <w:p>
            <w:pPr>
              <w:pStyle w:val="DMETW36745BIPUliab"/>
              <w:jc w:val="right"/>
              <w:rPr>
                <w:rFonts w:ascii="Verdana" w:eastAsia="Verdana" w:hAnsi="Verdana" w:cs="Verdana"/>
                <w:b/>
                <w:noProof/>
                <w:color w:val="000000"/>
                <w:sz w:val="18"/>
              </w:rPr>
            </w:pPr>
            <w:r>
              <w:rPr>
                <w:rFonts w:ascii="Verdana" w:hAnsi="Verdana"/>
                <w:b/>
                <w:noProof/>
                <w:color w:val="000000"/>
                <w:sz w:val="18"/>
              </w:rPr>
              <w:t>9 435</w:t>
            </w:r>
          </w:p>
        </w:tc>
        <w:tc>
          <w:tcPr>
            <w:tcW w:w="1249" w:type="dxa"/>
            <w:tcBorders>
              <w:top w:val="single" w:sz="12" w:space="0" w:color="016794"/>
              <w:left w:val="nil"/>
              <w:bottom w:val="single" w:sz="12" w:space="0" w:color="016794"/>
              <w:right w:val="nil"/>
              <w:tl2br w:val="nil"/>
              <w:tr2bl w:val="nil"/>
            </w:tcBorders>
            <w:tcMar>
              <w:left w:w="60" w:type="dxa"/>
              <w:right w:w="60" w:type="dxa"/>
            </w:tcMar>
            <w:vAlign w:val="bottom"/>
          </w:tcPr>
          <w:p>
            <w:pPr>
              <w:pStyle w:val="DMETW36745BIPUliab"/>
              <w:jc w:val="right"/>
              <w:rPr>
                <w:rFonts w:ascii="Verdana" w:eastAsia="Verdana" w:hAnsi="Verdana" w:cs="Verdana"/>
                <w:b/>
                <w:noProof/>
                <w:color w:val="000000"/>
                <w:sz w:val="18"/>
              </w:rPr>
            </w:pPr>
            <w:r>
              <w:rPr>
                <w:rFonts w:ascii="Verdana" w:hAnsi="Verdana"/>
                <w:b/>
                <w:noProof/>
                <w:color w:val="000000"/>
                <w:sz w:val="18"/>
              </w:rPr>
              <w:t>9 943</w:t>
            </w:r>
          </w:p>
        </w:tc>
      </w:tr>
      <w:tr>
        <w:trPr>
          <w:trHeight w:val="255"/>
        </w:trPr>
        <w:tc>
          <w:tcPr>
            <w:tcW w:w="3940" w:type="dxa"/>
            <w:tcBorders>
              <w:top w:val="single" w:sz="12" w:space="0" w:color="016794"/>
              <w:left w:val="nil"/>
              <w:bottom w:val="nil"/>
              <w:right w:val="nil"/>
              <w:tl2br w:val="nil"/>
              <w:tr2bl w:val="nil"/>
            </w:tcBorders>
            <w:tcMar>
              <w:left w:w="60" w:type="dxa"/>
              <w:right w:w="60" w:type="dxa"/>
            </w:tcMar>
            <w:vAlign w:val="center"/>
          </w:tcPr>
          <w:p>
            <w:pPr>
              <w:pStyle w:val="DMETW36745BIPUliab"/>
              <w:rPr>
                <w:rFonts w:ascii="Verdana" w:eastAsia="Verdana" w:hAnsi="Verdana" w:cs="Verdana"/>
                <w:i/>
                <w:noProof/>
                <w:color w:val="016794"/>
                <w:sz w:val="18"/>
              </w:rPr>
            </w:pPr>
            <w:r>
              <w:rPr>
                <w:rFonts w:ascii="Verdana" w:hAnsi="Verdana"/>
                <w:i/>
                <w:noProof/>
                <w:color w:val="016794"/>
                <w:sz w:val="18"/>
              </w:rPr>
              <w:t>Non courant</w:t>
            </w:r>
          </w:p>
        </w:tc>
        <w:tc>
          <w:tcPr>
            <w:tcW w:w="1523" w:type="dxa"/>
            <w:tcBorders>
              <w:top w:val="single" w:sz="12" w:space="0" w:color="016794"/>
              <w:left w:val="nil"/>
              <w:bottom w:val="nil"/>
              <w:right w:val="nil"/>
              <w:tl2br w:val="nil"/>
              <w:tr2bl w:val="nil"/>
            </w:tcBorders>
            <w:tcMar>
              <w:left w:w="60" w:type="dxa"/>
              <w:right w:w="60" w:type="dxa"/>
            </w:tcMar>
            <w:vAlign w:val="bottom"/>
          </w:tcPr>
          <w:p>
            <w:pPr>
              <w:pStyle w:val="DMETW36745BIPUliab"/>
              <w:jc w:val="right"/>
              <w:rPr>
                <w:rFonts w:ascii="Verdana" w:eastAsia="Verdana" w:hAnsi="Verdana" w:cs="Verdana"/>
                <w:i/>
                <w:noProof/>
                <w:color w:val="016794"/>
                <w:sz w:val="18"/>
              </w:rPr>
            </w:pPr>
            <w:r>
              <w:rPr>
                <w:rFonts w:ascii="Verdana" w:hAnsi="Verdana"/>
                <w:i/>
                <w:noProof/>
                <w:color w:val="016794"/>
                <w:sz w:val="18"/>
              </w:rPr>
              <w:t>8 571</w:t>
            </w:r>
          </w:p>
        </w:tc>
        <w:tc>
          <w:tcPr>
            <w:tcW w:w="1523" w:type="dxa"/>
            <w:tcBorders>
              <w:top w:val="single" w:sz="12" w:space="0" w:color="016794"/>
              <w:left w:val="nil"/>
              <w:bottom w:val="nil"/>
              <w:right w:val="nil"/>
              <w:tl2br w:val="nil"/>
              <w:tr2bl w:val="nil"/>
            </w:tcBorders>
            <w:tcMar>
              <w:left w:w="60" w:type="dxa"/>
              <w:right w:w="60" w:type="dxa"/>
            </w:tcMar>
            <w:vAlign w:val="bottom"/>
          </w:tcPr>
          <w:p>
            <w:pPr>
              <w:pStyle w:val="DMETW36745BIPUliab"/>
              <w:jc w:val="right"/>
              <w:rPr>
                <w:rFonts w:ascii="Verdana" w:eastAsia="Verdana" w:hAnsi="Verdana" w:cs="Verdana"/>
                <w:i/>
                <w:noProof/>
                <w:color w:val="016794"/>
                <w:sz w:val="18"/>
              </w:rPr>
            </w:pPr>
            <w:r>
              <w:rPr>
                <w:rFonts w:ascii="Verdana" w:hAnsi="Verdana"/>
                <w:i/>
                <w:noProof/>
                <w:color w:val="016794"/>
                <w:sz w:val="18"/>
              </w:rPr>
              <w:t xml:space="preserve"> 538</w:t>
            </w:r>
          </w:p>
        </w:tc>
        <w:tc>
          <w:tcPr>
            <w:tcW w:w="1523" w:type="dxa"/>
            <w:tcBorders>
              <w:top w:val="single" w:sz="12" w:space="0" w:color="016794"/>
              <w:left w:val="nil"/>
              <w:bottom w:val="nil"/>
              <w:right w:val="nil"/>
              <w:tl2br w:val="nil"/>
              <w:tr2bl w:val="nil"/>
            </w:tcBorders>
            <w:tcMar>
              <w:left w:w="60" w:type="dxa"/>
              <w:right w:w="60" w:type="dxa"/>
            </w:tcMar>
            <w:vAlign w:val="bottom"/>
          </w:tcPr>
          <w:p>
            <w:pPr>
              <w:pStyle w:val="DMETW36745BIPUliab"/>
              <w:jc w:val="right"/>
              <w:rPr>
                <w:rFonts w:ascii="Verdana" w:eastAsia="Verdana" w:hAnsi="Verdana" w:cs="Verdana"/>
                <w:i/>
                <w:noProof/>
                <w:color w:val="016794"/>
                <w:sz w:val="18"/>
              </w:rPr>
            </w:pPr>
            <w:r>
              <w:rPr>
                <w:rFonts w:ascii="Verdana" w:hAnsi="Verdana"/>
                <w:i/>
                <w:noProof/>
                <w:color w:val="016794"/>
                <w:sz w:val="18"/>
              </w:rPr>
              <w:t>9 109</w:t>
            </w:r>
          </w:p>
        </w:tc>
        <w:tc>
          <w:tcPr>
            <w:tcW w:w="1249" w:type="dxa"/>
            <w:tcBorders>
              <w:top w:val="single" w:sz="12" w:space="0" w:color="016794"/>
              <w:left w:val="nil"/>
              <w:bottom w:val="nil"/>
              <w:right w:val="nil"/>
              <w:tl2br w:val="nil"/>
              <w:tr2bl w:val="nil"/>
            </w:tcBorders>
            <w:tcMar>
              <w:left w:w="60" w:type="dxa"/>
              <w:right w:w="60" w:type="dxa"/>
            </w:tcMar>
            <w:vAlign w:val="bottom"/>
          </w:tcPr>
          <w:p>
            <w:pPr>
              <w:pStyle w:val="DMETW36745BIPUliab"/>
              <w:jc w:val="right"/>
              <w:rPr>
                <w:rFonts w:ascii="Verdana" w:eastAsia="Verdana" w:hAnsi="Verdana" w:cs="Verdana"/>
                <w:i/>
                <w:noProof/>
                <w:color w:val="016794"/>
                <w:sz w:val="18"/>
              </w:rPr>
            </w:pPr>
            <w:r>
              <w:rPr>
                <w:rFonts w:ascii="Verdana" w:hAnsi="Verdana"/>
                <w:i/>
                <w:noProof/>
                <w:color w:val="016794"/>
                <w:sz w:val="18"/>
              </w:rPr>
              <w:t>9 638</w:t>
            </w:r>
          </w:p>
        </w:tc>
      </w:tr>
      <w:tr>
        <w:trPr>
          <w:trHeight w:val="255"/>
        </w:trPr>
        <w:tc>
          <w:tcPr>
            <w:tcW w:w="3940" w:type="dxa"/>
            <w:tcBorders>
              <w:top w:val="nil"/>
              <w:left w:val="nil"/>
              <w:bottom w:val="nil"/>
              <w:right w:val="nil"/>
              <w:tl2br w:val="nil"/>
              <w:tr2bl w:val="nil"/>
            </w:tcBorders>
            <w:tcMar>
              <w:left w:w="60" w:type="dxa"/>
              <w:right w:w="60" w:type="dxa"/>
            </w:tcMar>
            <w:vAlign w:val="center"/>
          </w:tcPr>
          <w:p>
            <w:pPr>
              <w:pStyle w:val="DMETW36745BIPUliab"/>
              <w:rPr>
                <w:rFonts w:ascii="Verdana" w:eastAsia="Verdana" w:hAnsi="Verdana" w:cs="Verdana"/>
                <w:i/>
                <w:noProof/>
                <w:color w:val="016794"/>
                <w:sz w:val="18"/>
              </w:rPr>
            </w:pPr>
            <w:r>
              <w:rPr>
                <w:rFonts w:ascii="Verdana" w:hAnsi="Verdana"/>
                <w:i/>
                <w:noProof/>
                <w:color w:val="016794"/>
                <w:sz w:val="18"/>
              </w:rPr>
              <w:t>Courant</w:t>
            </w:r>
          </w:p>
        </w:tc>
        <w:tc>
          <w:tcPr>
            <w:tcW w:w="1523" w:type="dxa"/>
            <w:tcBorders>
              <w:top w:val="nil"/>
              <w:left w:val="nil"/>
              <w:bottom w:val="nil"/>
              <w:right w:val="nil"/>
              <w:tl2br w:val="nil"/>
              <w:tr2bl w:val="nil"/>
            </w:tcBorders>
            <w:tcMar>
              <w:left w:w="60" w:type="dxa"/>
              <w:right w:w="60" w:type="dxa"/>
            </w:tcMar>
            <w:vAlign w:val="bottom"/>
          </w:tcPr>
          <w:p>
            <w:pPr>
              <w:pStyle w:val="DMETW36745BIPUliab"/>
              <w:jc w:val="right"/>
              <w:rPr>
                <w:rFonts w:ascii="Verdana" w:eastAsia="Verdana" w:hAnsi="Verdana" w:cs="Verdana"/>
                <w:i/>
                <w:noProof/>
                <w:color w:val="016794"/>
                <w:sz w:val="18"/>
              </w:rPr>
            </w:pPr>
            <w:r>
              <w:rPr>
                <w:rFonts w:ascii="Verdana" w:hAnsi="Verdana"/>
                <w:i/>
                <w:noProof/>
                <w:color w:val="016794"/>
                <w:sz w:val="18"/>
              </w:rPr>
              <w:t xml:space="preserve"> 315</w:t>
            </w:r>
          </w:p>
        </w:tc>
        <w:tc>
          <w:tcPr>
            <w:tcW w:w="1523" w:type="dxa"/>
            <w:tcBorders>
              <w:top w:val="nil"/>
              <w:left w:val="nil"/>
              <w:bottom w:val="nil"/>
              <w:right w:val="nil"/>
              <w:tl2br w:val="nil"/>
              <w:tr2bl w:val="nil"/>
            </w:tcBorders>
            <w:tcMar>
              <w:left w:w="60" w:type="dxa"/>
              <w:right w:w="60" w:type="dxa"/>
            </w:tcMar>
            <w:vAlign w:val="bottom"/>
          </w:tcPr>
          <w:p>
            <w:pPr>
              <w:pStyle w:val="DMETW36745BIPUliab"/>
              <w:jc w:val="right"/>
              <w:rPr>
                <w:rFonts w:ascii="Verdana" w:eastAsia="Verdana" w:hAnsi="Verdana" w:cs="Verdana"/>
                <w:i/>
                <w:noProof/>
                <w:color w:val="016794"/>
                <w:sz w:val="18"/>
              </w:rPr>
            </w:pPr>
            <w:r>
              <w:rPr>
                <w:rFonts w:ascii="Verdana" w:hAnsi="Verdana"/>
                <w:i/>
                <w:noProof/>
                <w:color w:val="016794"/>
                <w:sz w:val="18"/>
              </w:rPr>
              <w:t xml:space="preserve"> 12</w:t>
            </w:r>
          </w:p>
        </w:tc>
        <w:tc>
          <w:tcPr>
            <w:tcW w:w="1523" w:type="dxa"/>
            <w:tcBorders>
              <w:top w:val="nil"/>
              <w:left w:val="nil"/>
              <w:bottom w:val="nil"/>
              <w:right w:val="nil"/>
              <w:tl2br w:val="nil"/>
              <w:tr2bl w:val="nil"/>
            </w:tcBorders>
            <w:tcMar>
              <w:left w:w="60" w:type="dxa"/>
              <w:right w:w="60" w:type="dxa"/>
            </w:tcMar>
            <w:vAlign w:val="bottom"/>
          </w:tcPr>
          <w:p>
            <w:pPr>
              <w:pStyle w:val="DMETW36745BIPUliab"/>
              <w:jc w:val="right"/>
              <w:rPr>
                <w:rFonts w:ascii="Verdana" w:eastAsia="Verdana" w:hAnsi="Verdana" w:cs="Verdana"/>
                <w:i/>
                <w:noProof/>
                <w:color w:val="016794"/>
                <w:sz w:val="18"/>
              </w:rPr>
            </w:pPr>
            <w:r>
              <w:rPr>
                <w:rFonts w:ascii="Verdana" w:hAnsi="Verdana"/>
                <w:i/>
                <w:noProof/>
                <w:color w:val="016794"/>
                <w:sz w:val="18"/>
              </w:rPr>
              <w:t xml:space="preserve"> 326</w:t>
            </w:r>
          </w:p>
        </w:tc>
        <w:tc>
          <w:tcPr>
            <w:tcW w:w="1249" w:type="dxa"/>
            <w:tcBorders>
              <w:top w:val="nil"/>
              <w:left w:val="nil"/>
              <w:bottom w:val="nil"/>
              <w:right w:val="nil"/>
              <w:tl2br w:val="nil"/>
              <w:tr2bl w:val="nil"/>
            </w:tcBorders>
            <w:tcMar>
              <w:left w:w="60" w:type="dxa"/>
              <w:right w:w="60" w:type="dxa"/>
            </w:tcMar>
            <w:vAlign w:val="bottom"/>
          </w:tcPr>
          <w:p>
            <w:pPr>
              <w:pStyle w:val="DMETW36745BIPUliab"/>
              <w:jc w:val="right"/>
              <w:rPr>
                <w:rFonts w:ascii="Verdana" w:eastAsia="Verdana" w:hAnsi="Verdana" w:cs="Verdana"/>
                <w:i/>
                <w:noProof/>
                <w:color w:val="016794"/>
                <w:sz w:val="18"/>
              </w:rPr>
            </w:pPr>
            <w:r>
              <w:rPr>
                <w:rFonts w:ascii="Verdana" w:hAnsi="Verdana"/>
                <w:i/>
                <w:noProof/>
                <w:color w:val="016794"/>
                <w:sz w:val="18"/>
              </w:rPr>
              <w:t xml:space="preserve"> 305</w:t>
            </w:r>
          </w:p>
        </w:tc>
      </w:tr>
    </w:tbl>
    <w:p>
      <w:pPr>
        <w:pStyle w:val="DGTextstand-alone"/>
      </w:pPr>
      <w:r>
        <w:t>Conformément au mode de paiement par défaut prévu à l’article 142, paragraphe 6, le Royaume-Uni contribue annuellement aux paiements nets effectués à partir du budget de l’Union au cours de l’année précédente en faveur de chaque bénéficiaire du régime de pension des fonctionnaires européens (PSEO) et à la contribution correspondante du budget de l’Union au régime commun d’assurance maladie (RCAM) pour chaque bénéficiaire ou personne qui en bénéficie par l’intermédiaire d’un bénéficiaire. Les contributions sont payables en quatre versements mensuels de juin à septembre de l’année concernée.</w:t>
      </w:r>
    </w:p>
    <w:p>
      <w:pPr>
        <w:pStyle w:val="DGTextstand-alone"/>
      </w:pPr>
      <w:r>
        <w:t xml:space="preserve">La part du Royaume-Uni dans les paiements nets effectués à partir du budget de l’Union en 2025 en faveur des bénéficiaires du régime de pensions des fonctionnaires et autres agents de l’Union européenne et du RCAM s’élevait respectivement à 315 millions d’EUR et 12 millions d’EUR. Ces montants </w:t>
      </w:r>
      <w:r>
        <w:rPr>
          <w:color w:val="000000" w:themeColor="text1"/>
        </w:rPr>
        <w:t>ont été</w:t>
      </w:r>
      <w:r>
        <w:t xml:space="preserve"> communiqués au Royaume-Uni dans le cadre de la facture d’avril 2026 (et seront donc payables par le Royaume-Uni en quatre versements mensuels égaux au cours de la période allant de juin à septembre 2026).</w:t>
      </w:r>
    </w:p>
    <w:p>
      <w:pPr>
        <w:pStyle w:val="DGTextstand-alone"/>
        <w:spacing w:after="120"/>
      </w:pPr>
      <w:r>
        <w:t>En outre, au 31 décembre 2025, l’encours des passifs de 2020 du Royaume-Uni au titre de l’article 142, paragraphe 6, lié au régime de pension des fonctionnaires et autres agents de l’Union européenne et au RCAM, s’établissait respectivement à 8,571 milliards d’EUR et à 538 millions d’EUR (contre 9,023 milliards d’EUR et 615 millions d’EUR en 2024). Il convient de noter que, si les pertes (ou les gains) actuarielles découlant de changements d’hypothèses actuarielles ont une incidence sur la valeur actuelle de l’encours des passifs de 2020, calculée sur la base de la norme IPSAS 39/RCE nº 12, ils ne modifient ni le montant des avantages qui devra effectivement être versé par l’UE ni, par voie de conséquence, les contributions du Royaume-Uni à ces paiements dues en vertu du mécanisme de règlement par défaut prévu à l’article 142, paragraphe 6.</w:t>
      </w:r>
    </w:p>
    <w:p>
      <w:pPr>
        <w:pStyle w:val="Textstand-alone"/>
        <w:spacing w:before="120" w:after="120"/>
        <w:rPr>
          <w:i/>
          <w:color w:val="016794"/>
        </w:rPr>
      </w:pPr>
      <w:r>
        <w:rPr>
          <w:i/>
          <w:color w:val="016794"/>
        </w:rPr>
        <w:t>Encours des passifs de 2020 au titre de l’article 142, paragraphe 5</w:t>
      </w:r>
    </w:p>
    <w:p>
      <w:pPr>
        <w:pStyle w:val="DGTextstand-alone"/>
        <w:rPr>
          <w:strike/>
        </w:rPr>
      </w:pPr>
      <w:r>
        <w:t>Conformément à l’article 142, paragraphe 5, le Royaume-Uni contribue aux passifs liés aux autres régimes de retraite (pension) tels qu’ils ont été enregistrés dans les comptes consolidés de l’UE pour l’exercice 2020 en 10 tranches à compter du 31 octobre 2021 (chaque tranche annuelle étant payable en huit versements mensuels d’octobre à mai de l’exercice suivant). Les passifs figurant dans les comptes consolidés de l’Union pour l’exercice 2020 s’élevaient à 2 344 milliards d’EUR, ce qui donne une part du Royaume-Uni au 31 décembre 2020 de 291 millions d’EUR. Compte tenu des montants reçus du Royaume-Uni jusqu’à la fin de l’année 2025, pour un total de 127 millions d’EUR, la part restante du Royaume-Uni dans les autres régimes de retraite (pension) est tombée à 164 millions d’EUR au 31 décembre 2025, dont 29 millions d’EUR doivent être payés dans les 12 mois suivant la fin de l’exercice.</w:t>
      </w:r>
    </w:p>
    <w:p>
      <w:pPr>
        <w:pStyle w:val="DGTextstand-alone"/>
      </w:pPr>
      <w:r>
        <w:t>Pour de plus amples informations concernant les régimes en matière d’avantages sociaux, il convient de consulter les notes </w:t>
      </w:r>
      <w:r>
        <w:rPr>
          <w:b/>
        </w:rPr>
        <w:t>1.5.10</w:t>
      </w:r>
      <w:r>
        <w:t xml:space="preserve"> et </w:t>
      </w:r>
      <w:r>
        <w:rPr>
          <w:b/>
        </w:rPr>
        <w:t>2.9</w:t>
      </w:r>
      <w:r>
        <w:t>.</w:t>
      </w:r>
    </w:p>
    <w:p>
      <w:pPr>
        <w:pStyle w:val="Textstand-alone"/>
        <w:spacing w:after="0"/>
        <w:rPr>
          <w:color w:val="016794"/>
        </w:rPr>
      </w:pPr>
      <w:r>
        <w:rPr>
          <w:color w:val="016794"/>
        </w:rPr>
        <w:t>Autres articles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30"/>
        <w:gridCol w:w="2114"/>
        <w:gridCol w:w="2114"/>
      </w:tblGrid>
      <w:tr>
        <w:trPr>
          <w:trHeight w:val="255"/>
        </w:trPr>
        <w:tc>
          <w:tcPr>
            <w:tcW w:w="5530" w:type="dxa"/>
            <w:tcBorders>
              <w:top w:val="nil"/>
              <w:left w:val="nil"/>
              <w:bottom w:val="nil"/>
              <w:right w:val="nil"/>
              <w:tl2br w:val="nil"/>
              <w:tr2bl w:val="nil"/>
            </w:tcBorders>
            <w:tcMar>
              <w:left w:w="60" w:type="dxa"/>
              <w:right w:w="60" w:type="dxa"/>
            </w:tcMar>
            <w:vAlign w:val="bottom"/>
          </w:tcPr>
          <w:p>
            <w:pPr>
              <w:pStyle w:val="DMETW36745BIPOthAm"/>
              <w:rPr>
                <w:rFonts w:ascii="Arial" w:eastAsia="Arial" w:hAnsi="Arial" w:cs="Arial"/>
                <w:noProof/>
                <w:color w:val="000000"/>
              </w:rPr>
            </w:pPr>
            <w:bookmarkStart w:id="130" w:name="DOC_TBL00037_1_1"/>
            <w:bookmarkEnd w:id="130"/>
          </w:p>
        </w:tc>
        <w:tc>
          <w:tcPr>
            <w:tcW w:w="2114" w:type="dxa"/>
            <w:tcBorders>
              <w:top w:val="nil"/>
              <w:left w:val="nil"/>
              <w:bottom w:val="nil"/>
              <w:right w:val="nil"/>
              <w:tl2br w:val="nil"/>
              <w:tr2bl w:val="nil"/>
            </w:tcBorders>
            <w:tcMar>
              <w:left w:w="60" w:type="dxa"/>
              <w:right w:w="60" w:type="dxa"/>
            </w:tcMar>
            <w:vAlign w:val="bottom"/>
          </w:tcPr>
          <w:p>
            <w:pPr>
              <w:pStyle w:val="DMETW36745BIPOthAm"/>
              <w:rPr>
                <w:rFonts w:cs="Calibri"/>
                <w:noProof/>
                <w:color w:val="000000"/>
                <w:sz w:val="22"/>
              </w:rPr>
            </w:pPr>
          </w:p>
        </w:tc>
        <w:tc>
          <w:tcPr>
            <w:tcW w:w="2114" w:type="dxa"/>
            <w:tcBorders>
              <w:top w:val="nil"/>
              <w:left w:val="nil"/>
              <w:bottom w:val="nil"/>
              <w:right w:val="nil"/>
              <w:tl2br w:val="nil"/>
              <w:tr2bl w:val="nil"/>
            </w:tcBorders>
            <w:tcMar>
              <w:left w:w="60" w:type="dxa"/>
              <w:right w:w="60" w:type="dxa"/>
            </w:tcMar>
            <w:vAlign w:val="bottom"/>
          </w:tcPr>
          <w:p>
            <w:pPr>
              <w:pStyle w:val="DMETW36745BIPOthAm"/>
              <w:jc w:val="right"/>
              <w:rPr>
                <w:rFonts w:ascii="Verdana" w:eastAsia="Verdana" w:hAnsi="Verdana" w:cs="Verdana"/>
                <w:i/>
                <w:noProof/>
                <w:color w:val="000000"/>
                <w:sz w:val="16"/>
              </w:rPr>
            </w:pPr>
            <w:r>
              <w:rPr>
                <w:rFonts w:ascii="Verdana" w:hAnsi="Verdana"/>
                <w:i/>
                <w:noProof/>
                <w:color w:val="000000"/>
                <w:sz w:val="16"/>
              </w:rPr>
              <w:t>en Mio EUR</w:t>
            </w:r>
          </w:p>
        </w:tc>
      </w:tr>
      <w:tr>
        <w:trPr>
          <w:trHeight w:val="255"/>
        </w:trPr>
        <w:tc>
          <w:tcPr>
            <w:tcW w:w="5530" w:type="dxa"/>
            <w:tcBorders>
              <w:top w:val="nil"/>
              <w:left w:val="nil"/>
              <w:bottom w:val="nil"/>
              <w:right w:val="nil"/>
              <w:tl2br w:val="nil"/>
              <w:tr2bl w:val="nil"/>
            </w:tcBorders>
            <w:shd w:val="solid" w:color="016794" w:fill="FFFFFF"/>
            <w:tcMar>
              <w:left w:w="60" w:type="dxa"/>
              <w:right w:w="60" w:type="dxa"/>
            </w:tcMar>
            <w:vAlign w:val="center"/>
          </w:tcPr>
          <w:p>
            <w:pPr>
              <w:pStyle w:val="DMETW36745BIPOthAm"/>
              <w:jc w:val="center"/>
              <w:rPr>
                <w:rFonts w:ascii="Verdana" w:eastAsia="Verdana" w:hAnsi="Verdana" w:cs="Verdana"/>
                <w:noProof/>
                <w:color w:val="FFFFFF"/>
              </w:rPr>
            </w:pPr>
          </w:p>
        </w:tc>
        <w:tc>
          <w:tcPr>
            <w:tcW w:w="2114" w:type="dxa"/>
            <w:tcBorders>
              <w:top w:val="nil"/>
              <w:left w:val="nil"/>
              <w:bottom w:val="nil"/>
              <w:right w:val="nil"/>
              <w:tl2br w:val="nil"/>
              <w:tr2bl w:val="nil"/>
            </w:tcBorders>
            <w:shd w:val="solid" w:color="016794" w:fill="FFFFFF"/>
            <w:tcMar>
              <w:left w:w="60" w:type="dxa"/>
              <w:right w:w="60" w:type="dxa"/>
            </w:tcMar>
            <w:vAlign w:val="center"/>
          </w:tcPr>
          <w:p>
            <w:pPr>
              <w:pStyle w:val="DMETW36745BIPOthAm"/>
              <w:jc w:val="right"/>
              <w:rPr>
                <w:rFonts w:ascii="Verdana" w:eastAsia="Verdana" w:hAnsi="Verdana" w:cs="Verdana"/>
                <w:noProof/>
                <w:color w:val="FFFFFF"/>
              </w:rPr>
            </w:pPr>
            <w:r>
              <w:rPr>
                <w:rFonts w:ascii="Verdana" w:hAnsi="Verdana"/>
                <w:noProof/>
                <w:color w:val="FFFFFF"/>
              </w:rPr>
              <w:t>31.12.2025</w:t>
            </w:r>
          </w:p>
        </w:tc>
        <w:tc>
          <w:tcPr>
            <w:tcW w:w="2114" w:type="dxa"/>
            <w:tcBorders>
              <w:top w:val="nil"/>
              <w:left w:val="nil"/>
              <w:bottom w:val="nil"/>
              <w:right w:val="nil"/>
              <w:tl2br w:val="nil"/>
              <w:tr2bl w:val="nil"/>
            </w:tcBorders>
            <w:shd w:val="solid" w:color="016794" w:fill="FFFFFF"/>
            <w:tcMar>
              <w:left w:w="60" w:type="dxa"/>
              <w:right w:w="60" w:type="dxa"/>
            </w:tcMar>
            <w:vAlign w:val="center"/>
          </w:tcPr>
          <w:p>
            <w:pPr>
              <w:pStyle w:val="DMETW36745BIPOthAm"/>
              <w:jc w:val="right"/>
              <w:rPr>
                <w:rFonts w:ascii="Verdana" w:eastAsia="Verdana" w:hAnsi="Verdana" w:cs="Verdana"/>
                <w:noProof/>
                <w:color w:val="FFFFFF"/>
              </w:rPr>
            </w:pPr>
            <w:r>
              <w:rPr>
                <w:rFonts w:ascii="Verdana" w:hAnsi="Verdana"/>
                <w:noProof/>
                <w:color w:val="FFFFFF"/>
              </w:rPr>
              <w:t>31.12.2024</w:t>
            </w:r>
          </w:p>
        </w:tc>
      </w:tr>
      <w:tr>
        <w:trPr>
          <w:trHeight w:val="255"/>
        </w:trPr>
        <w:tc>
          <w:tcPr>
            <w:tcW w:w="5530" w:type="dxa"/>
            <w:tcBorders>
              <w:top w:val="nil"/>
              <w:left w:val="nil"/>
              <w:bottom w:val="nil"/>
              <w:right w:val="nil"/>
              <w:tl2br w:val="nil"/>
              <w:tr2bl w:val="nil"/>
            </w:tcBorders>
            <w:tcMar>
              <w:left w:w="60" w:type="dxa"/>
              <w:right w:w="60" w:type="dxa"/>
            </w:tcMar>
            <w:vAlign w:val="center"/>
          </w:tcPr>
          <w:p>
            <w:pPr>
              <w:pStyle w:val="DMETW36745BIPOthAm"/>
              <w:rPr>
                <w:rFonts w:ascii="Verdana" w:eastAsia="Verdana" w:hAnsi="Verdana" w:cs="Verdana"/>
                <w:b/>
                <w:noProof/>
                <w:color w:val="000000"/>
                <w:sz w:val="18"/>
              </w:rPr>
            </w:pPr>
            <w:r>
              <w:rPr>
                <w:rFonts w:ascii="Verdana" w:hAnsi="Verdana"/>
                <w:b/>
                <w:noProof/>
                <w:color w:val="000000"/>
                <w:sz w:val="18"/>
              </w:rPr>
              <w:t>Montants dus par le Royaume-Uni:</w:t>
            </w:r>
          </w:p>
        </w:tc>
        <w:tc>
          <w:tcPr>
            <w:tcW w:w="2114" w:type="dxa"/>
            <w:tcBorders>
              <w:top w:val="nil"/>
              <w:left w:val="nil"/>
              <w:bottom w:val="nil"/>
              <w:right w:val="nil"/>
              <w:tl2br w:val="nil"/>
              <w:tr2bl w:val="nil"/>
            </w:tcBorders>
            <w:tcMar>
              <w:left w:w="60" w:type="dxa"/>
              <w:right w:w="60" w:type="dxa"/>
            </w:tcMar>
            <w:vAlign w:val="bottom"/>
          </w:tcPr>
          <w:p>
            <w:pPr>
              <w:pStyle w:val="DMETW36745BIPOthAm"/>
              <w:jc w:val="right"/>
              <w:rPr>
                <w:rFonts w:ascii="Verdana" w:eastAsia="Verdana" w:hAnsi="Verdana" w:cs="Verdana"/>
                <w:i/>
                <w:noProof/>
                <w:color w:val="000000"/>
                <w:sz w:val="18"/>
              </w:rPr>
            </w:pPr>
          </w:p>
        </w:tc>
        <w:tc>
          <w:tcPr>
            <w:tcW w:w="2114" w:type="dxa"/>
            <w:tcBorders>
              <w:top w:val="nil"/>
              <w:left w:val="nil"/>
              <w:bottom w:val="nil"/>
              <w:right w:val="nil"/>
              <w:tl2br w:val="nil"/>
              <w:tr2bl w:val="nil"/>
            </w:tcBorders>
            <w:tcMar>
              <w:left w:w="60" w:type="dxa"/>
              <w:right w:w="60" w:type="dxa"/>
            </w:tcMar>
            <w:vAlign w:val="bottom"/>
          </w:tcPr>
          <w:p>
            <w:pPr>
              <w:pStyle w:val="DMETW36745BIPOthAm"/>
              <w:jc w:val="right"/>
              <w:rPr>
                <w:rFonts w:ascii="Verdana" w:eastAsia="Verdana" w:hAnsi="Verdana" w:cs="Verdana"/>
                <w:b/>
                <w:noProof/>
                <w:color w:val="000000"/>
                <w:sz w:val="18"/>
                <w:lang w:bidi="en-GB"/>
              </w:rPr>
            </w:pPr>
          </w:p>
        </w:tc>
      </w:tr>
      <w:tr>
        <w:trPr>
          <w:trHeight w:val="255"/>
        </w:trPr>
        <w:tc>
          <w:tcPr>
            <w:tcW w:w="5530" w:type="dxa"/>
            <w:tcBorders>
              <w:top w:val="nil"/>
              <w:left w:val="nil"/>
              <w:bottom w:val="nil"/>
              <w:right w:val="nil"/>
              <w:tl2br w:val="nil"/>
              <w:tr2bl w:val="nil"/>
            </w:tcBorders>
            <w:tcMar>
              <w:left w:w="60" w:type="dxa"/>
              <w:right w:w="60" w:type="dxa"/>
            </w:tcMar>
            <w:vAlign w:val="center"/>
          </w:tcPr>
          <w:p>
            <w:pPr>
              <w:pStyle w:val="DMETW36745BIPOthAm"/>
              <w:ind w:left="200" w:firstLine="8"/>
              <w:rPr>
                <w:rFonts w:ascii="Verdana" w:eastAsia="Verdana" w:hAnsi="Verdana" w:cs="Verdana"/>
                <w:i/>
                <w:noProof/>
                <w:color w:val="000000"/>
                <w:sz w:val="18"/>
              </w:rPr>
            </w:pPr>
            <w:r>
              <w:rPr>
                <w:rFonts w:ascii="Verdana" w:hAnsi="Verdana"/>
                <w:i/>
                <w:noProof/>
                <w:color w:val="000000"/>
                <w:sz w:val="18"/>
              </w:rPr>
              <w:t>Article 136</w:t>
            </w:r>
          </w:p>
        </w:tc>
        <w:tc>
          <w:tcPr>
            <w:tcW w:w="2114" w:type="dxa"/>
            <w:tcBorders>
              <w:top w:val="nil"/>
              <w:left w:val="nil"/>
              <w:bottom w:val="nil"/>
              <w:right w:val="nil"/>
              <w:tl2br w:val="nil"/>
              <w:tr2bl w:val="nil"/>
            </w:tcBorders>
            <w:tcMar>
              <w:left w:w="60" w:type="dxa"/>
              <w:right w:w="60" w:type="dxa"/>
            </w:tcMar>
            <w:vAlign w:val="bottom"/>
          </w:tcPr>
          <w:p>
            <w:pPr>
              <w:pStyle w:val="DMETW36745BIPOthAm"/>
              <w:jc w:val="right"/>
              <w:rPr>
                <w:rFonts w:ascii="Verdana" w:eastAsia="Verdana" w:hAnsi="Verdana" w:cs="Verdana"/>
                <w:i/>
                <w:noProof/>
                <w:color w:val="000000"/>
                <w:sz w:val="18"/>
              </w:rPr>
            </w:pPr>
            <w:r>
              <w:rPr>
                <w:rFonts w:ascii="Verdana" w:hAnsi="Verdana"/>
                <w:i/>
                <w:noProof/>
                <w:color w:val="000000"/>
                <w:sz w:val="18"/>
              </w:rPr>
              <w:t xml:space="preserve"> 133</w:t>
            </w:r>
          </w:p>
        </w:tc>
        <w:tc>
          <w:tcPr>
            <w:tcW w:w="2114" w:type="dxa"/>
            <w:tcBorders>
              <w:top w:val="nil"/>
              <w:left w:val="nil"/>
              <w:bottom w:val="nil"/>
              <w:right w:val="nil"/>
              <w:tl2br w:val="nil"/>
              <w:tr2bl w:val="nil"/>
            </w:tcBorders>
            <w:tcMar>
              <w:left w:w="60" w:type="dxa"/>
              <w:right w:w="60" w:type="dxa"/>
            </w:tcMar>
            <w:vAlign w:val="bottom"/>
          </w:tcPr>
          <w:p>
            <w:pPr>
              <w:pStyle w:val="DMETW36745BIPOthAm"/>
              <w:jc w:val="right"/>
              <w:rPr>
                <w:rFonts w:ascii="Verdana" w:eastAsia="Verdana" w:hAnsi="Verdana" w:cs="Verdana"/>
                <w:i/>
                <w:noProof/>
                <w:color w:val="000000"/>
                <w:sz w:val="18"/>
              </w:rPr>
            </w:pPr>
            <w:r>
              <w:rPr>
                <w:rFonts w:ascii="Verdana" w:hAnsi="Verdana"/>
                <w:i/>
                <w:noProof/>
                <w:color w:val="000000"/>
                <w:sz w:val="18"/>
              </w:rPr>
              <w:t xml:space="preserve"> 8</w:t>
            </w:r>
          </w:p>
        </w:tc>
      </w:tr>
      <w:tr>
        <w:trPr>
          <w:trHeight w:val="255"/>
        </w:trPr>
        <w:tc>
          <w:tcPr>
            <w:tcW w:w="5530" w:type="dxa"/>
            <w:tcBorders>
              <w:top w:val="nil"/>
              <w:left w:val="nil"/>
              <w:bottom w:val="single" w:sz="4" w:space="0" w:color="016794"/>
              <w:right w:val="nil"/>
              <w:tl2br w:val="nil"/>
              <w:tr2bl w:val="nil"/>
            </w:tcBorders>
            <w:tcMar>
              <w:left w:w="60" w:type="dxa"/>
              <w:right w:w="60" w:type="dxa"/>
            </w:tcMar>
            <w:vAlign w:val="center"/>
          </w:tcPr>
          <w:p>
            <w:pPr>
              <w:pStyle w:val="DMETW36745BIPOthAm"/>
              <w:ind w:left="200" w:firstLine="8"/>
              <w:rPr>
                <w:rFonts w:ascii="Verdana" w:eastAsia="Verdana" w:hAnsi="Verdana" w:cs="Verdana"/>
                <w:i/>
                <w:noProof/>
                <w:color w:val="000000"/>
                <w:sz w:val="18"/>
              </w:rPr>
            </w:pPr>
            <w:r>
              <w:rPr>
                <w:rFonts w:ascii="Verdana" w:hAnsi="Verdana"/>
                <w:i/>
                <w:noProof/>
                <w:color w:val="000000"/>
                <w:sz w:val="18"/>
              </w:rPr>
              <w:t>Article 147</w:t>
            </w:r>
          </w:p>
        </w:tc>
        <w:tc>
          <w:tcPr>
            <w:tcW w:w="2114" w:type="dxa"/>
            <w:tcBorders>
              <w:top w:val="nil"/>
              <w:left w:val="nil"/>
              <w:bottom w:val="single" w:sz="4" w:space="0" w:color="016794"/>
              <w:right w:val="nil"/>
              <w:tl2br w:val="nil"/>
              <w:tr2bl w:val="nil"/>
            </w:tcBorders>
            <w:tcMar>
              <w:left w:w="60" w:type="dxa"/>
              <w:right w:w="60" w:type="dxa"/>
            </w:tcMar>
            <w:vAlign w:val="bottom"/>
          </w:tcPr>
          <w:p>
            <w:pPr>
              <w:pStyle w:val="DMETW36745BIPOthAm"/>
              <w:jc w:val="right"/>
              <w:rPr>
                <w:rFonts w:ascii="Verdana" w:eastAsia="Verdana" w:hAnsi="Verdana" w:cs="Verdana"/>
                <w:i/>
                <w:noProof/>
                <w:color w:val="000000"/>
                <w:sz w:val="18"/>
              </w:rPr>
            </w:pPr>
            <w:r>
              <w:rPr>
                <w:rFonts w:ascii="Verdana" w:hAnsi="Verdana"/>
                <w:i/>
                <w:noProof/>
                <w:color w:val="000000"/>
                <w:sz w:val="18"/>
              </w:rPr>
              <w:t xml:space="preserve"> 33</w:t>
            </w:r>
          </w:p>
        </w:tc>
        <w:tc>
          <w:tcPr>
            <w:tcW w:w="2114" w:type="dxa"/>
            <w:tcBorders>
              <w:top w:val="nil"/>
              <w:left w:val="nil"/>
              <w:bottom w:val="single" w:sz="4" w:space="0" w:color="016794"/>
              <w:right w:val="nil"/>
              <w:tl2br w:val="nil"/>
              <w:tr2bl w:val="nil"/>
            </w:tcBorders>
            <w:tcMar>
              <w:left w:w="60" w:type="dxa"/>
              <w:right w:w="60" w:type="dxa"/>
            </w:tcMar>
            <w:vAlign w:val="bottom"/>
          </w:tcPr>
          <w:p>
            <w:pPr>
              <w:pStyle w:val="DMETW36745BIPOthAm"/>
              <w:jc w:val="right"/>
              <w:rPr>
                <w:rFonts w:ascii="Verdana" w:eastAsia="Verdana" w:hAnsi="Verdana" w:cs="Verdana"/>
                <w:i/>
                <w:noProof/>
                <w:color w:val="000000"/>
                <w:sz w:val="18"/>
              </w:rPr>
            </w:pPr>
            <w:r>
              <w:rPr>
                <w:rFonts w:ascii="Verdana" w:hAnsi="Verdana"/>
                <w:i/>
                <w:noProof/>
                <w:color w:val="000000"/>
                <w:sz w:val="18"/>
              </w:rPr>
              <w:t xml:space="preserve"> 107</w:t>
            </w:r>
          </w:p>
        </w:tc>
      </w:tr>
      <w:tr>
        <w:trPr>
          <w:trHeight w:val="255"/>
        </w:trPr>
        <w:tc>
          <w:tcPr>
            <w:tcW w:w="553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5BIPOthAm"/>
              <w:rPr>
                <w:rFonts w:ascii="Verdana" w:eastAsia="Verdana" w:hAnsi="Verdana" w:cs="Verdana"/>
                <w:b/>
                <w:noProof/>
                <w:color w:val="000000"/>
                <w:sz w:val="18"/>
              </w:rPr>
            </w:pPr>
          </w:p>
        </w:tc>
        <w:tc>
          <w:tcPr>
            <w:tcW w:w="2114"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45BIPOthAm"/>
              <w:jc w:val="right"/>
              <w:rPr>
                <w:rFonts w:ascii="Verdana" w:eastAsia="Verdana" w:hAnsi="Verdana" w:cs="Verdana"/>
                <w:b/>
                <w:noProof/>
                <w:color w:val="000000"/>
                <w:sz w:val="18"/>
              </w:rPr>
            </w:pPr>
            <w:r>
              <w:rPr>
                <w:rFonts w:ascii="Verdana" w:hAnsi="Verdana"/>
                <w:b/>
                <w:noProof/>
                <w:color w:val="000000"/>
                <w:sz w:val="18"/>
              </w:rPr>
              <w:t xml:space="preserve"> 166</w:t>
            </w:r>
          </w:p>
        </w:tc>
        <w:tc>
          <w:tcPr>
            <w:tcW w:w="2114"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45BIPOthAm"/>
              <w:jc w:val="right"/>
              <w:rPr>
                <w:rFonts w:ascii="Verdana" w:eastAsia="Verdana" w:hAnsi="Verdana" w:cs="Verdana"/>
                <w:b/>
                <w:noProof/>
                <w:color w:val="000000"/>
                <w:sz w:val="18"/>
              </w:rPr>
            </w:pPr>
            <w:r>
              <w:rPr>
                <w:rFonts w:ascii="Verdana" w:hAnsi="Verdana"/>
                <w:b/>
                <w:noProof/>
                <w:color w:val="000000"/>
                <w:sz w:val="18"/>
              </w:rPr>
              <w:t xml:space="preserve"> 116</w:t>
            </w:r>
          </w:p>
        </w:tc>
      </w:tr>
      <w:tr>
        <w:trPr>
          <w:trHeight w:val="255"/>
        </w:trPr>
        <w:tc>
          <w:tcPr>
            <w:tcW w:w="5530" w:type="dxa"/>
            <w:tcBorders>
              <w:top w:val="single" w:sz="4" w:space="0" w:color="016794"/>
              <w:left w:val="nil"/>
              <w:bottom w:val="nil"/>
              <w:right w:val="nil"/>
              <w:tl2br w:val="nil"/>
              <w:tr2bl w:val="nil"/>
            </w:tcBorders>
            <w:tcMar>
              <w:left w:w="60" w:type="dxa"/>
              <w:right w:w="60" w:type="dxa"/>
            </w:tcMar>
            <w:vAlign w:val="center"/>
          </w:tcPr>
          <w:p>
            <w:pPr>
              <w:pStyle w:val="DMETW36745BIPOthAm"/>
              <w:rPr>
                <w:rFonts w:ascii="Verdana" w:eastAsia="Verdana" w:hAnsi="Verdana" w:cs="Verdana"/>
                <w:b/>
                <w:noProof/>
                <w:color w:val="000000"/>
                <w:sz w:val="18"/>
              </w:rPr>
            </w:pPr>
            <w:r>
              <w:rPr>
                <w:rFonts w:ascii="Verdana" w:hAnsi="Verdana"/>
                <w:b/>
                <w:noProof/>
                <w:color w:val="000000"/>
                <w:sz w:val="18"/>
              </w:rPr>
              <w:t>Montants dus au Royaume-Uni:</w:t>
            </w:r>
          </w:p>
        </w:tc>
        <w:tc>
          <w:tcPr>
            <w:tcW w:w="2114" w:type="dxa"/>
            <w:tcBorders>
              <w:top w:val="single" w:sz="4" w:space="0" w:color="016794"/>
              <w:left w:val="nil"/>
              <w:bottom w:val="nil"/>
              <w:right w:val="nil"/>
              <w:tl2br w:val="nil"/>
              <w:tr2bl w:val="nil"/>
            </w:tcBorders>
            <w:tcMar>
              <w:left w:w="60" w:type="dxa"/>
              <w:right w:w="60" w:type="dxa"/>
            </w:tcMar>
            <w:vAlign w:val="bottom"/>
          </w:tcPr>
          <w:p>
            <w:pPr>
              <w:pStyle w:val="DMETW36745BIPOthAm"/>
              <w:jc w:val="right"/>
              <w:rPr>
                <w:rFonts w:ascii="Verdana" w:eastAsia="Verdana" w:hAnsi="Verdana" w:cs="Verdana"/>
                <w:i/>
                <w:noProof/>
                <w:color w:val="000000"/>
                <w:sz w:val="18"/>
              </w:rPr>
            </w:pPr>
          </w:p>
        </w:tc>
        <w:tc>
          <w:tcPr>
            <w:tcW w:w="2114" w:type="dxa"/>
            <w:tcBorders>
              <w:top w:val="single" w:sz="4" w:space="0" w:color="016794"/>
              <w:left w:val="nil"/>
              <w:bottom w:val="nil"/>
              <w:right w:val="nil"/>
              <w:tl2br w:val="nil"/>
              <w:tr2bl w:val="nil"/>
            </w:tcBorders>
            <w:tcMar>
              <w:left w:w="60" w:type="dxa"/>
              <w:right w:w="60" w:type="dxa"/>
            </w:tcMar>
            <w:vAlign w:val="bottom"/>
          </w:tcPr>
          <w:p>
            <w:pPr>
              <w:pStyle w:val="DMETW36745BIPOthAm"/>
              <w:jc w:val="right"/>
              <w:rPr>
                <w:rFonts w:ascii="Verdana" w:eastAsia="Verdana" w:hAnsi="Verdana" w:cs="Verdana"/>
                <w:i/>
                <w:noProof/>
                <w:color w:val="000000"/>
                <w:sz w:val="18"/>
                <w:lang w:bidi="en-GB"/>
              </w:rPr>
            </w:pPr>
          </w:p>
        </w:tc>
      </w:tr>
      <w:tr>
        <w:trPr>
          <w:trHeight w:val="255"/>
        </w:trPr>
        <w:tc>
          <w:tcPr>
            <w:tcW w:w="5530" w:type="dxa"/>
            <w:tcBorders>
              <w:top w:val="nil"/>
              <w:left w:val="nil"/>
              <w:bottom w:val="nil"/>
              <w:right w:val="nil"/>
              <w:tl2br w:val="nil"/>
              <w:tr2bl w:val="nil"/>
            </w:tcBorders>
            <w:tcMar>
              <w:left w:w="60" w:type="dxa"/>
              <w:right w:w="60" w:type="dxa"/>
            </w:tcMar>
            <w:vAlign w:val="center"/>
          </w:tcPr>
          <w:p>
            <w:pPr>
              <w:pStyle w:val="DMETW36745BIPOthAm"/>
              <w:ind w:left="200" w:firstLine="8"/>
              <w:rPr>
                <w:rFonts w:ascii="Verdana" w:eastAsia="Verdana" w:hAnsi="Verdana" w:cs="Verdana"/>
                <w:i/>
                <w:noProof/>
                <w:color w:val="000000"/>
                <w:sz w:val="18"/>
              </w:rPr>
            </w:pPr>
            <w:r>
              <w:rPr>
                <w:rFonts w:ascii="Verdana" w:hAnsi="Verdana"/>
                <w:i/>
                <w:noProof/>
                <w:color w:val="000000"/>
                <w:sz w:val="18"/>
              </w:rPr>
              <w:t>Article 141</w:t>
            </w:r>
          </w:p>
        </w:tc>
        <w:tc>
          <w:tcPr>
            <w:tcW w:w="2114" w:type="dxa"/>
            <w:tcBorders>
              <w:top w:val="nil"/>
              <w:left w:val="nil"/>
              <w:bottom w:val="nil"/>
              <w:right w:val="nil"/>
              <w:tl2br w:val="nil"/>
              <w:tr2bl w:val="nil"/>
            </w:tcBorders>
            <w:tcMar>
              <w:left w:w="60" w:type="dxa"/>
              <w:right w:w="60" w:type="dxa"/>
            </w:tcMar>
            <w:vAlign w:val="bottom"/>
          </w:tcPr>
          <w:p>
            <w:pPr>
              <w:pStyle w:val="DMETW36745BIPOthAm"/>
              <w:jc w:val="right"/>
              <w:rPr>
                <w:rFonts w:ascii="Verdana" w:eastAsia="Verdana" w:hAnsi="Verdana" w:cs="Verdana"/>
                <w:i/>
                <w:noProof/>
                <w:color w:val="000000"/>
                <w:sz w:val="18"/>
              </w:rPr>
            </w:pPr>
            <w:r>
              <w:rPr>
                <w:rFonts w:ascii="Verdana" w:hAnsi="Verdana"/>
                <w:i/>
                <w:noProof/>
                <w:color w:val="000000"/>
                <w:sz w:val="18"/>
              </w:rPr>
              <w:t>(1 090)</w:t>
            </w:r>
          </w:p>
        </w:tc>
        <w:tc>
          <w:tcPr>
            <w:tcW w:w="2114" w:type="dxa"/>
            <w:tcBorders>
              <w:top w:val="nil"/>
              <w:left w:val="nil"/>
              <w:bottom w:val="nil"/>
              <w:right w:val="nil"/>
              <w:tl2br w:val="nil"/>
              <w:tr2bl w:val="nil"/>
            </w:tcBorders>
            <w:tcMar>
              <w:left w:w="60" w:type="dxa"/>
              <w:right w:w="60" w:type="dxa"/>
            </w:tcMar>
            <w:vAlign w:val="bottom"/>
          </w:tcPr>
          <w:p>
            <w:pPr>
              <w:pStyle w:val="DMETW36745BIPOthAm"/>
              <w:jc w:val="right"/>
              <w:rPr>
                <w:rFonts w:ascii="Verdana" w:eastAsia="Verdana" w:hAnsi="Verdana" w:cs="Verdana"/>
                <w:i/>
                <w:noProof/>
                <w:color w:val="000000"/>
                <w:sz w:val="18"/>
              </w:rPr>
            </w:pPr>
            <w:r>
              <w:rPr>
                <w:rFonts w:ascii="Verdana" w:hAnsi="Verdana"/>
                <w:i/>
                <w:noProof/>
                <w:color w:val="000000"/>
                <w:sz w:val="18"/>
              </w:rPr>
              <w:t>(1 630)</w:t>
            </w:r>
          </w:p>
        </w:tc>
      </w:tr>
      <w:tr>
        <w:trPr>
          <w:trHeight w:val="255"/>
        </w:trPr>
        <w:tc>
          <w:tcPr>
            <w:tcW w:w="5530" w:type="dxa"/>
            <w:tcBorders>
              <w:top w:val="nil"/>
              <w:left w:val="nil"/>
              <w:bottom w:val="nil"/>
              <w:right w:val="nil"/>
              <w:tl2br w:val="nil"/>
              <w:tr2bl w:val="nil"/>
            </w:tcBorders>
            <w:tcMar>
              <w:left w:w="60" w:type="dxa"/>
              <w:right w:w="60" w:type="dxa"/>
            </w:tcMar>
            <w:vAlign w:val="center"/>
          </w:tcPr>
          <w:p>
            <w:pPr>
              <w:pStyle w:val="DMETW36745BIPOthAm"/>
              <w:ind w:left="200" w:firstLine="8"/>
              <w:rPr>
                <w:rFonts w:ascii="Verdana" w:eastAsia="Verdana" w:hAnsi="Verdana" w:cs="Verdana"/>
                <w:i/>
                <w:noProof/>
                <w:color w:val="000000"/>
                <w:sz w:val="18"/>
              </w:rPr>
            </w:pPr>
            <w:r>
              <w:rPr>
                <w:rFonts w:ascii="Verdana" w:hAnsi="Verdana"/>
                <w:i/>
                <w:noProof/>
                <w:color w:val="000000"/>
                <w:sz w:val="18"/>
              </w:rPr>
              <w:t>Article 143</w:t>
            </w:r>
          </w:p>
        </w:tc>
        <w:tc>
          <w:tcPr>
            <w:tcW w:w="2114" w:type="dxa"/>
            <w:tcBorders>
              <w:top w:val="nil"/>
              <w:left w:val="nil"/>
              <w:bottom w:val="nil"/>
              <w:right w:val="nil"/>
              <w:tl2br w:val="nil"/>
              <w:tr2bl w:val="nil"/>
            </w:tcBorders>
            <w:tcMar>
              <w:left w:w="60" w:type="dxa"/>
              <w:right w:w="60" w:type="dxa"/>
            </w:tcMar>
            <w:vAlign w:val="bottom"/>
          </w:tcPr>
          <w:p>
            <w:pPr>
              <w:pStyle w:val="DMETW36745BIPOthAm"/>
              <w:jc w:val="right"/>
              <w:rPr>
                <w:rFonts w:ascii="Verdana" w:eastAsia="Verdana" w:hAnsi="Verdana" w:cs="Verdana"/>
                <w:i/>
                <w:noProof/>
                <w:color w:val="000000"/>
                <w:sz w:val="18"/>
              </w:rPr>
            </w:pPr>
            <w:r>
              <w:rPr>
                <w:rFonts w:ascii="Verdana" w:hAnsi="Verdana"/>
                <w:i/>
                <w:noProof/>
                <w:color w:val="000000"/>
                <w:sz w:val="18"/>
              </w:rPr>
              <w:t xml:space="preserve"> (198)</w:t>
            </w:r>
          </w:p>
        </w:tc>
        <w:tc>
          <w:tcPr>
            <w:tcW w:w="2114" w:type="dxa"/>
            <w:tcBorders>
              <w:top w:val="nil"/>
              <w:left w:val="nil"/>
              <w:bottom w:val="nil"/>
              <w:right w:val="nil"/>
              <w:tl2br w:val="nil"/>
              <w:tr2bl w:val="nil"/>
            </w:tcBorders>
            <w:tcMar>
              <w:left w:w="60" w:type="dxa"/>
              <w:right w:w="60" w:type="dxa"/>
            </w:tcMar>
            <w:vAlign w:val="bottom"/>
          </w:tcPr>
          <w:p>
            <w:pPr>
              <w:pStyle w:val="DMETW36745BIPOthAm"/>
              <w:jc w:val="right"/>
              <w:rPr>
                <w:rFonts w:ascii="Verdana" w:eastAsia="Verdana" w:hAnsi="Verdana" w:cs="Verdana"/>
                <w:i/>
                <w:noProof/>
                <w:color w:val="000000"/>
                <w:sz w:val="18"/>
              </w:rPr>
            </w:pPr>
            <w:r>
              <w:rPr>
                <w:rFonts w:ascii="Verdana" w:hAnsi="Verdana"/>
                <w:i/>
                <w:noProof/>
                <w:color w:val="000000"/>
                <w:sz w:val="18"/>
              </w:rPr>
              <w:t xml:space="preserve"> (191)</w:t>
            </w:r>
          </w:p>
        </w:tc>
      </w:tr>
      <w:tr>
        <w:trPr>
          <w:trHeight w:val="255"/>
        </w:trPr>
        <w:tc>
          <w:tcPr>
            <w:tcW w:w="5530" w:type="dxa"/>
            <w:tcBorders>
              <w:top w:val="nil"/>
              <w:left w:val="nil"/>
              <w:bottom w:val="nil"/>
              <w:right w:val="nil"/>
              <w:tl2br w:val="nil"/>
              <w:tr2bl w:val="nil"/>
            </w:tcBorders>
            <w:tcMar>
              <w:left w:w="60" w:type="dxa"/>
              <w:right w:w="60" w:type="dxa"/>
            </w:tcMar>
            <w:vAlign w:val="center"/>
          </w:tcPr>
          <w:p>
            <w:pPr>
              <w:pStyle w:val="DMETW36745BIPOthAm"/>
              <w:ind w:left="200" w:firstLine="8"/>
              <w:rPr>
                <w:rFonts w:ascii="Verdana" w:eastAsia="Verdana" w:hAnsi="Verdana" w:cs="Verdana"/>
                <w:i/>
                <w:noProof/>
                <w:color w:val="000000"/>
                <w:sz w:val="18"/>
              </w:rPr>
            </w:pPr>
            <w:r>
              <w:rPr>
                <w:rFonts w:ascii="Verdana" w:hAnsi="Verdana"/>
                <w:i/>
                <w:noProof/>
                <w:color w:val="000000"/>
                <w:sz w:val="18"/>
              </w:rPr>
              <w:lastRenderedPageBreak/>
              <w:t>Article 144</w:t>
            </w:r>
          </w:p>
        </w:tc>
        <w:tc>
          <w:tcPr>
            <w:tcW w:w="2114" w:type="dxa"/>
            <w:tcBorders>
              <w:top w:val="nil"/>
              <w:left w:val="nil"/>
              <w:bottom w:val="nil"/>
              <w:right w:val="nil"/>
              <w:tl2br w:val="nil"/>
              <w:tr2bl w:val="nil"/>
            </w:tcBorders>
            <w:tcMar>
              <w:left w:w="60" w:type="dxa"/>
              <w:right w:w="60" w:type="dxa"/>
            </w:tcMar>
            <w:vAlign w:val="bottom"/>
          </w:tcPr>
          <w:p>
            <w:pPr>
              <w:pStyle w:val="DMETW36745BIPOthAm"/>
              <w:jc w:val="right"/>
              <w:rPr>
                <w:rFonts w:ascii="Verdana" w:eastAsia="Verdana" w:hAnsi="Verdana" w:cs="Verdana"/>
                <w:i/>
                <w:noProof/>
                <w:color w:val="000000"/>
                <w:sz w:val="18"/>
              </w:rPr>
            </w:pPr>
            <w:r>
              <w:rPr>
                <w:rFonts w:ascii="Verdana" w:hAnsi="Verdana"/>
                <w:i/>
                <w:noProof/>
                <w:color w:val="000000"/>
                <w:sz w:val="18"/>
              </w:rPr>
              <w:t xml:space="preserve"> (43)</w:t>
            </w:r>
          </w:p>
        </w:tc>
        <w:tc>
          <w:tcPr>
            <w:tcW w:w="2114" w:type="dxa"/>
            <w:tcBorders>
              <w:top w:val="nil"/>
              <w:left w:val="nil"/>
              <w:bottom w:val="nil"/>
              <w:right w:val="nil"/>
              <w:tl2br w:val="nil"/>
              <w:tr2bl w:val="nil"/>
            </w:tcBorders>
            <w:tcMar>
              <w:left w:w="60" w:type="dxa"/>
              <w:right w:w="60" w:type="dxa"/>
            </w:tcMar>
            <w:vAlign w:val="bottom"/>
          </w:tcPr>
          <w:p>
            <w:pPr>
              <w:pStyle w:val="DMETW36745BIPOthAm"/>
              <w:jc w:val="right"/>
              <w:rPr>
                <w:rFonts w:ascii="Verdana" w:eastAsia="Verdana" w:hAnsi="Verdana" w:cs="Verdana"/>
                <w:i/>
                <w:noProof/>
                <w:color w:val="000000"/>
                <w:sz w:val="18"/>
              </w:rPr>
            </w:pPr>
            <w:r>
              <w:rPr>
                <w:rFonts w:ascii="Verdana" w:hAnsi="Verdana"/>
                <w:i/>
                <w:noProof/>
                <w:color w:val="000000"/>
                <w:sz w:val="18"/>
              </w:rPr>
              <w:t xml:space="preserve"> (58)</w:t>
            </w:r>
          </w:p>
        </w:tc>
      </w:tr>
      <w:tr>
        <w:trPr>
          <w:trHeight w:val="255"/>
        </w:trPr>
        <w:tc>
          <w:tcPr>
            <w:tcW w:w="5530" w:type="dxa"/>
            <w:tcBorders>
              <w:top w:val="nil"/>
              <w:left w:val="nil"/>
              <w:bottom w:val="nil"/>
              <w:right w:val="nil"/>
              <w:tl2br w:val="nil"/>
              <w:tr2bl w:val="nil"/>
            </w:tcBorders>
            <w:tcMar>
              <w:left w:w="60" w:type="dxa"/>
              <w:right w:w="60" w:type="dxa"/>
            </w:tcMar>
            <w:vAlign w:val="center"/>
          </w:tcPr>
          <w:p>
            <w:pPr>
              <w:pStyle w:val="DMETW36745BIPOthAm"/>
              <w:ind w:left="200" w:firstLine="8"/>
              <w:rPr>
                <w:rFonts w:ascii="Verdana" w:eastAsia="Verdana" w:hAnsi="Verdana" w:cs="Verdana"/>
                <w:i/>
                <w:noProof/>
                <w:color w:val="000000"/>
                <w:sz w:val="18"/>
              </w:rPr>
            </w:pPr>
            <w:r>
              <w:rPr>
                <w:rFonts w:ascii="Verdana" w:hAnsi="Verdana"/>
                <w:i/>
                <w:noProof/>
                <w:color w:val="000000"/>
                <w:sz w:val="18"/>
              </w:rPr>
              <w:t>Article 145</w:t>
            </w:r>
          </w:p>
        </w:tc>
        <w:tc>
          <w:tcPr>
            <w:tcW w:w="2114" w:type="dxa"/>
            <w:tcBorders>
              <w:top w:val="nil"/>
              <w:left w:val="nil"/>
              <w:bottom w:val="nil"/>
              <w:right w:val="nil"/>
              <w:tl2br w:val="nil"/>
              <w:tr2bl w:val="nil"/>
            </w:tcBorders>
            <w:tcMar>
              <w:left w:w="60" w:type="dxa"/>
              <w:right w:w="60" w:type="dxa"/>
            </w:tcMar>
            <w:vAlign w:val="bottom"/>
          </w:tcPr>
          <w:p>
            <w:pPr>
              <w:pStyle w:val="DMETW36745BIPOthAm"/>
              <w:jc w:val="right"/>
              <w:rPr>
                <w:rFonts w:ascii="Verdana" w:eastAsia="Verdana" w:hAnsi="Verdana" w:cs="Verdana"/>
                <w:i/>
                <w:noProof/>
                <w:color w:val="000000"/>
                <w:sz w:val="18"/>
              </w:rPr>
            </w:pPr>
            <w:r>
              <w:rPr>
                <w:rFonts w:ascii="Verdana" w:hAnsi="Verdana"/>
                <w:i/>
                <w:noProof/>
                <w:color w:val="000000"/>
                <w:sz w:val="18"/>
              </w:rPr>
              <w:t>–</w:t>
            </w:r>
          </w:p>
        </w:tc>
        <w:tc>
          <w:tcPr>
            <w:tcW w:w="2114" w:type="dxa"/>
            <w:tcBorders>
              <w:top w:val="nil"/>
              <w:left w:val="nil"/>
              <w:bottom w:val="nil"/>
              <w:right w:val="nil"/>
              <w:tl2br w:val="nil"/>
              <w:tr2bl w:val="nil"/>
            </w:tcBorders>
            <w:tcMar>
              <w:left w:w="60" w:type="dxa"/>
              <w:right w:w="60" w:type="dxa"/>
            </w:tcMar>
            <w:vAlign w:val="bottom"/>
          </w:tcPr>
          <w:p>
            <w:pPr>
              <w:pStyle w:val="DMETW36745BIPOthAm"/>
              <w:jc w:val="right"/>
              <w:rPr>
                <w:rFonts w:ascii="Verdana" w:eastAsia="Verdana" w:hAnsi="Verdana" w:cs="Verdana"/>
                <w:i/>
                <w:noProof/>
                <w:color w:val="000000"/>
                <w:sz w:val="18"/>
              </w:rPr>
            </w:pPr>
            <w:r>
              <w:rPr>
                <w:rFonts w:ascii="Verdana" w:hAnsi="Verdana"/>
                <w:i/>
                <w:noProof/>
                <w:color w:val="000000"/>
                <w:sz w:val="18"/>
              </w:rPr>
              <w:t xml:space="preserve"> (37)</w:t>
            </w:r>
          </w:p>
        </w:tc>
      </w:tr>
      <w:tr>
        <w:trPr>
          <w:trHeight w:val="255"/>
        </w:trPr>
        <w:tc>
          <w:tcPr>
            <w:tcW w:w="5530" w:type="dxa"/>
            <w:tcBorders>
              <w:top w:val="nil"/>
              <w:left w:val="nil"/>
              <w:bottom w:val="single" w:sz="4" w:space="0" w:color="376194"/>
              <w:right w:val="nil"/>
              <w:tl2br w:val="nil"/>
              <w:tr2bl w:val="nil"/>
            </w:tcBorders>
            <w:tcMar>
              <w:left w:w="60" w:type="dxa"/>
              <w:right w:w="60" w:type="dxa"/>
            </w:tcMar>
            <w:vAlign w:val="center"/>
          </w:tcPr>
          <w:p>
            <w:pPr>
              <w:pStyle w:val="DMETW36745BIPOthAm"/>
              <w:ind w:left="200" w:firstLine="8"/>
              <w:rPr>
                <w:rFonts w:ascii="Verdana" w:eastAsia="Verdana" w:hAnsi="Verdana" w:cs="Verdana"/>
                <w:i/>
                <w:noProof/>
                <w:color w:val="000000"/>
                <w:sz w:val="18"/>
              </w:rPr>
            </w:pPr>
            <w:r>
              <w:rPr>
                <w:rFonts w:ascii="Verdana" w:hAnsi="Verdana"/>
                <w:i/>
                <w:noProof/>
                <w:color w:val="000000"/>
                <w:sz w:val="18"/>
              </w:rPr>
              <w:t>Article 146</w:t>
            </w:r>
          </w:p>
        </w:tc>
        <w:tc>
          <w:tcPr>
            <w:tcW w:w="2114" w:type="dxa"/>
            <w:tcBorders>
              <w:top w:val="nil"/>
              <w:left w:val="nil"/>
              <w:bottom w:val="single" w:sz="4" w:space="0" w:color="376194"/>
              <w:right w:val="nil"/>
              <w:tl2br w:val="nil"/>
              <w:tr2bl w:val="nil"/>
            </w:tcBorders>
            <w:tcMar>
              <w:left w:w="60" w:type="dxa"/>
              <w:right w:w="60" w:type="dxa"/>
            </w:tcMar>
            <w:vAlign w:val="bottom"/>
          </w:tcPr>
          <w:p>
            <w:pPr>
              <w:pStyle w:val="DMETW36745BIPOthAm"/>
              <w:jc w:val="right"/>
              <w:rPr>
                <w:rFonts w:ascii="Verdana" w:eastAsia="Verdana" w:hAnsi="Verdana" w:cs="Verdana"/>
                <w:i/>
                <w:noProof/>
                <w:color w:val="000000"/>
                <w:sz w:val="18"/>
              </w:rPr>
            </w:pPr>
            <w:r>
              <w:rPr>
                <w:rFonts w:ascii="Verdana" w:hAnsi="Verdana"/>
                <w:i/>
                <w:noProof/>
                <w:color w:val="000000"/>
                <w:sz w:val="18"/>
              </w:rPr>
              <w:t>–</w:t>
            </w:r>
          </w:p>
        </w:tc>
        <w:tc>
          <w:tcPr>
            <w:tcW w:w="2114" w:type="dxa"/>
            <w:tcBorders>
              <w:top w:val="nil"/>
              <w:left w:val="nil"/>
              <w:bottom w:val="single" w:sz="4" w:space="0" w:color="376194"/>
              <w:right w:val="nil"/>
              <w:tl2br w:val="nil"/>
              <w:tr2bl w:val="nil"/>
            </w:tcBorders>
            <w:tcMar>
              <w:left w:w="60" w:type="dxa"/>
              <w:right w:w="60" w:type="dxa"/>
            </w:tcMar>
            <w:vAlign w:val="bottom"/>
          </w:tcPr>
          <w:p>
            <w:pPr>
              <w:pStyle w:val="DMETW36745BIPOthAm"/>
              <w:jc w:val="right"/>
              <w:rPr>
                <w:rFonts w:ascii="Verdana" w:eastAsia="Verdana" w:hAnsi="Verdana" w:cs="Verdana"/>
                <w:i/>
                <w:noProof/>
                <w:color w:val="000000"/>
                <w:sz w:val="18"/>
              </w:rPr>
            </w:pPr>
            <w:r>
              <w:rPr>
                <w:rFonts w:ascii="Verdana" w:hAnsi="Verdana"/>
                <w:i/>
                <w:noProof/>
                <w:color w:val="000000"/>
                <w:sz w:val="18"/>
              </w:rPr>
              <w:t xml:space="preserve"> (7)</w:t>
            </w:r>
          </w:p>
        </w:tc>
      </w:tr>
      <w:tr>
        <w:trPr>
          <w:trHeight w:val="255"/>
        </w:trPr>
        <w:tc>
          <w:tcPr>
            <w:tcW w:w="5530" w:type="dxa"/>
            <w:tcBorders>
              <w:top w:val="single" w:sz="4" w:space="0" w:color="376194"/>
              <w:left w:val="nil"/>
              <w:bottom w:val="single" w:sz="4" w:space="0" w:color="016794"/>
              <w:right w:val="nil"/>
              <w:tl2br w:val="nil"/>
              <w:tr2bl w:val="nil"/>
            </w:tcBorders>
            <w:tcMar>
              <w:left w:w="60" w:type="dxa"/>
              <w:right w:w="60" w:type="dxa"/>
            </w:tcMar>
            <w:vAlign w:val="center"/>
          </w:tcPr>
          <w:p>
            <w:pPr>
              <w:pStyle w:val="DMETW36745BIPOthAm"/>
              <w:rPr>
                <w:rFonts w:ascii="Verdana" w:eastAsia="Verdana" w:hAnsi="Verdana" w:cs="Verdana"/>
                <w:b/>
                <w:noProof/>
                <w:color w:val="000000"/>
                <w:sz w:val="18"/>
              </w:rPr>
            </w:pPr>
          </w:p>
        </w:tc>
        <w:tc>
          <w:tcPr>
            <w:tcW w:w="2114" w:type="dxa"/>
            <w:tcBorders>
              <w:top w:val="single" w:sz="4" w:space="0" w:color="376194"/>
              <w:left w:val="nil"/>
              <w:bottom w:val="single" w:sz="4" w:space="0" w:color="016794"/>
              <w:right w:val="nil"/>
              <w:tl2br w:val="nil"/>
              <w:tr2bl w:val="nil"/>
            </w:tcBorders>
            <w:tcMar>
              <w:left w:w="60" w:type="dxa"/>
              <w:right w:w="60" w:type="dxa"/>
            </w:tcMar>
            <w:vAlign w:val="bottom"/>
          </w:tcPr>
          <w:p>
            <w:pPr>
              <w:pStyle w:val="DMETW36745BIPOthAm"/>
              <w:jc w:val="right"/>
              <w:rPr>
                <w:rFonts w:ascii="Verdana" w:eastAsia="Verdana" w:hAnsi="Verdana" w:cs="Verdana"/>
                <w:b/>
                <w:noProof/>
                <w:color w:val="000000"/>
                <w:sz w:val="18"/>
              </w:rPr>
            </w:pPr>
            <w:r>
              <w:rPr>
                <w:rFonts w:ascii="Verdana" w:hAnsi="Verdana"/>
                <w:b/>
                <w:noProof/>
                <w:color w:val="000000"/>
                <w:sz w:val="18"/>
              </w:rPr>
              <w:t>(1 331)</w:t>
            </w:r>
          </w:p>
        </w:tc>
        <w:tc>
          <w:tcPr>
            <w:tcW w:w="2114" w:type="dxa"/>
            <w:tcBorders>
              <w:top w:val="single" w:sz="4" w:space="0" w:color="376194"/>
              <w:left w:val="nil"/>
              <w:bottom w:val="single" w:sz="4" w:space="0" w:color="016794"/>
              <w:right w:val="nil"/>
              <w:tl2br w:val="nil"/>
              <w:tr2bl w:val="nil"/>
            </w:tcBorders>
            <w:tcMar>
              <w:left w:w="60" w:type="dxa"/>
              <w:right w:w="60" w:type="dxa"/>
            </w:tcMar>
            <w:vAlign w:val="bottom"/>
          </w:tcPr>
          <w:p>
            <w:pPr>
              <w:pStyle w:val="DMETW36745BIPOthAm"/>
              <w:jc w:val="right"/>
              <w:rPr>
                <w:rFonts w:ascii="Verdana" w:eastAsia="Verdana" w:hAnsi="Verdana" w:cs="Verdana"/>
                <w:b/>
                <w:noProof/>
                <w:color w:val="000000"/>
                <w:sz w:val="18"/>
              </w:rPr>
            </w:pPr>
            <w:r>
              <w:rPr>
                <w:rFonts w:ascii="Verdana" w:hAnsi="Verdana"/>
                <w:b/>
                <w:noProof/>
                <w:color w:val="000000"/>
                <w:sz w:val="18"/>
              </w:rPr>
              <w:t>(1 922)</w:t>
            </w:r>
          </w:p>
        </w:tc>
      </w:tr>
      <w:tr>
        <w:trPr>
          <w:trHeight w:val="255"/>
        </w:trPr>
        <w:tc>
          <w:tcPr>
            <w:tcW w:w="553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5BIPOthAm"/>
              <w:rPr>
                <w:rFonts w:ascii="Verdana" w:eastAsia="Verdana" w:hAnsi="Verdana" w:cs="Verdana"/>
                <w:b/>
                <w:noProof/>
                <w:color w:val="000000"/>
                <w:sz w:val="18"/>
              </w:rPr>
            </w:pPr>
            <w:r>
              <w:rPr>
                <w:rFonts w:ascii="Verdana" w:hAnsi="Verdana"/>
                <w:b/>
                <w:noProof/>
                <w:color w:val="000000"/>
                <w:sz w:val="18"/>
              </w:rPr>
              <w:t>Total</w:t>
            </w:r>
          </w:p>
        </w:tc>
        <w:tc>
          <w:tcPr>
            <w:tcW w:w="2114"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45BIPOthAm"/>
              <w:jc w:val="right"/>
              <w:rPr>
                <w:rFonts w:ascii="Verdana" w:eastAsia="Verdana" w:hAnsi="Verdana" w:cs="Verdana"/>
                <w:b/>
                <w:noProof/>
                <w:color w:val="000000"/>
                <w:sz w:val="18"/>
              </w:rPr>
            </w:pPr>
            <w:r>
              <w:rPr>
                <w:rFonts w:ascii="Verdana" w:hAnsi="Verdana"/>
                <w:b/>
                <w:noProof/>
                <w:color w:val="000000"/>
                <w:sz w:val="18"/>
              </w:rPr>
              <w:t>(1 165)</w:t>
            </w:r>
          </w:p>
        </w:tc>
        <w:tc>
          <w:tcPr>
            <w:tcW w:w="2114"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45BIPOthAm"/>
              <w:jc w:val="right"/>
              <w:rPr>
                <w:rFonts w:ascii="Verdana" w:eastAsia="Verdana" w:hAnsi="Verdana" w:cs="Verdana"/>
                <w:b/>
                <w:noProof/>
                <w:color w:val="000000"/>
                <w:sz w:val="18"/>
              </w:rPr>
            </w:pPr>
            <w:r>
              <w:rPr>
                <w:rFonts w:ascii="Verdana" w:hAnsi="Verdana"/>
                <w:b/>
                <w:noProof/>
                <w:color w:val="000000"/>
                <w:sz w:val="18"/>
              </w:rPr>
              <w:t>(1 806)</w:t>
            </w:r>
          </w:p>
        </w:tc>
      </w:tr>
      <w:tr>
        <w:trPr>
          <w:trHeight w:val="255"/>
        </w:trPr>
        <w:tc>
          <w:tcPr>
            <w:tcW w:w="5530" w:type="dxa"/>
            <w:tcBorders>
              <w:top w:val="single" w:sz="4" w:space="0" w:color="016794"/>
              <w:left w:val="nil"/>
              <w:bottom w:val="nil"/>
              <w:right w:val="nil"/>
              <w:tl2br w:val="nil"/>
              <w:tr2bl w:val="nil"/>
            </w:tcBorders>
            <w:tcMar>
              <w:left w:w="60" w:type="dxa"/>
              <w:right w:w="60" w:type="dxa"/>
            </w:tcMar>
            <w:vAlign w:val="center"/>
          </w:tcPr>
          <w:p>
            <w:pPr>
              <w:pStyle w:val="DMETW36745BIPOthAm"/>
              <w:rPr>
                <w:rFonts w:ascii="Verdana" w:eastAsia="Verdana" w:hAnsi="Verdana" w:cs="Verdana"/>
                <w:i/>
                <w:noProof/>
                <w:color w:val="016794"/>
                <w:sz w:val="18"/>
              </w:rPr>
            </w:pPr>
            <w:r>
              <w:rPr>
                <w:rFonts w:ascii="Verdana" w:hAnsi="Verdana"/>
                <w:i/>
                <w:noProof/>
                <w:color w:val="016794"/>
                <w:sz w:val="18"/>
              </w:rPr>
              <w:t>Non courants</w:t>
            </w:r>
          </w:p>
        </w:tc>
        <w:tc>
          <w:tcPr>
            <w:tcW w:w="2114" w:type="dxa"/>
            <w:tcBorders>
              <w:top w:val="single" w:sz="4" w:space="0" w:color="016794"/>
              <w:left w:val="nil"/>
              <w:bottom w:val="nil"/>
              <w:right w:val="nil"/>
              <w:tl2br w:val="nil"/>
              <w:tr2bl w:val="nil"/>
            </w:tcBorders>
            <w:tcMar>
              <w:left w:w="60" w:type="dxa"/>
              <w:right w:w="60" w:type="dxa"/>
            </w:tcMar>
            <w:vAlign w:val="bottom"/>
          </w:tcPr>
          <w:p>
            <w:pPr>
              <w:pStyle w:val="DMETW36745BIPOthAm"/>
              <w:jc w:val="right"/>
              <w:rPr>
                <w:rFonts w:ascii="Verdana" w:eastAsia="Verdana" w:hAnsi="Verdana" w:cs="Verdana"/>
                <w:i/>
                <w:noProof/>
                <w:color w:val="016794"/>
                <w:sz w:val="18"/>
              </w:rPr>
            </w:pPr>
            <w:r>
              <w:rPr>
                <w:rFonts w:ascii="Verdana" w:hAnsi="Verdana"/>
                <w:i/>
                <w:noProof/>
                <w:color w:val="016794"/>
                <w:sz w:val="18"/>
              </w:rPr>
              <w:t xml:space="preserve"> (915)</w:t>
            </w:r>
          </w:p>
        </w:tc>
        <w:tc>
          <w:tcPr>
            <w:tcW w:w="2114" w:type="dxa"/>
            <w:tcBorders>
              <w:top w:val="single" w:sz="4" w:space="0" w:color="016794"/>
              <w:left w:val="nil"/>
              <w:bottom w:val="nil"/>
              <w:right w:val="nil"/>
              <w:tl2br w:val="nil"/>
              <w:tr2bl w:val="nil"/>
            </w:tcBorders>
            <w:tcMar>
              <w:left w:w="60" w:type="dxa"/>
              <w:right w:w="60" w:type="dxa"/>
            </w:tcMar>
            <w:vAlign w:val="bottom"/>
          </w:tcPr>
          <w:p>
            <w:pPr>
              <w:pStyle w:val="DMETW36745BIPOthAm"/>
              <w:jc w:val="right"/>
              <w:rPr>
                <w:rFonts w:ascii="Verdana" w:eastAsia="Verdana" w:hAnsi="Verdana" w:cs="Verdana"/>
                <w:i/>
                <w:noProof/>
                <w:color w:val="016794"/>
                <w:sz w:val="18"/>
              </w:rPr>
            </w:pPr>
            <w:r>
              <w:rPr>
                <w:rFonts w:ascii="Verdana" w:hAnsi="Verdana"/>
                <w:i/>
                <w:noProof/>
                <w:color w:val="016794"/>
                <w:sz w:val="18"/>
              </w:rPr>
              <w:t>(1 040)</w:t>
            </w:r>
          </w:p>
        </w:tc>
      </w:tr>
      <w:tr>
        <w:trPr>
          <w:trHeight w:val="255"/>
        </w:trPr>
        <w:tc>
          <w:tcPr>
            <w:tcW w:w="5530" w:type="dxa"/>
            <w:tcBorders>
              <w:top w:val="nil"/>
              <w:left w:val="nil"/>
              <w:bottom w:val="nil"/>
              <w:right w:val="nil"/>
              <w:tl2br w:val="nil"/>
              <w:tr2bl w:val="nil"/>
            </w:tcBorders>
            <w:tcMar>
              <w:left w:w="60" w:type="dxa"/>
              <w:right w:w="60" w:type="dxa"/>
            </w:tcMar>
            <w:vAlign w:val="center"/>
          </w:tcPr>
          <w:p>
            <w:pPr>
              <w:pStyle w:val="DMETW36745BIPOthAm"/>
              <w:rPr>
                <w:rFonts w:ascii="Verdana" w:eastAsia="Verdana" w:hAnsi="Verdana" w:cs="Verdana"/>
                <w:i/>
                <w:noProof/>
                <w:color w:val="016794"/>
                <w:sz w:val="18"/>
              </w:rPr>
            </w:pPr>
            <w:r>
              <w:rPr>
                <w:rFonts w:ascii="Verdana" w:hAnsi="Verdana"/>
                <w:i/>
                <w:noProof/>
                <w:color w:val="016794"/>
                <w:sz w:val="18"/>
              </w:rPr>
              <w:t>Courants</w:t>
            </w:r>
          </w:p>
        </w:tc>
        <w:tc>
          <w:tcPr>
            <w:tcW w:w="2114" w:type="dxa"/>
            <w:tcBorders>
              <w:top w:val="nil"/>
              <w:left w:val="nil"/>
              <w:bottom w:val="nil"/>
              <w:right w:val="nil"/>
              <w:tl2br w:val="nil"/>
              <w:tr2bl w:val="nil"/>
            </w:tcBorders>
            <w:tcMar>
              <w:left w:w="60" w:type="dxa"/>
              <w:right w:w="60" w:type="dxa"/>
            </w:tcMar>
            <w:vAlign w:val="bottom"/>
          </w:tcPr>
          <w:p>
            <w:pPr>
              <w:pStyle w:val="DMETW36745BIPOthAm"/>
              <w:jc w:val="right"/>
              <w:rPr>
                <w:rFonts w:ascii="Verdana" w:eastAsia="Verdana" w:hAnsi="Verdana" w:cs="Verdana"/>
                <w:i/>
                <w:noProof/>
                <w:color w:val="016794"/>
                <w:sz w:val="18"/>
              </w:rPr>
            </w:pPr>
            <w:r>
              <w:rPr>
                <w:rFonts w:ascii="Verdana" w:hAnsi="Verdana"/>
                <w:i/>
                <w:noProof/>
                <w:color w:val="016794"/>
                <w:sz w:val="18"/>
              </w:rPr>
              <w:t xml:space="preserve"> (250)</w:t>
            </w:r>
          </w:p>
        </w:tc>
        <w:tc>
          <w:tcPr>
            <w:tcW w:w="2114" w:type="dxa"/>
            <w:tcBorders>
              <w:top w:val="nil"/>
              <w:left w:val="nil"/>
              <w:bottom w:val="nil"/>
              <w:right w:val="nil"/>
              <w:tl2br w:val="nil"/>
              <w:tr2bl w:val="nil"/>
            </w:tcBorders>
            <w:tcMar>
              <w:left w:w="60" w:type="dxa"/>
              <w:right w:w="60" w:type="dxa"/>
            </w:tcMar>
            <w:vAlign w:val="bottom"/>
          </w:tcPr>
          <w:p>
            <w:pPr>
              <w:pStyle w:val="DMETW36745BIPOthAm"/>
              <w:jc w:val="right"/>
              <w:rPr>
                <w:rFonts w:ascii="Verdana" w:eastAsia="Verdana" w:hAnsi="Verdana" w:cs="Verdana"/>
                <w:i/>
                <w:noProof/>
                <w:color w:val="016794"/>
                <w:sz w:val="18"/>
              </w:rPr>
            </w:pPr>
            <w:r>
              <w:rPr>
                <w:rFonts w:ascii="Verdana" w:hAnsi="Verdana"/>
                <w:i/>
                <w:noProof/>
                <w:color w:val="016794"/>
                <w:sz w:val="18"/>
              </w:rPr>
              <w:t xml:space="preserve"> (766)</w:t>
            </w:r>
          </w:p>
        </w:tc>
      </w:tr>
    </w:tbl>
    <w:p>
      <w:pPr>
        <w:pStyle w:val="DGTextstand-alone"/>
        <w:spacing w:before="360"/>
        <w:rPr>
          <w:i/>
          <w:color w:val="016794"/>
        </w:rPr>
      </w:pPr>
      <w:r>
        <w:rPr>
          <w:i/>
          <w:color w:val="016794"/>
        </w:rPr>
        <w:t>Article 136 – Dispositions applicables en matière de ressources propres</w:t>
      </w:r>
    </w:p>
    <w:p>
      <w:pPr>
        <w:pStyle w:val="DGTextstand-alone"/>
      </w:pPr>
      <w:r>
        <w:t>L’article 136 prévoit les dispositions applicables après le 31 décembre 2020 en matière de ressources propres. Le Royaume-Uni a, selon le cas, le droit de recevoir sa part ou l’obligation de la payer lorsque les ressources propres relatives aux exercices jusqu’à celui de 2020 inclus doivent être mises à disposition, corrigées ou faire l’objet d’ajustements après le 31 décembre 2020. Le Royaume-Uni est donc soumis aux ajustements des ressources propres TVA et RNB qui concernent les exercices jusqu’à celui de 2020 inclus. Ces ajustements TVA et RNB ne seront toutefois effectués que s’ils sont décidés au plus tard le 31 décembre 2028.</w:t>
      </w:r>
    </w:p>
    <w:p>
      <w:pPr>
        <w:pStyle w:val="DGTextstand-alone"/>
      </w:pPr>
      <w:r>
        <w:t>Conformément à l’article 136 de l’accord de retrait, les autorités du Royaume-Uni continuent d’envoyer des relevés mensuels de la comptabilité A contenant un récapitulatif des montants de ressources propres traditionnelles dus au budget de l’UE. Ces montants (déduction faite du taux de retenue applicable) sont inclus dans les montants totaux de la facture ultérieure visée à l’article 148, paragraphe 2, de l’accord de retrait (voir point suivant). Si ces montants sont payés tardivement, des intérêts sont dus au titre de l’article 12 du règlement (UE, Euratom) nº 609/2014.</w:t>
      </w:r>
    </w:p>
    <w:p>
      <w:pPr>
        <w:pStyle w:val="DGTextstand-alone"/>
      </w:pPr>
      <w:r>
        <w:t>Le Royaume-Uni est donc tenu de verser les ressources propres traditionnelles qu’il a perçues après le 28 février 2021, mais qui se rapportent à l’année 2020 et aux exercices antérieurs. La part du total qu’il a mise à disposition doit être déduite de ce montant. La comptabilité séparée des ressources propres traditionnelles doit être entièrement liquidée au 31 décembre 2025. Le Royaume-Uni mettra donc à disposition une part, calculée conformément à l’article 136, paragraphe 3, point f), des montants impayés à cette date qui ne font pas l’objet de constatations effectuées par la Commission européenne à l’issue de ses contrôles.</w:t>
      </w:r>
    </w:p>
    <w:p>
      <w:pPr>
        <w:pStyle w:val="DGTextstand-alone"/>
        <w:spacing w:after="0"/>
      </w:pPr>
      <w:r>
        <w:t>L’encours net dû par le Royaume-Uni au 31 décembre 2025 s’élève à 133 millions d’EUR (contre 8 millions d’EUR en 2024), dont 130 millions d’EUR devront être payés par le Royaume-Uni dans les 12 mois suivant la fin de l’exercice et 2 millions d’EUR par la suite.</w:t>
      </w:r>
    </w:p>
    <w:p>
      <w:pPr>
        <w:rPr>
          <w:rFonts w:ascii="Verdana" w:eastAsia="Calibri" w:hAnsi="Verdana"/>
          <w:noProof/>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59"/>
        <w:gridCol w:w="2699"/>
      </w:tblGrid>
      <w:tr>
        <w:trPr>
          <w:trHeight w:val="255"/>
        </w:trPr>
        <w:tc>
          <w:tcPr>
            <w:tcW w:w="7059" w:type="dxa"/>
            <w:tcBorders>
              <w:top w:val="nil"/>
              <w:left w:val="nil"/>
              <w:bottom w:val="nil"/>
              <w:right w:val="nil"/>
              <w:tl2br w:val="nil"/>
              <w:tr2bl w:val="nil"/>
            </w:tcBorders>
            <w:tcMar>
              <w:left w:w="60" w:type="dxa"/>
              <w:right w:w="60" w:type="dxa"/>
            </w:tcMar>
            <w:vAlign w:val="bottom"/>
          </w:tcPr>
          <w:p>
            <w:pPr>
              <w:pStyle w:val="DMETW36745BIPArt136"/>
              <w:rPr>
                <w:rFonts w:ascii="Arial" w:eastAsia="Arial" w:hAnsi="Arial" w:cs="Arial"/>
                <w:noProof/>
                <w:color w:val="000000"/>
              </w:rPr>
            </w:pPr>
            <w:bookmarkStart w:id="131" w:name="DOC_TBL00038_1_1"/>
            <w:bookmarkEnd w:id="131"/>
          </w:p>
        </w:tc>
        <w:tc>
          <w:tcPr>
            <w:tcW w:w="2699" w:type="dxa"/>
            <w:tcBorders>
              <w:top w:val="nil"/>
              <w:left w:val="nil"/>
              <w:bottom w:val="nil"/>
              <w:right w:val="nil"/>
              <w:tl2br w:val="nil"/>
              <w:tr2bl w:val="nil"/>
            </w:tcBorders>
            <w:tcMar>
              <w:left w:w="60" w:type="dxa"/>
              <w:right w:w="60" w:type="dxa"/>
            </w:tcMar>
            <w:vAlign w:val="bottom"/>
          </w:tcPr>
          <w:p>
            <w:pPr>
              <w:pStyle w:val="DMETW36745BIPArt136"/>
              <w:jc w:val="right"/>
              <w:rPr>
                <w:rFonts w:ascii="Verdana" w:eastAsia="Verdana" w:hAnsi="Verdana" w:cs="Verdana"/>
                <w:i/>
                <w:noProof/>
                <w:color w:val="000000"/>
                <w:sz w:val="16"/>
              </w:rPr>
            </w:pPr>
            <w:r>
              <w:rPr>
                <w:rFonts w:ascii="Verdana" w:hAnsi="Verdana"/>
                <w:i/>
                <w:noProof/>
                <w:color w:val="000000"/>
                <w:sz w:val="16"/>
              </w:rPr>
              <w:t>en Mio EUR</w:t>
            </w:r>
          </w:p>
        </w:tc>
      </w:tr>
      <w:tr>
        <w:trPr>
          <w:trHeight w:val="255"/>
        </w:trPr>
        <w:tc>
          <w:tcPr>
            <w:tcW w:w="7059" w:type="dxa"/>
            <w:tcBorders>
              <w:top w:val="nil"/>
              <w:left w:val="nil"/>
              <w:bottom w:val="nil"/>
              <w:right w:val="nil"/>
              <w:tl2br w:val="nil"/>
              <w:tr2bl w:val="nil"/>
            </w:tcBorders>
            <w:shd w:val="solid" w:color="016794" w:fill="FFFFFF"/>
            <w:tcMar>
              <w:left w:w="60" w:type="dxa"/>
              <w:right w:w="60" w:type="dxa"/>
            </w:tcMar>
            <w:vAlign w:val="center"/>
          </w:tcPr>
          <w:p>
            <w:pPr>
              <w:pStyle w:val="DMETW36745BIPArt136"/>
              <w:jc w:val="center"/>
              <w:rPr>
                <w:rFonts w:ascii="Verdana" w:eastAsia="Verdana" w:hAnsi="Verdana" w:cs="Verdana"/>
                <w:noProof/>
                <w:color w:val="FFFFFF"/>
              </w:rPr>
            </w:pPr>
          </w:p>
        </w:tc>
        <w:tc>
          <w:tcPr>
            <w:tcW w:w="2699" w:type="dxa"/>
            <w:tcBorders>
              <w:top w:val="nil"/>
              <w:left w:val="nil"/>
              <w:bottom w:val="nil"/>
              <w:right w:val="nil"/>
              <w:tl2br w:val="nil"/>
              <w:tr2bl w:val="nil"/>
            </w:tcBorders>
            <w:shd w:val="solid" w:color="016794" w:fill="FFFFFF"/>
            <w:tcMar>
              <w:left w:w="60" w:type="dxa"/>
              <w:right w:w="60" w:type="dxa"/>
            </w:tcMar>
            <w:vAlign w:val="center"/>
          </w:tcPr>
          <w:p>
            <w:pPr>
              <w:pStyle w:val="DMETW36745BIPArt136"/>
              <w:jc w:val="right"/>
              <w:rPr>
                <w:rFonts w:ascii="Verdana" w:eastAsia="Verdana" w:hAnsi="Verdana" w:cs="Verdana"/>
                <w:noProof/>
                <w:color w:val="FFFFFF"/>
                <w:lang w:bidi="en-GB"/>
              </w:rPr>
            </w:pPr>
          </w:p>
        </w:tc>
      </w:tr>
      <w:tr>
        <w:trPr>
          <w:trHeight w:val="255"/>
        </w:trPr>
        <w:tc>
          <w:tcPr>
            <w:tcW w:w="7059" w:type="dxa"/>
            <w:tcBorders>
              <w:top w:val="nil"/>
              <w:left w:val="nil"/>
              <w:bottom w:val="nil"/>
              <w:right w:val="nil"/>
              <w:tl2br w:val="nil"/>
              <w:tr2bl w:val="nil"/>
            </w:tcBorders>
            <w:tcMar>
              <w:left w:w="60" w:type="dxa"/>
              <w:right w:w="60" w:type="dxa"/>
            </w:tcMar>
            <w:vAlign w:val="center"/>
          </w:tcPr>
          <w:p>
            <w:pPr>
              <w:pStyle w:val="DMETW36745BIPArt136"/>
              <w:rPr>
                <w:rFonts w:ascii="Verdana" w:eastAsia="Verdana" w:hAnsi="Verdana" w:cs="Verdana"/>
                <w:b/>
                <w:noProof/>
                <w:color w:val="000000"/>
                <w:sz w:val="18"/>
              </w:rPr>
            </w:pPr>
            <w:r>
              <w:rPr>
                <w:rFonts w:ascii="Verdana" w:hAnsi="Verdana"/>
                <w:b/>
                <w:noProof/>
                <w:color w:val="000000"/>
                <w:sz w:val="18"/>
              </w:rPr>
              <w:t>Montant dû au (-)/par (+) le Royaume-Uni au 31.12.2024</w:t>
            </w:r>
          </w:p>
        </w:tc>
        <w:tc>
          <w:tcPr>
            <w:tcW w:w="2699" w:type="dxa"/>
            <w:tcBorders>
              <w:top w:val="nil"/>
              <w:left w:val="nil"/>
              <w:bottom w:val="nil"/>
              <w:right w:val="nil"/>
              <w:tl2br w:val="nil"/>
              <w:tr2bl w:val="nil"/>
            </w:tcBorders>
            <w:tcMar>
              <w:left w:w="60" w:type="dxa"/>
              <w:right w:w="60" w:type="dxa"/>
            </w:tcMar>
            <w:vAlign w:val="bottom"/>
          </w:tcPr>
          <w:p>
            <w:pPr>
              <w:pStyle w:val="DMETW36745BIPArt136"/>
              <w:jc w:val="right"/>
              <w:rPr>
                <w:rFonts w:ascii="Verdana" w:eastAsia="Verdana" w:hAnsi="Verdana" w:cs="Verdana"/>
                <w:b/>
                <w:noProof/>
                <w:color w:val="000000"/>
                <w:sz w:val="18"/>
              </w:rPr>
            </w:pPr>
            <w:r>
              <w:rPr>
                <w:rFonts w:ascii="Verdana" w:hAnsi="Verdana"/>
                <w:b/>
                <w:noProof/>
                <w:color w:val="000000"/>
                <w:sz w:val="18"/>
              </w:rPr>
              <w:t xml:space="preserve"> 8</w:t>
            </w:r>
          </w:p>
        </w:tc>
      </w:tr>
      <w:tr>
        <w:trPr>
          <w:trHeight w:val="255"/>
        </w:trPr>
        <w:tc>
          <w:tcPr>
            <w:tcW w:w="7059" w:type="dxa"/>
            <w:tcBorders>
              <w:top w:val="nil"/>
              <w:left w:val="nil"/>
              <w:bottom w:val="nil"/>
              <w:right w:val="nil"/>
              <w:tl2br w:val="nil"/>
              <w:tr2bl w:val="nil"/>
            </w:tcBorders>
            <w:tcMar>
              <w:left w:w="60" w:type="dxa"/>
              <w:right w:w="60" w:type="dxa"/>
            </w:tcMar>
            <w:vAlign w:val="center"/>
          </w:tcPr>
          <w:p>
            <w:pPr>
              <w:pStyle w:val="DMETW36745BIPArt136"/>
              <w:rPr>
                <w:rFonts w:ascii="Verdana" w:eastAsia="Verdana" w:hAnsi="Verdana" w:cs="Verdana"/>
                <w:i/>
                <w:noProof/>
                <w:color w:val="000000"/>
                <w:sz w:val="18"/>
              </w:rPr>
            </w:pPr>
            <w:r>
              <w:rPr>
                <w:rFonts w:ascii="Verdana" w:hAnsi="Verdana"/>
                <w:i/>
                <w:noProof/>
                <w:color w:val="000000"/>
                <w:sz w:val="18"/>
              </w:rPr>
              <w:t>Ajustement de l’estimation des montants facturés en 2025</w:t>
            </w:r>
          </w:p>
        </w:tc>
        <w:tc>
          <w:tcPr>
            <w:tcW w:w="2699" w:type="dxa"/>
            <w:tcBorders>
              <w:top w:val="nil"/>
              <w:left w:val="nil"/>
              <w:bottom w:val="nil"/>
              <w:right w:val="nil"/>
              <w:tl2br w:val="nil"/>
              <w:tr2bl w:val="nil"/>
            </w:tcBorders>
            <w:tcMar>
              <w:left w:w="60" w:type="dxa"/>
              <w:right w:w="60" w:type="dxa"/>
            </w:tcMar>
            <w:vAlign w:val="bottom"/>
          </w:tcPr>
          <w:p>
            <w:pPr>
              <w:pStyle w:val="DMETW36745BIPArt136"/>
              <w:jc w:val="right"/>
              <w:rPr>
                <w:rFonts w:ascii="Verdana" w:eastAsia="Verdana" w:hAnsi="Verdana" w:cs="Verdana"/>
                <w:i/>
                <w:noProof/>
                <w:color w:val="000000"/>
                <w:sz w:val="18"/>
              </w:rPr>
            </w:pPr>
            <w:r>
              <w:rPr>
                <w:rFonts w:ascii="Verdana" w:hAnsi="Verdana"/>
                <w:i/>
                <w:noProof/>
                <w:color w:val="000000"/>
                <w:sz w:val="18"/>
              </w:rPr>
              <w:t xml:space="preserve"> 14</w:t>
            </w:r>
          </w:p>
        </w:tc>
      </w:tr>
      <w:tr>
        <w:trPr>
          <w:trHeight w:val="255"/>
        </w:trPr>
        <w:tc>
          <w:tcPr>
            <w:tcW w:w="7059" w:type="dxa"/>
            <w:tcBorders>
              <w:top w:val="nil"/>
              <w:left w:val="nil"/>
              <w:bottom w:val="nil"/>
              <w:right w:val="nil"/>
              <w:tl2br w:val="nil"/>
              <w:tr2bl w:val="nil"/>
            </w:tcBorders>
            <w:tcMar>
              <w:left w:w="60" w:type="dxa"/>
              <w:right w:w="60" w:type="dxa"/>
            </w:tcMar>
            <w:vAlign w:val="center"/>
          </w:tcPr>
          <w:p>
            <w:pPr>
              <w:pStyle w:val="DMETW36745BIPArt136"/>
              <w:rPr>
                <w:rFonts w:ascii="Verdana" w:eastAsia="Verdana" w:hAnsi="Verdana" w:cs="Verdana"/>
                <w:i/>
                <w:noProof/>
                <w:color w:val="000000"/>
                <w:sz w:val="18"/>
              </w:rPr>
            </w:pPr>
            <w:r>
              <w:rPr>
                <w:rFonts w:ascii="Verdana" w:hAnsi="Verdana"/>
                <w:i/>
                <w:noProof/>
                <w:color w:val="000000"/>
                <w:sz w:val="18"/>
              </w:rPr>
              <w:t>Paiements effectués au Royaume-Uni en 2025</w:t>
            </w:r>
          </w:p>
        </w:tc>
        <w:tc>
          <w:tcPr>
            <w:tcW w:w="2699" w:type="dxa"/>
            <w:tcBorders>
              <w:top w:val="nil"/>
              <w:left w:val="nil"/>
              <w:bottom w:val="nil"/>
              <w:right w:val="nil"/>
              <w:tl2br w:val="nil"/>
              <w:tr2bl w:val="nil"/>
            </w:tcBorders>
            <w:tcMar>
              <w:left w:w="60" w:type="dxa"/>
              <w:right w:w="60" w:type="dxa"/>
            </w:tcMar>
            <w:vAlign w:val="bottom"/>
          </w:tcPr>
          <w:p>
            <w:pPr>
              <w:pStyle w:val="DMETW36745BIPArt136"/>
              <w:jc w:val="right"/>
              <w:rPr>
                <w:rFonts w:ascii="Verdana" w:eastAsia="Verdana" w:hAnsi="Verdana" w:cs="Verdana"/>
                <w:i/>
                <w:noProof/>
                <w:color w:val="000000"/>
                <w:sz w:val="18"/>
              </w:rPr>
            </w:pPr>
            <w:r>
              <w:rPr>
                <w:rFonts w:ascii="Verdana" w:hAnsi="Verdana"/>
                <w:i/>
                <w:noProof/>
                <w:color w:val="000000"/>
                <w:sz w:val="18"/>
              </w:rPr>
              <w:t xml:space="preserve"> 107</w:t>
            </w:r>
          </w:p>
        </w:tc>
      </w:tr>
      <w:tr>
        <w:trPr>
          <w:trHeight w:val="255"/>
        </w:trPr>
        <w:tc>
          <w:tcPr>
            <w:tcW w:w="7059" w:type="dxa"/>
            <w:tcBorders>
              <w:top w:val="nil"/>
              <w:left w:val="nil"/>
              <w:bottom w:val="nil"/>
              <w:right w:val="nil"/>
              <w:tl2br w:val="nil"/>
              <w:tr2bl w:val="nil"/>
            </w:tcBorders>
            <w:tcMar>
              <w:left w:w="60" w:type="dxa"/>
              <w:right w:w="60" w:type="dxa"/>
            </w:tcMar>
            <w:vAlign w:val="center"/>
          </w:tcPr>
          <w:p>
            <w:pPr>
              <w:pStyle w:val="DMETW36745BIPArt136"/>
              <w:rPr>
                <w:rFonts w:ascii="Verdana" w:eastAsia="Verdana" w:hAnsi="Verdana" w:cs="Verdana"/>
                <w:i/>
                <w:noProof/>
                <w:color w:val="000000"/>
                <w:sz w:val="18"/>
              </w:rPr>
            </w:pPr>
            <w:r>
              <w:rPr>
                <w:rFonts w:ascii="Verdana" w:hAnsi="Verdana"/>
                <w:i/>
                <w:noProof/>
                <w:color w:val="000000"/>
                <w:sz w:val="18"/>
              </w:rPr>
              <w:t>Ajustements TVA et RNB (calcul des soldes 2024)</w:t>
            </w:r>
          </w:p>
        </w:tc>
        <w:tc>
          <w:tcPr>
            <w:tcW w:w="2699" w:type="dxa"/>
            <w:tcBorders>
              <w:top w:val="nil"/>
              <w:left w:val="nil"/>
              <w:bottom w:val="nil"/>
              <w:right w:val="nil"/>
              <w:tl2br w:val="nil"/>
              <w:tr2bl w:val="nil"/>
            </w:tcBorders>
            <w:tcMar>
              <w:left w:w="60" w:type="dxa"/>
              <w:right w:w="60" w:type="dxa"/>
            </w:tcMar>
            <w:vAlign w:val="bottom"/>
          </w:tcPr>
          <w:p>
            <w:pPr>
              <w:pStyle w:val="DMETW36745BIPArt136"/>
              <w:jc w:val="right"/>
              <w:rPr>
                <w:rFonts w:ascii="Verdana" w:eastAsia="Verdana" w:hAnsi="Verdana" w:cs="Verdana"/>
                <w:i/>
                <w:noProof/>
                <w:color w:val="000000"/>
                <w:sz w:val="18"/>
              </w:rPr>
            </w:pPr>
            <w:r>
              <w:rPr>
                <w:rFonts w:ascii="Verdana" w:hAnsi="Verdana"/>
                <w:i/>
                <w:noProof/>
                <w:color w:val="000000"/>
                <w:sz w:val="18"/>
              </w:rPr>
              <w:t xml:space="preserve"> (12)</w:t>
            </w:r>
          </w:p>
        </w:tc>
      </w:tr>
      <w:tr>
        <w:trPr>
          <w:trHeight w:val="255"/>
        </w:trPr>
        <w:tc>
          <w:tcPr>
            <w:tcW w:w="7059" w:type="dxa"/>
            <w:tcBorders>
              <w:top w:val="nil"/>
              <w:left w:val="nil"/>
              <w:bottom w:val="nil"/>
              <w:right w:val="nil"/>
              <w:tl2br w:val="nil"/>
              <w:tr2bl w:val="nil"/>
            </w:tcBorders>
            <w:tcMar>
              <w:left w:w="60" w:type="dxa"/>
              <w:right w:w="60" w:type="dxa"/>
            </w:tcMar>
            <w:vAlign w:val="center"/>
          </w:tcPr>
          <w:p>
            <w:pPr>
              <w:pStyle w:val="DMETW36745BIPArt136"/>
              <w:rPr>
                <w:rFonts w:ascii="Verdana" w:eastAsia="Verdana" w:hAnsi="Verdana" w:cs="Verdana"/>
                <w:i/>
                <w:noProof/>
                <w:color w:val="000000"/>
                <w:sz w:val="18"/>
              </w:rPr>
            </w:pPr>
            <w:r>
              <w:rPr>
                <w:rFonts w:ascii="Verdana" w:hAnsi="Verdana"/>
                <w:i/>
                <w:noProof/>
                <w:color w:val="000000"/>
                <w:sz w:val="18"/>
              </w:rPr>
              <w:t>Intérêts de retard sur les ressources propres traditionnelles et les ressources propres TVA du Royaume-Uni</w:t>
            </w:r>
          </w:p>
        </w:tc>
        <w:tc>
          <w:tcPr>
            <w:tcW w:w="2699" w:type="dxa"/>
            <w:tcBorders>
              <w:top w:val="nil"/>
              <w:left w:val="nil"/>
              <w:bottom w:val="nil"/>
              <w:right w:val="nil"/>
              <w:tl2br w:val="nil"/>
              <w:tr2bl w:val="nil"/>
            </w:tcBorders>
            <w:tcMar>
              <w:left w:w="60" w:type="dxa"/>
              <w:right w:w="60" w:type="dxa"/>
            </w:tcMar>
            <w:vAlign w:val="bottom"/>
          </w:tcPr>
          <w:p>
            <w:pPr>
              <w:pStyle w:val="DMETW36745BIPArt136"/>
              <w:jc w:val="right"/>
              <w:rPr>
                <w:rFonts w:ascii="Verdana" w:eastAsia="Verdana" w:hAnsi="Verdana" w:cs="Verdana"/>
                <w:i/>
                <w:noProof/>
                <w:color w:val="000000"/>
                <w:sz w:val="18"/>
              </w:rPr>
            </w:pPr>
            <w:r>
              <w:rPr>
                <w:rFonts w:ascii="Verdana" w:hAnsi="Verdana"/>
                <w:i/>
                <w:noProof/>
                <w:color w:val="000000"/>
                <w:sz w:val="18"/>
              </w:rPr>
              <w:t xml:space="preserve"> 5</w:t>
            </w:r>
          </w:p>
        </w:tc>
      </w:tr>
      <w:tr>
        <w:trPr>
          <w:trHeight w:val="255"/>
        </w:trPr>
        <w:tc>
          <w:tcPr>
            <w:tcW w:w="7059" w:type="dxa"/>
            <w:tcBorders>
              <w:top w:val="nil"/>
              <w:left w:val="nil"/>
              <w:bottom w:val="nil"/>
              <w:right w:val="nil"/>
              <w:tl2br w:val="nil"/>
              <w:tr2bl w:val="nil"/>
            </w:tcBorders>
            <w:tcMar>
              <w:left w:w="60" w:type="dxa"/>
              <w:right w:w="60" w:type="dxa"/>
            </w:tcMar>
            <w:vAlign w:val="center"/>
          </w:tcPr>
          <w:p>
            <w:pPr>
              <w:pStyle w:val="DMETW36745BIPArt136"/>
              <w:rPr>
                <w:rFonts w:ascii="Verdana" w:eastAsia="Verdana" w:hAnsi="Verdana" w:cs="Verdana"/>
                <w:i/>
                <w:noProof/>
                <w:color w:val="000000"/>
                <w:sz w:val="18"/>
              </w:rPr>
            </w:pPr>
            <w:r>
              <w:rPr>
                <w:rFonts w:ascii="Verdana" w:hAnsi="Verdana"/>
                <w:i/>
                <w:noProof/>
                <w:color w:val="000000"/>
                <w:sz w:val="18"/>
              </w:rPr>
              <w:t>Part des RPT en suspens dans la comptabilité séparée du Royaume-Uni au 31 décembre 2025</w:t>
            </w:r>
          </w:p>
        </w:tc>
        <w:tc>
          <w:tcPr>
            <w:tcW w:w="2699" w:type="dxa"/>
            <w:tcBorders>
              <w:top w:val="nil"/>
              <w:left w:val="nil"/>
              <w:bottom w:val="nil"/>
              <w:right w:val="nil"/>
              <w:tl2br w:val="nil"/>
              <w:tr2bl w:val="nil"/>
            </w:tcBorders>
            <w:tcMar>
              <w:left w:w="60" w:type="dxa"/>
              <w:right w:w="60" w:type="dxa"/>
            </w:tcMar>
            <w:vAlign w:val="bottom"/>
          </w:tcPr>
          <w:p>
            <w:pPr>
              <w:pStyle w:val="DMETW36745BIPArt136"/>
              <w:jc w:val="right"/>
              <w:rPr>
                <w:rFonts w:ascii="Verdana" w:eastAsia="Verdana" w:hAnsi="Verdana" w:cs="Verdana"/>
                <w:i/>
                <w:noProof/>
                <w:color w:val="000000"/>
                <w:sz w:val="18"/>
              </w:rPr>
            </w:pPr>
            <w:r>
              <w:rPr>
                <w:rFonts w:ascii="Verdana" w:hAnsi="Verdana"/>
                <w:i/>
                <w:noProof/>
                <w:color w:val="000000"/>
                <w:sz w:val="18"/>
              </w:rPr>
              <w:t xml:space="preserve"> 4</w:t>
            </w:r>
          </w:p>
        </w:tc>
      </w:tr>
      <w:tr>
        <w:trPr>
          <w:trHeight w:val="255"/>
        </w:trPr>
        <w:tc>
          <w:tcPr>
            <w:tcW w:w="7059" w:type="dxa"/>
            <w:tcBorders>
              <w:top w:val="nil"/>
              <w:left w:val="nil"/>
              <w:bottom w:val="nil"/>
              <w:right w:val="nil"/>
              <w:tl2br w:val="nil"/>
              <w:tr2bl w:val="nil"/>
            </w:tcBorders>
            <w:tcMar>
              <w:left w:w="60" w:type="dxa"/>
              <w:right w:w="60" w:type="dxa"/>
            </w:tcMar>
            <w:vAlign w:val="center"/>
          </w:tcPr>
          <w:p>
            <w:pPr>
              <w:pStyle w:val="DMETW36745BIPArt136"/>
              <w:rPr>
                <w:rFonts w:ascii="Verdana" w:eastAsia="Verdana" w:hAnsi="Verdana" w:cs="Verdana"/>
                <w:i/>
                <w:noProof/>
                <w:color w:val="000000"/>
                <w:sz w:val="18"/>
              </w:rPr>
            </w:pPr>
            <w:r>
              <w:rPr>
                <w:rFonts w:ascii="Verdana" w:hAnsi="Verdana"/>
                <w:i/>
                <w:noProof/>
                <w:color w:val="000000"/>
                <w:sz w:val="18"/>
              </w:rPr>
              <w:t>Ressources propres traditionnelles nettes du Royaume-Uni après le 28 février 2021</w:t>
            </w:r>
          </w:p>
        </w:tc>
        <w:tc>
          <w:tcPr>
            <w:tcW w:w="2699" w:type="dxa"/>
            <w:tcBorders>
              <w:top w:val="nil"/>
              <w:left w:val="nil"/>
              <w:bottom w:val="nil"/>
              <w:right w:val="nil"/>
              <w:tl2br w:val="nil"/>
              <w:tr2bl w:val="nil"/>
            </w:tcBorders>
            <w:tcMar>
              <w:left w:w="60" w:type="dxa"/>
              <w:right w:w="60" w:type="dxa"/>
            </w:tcMar>
            <w:vAlign w:val="bottom"/>
          </w:tcPr>
          <w:p>
            <w:pPr>
              <w:pStyle w:val="DMETW36745BIPArt136"/>
              <w:jc w:val="right"/>
              <w:rPr>
                <w:rFonts w:ascii="Verdana" w:eastAsia="Verdana" w:hAnsi="Verdana" w:cs="Verdana"/>
                <w:i/>
                <w:noProof/>
                <w:color w:val="000000"/>
                <w:sz w:val="18"/>
              </w:rPr>
            </w:pPr>
            <w:r>
              <w:rPr>
                <w:rFonts w:ascii="Verdana" w:hAnsi="Verdana"/>
                <w:i/>
                <w:noProof/>
                <w:color w:val="000000"/>
                <w:sz w:val="18"/>
              </w:rPr>
              <w:t xml:space="preserve"> 3</w:t>
            </w:r>
          </w:p>
        </w:tc>
      </w:tr>
      <w:tr>
        <w:trPr>
          <w:trHeight w:val="255"/>
        </w:trPr>
        <w:tc>
          <w:tcPr>
            <w:tcW w:w="7059" w:type="dxa"/>
            <w:tcBorders>
              <w:top w:val="nil"/>
              <w:left w:val="nil"/>
              <w:bottom w:val="single" w:sz="12" w:space="0" w:color="016794"/>
              <w:right w:val="nil"/>
              <w:tl2br w:val="nil"/>
              <w:tr2bl w:val="nil"/>
            </w:tcBorders>
            <w:tcMar>
              <w:left w:w="60" w:type="dxa"/>
              <w:right w:w="60" w:type="dxa"/>
            </w:tcMar>
            <w:vAlign w:val="center"/>
          </w:tcPr>
          <w:p>
            <w:pPr>
              <w:pStyle w:val="DMETW36745BIPArt136"/>
              <w:rPr>
                <w:rFonts w:ascii="Verdana" w:eastAsia="Verdana" w:hAnsi="Verdana" w:cs="Verdana"/>
                <w:i/>
                <w:noProof/>
                <w:color w:val="000000"/>
                <w:sz w:val="18"/>
              </w:rPr>
            </w:pPr>
            <w:r>
              <w:rPr>
                <w:rFonts w:ascii="Verdana" w:hAnsi="Verdana"/>
                <w:i/>
                <w:noProof/>
                <w:color w:val="000000"/>
                <w:sz w:val="18"/>
              </w:rPr>
              <w:t>Ajustements TVA et RNB (calcul des soldes 2025)</w:t>
            </w:r>
          </w:p>
        </w:tc>
        <w:tc>
          <w:tcPr>
            <w:tcW w:w="2699" w:type="dxa"/>
            <w:tcBorders>
              <w:top w:val="nil"/>
              <w:left w:val="nil"/>
              <w:bottom w:val="single" w:sz="12" w:space="0" w:color="016794"/>
              <w:right w:val="nil"/>
              <w:tl2br w:val="nil"/>
              <w:tr2bl w:val="nil"/>
            </w:tcBorders>
            <w:tcMar>
              <w:left w:w="60" w:type="dxa"/>
              <w:right w:w="60" w:type="dxa"/>
            </w:tcMar>
            <w:vAlign w:val="bottom"/>
          </w:tcPr>
          <w:p>
            <w:pPr>
              <w:pStyle w:val="DMETW36745BIPArt136"/>
              <w:jc w:val="right"/>
              <w:rPr>
                <w:rFonts w:ascii="Verdana" w:eastAsia="Verdana" w:hAnsi="Verdana" w:cs="Verdana"/>
                <w:i/>
                <w:noProof/>
                <w:color w:val="000000"/>
                <w:sz w:val="18"/>
              </w:rPr>
            </w:pPr>
            <w:r>
              <w:rPr>
                <w:rFonts w:ascii="Verdana" w:hAnsi="Verdana"/>
                <w:i/>
                <w:noProof/>
                <w:color w:val="000000"/>
                <w:sz w:val="18"/>
              </w:rPr>
              <w:t xml:space="preserve"> 2</w:t>
            </w:r>
          </w:p>
        </w:tc>
      </w:tr>
      <w:tr>
        <w:trPr>
          <w:trHeight w:val="255"/>
        </w:trPr>
        <w:tc>
          <w:tcPr>
            <w:tcW w:w="7059" w:type="dxa"/>
            <w:tcBorders>
              <w:top w:val="single" w:sz="12" w:space="0" w:color="016794"/>
              <w:left w:val="nil"/>
              <w:bottom w:val="single" w:sz="12" w:space="0" w:color="016794"/>
              <w:right w:val="nil"/>
              <w:tl2br w:val="nil"/>
              <w:tr2bl w:val="nil"/>
            </w:tcBorders>
            <w:tcMar>
              <w:left w:w="60" w:type="dxa"/>
              <w:right w:w="60" w:type="dxa"/>
            </w:tcMar>
            <w:vAlign w:val="center"/>
          </w:tcPr>
          <w:p>
            <w:pPr>
              <w:pStyle w:val="DMETW36745BIPArt136"/>
              <w:rPr>
                <w:rFonts w:ascii="Verdana" w:eastAsia="Verdana" w:hAnsi="Verdana" w:cs="Verdana"/>
                <w:b/>
                <w:noProof/>
                <w:color w:val="000000"/>
                <w:sz w:val="18"/>
              </w:rPr>
            </w:pPr>
            <w:r>
              <w:rPr>
                <w:rFonts w:ascii="Verdana" w:hAnsi="Verdana"/>
                <w:b/>
                <w:noProof/>
                <w:color w:val="000000"/>
                <w:sz w:val="18"/>
              </w:rPr>
              <w:t>Montant dû au (-)/par (+) le Royaume-Uni au 31.12.2025</w:t>
            </w:r>
          </w:p>
        </w:tc>
        <w:tc>
          <w:tcPr>
            <w:tcW w:w="2699" w:type="dxa"/>
            <w:tcBorders>
              <w:top w:val="single" w:sz="12" w:space="0" w:color="016794"/>
              <w:left w:val="nil"/>
              <w:bottom w:val="single" w:sz="12" w:space="0" w:color="016794"/>
              <w:right w:val="nil"/>
              <w:tl2br w:val="nil"/>
              <w:tr2bl w:val="nil"/>
            </w:tcBorders>
            <w:tcMar>
              <w:left w:w="60" w:type="dxa"/>
              <w:right w:w="60" w:type="dxa"/>
            </w:tcMar>
            <w:vAlign w:val="center"/>
          </w:tcPr>
          <w:p>
            <w:pPr>
              <w:pStyle w:val="DMETW36745BIPArt136"/>
              <w:jc w:val="right"/>
              <w:rPr>
                <w:rFonts w:ascii="Verdana" w:eastAsia="Verdana" w:hAnsi="Verdana" w:cs="Verdana"/>
                <w:b/>
                <w:noProof/>
                <w:color w:val="000000"/>
                <w:sz w:val="18"/>
              </w:rPr>
            </w:pPr>
            <w:r>
              <w:rPr>
                <w:rFonts w:ascii="Verdana" w:hAnsi="Verdana"/>
                <w:b/>
                <w:noProof/>
                <w:color w:val="000000"/>
                <w:sz w:val="18"/>
              </w:rPr>
              <w:t xml:space="preserve"> 133</w:t>
            </w:r>
          </w:p>
        </w:tc>
      </w:tr>
      <w:tr>
        <w:trPr>
          <w:trHeight w:val="255"/>
        </w:trPr>
        <w:tc>
          <w:tcPr>
            <w:tcW w:w="7059" w:type="dxa"/>
            <w:tcBorders>
              <w:top w:val="single" w:sz="12" w:space="0" w:color="016794"/>
              <w:left w:val="nil"/>
              <w:bottom w:val="single" w:sz="12" w:space="0" w:color="016794"/>
              <w:right w:val="nil"/>
              <w:tl2br w:val="nil"/>
              <w:tr2bl w:val="nil"/>
            </w:tcBorders>
            <w:tcMar>
              <w:left w:w="60" w:type="dxa"/>
              <w:right w:w="60" w:type="dxa"/>
            </w:tcMar>
            <w:vAlign w:val="center"/>
          </w:tcPr>
          <w:p>
            <w:pPr>
              <w:pStyle w:val="DMETW36745BIPArt136"/>
              <w:rPr>
                <w:rFonts w:ascii="Verdana" w:eastAsia="Verdana" w:hAnsi="Verdana" w:cs="Verdana"/>
                <w:i/>
                <w:noProof/>
                <w:color w:val="016794"/>
                <w:sz w:val="18"/>
              </w:rPr>
            </w:pPr>
            <w:r>
              <w:rPr>
                <w:rFonts w:ascii="Verdana" w:hAnsi="Verdana"/>
                <w:i/>
                <w:noProof/>
                <w:color w:val="016794"/>
                <w:sz w:val="18"/>
              </w:rPr>
              <w:t>Non courant</w:t>
            </w:r>
          </w:p>
        </w:tc>
        <w:tc>
          <w:tcPr>
            <w:tcW w:w="2699" w:type="dxa"/>
            <w:tcBorders>
              <w:top w:val="single" w:sz="12" w:space="0" w:color="016794"/>
              <w:left w:val="nil"/>
              <w:bottom w:val="single" w:sz="12" w:space="0" w:color="016794"/>
              <w:right w:val="nil"/>
              <w:tl2br w:val="nil"/>
              <w:tr2bl w:val="nil"/>
            </w:tcBorders>
            <w:tcMar>
              <w:left w:w="60" w:type="dxa"/>
              <w:right w:w="60" w:type="dxa"/>
            </w:tcMar>
            <w:vAlign w:val="bottom"/>
          </w:tcPr>
          <w:p>
            <w:pPr>
              <w:pStyle w:val="DMETW36745BIPArt136"/>
              <w:jc w:val="right"/>
              <w:rPr>
                <w:rFonts w:ascii="Verdana" w:eastAsia="Verdana" w:hAnsi="Verdana" w:cs="Verdana"/>
                <w:i/>
                <w:noProof/>
                <w:color w:val="016794"/>
                <w:sz w:val="18"/>
              </w:rPr>
            </w:pPr>
            <w:r>
              <w:rPr>
                <w:rFonts w:ascii="Verdana" w:hAnsi="Verdana"/>
                <w:i/>
                <w:noProof/>
                <w:color w:val="016794"/>
                <w:sz w:val="18"/>
              </w:rPr>
              <w:t xml:space="preserve"> 2</w:t>
            </w:r>
          </w:p>
        </w:tc>
      </w:tr>
      <w:tr>
        <w:trPr>
          <w:trHeight w:val="255"/>
        </w:trPr>
        <w:tc>
          <w:tcPr>
            <w:tcW w:w="7059" w:type="dxa"/>
            <w:tcBorders>
              <w:top w:val="single" w:sz="12" w:space="0" w:color="016794"/>
              <w:left w:val="nil"/>
              <w:bottom w:val="single" w:sz="12" w:space="0" w:color="016794"/>
              <w:right w:val="nil"/>
              <w:tl2br w:val="nil"/>
              <w:tr2bl w:val="nil"/>
            </w:tcBorders>
            <w:tcMar>
              <w:left w:w="60" w:type="dxa"/>
              <w:right w:w="60" w:type="dxa"/>
            </w:tcMar>
            <w:vAlign w:val="center"/>
          </w:tcPr>
          <w:p>
            <w:pPr>
              <w:pStyle w:val="DMETW36745BIPArt136"/>
              <w:rPr>
                <w:rFonts w:ascii="Verdana" w:eastAsia="Verdana" w:hAnsi="Verdana" w:cs="Verdana"/>
                <w:i/>
                <w:noProof/>
                <w:color w:val="016794"/>
                <w:sz w:val="18"/>
              </w:rPr>
            </w:pPr>
            <w:r>
              <w:rPr>
                <w:rFonts w:ascii="Verdana" w:hAnsi="Verdana"/>
                <w:i/>
                <w:noProof/>
                <w:color w:val="016794"/>
                <w:sz w:val="18"/>
              </w:rPr>
              <w:t>Courant</w:t>
            </w:r>
          </w:p>
        </w:tc>
        <w:tc>
          <w:tcPr>
            <w:tcW w:w="2699" w:type="dxa"/>
            <w:tcBorders>
              <w:top w:val="single" w:sz="12" w:space="0" w:color="016794"/>
              <w:left w:val="nil"/>
              <w:bottom w:val="single" w:sz="12" w:space="0" w:color="016794"/>
              <w:right w:val="nil"/>
              <w:tl2br w:val="nil"/>
              <w:tr2bl w:val="nil"/>
            </w:tcBorders>
            <w:tcMar>
              <w:left w:w="60" w:type="dxa"/>
              <w:right w:w="60" w:type="dxa"/>
            </w:tcMar>
            <w:vAlign w:val="bottom"/>
          </w:tcPr>
          <w:p>
            <w:pPr>
              <w:pStyle w:val="DMETW36745BIPArt136"/>
              <w:jc w:val="right"/>
              <w:rPr>
                <w:rFonts w:ascii="Verdana" w:eastAsia="Verdana" w:hAnsi="Verdana" w:cs="Verdana"/>
                <w:i/>
                <w:noProof/>
                <w:color w:val="016794"/>
                <w:sz w:val="18"/>
              </w:rPr>
            </w:pPr>
            <w:r>
              <w:rPr>
                <w:rFonts w:ascii="Verdana" w:hAnsi="Verdana"/>
                <w:i/>
                <w:noProof/>
                <w:color w:val="016794"/>
                <w:sz w:val="18"/>
              </w:rPr>
              <w:t xml:space="preserve"> 130</w:t>
            </w:r>
          </w:p>
        </w:tc>
      </w:tr>
    </w:tbl>
    <w:p>
      <w:pPr>
        <w:pStyle w:val="DGTextstand-alone"/>
      </w:pPr>
      <w:r>
        <w:t>Le montant présenté sous «Ajustements TVA et RNB (calcul des soldes 2024)» correspond à la différence entre la facture effective d’avril 2026 (109 millions d’EUR) et l’estimation déjà incluse dans la créance Brexit à la fin de l’exercice 2024 (121 millions d’EUR).</w:t>
      </w:r>
    </w:p>
    <w:p>
      <w:pPr>
        <w:pStyle w:val="DGTextstand-alone"/>
      </w:pPr>
      <w:r>
        <w:t xml:space="preserve">Le montant présenté sous les postes «Intérêts de retard sur les ressources propres traditionnelles et TVA du Royaume-Uni», «Part des RPT en suspens dans la comptabilité séparée du Royaume-Uni au </w:t>
      </w:r>
      <w:r>
        <w:lastRenderedPageBreak/>
        <w:t>31 décembre 2025» et «Ressources propres traditionnelles nettes du Royaume-Uni après le 28 février 2021» correspond aux autres montants facturés en avril 2026.</w:t>
      </w:r>
    </w:p>
    <w:p>
      <w:pPr>
        <w:pStyle w:val="DGTextstand-alone"/>
      </w:pPr>
      <w:r>
        <w:t>Le montant présenté dans la rubrique «Ajustements TVA et RNB (calcul des soldes 2025)» correspond au montant estimé devant être facturé en avril 2027.</w:t>
      </w:r>
    </w:p>
    <w:p>
      <w:pPr>
        <w:pStyle w:val="DGTextstand-alone"/>
        <w:rPr>
          <w:i/>
          <w:color w:val="016794"/>
        </w:rPr>
      </w:pPr>
      <w:r>
        <w:rPr>
          <w:i/>
          <w:color w:val="016794"/>
        </w:rPr>
        <w:t>Article 141 – Amendes</w:t>
      </w:r>
    </w:p>
    <w:p>
      <w:pPr>
        <w:pStyle w:val="DGTextstand-alone"/>
      </w:pPr>
      <w:r>
        <w:t>Le Royaume-Uni a droit à sa part des amendes décidées avant le 31 décembre 2020 ainsi que de celles décidées par l’Union après le 31 décembre 2020 dans le cadre d’une procédure visée à l’article 92, paragraphe 1, lorsque celles-ci deviennent définitives. Au 31 décembre 2025, le montant des amendes restant à payer concernant le Royaume-Uni était de 7,6 milliards d’EUR (contre 8,9 milliards d’EUR en 2024). La diminution nette de ces amendes était de 1,3 milliard d’EUR (0,0 EUR d’amendes émises en 2025 moins 0,4 milliard d’EUR d’amendes confirmées et payées, réduites ou annulées par des décisions de justice, moins 0,9 milliard d’EUR d’augmentation des dépréciations). La part du Royaume-Uni dans les amendes applicables au Royaume-Uni impayées au 31 décembre 2025 s’élève à 0,9 milliard d’EUR (contre 1,1 milliard d’EUR en 2024),</w:t>
      </w:r>
      <w:r>
        <w:rPr>
          <w:rFonts w:ascii="Calibri" w:hAnsi="Calibri"/>
          <w:sz w:val="22"/>
          <w:shd w:val="clear" w:color="auto" w:fill="FFFFFF"/>
        </w:rPr>
        <w:t xml:space="preserve"> </w:t>
      </w:r>
      <w:r>
        <w:t>dont un montant de 89 millions d’EUR sera inclus dans la facture de septembre 2026 et versé au Royaume-Uni au cours de la période allant d’octobre 2026 à mai 2027. En outre, le Royaume-Uni a droit à sa part des amendes définitives qui n’étaient plus en souffrance au 31 décembre 2025 (46 millions d’EUR, à inclure dans la facture de septembre 2026 et à payer au Royaume-Uni au cours de la période allant d’octobre 2026 à mai 2027) et à sa part des amendes définitives qui ont été facturées en septembre 2025 mais qui n’avaient pas encore été payées à la fin de l’année (95 millions d’EUR, à verser au Royaume-Uni entre janvier et mai 2026). La part totale des amendes du Royaume-Uni s’élève donc à 1,09 milliard d’EUR (contre 1,6 milliard d’EUR en 2024), dont 146 millions d’EUR doivent être versés dans les 12 mois suivant la date de déclaration (contre 431 millions d’EUR en 2024).</w:t>
      </w:r>
      <w:r>
        <w:rPr>
          <w:strike/>
        </w:rPr>
        <w:t xml:space="preserve"> </w:t>
      </w:r>
    </w:p>
    <w:p>
      <w:pPr>
        <w:pStyle w:val="DGTextstand-alone"/>
        <w:rPr>
          <w:i/>
          <w:color w:val="016794"/>
        </w:rPr>
      </w:pPr>
      <w:r>
        <w:rPr>
          <w:i/>
          <w:color w:val="016794"/>
        </w:rPr>
        <w:t>Article 143 – Passifs financiers éventuels:</w:t>
      </w:r>
      <w:bookmarkStart w:id="132" w:name="_Hlk225780812"/>
      <w:r>
        <w:rPr>
          <w:i/>
          <w:color w:val="016794"/>
        </w:rPr>
        <w:t xml:space="preserve"> prêts d’assistance financière, EFSI, FEDD et MPE</w:t>
      </w:r>
      <w:bookmarkEnd w:id="132"/>
    </w:p>
    <w:p>
      <w:pPr>
        <w:pStyle w:val="DGTextstand-alone"/>
        <w:rPr>
          <w:color w:val="FF0000"/>
        </w:rPr>
      </w:pPr>
      <w:r>
        <w:t>En vertu de cet article, le Royaume-Uni est tenu de financer sa part des passifs éventuels de l’UE liés à ses activités d’emprunt, de prêt et de garantie si ceux-ci se matérialisent et s’ils ne sont pas couverts par les fonds de garantie existants – voir note </w:t>
      </w:r>
      <w:r>
        <w:rPr>
          <w:b/>
        </w:rPr>
        <w:t>4.1</w:t>
      </w:r>
      <w:r>
        <w:t xml:space="preserve"> pour les passifs éventuels correspondants. L’UE remboursera au Royaume-Uni les montants que ce dernier a déjà versés aux fonds de garantie et qui ne sont plus nécessaires. Le Royaume-Uni a également le droit de recevoir les remboursements sur des opérations pour lesquelles il partage la responsabilité. Au 31 décembre 2025, le montant dû au Royaume-Uni, à verser intégralement au cours des 12 mois suivants, était de 198,3 millions d’EUR (contre 190,6 millions d’EUR en 2024). Ce montant comprend la part du Royaume-Uni dans les recouvrements et les recettes nettes perçues en 2025 (129,3 millions d’EUR), l’excédent de provisionnement (42,6 millions d’EUR) et les recettes provenant de la gestion des actifs (26,5 millions d’EUR). Il comprend également une diminution de 41 mille EUR d’ajustements constatés au cours des procédures de réexamen convenues: un ajustement pour le montant des sorties couvertes par les entrées générées par les opérations au titre du MPE (49 EUR), ainsi que des ajustements entre les entrées «avant Brexit» et «après Brexit» et les sorties couvertes par les entrées générées par les opérations au titre de l’EFSI (1,246 EUR); un ajustement de la répartition, en 2024, de l’encours des opérations garanties «avant Brexit» et «après Brexit» au titre de l’EFSI (moins 41,899 EUR).</w:t>
      </w:r>
    </w:p>
    <w:p>
      <w:pPr>
        <w:pStyle w:val="DGTextstand-alone"/>
        <w:rPr>
          <w:i/>
          <w:color w:val="016794"/>
        </w:rPr>
      </w:pPr>
      <w:r>
        <w:rPr>
          <w:i/>
          <w:color w:val="016794"/>
        </w:rPr>
        <w:t>Article 144 – Instruments financiers</w:t>
      </w:r>
    </w:p>
    <w:p>
      <w:pPr>
        <w:pStyle w:val="DGTextstand-alone"/>
        <w:rPr>
          <w:color w:val="FF0000"/>
        </w:rPr>
      </w:pPr>
      <w:r>
        <w:t>En vertu de cet article, l’UE s’est engagée à restituer au Royaume-Uni sa part des remboursements découlant des opérations financières approuvées avant la date de retrait, ainsi que sa part des décaissements effectués au titre des opérations financières approuvées après la date de retrait. Au 31 décembre 2025, le montant dû au Royaume-Uni, à verser intégralement au cours des 12 mois suivants, était de 42,7 millions d’EUR (contre 57,9 millions d’EUR en 2024).</w:t>
      </w:r>
    </w:p>
    <w:p>
      <w:pPr>
        <w:pStyle w:val="DGTextstand-alone"/>
        <w:rPr>
          <w:i/>
          <w:color w:val="016794"/>
        </w:rPr>
      </w:pPr>
      <w:r>
        <w:rPr>
          <w:i/>
          <w:color w:val="016794"/>
        </w:rPr>
        <w:t>Article 145 – Communauté européenne du charbon et de l’acier en liquidation (CECA en liq.)</w:t>
      </w:r>
    </w:p>
    <w:p>
      <w:pPr>
        <w:pStyle w:val="DGTextstand-alone"/>
      </w:pPr>
      <w:r>
        <w:t>Le Royaume-Uni a droit à sa part des actifs nets de la CECA en liquidation au 31 décembre 2020, à rembourser en cinq versements le 30 juin de chaque année, à partir de 2021. Les actifs nets de la CECA en liquidation au 31 décembre 2020 s’élevaient à 1,5 milliard d’EUR, dont la part du Royaume-Uni était de 184 millions d’EUR. À la suite du paiement de la cinquième et dernière tranche de 37 millions d’EUR en 2025, le Royaume-Uni avait remboursé, au 31 décembre 2025, toutes ses obligations au titre de cet article.</w:t>
      </w:r>
    </w:p>
    <w:p>
      <w:pPr>
        <w:pStyle w:val="DGTextstand-alone"/>
        <w:keepNext/>
        <w:rPr>
          <w:i/>
          <w:color w:val="016794"/>
        </w:rPr>
      </w:pPr>
      <w:r>
        <w:rPr>
          <w:i/>
          <w:color w:val="016794"/>
        </w:rPr>
        <w:lastRenderedPageBreak/>
        <w:t>Article 146 – Investissement dans le Fonds européen d’investissement (FEI)</w:t>
      </w:r>
    </w:p>
    <w:p>
      <w:pPr>
        <w:pStyle w:val="DGTextstand-alone"/>
      </w:pPr>
      <w:r>
        <w:t>Le Royaume-Uni a droit à sa part de l’investissement de l’UE dans le capital libéré du FEI au 31 décembre 2020, à rembourser en cinq versements le 30 juin de chaque année, à partir de 2021. L’investissement de l’UE dans le capital libéré du FEI au 31 décembre 2020 s’élevait à 267 millions d’EUR, dont la part du Royaume-Uni était de 33 millions d’EUR. À la suite du paiement de la cinquième et dernière tranche de 6,6 millions d’EUR en 2025, le Royaume-Uni avait remboursé, au 31 décembre 2025, toutes ses obligations au titre de cet article.</w:t>
      </w:r>
    </w:p>
    <w:p>
      <w:pPr>
        <w:pStyle w:val="DGTextstand-alone"/>
        <w:rPr>
          <w:i/>
          <w:color w:val="016794"/>
        </w:rPr>
      </w:pPr>
      <w:r>
        <w:rPr>
          <w:i/>
          <w:color w:val="016794"/>
        </w:rPr>
        <w:t>Article 147 – Affaires juridiques</w:t>
      </w:r>
    </w:p>
    <w:p>
      <w:pPr>
        <w:pStyle w:val="DGTextstand-alone"/>
      </w:pPr>
      <w:r>
        <w:t>Le Royaume-Uni s’est engagé à contribuer à sa part des paiements de l’UE découlant d’affaires juridiques concernant les intérêts financiers de l’Union qui deviennent exigibles, pour autant que les faits constituant l’objet de ces affaires se soient produits au plus tard le 31 décembre 2020. Compte tenu des provisions et des charges à payer en fin d’exercice, ainsi que des paiements effectifs effectués et reçus par l’UE dans le cadre d’affaires judiciaires en 2025, le Royaume-Uni devra verser un montant estimé à 33 millions d’EUR (contre 107 millions d’EUR en 2024), dont 7 millions d’EUR doivent être versés dans les 12 mois suivant la date de déclaration.</w:t>
      </w:r>
    </w:p>
    <w:p>
      <w:pPr>
        <w:pStyle w:val="HEADER4NOTES"/>
        <w:numPr>
          <w:ilvl w:val="3"/>
          <w:numId w:val="15"/>
        </w:numPr>
        <w:rPr>
          <w:noProof/>
        </w:rPr>
      </w:pPr>
      <w:r>
        <w:rPr>
          <w:noProof/>
        </w:rPr>
        <w:t>Créances à recouvrer liées aux amendes infligées aux entreprises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94"/>
        <w:gridCol w:w="2132"/>
        <w:gridCol w:w="2132"/>
      </w:tblGrid>
      <w:tr>
        <w:trPr>
          <w:trHeight w:val="255"/>
        </w:trPr>
        <w:tc>
          <w:tcPr>
            <w:tcW w:w="5494" w:type="dxa"/>
            <w:tcBorders>
              <w:top w:val="nil"/>
              <w:left w:val="nil"/>
              <w:bottom w:val="nil"/>
              <w:right w:val="nil"/>
              <w:tl2br w:val="nil"/>
              <w:tr2bl w:val="nil"/>
            </w:tcBorders>
            <w:tcMar>
              <w:left w:w="60" w:type="dxa"/>
              <w:right w:w="60" w:type="dxa"/>
            </w:tcMar>
            <w:vAlign w:val="bottom"/>
          </w:tcPr>
          <w:p>
            <w:pPr>
              <w:pStyle w:val="DMETW36612BIPFINES"/>
              <w:rPr>
                <w:rFonts w:ascii="Arial" w:eastAsia="Arial" w:hAnsi="Arial" w:cs="Arial"/>
                <w:noProof/>
                <w:color w:val="000000"/>
              </w:rPr>
            </w:pPr>
            <w:bookmarkStart w:id="133" w:name="DOC_TBL00039_1_1"/>
            <w:bookmarkEnd w:id="133"/>
          </w:p>
        </w:tc>
        <w:tc>
          <w:tcPr>
            <w:tcW w:w="2132" w:type="dxa"/>
            <w:tcBorders>
              <w:top w:val="nil"/>
              <w:left w:val="nil"/>
              <w:bottom w:val="nil"/>
              <w:right w:val="nil"/>
              <w:tl2br w:val="nil"/>
              <w:tr2bl w:val="nil"/>
            </w:tcBorders>
            <w:tcMar>
              <w:left w:w="60" w:type="dxa"/>
              <w:right w:w="60" w:type="dxa"/>
            </w:tcMar>
            <w:vAlign w:val="bottom"/>
          </w:tcPr>
          <w:p>
            <w:pPr>
              <w:pStyle w:val="DMETW36612BIPFINES"/>
              <w:rPr>
                <w:rFonts w:ascii="Arial" w:eastAsia="Arial" w:hAnsi="Arial" w:cs="Arial"/>
                <w:noProof/>
                <w:color w:val="000000"/>
              </w:rPr>
            </w:pPr>
          </w:p>
        </w:tc>
        <w:tc>
          <w:tcPr>
            <w:tcW w:w="2132" w:type="dxa"/>
            <w:tcBorders>
              <w:top w:val="nil"/>
              <w:left w:val="nil"/>
              <w:bottom w:val="nil"/>
              <w:right w:val="nil"/>
              <w:tl2br w:val="nil"/>
              <w:tr2bl w:val="nil"/>
            </w:tcBorders>
            <w:tcMar>
              <w:left w:w="60" w:type="dxa"/>
              <w:right w:w="60" w:type="dxa"/>
            </w:tcMar>
            <w:vAlign w:val="bottom"/>
          </w:tcPr>
          <w:p>
            <w:pPr>
              <w:pStyle w:val="DMETW36612BIPFINES"/>
              <w:jc w:val="right"/>
              <w:rPr>
                <w:rFonts w:ascii="Verdana" w:eastAsia="Verdana" w:hAnsi="Verdana" w:cs="Verdana"/>
                <w:i/>
                <w:noProof/>
                <w:color w:val="000000"/>
                <w:sz w:val="16"/>
              </w:rPr>
            </w:pPr>
            <w:r>
              <w:rPr>
                <w:rFonts w:ascii="Verdana" w:hAnsi="Verdana"/>
                <w:i/>
                <w:noProof/>
                <w:color w:val="000000"/>
                <w:sz w:val="16"/>
              </w:rPr>
              <w:t>en Mio EUR</w:t>
            </w:r>
          </w:p>
        </w:tc>
      </w:tr>
      <w:tr>
        <w:trPr>
          <w:trHeight w:val="255"/>
        </w:trPr>
        <w:tc>
          <w:tcPr>
            <w:tcW w:w="5494" w:type="dxa"/>
            <w:tcBorders>
              <w:top w:val="nil"/>
              <w:left w:val="nil"/>
              <w:bottom w:val="nil"/>
              <w:right w:val="nil"/>
              <w:tl2br w:val="nil"/>
              <w:tr2bl w:val="nil"/>
            </w:tcBorders>
            <w:shd w:val="solid" w:color="016794" w:fill="FFFFFF"/>
            <w:tcMar>
              <w:left w:w="60" w:type="dxa"/>
              <w:right w:w="60" w:type="dxa"/>
            </w:tcMar>
            <w:vAlign w:val="center"/>
          </w:tcPr>
          <w:p>
            <w:pPr>
              <w:pStyle w:val="DMETW36612BIPFINES"/>
              <w:jc w:val="center"/>
              <w:rPr>
                <w:rFonts w:ascii="Verdana" w:eastAsia="Verdana" w:hAnsi="Verdana" w:cs="Verdana"/>
                <w:noProof/>
                <w:color w:val="FFFFFF"/>
              </w:rPr>
            </w:pPr>
          </w:p>
        </w:tc>
        <w:tc>
          <w:tcPr>
            <w:tcW w:w="2132" w:type="dxa"/>
            <w:tcBorders>
              <w:top w:val="nil"/>
              <w:left w:val="nil"/>
              <w:bottom w:val="nil"/>
              <w:right w:val="nil"/>
              <w:tl2br w:val="nil"/>
              <w:tr2bl w:val="nil"/>
            </w:tcBorders>
            <w:shd w:val="solid" w:color="016794" w:fill="FFFFFF"/>
            <w:tcMar>
              <w:left w:w="60" w:type="dxa"/>
              <w:right w:w="60" w:type="dxa"/>
            </w:tcMar>
            <w:vAlign w:val="center"/>
          </w:tcPr>
          <w:p>
            <w:pPr>
              <w:pStyle w:val="DMETW36612BIPFINES"/>
              <w:jc w:val="right"/>
              <w:rPr>
                <w:rFonts w:ascii="Verdana" w:eastAsia="Verdana" w:hAnsi="Verdana" w:cs="Verdana"/>
                <w:noProof/>
                <w:color w:val="FFFFFF"/>
              </w:rPr>
            </w:pPr>
            <w:r>
              <w:rPr>
                <w:rFonts w:ascii="Verdana" w:hAnsi="Verdana"/>
                <w:noProof/>
                <w:color w:val="FFFFFF"/>
              </w:rPr>
              <w:t>31.12.2025</w:t>
            </w:r>
          </w:p>
        </w:tc>
        <w:tc>
          <w:tcPr>
            <w:tcW w:w="2132" w:type="dxa"/>
            <w:tcBorders>
              <w:top w:val="nil"/>
              <w:left w:val="nil"/>
              <w:bottom w:val="nil"/>
              <w:right w:val="nil"/>
              <w:tl2br w:val="nil"/>
              <w:tr2bl w:val="nil"/>
            </w:tcBorders>
            <w:shd w:val="solid" w:color="016794" w:fill="FFFFFF"/>
            <w:tcMar>
              <w:left w:w="60" w:type="dxa"/>
              <w:right w:w="60" w:type="dxa"/>
            </w:tcMar>
            <w:vAlign w:val="center"/>
          </w:tcPr>
          <w:p>
            <w:pPr>
              <w:pStyle w:val="DMETW36612BIPFINES"/>
              <w:jc w:val="right"/>
              <w:rPr>
                <w:rFonts w:ascii="Verdana" w:eastAsia="Verdana" w:hAnsi="Verdana" w:cs="Verdana"/>
                <w:noProof/>
                <w:color w:val="FFFFFF"/>
              </w:rPr>
            </w:pPr>
            <w:r>
              <w:rPr>
                <w:rFonts w:ascii="Verdana" w:hAnsi="Verdana"/>
                <w:noProof/>
                <w:color w:val="FFFFFF"/>
              </w:rPr>
              <w:t>31.12.2024</w:t>
            </w:r>
          </w:p>
        </w:tc>
      </w:tr>
      <w:tr>
        <w:trPr>
          <w:trHeight w:val="255"/>
        </w:trPr>
        <w:tc>
          <w:tcPr>
            <w:tcW w:w="5494" w:type="dxa"/>
            <w:tcBorders>
              <w:top w:val="nil"/>
              <w:left w:val="nil"/>
              <w:bottom w:val="nil"/>
              <w:right w:val="nil"/>
              <w:tl2br w:val="nil"/>
              <w:tr2bl w:val="nil"/>
            </w:tcBorders>
            <w:tcMar>
              <w:left w:w="60" w:type="dxa"/>
              <w:right w:w="60" w:type="dxa"/>
            </w:tcMar>
            <w:vAlign w:val="center"/>
          </w:tcPr>
          <w:p>
            <w:pPr>
              <w:pStyle w:val="DMETW36612BIPFINES"/>
              <w:rPr>
                <w:rFonts w:ascii="Verdana" w:eastAsia="Verdana" w:hAnsi="Verdana" w:cs="Verdana"/>
                <w:i/>
                <w:noProof/>
                <w:color w:val="000000"/>
                <w:sz w:val="18"/>
              </w:rPr>
            </w:pPr>
            <w:r>
              <w:rPr>
                <w:rFonts w:ascii="Verdana" w:hAnsi="Verdana"/>
                <w:i/>
                <w:noProof/>
                <w:color w:val="000000"/>
                <w:sz w:val="18"/>
              </w:rPr>
              <w:t>Créances à recouvrer liées aux amendes (montants bruts)</w:t>
            </w:r>
          </w:p>
        </w:tc>
        <w:tc>
          <w:tcPr>
            <w:tcW w:w="2132" w:type="dxa"/>
            <w:tcBorders>
              <w:top w:val="nil"/>
              <w:left w:val="nil"/>
              <w:bottom w:val="nil"/>
              <w:right w:val="nil"/>
              <w:tl2br w:val="nil"/>
              <w:tr2bl w:val="nil"/>
            </w:tcBorders>
            <w:tcMar>
              <w:left w:w="60" w:type="dxa"/>
              <w:right w:w="60" w:type="dxa"/>
            </w:tcMar>
            <w:vAlign w:val="center"/>
          </w:tcPr>
          <w:p>
            <w:pPr>
              <w:pStyle w:val="DMETW36612BIPFINES"/>
              <w:jc w:val="right"/>
              <w:rPr>
                <w:rFonts w:ascii="Verdana" w:eastAsia="Verdana" w:hAnsi="Verdana" w:cs="Verdana"/>
                <w:i/>
                <w:noProof/>
                <w:color w:val="000000"/>
                <w:sz w:val="18"/>
              </w:rPr>
            </w:pPr>
            <w:r>
              <w:rPr>
                <w:rFonts w:ascii="Verdana" w:hAnsi="Verdana"/>
                <w:i/>
                <w:noProof/>
                <w:color w:val="000000"/>
                <w:sz w:val="18"/>
              </w:rPr>
              <w:t>15 604</w:t>
            </w:r>
          </w:p>
        </w:tc>
        <w:tc>
          <w:tcPr>
            <w:tcW w:w="2132" w:type="dxa"/>
            <w:tcBorders>
              <w:top w:val="nil"/>
              <w:left w:val="nil"/>
              <w:bottom w:val="nil"/>
              <w:right w:val="nil"/>
              <w:tl2br w:val="nil"/>
              <w:tr2bl w:val="nil"/>
            </w:tcBorders>
            <w:tcMar>
              <w:left w:w="60" w:type="dxa"/>
              <w:right w:w="60" w:type="dxa"/>
            </w:tcMar>
            <w:vAlign w:val="center"/>
          </w:tcPr>
          <w:p>
            <w:pPr>
              <w:pStyle w:val="DMETW36612BIPFINES"/>
              <w:jc w:val="right"/>
              <w:rPr>
                <w:rFonts w:ascii="Verdana" w:eastAsia="Verdana" w:hAnsi="Verdana" w:cs="Verdana"/>
                <w:i/>
                <w:noProof/>
                <w:color w:val="000000"/>
                <w:sz w:val="18"/>
              </w:rPr>
            </w:pPr>
            <w:r>
              <w:rPr>
                <w:rFonts w:ascii="Verdana" w:hAnsi="Verdana"/>
                <w:i/>
                <w:noProof/>
                <w:color w:val="000000"/>
                <w:sz w:val="18"/>
              </w:rPr>
              <w:t>12 247</w:t>
            </w:r>
          </w:p>
        </w:tc>
      </w:tr>
      <w:tr>
        <w:trPr>
          <w:trHeight w:val="255"/>
        </w:trPr>
        <w:tc>
          <w:tcPr>
            <w:tcW w:w="5494" w:type="dxa"/>
            <w:tcBorders>
              <w:top w:val="nil"/>
              <w:left w:val="nil"/>
              <w:bottom w:val="nil"/>
              <w:right w:val="nil"/>
              <w:tl2br w:val="nil"/>
              <w:tr2bl w:val="nil"/>
            </w:tcBorders>
            <w:tcMar>
              <w:left w:w="60" w:type="dxa"/>
              <w:right w:w="60" w:type="dxa"/>
            </w:tcMar>
            <w:vAlign w:val="center"/>
          </w:tcPr>
          <w:p>
            <w:pPr>
              <w:pStyle w:val="DMETW36612BIPFINES"/>
              <w:rPr>
                <w:rFonts w:ascii="Verdana" w:eastAsia="Verdana" w:hAnsi="Verdana" w:cs="Verdana"/>
                <w:i/>
                <w:noProof/>
                <w:color w:val="000000"/>
                <w:sz w:val="18"/>
              </w:rPr>
            </w:pPr>
            <w:r>
              <w:rPr>
                <w:rFonts w:ascii="Verdana" w:hAnsi="Verdana"/>
                <w:i/>
                <w:noProof/>
                <w:color w:val="000000"/>
                <w:sz w:val="18"/>
              </w:rPr>
              <w:t>Paiements provisionnels</w:t>
            </w:r>
          </w:p>
        </w:tc>
        <w:tc>
          <w:tcPr>
            <w:tcW w:w="2132" w:type="dxa"/>
            <w:tcBorders>
              <w:top w:val="nil"/>
              <w:left w:val="nil"/>
              <w:bottom w:val="nil"/>
              <w:right w:val="nil"/>
              <w:tl2br w:val="nil"/>
              <w:tr2bl w:val="nil"/>
            </w:tcBorders>
            <w:tcMar>
              <w:left w:w="60" w:type="dxa"/>
              <w:right w:w="60" w:type="dxa"/>
            </w:tcMar>
            <w:vAlign w:val="center"/>
          </w:tcPr>
          <w:p>
            <w:pPr>
              <w:pStyle w:val="DMETW36612BIPFINES"/>
              <w:jc w:val="right"/>
              <w:rPr>
                <w:rFonts w:ascii="Verdana" w:eastAsia="Verdana" w:hAnsi="Verdana" w:cs="Verdana"/>
                <w:i/>
                <w:noProof/>
                <w:color w:val="000000"/>
                <w:sz w:val="18"/>
              </w:rPr>
            </w:pPr>
            <w:r>
              <w:rPr>
                <w:rFonts w:ascii="Verdana" w:hAnsi="Verdana"/>
                <w:i/>
                <w:noProof/>
                <w:color w:val="000000"/>
                <w:sz w:val="18"/>
              </w:rPr>
              <w:t>(2 823)</w:t>
            </w:r>
          </w:p>
        </w:tc>
        <w:tc>
          <w:tcPr>
            <w:tcW w:w="2132" w:type="dxa"/>
            <w:tcBorders>
              <w:top w:val="nil"/>
              <w:left w:val="nil"/>
              <w:bottom w:val="nil"/>
              <w:right w:val="nil"/>
              <w:tl2br w:val="nil"/>
              <w:tr2bl w:val="nil"/>
            </w:tcBorders>
            <w:tcMar>
              <w:left w:w="60" w:type="dxa"/>
              <w:right w:w="60" w:type="dxa"/>
            </w:tcMar>
            <w:vAlign w:val="center"/>
          </w:tcPr>
          <w:p>
            <w:pPr>
              <w:pStyle w:val="DMETW36612BIPFINES"/>
              <w:jc w:val="right"/>
              <w:rPr>
                <w:rFonts w:ascii="Verdana" w:eastAsia="Verdana" w:hAnsi="Verdana" w:cs="Verdana"/>
                <w:i/>
                <w:noProof/>
                <w:color w:val="000000"/>
                <w:sz w:val="18"/>
              </w:rPr>
            </w:pPr>
            <w:r>
              <w:rPr>
                <w:rFonts w:ascii="Verdana" w:hAnsi="Verdana"/>
                <w:i/>
                <w:noProof/>
                <w:color w:val="000000"/>
                <w:sz w:val="18"/>
              </w:rPr>
              <w:t>(2 161)</w:t>
            </w:r>
          </w:p>
        </w:tc>
      </w:tr>
      <w:tr>
        <w:trPr>
          <w:trHeight w:val="255"/>
        </w:trPr>
        <w:tc>
          <w:tcPr>
            <w:tcW w:w="5494" w:type="dxa"/>
            <w:tcBorders>
              <w:top w:val="nil"/>
              <w:left w:val="nil"/>
              <w:bottom w:val="single" w:sz="4" w:space="0" w:color="016794"/>
              <w:right w:val="nil"/>
              <w:tl2br w:val="nil"/>
              <w:tr2bl w:val="nil"/>
            </w:tcBorders>
            <w:tcMar>
              <w:left w:w="60" w:type="dxa"/>
              <w:right w:w="60" w:type="dxa"/>
            </w:tcMar>
            <w:vAlign w:val="center"/>
          </w:tcPr>
          <w:p>
            <w:pPr>
              <w:pStyle w:val="DMETW36612BIPFINES"/>
              <w:rPr>
                <w:rFonts w:ascii="Verdana" w:eastAsia="Verdana" w:hAnsi="Verdana" w:cs="Verdana"/>
                <w:i/>
                <w:noProof/>
                <w:color w:val="000000"/>
                <w:sz w:val="18"/>
              </w:rPr>
            </w:pPr>
            <w:r>
              <w:rPr>
                <w:rFonts w:ascii="Verdana" w:hAnsi="Verdana"/>
                <w:i/>
                <w:noProof/>
                <w:color w:val="000000"/>
                <w:sz w:val="18"/>
              </w:rPr>
              <w:t>Dépréciation</w:t>
            </w:r>
          </w:p>
        </w:tc>
        <w:tc>
          <w:tcPr>
            <w:tcW w:w="2132" w:type="dxa"/>
            <w:tcBorders>
              <w:top w:val="nil"/>
              <w:left w:val="nil"/>
              <w:bottom w:val="single" w:sz="4" w:space="0" w:color="016794"/>
              <w:right w:val="nil"/>
              <w:tl2br w:val="nil"/>
              <w:tr2bl w:val="nil"/>
            </w:tcBorders>
            <w:tcMar>
              <w:left w:w="60" w:type="dxa"/>
              <w:right w:w="60" w:type="dxa"/>
            </w:tcMar>
            <w:vAlign w:val="center"/>
          </w:tcPr>
          <w:p>
            <w:pPr>
              <w:pStyle w:val="DMETW36612BIPFINES"/>
              <w:jc w:val="right"/>
              <w:rPr>
                <w:rFonts w:ascii="Verdana" w:eastAsia="Verdana" w:hAnsi="Verdana" w:cs="Verdana"/>
                <w:i/>
                <w:noProof/>
                <w:color w:val="000000"/>
                <w:sz w:val="18"/>
              </w:rPr>
            </w:pPr>
            <w:r>
              <w:rPr>
                <w:rFonts w:ascii="Verdana" w:hAnsi="Verdana"/>
                <w:i/>
                <w:noProof/>
                <w:color w:val="000000"/>
                <w:sz w:val="18"/>
              </w:rPr>
              <w:t>(1 817)</w:t>
            </w:r>
          </w:p>
        </w:tc>
        <w:tc>
          <w:tcPr>
            <w:tcW w:w="2132" w:type="dxa"/>
            <w:tcBorders>
              <w:top w:val="nil"/>
              <w:left w:val="nil"/>
              <w:bottom w:val="single" w:sz="4" w:space="0" w:color="016794"/>
              <w:right w:val="nil"/>
              <w:tl2br w:val="nil"/>
              <w:tr2bl w:val="nil"/>
            </w:tcBorders>
            <w:tcMar>
              <w:left w:w="60" w:type="dxa"/>
              <w:right w:w="60" w:type="dxa"/>
            </w:tcMar>
            <w:vAlign w:val="center"/>
          </w:tcPr>
          <w:p>
            <w:pPr>
              <w:pStyle w:val="DMETW36612BIPFINES"/>
              <w:jc w:val="right"/>
              <w:rPr>
                <w:rFonts w:ascii="Verdana" w:eastAsia="Verdana" w:hAnsi="Verdana" w:cs="Verdana"/>
                <w:i/>
                <w:noProof/>
                <w:color w:val="000000"/>
                <w:sz w:val="18"/>
              </w:rPr>
            </w:pPr>
            <w:r>
              <w:rPr>
                <w:rFonts w:ascii="Verdana" w:hAnsi="Verdana"/>
                <w:i/>
                <w:noProof/>
                <w:color w:val="000000"/>
                <w:sz w:val="18"/>
              </w:rPr>
              <w:t xml:space="preserve"> (934)</w:t>
            </w:r>
          </w:p>
        </w:tc>
      </w:tr>
      <w:tr>
        <w:trPr>
          <w:trHeight w:val="255"/>
        </w:trPr>
        <w:tc>
          <w:tcPr>
            <w:tcW w:w="549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12BIPFINES"/>
              <w:rPr>
                <w:rFonts w:ascii="Verdana" w:eastAsia="Verdana" w:hAnsi="Verdana" w:cs="Verdana"/>
                <w:b/>
                <w:noProof/>
                <w:color w:val="000000"/>
                <w:sz w:val="18"/>
              </w:rPr>
            </w:pPr>
            <w:r>
              <w:rPr>
                <w:rFonts w:ascii="Verdana" w:hAnsi="Verdana"/>
                <w:b/>
                <w:noProof/>
                <w:color w:val="000000"/>
                <w:sz w:val="18"/>
              </w:rPr>
              <w:t>Total</w:t>
            </w:r>
          </w:p>
        </w:tc>
        <w:tc>
          <w:tcPr>
            <w:tcW w:w="213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12BIPFINES"/>
              <w:jc w:val="right"/>
              <w:rPr>
                <w:rFonts w:ascii="Verdana" w:eastAsia="Verdana" w:hAnsi="Verdana" w:cs="Verdana"/>
                <w:b/>
                <w:noProof/>
                <w:color w:val="000000"/>
                <w:sz w:val="18"/>
              </w:rPr>
            </w:pPr>
            <w:r>
              <w:rPr>
                <w:rFonts w:ascii="Verdana" w:hAnsi="Verdana"/>
                <w:b/>
                <w:noProof/>
                <w:color w:val="000000"/>
                <w:sz w:val="18"/>
              </w:rPr>
              <w:t>10 964</w:t>
            </w:r>
          </w:p>
        </w:tc>
        <w:tc>
          <w:tcPr>
            <w:tcW w:w="213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12BIPFINES"/>
              <w:jc w:val="right"/>
              <w:rPr>
                <w:rFonts w:ascii="Verdana" w:eastAsia="Verdana" w:hAnsi="Verdana" w:cs="Verdana"/>
                <w:b/>
                <w:noProof/>
                <w:color w:val="000000"/>
                <w:sz w:val="18"/>
              </w:rPr>
            </w:pPr>
            <w:r>
              <w:rPr>
                <w:rFonts w:ascii="Verdana" w:hAnsi="Verdana"/>
                <w:b/>
                <w:noProof/>
                <w:color w:val="000000"/>
                <w:sz w:val="18"/>
              </w:rPr>
              <w:t>9 152</w:t>
            </w:r>
          </w:p>
        </w:tc>
      </w:tr>
      <w:tr>
        <w:trPr>
          <w:trHeight w:val="255"/>
        </w:trPr>
        <w:tc>
          <w:tcPr>
            <w:tcW w:w="5494" w:type="dxa"/>
            <w:tcBorders>
              <w:top w:val="single" w:sz="4" w:space="0" w:color="016794"/>
              <w:left w:val="nil"/>
              <w:bottom w:val="nil"/>
              <w:right w:val="nil"/>
              <w:tl2br w:val="nil"/>
              <w:tr2bl w:val="nil"/>
            </w:tcBorders>
            <w:tcMar>
              <w:left w:w="60" w:type="dxa"/>
              <w:right w:w="60" w:type="dxa"/>
            </w:tcMar>
            <w:vAlign w:val="center"/>
          </w:tcPr>
          <w:p>
            <w:pPr>
              <w:pStyle w:val="DMETW36612BIPFINES"/>
              <w:rPr>
                <w:rFonts w:ascii="Verdana" w:eastAsia="Verdana" w:hAnsi="Verdana" w:cs="Verdana"/>
                <w:i/>
                <w:noProof/>
                <w:color w:val="016794"/>
                <w:sz w:val="18"/>
              </w:rPr>
            </w:pPr>
            <w:r>
              <w:rPr>
                <w:rFonts w:ascii="Verdana" w:hAnsi="Verdana"/>
                <w:i/>
                <w:noProof/>
                <w:color w:val="016794"/>
                <w:sz w:val="18"/>
              </w:rPr>
              <w:t>Non courantes</w:t>
            </w:r>
          </w:p>
        </w:tc>
        <w:tc>
          <w:tcPr>
            <w:tcW w:w="2132" w:type="dxa"/>
            <w:tcBorders>
              <w:top w:val="single" w:sz="4" w:space="0" w:color="016794"/>
              <w:left w:val="nil"/>
              <w:bottom w:val="nil"/>
              <w:right w:val="nil"/>
              <w:tl2br w:val="nil"/>
              <w:tr2bl w:val="nil"/>
            </w:tcBorders>
            <w:tcMar>
              <w:left w:w="60" w:type="dxa"/>
              <w:right w:w="60" w:type="dxa"/>
            </w:tcMar>
            <w:vAlign w:val="center"/>
          </w:tcPr>
          <w:p>
            <w:pPr>
              <w:pStyle w:val="DMETW36612BIPFINES"/>
              <w:jc w:val="right"/>
              <w:rPr>
                <w:rFonts w:ascii="Verdana" w:eastAsia="Verdana" w:hAnsi="Verdana" w:cs="Verdana"/>
                <w:i/>
                <w:noProof/>
                <w:color w:val="016794"/>
                <w:sz w:val="18"/>
              </w:rPr>
            </w:pPr>
            <w:r>
              <w:rPr>
                <w:rFonts w:ascii="Verdana" w:hAnsi="Verdana"/>
                <w:i/>
                <w:noProof/>
                <w:color w:val="016794"/>
                <w:sz w:val="18"/>
              </w:rPr>
              <w:t>–</w:t>
            </w:r>
          </w:p>
        </w:tc>
        <w:tc>
          <w:tcPr>
            <w:tcW w:w="2132" w:type="dxa"/>
            <w:tcBorders>
              <w:top w:val="single" w:sz="4" w:space="0" w:color="016794"/>
              <w:left w:val="nil"/>
              <w:bottom w:val="nil"/>
              <w:right w:val="nil"/>
              <w:tl2br w:val="nil"/>
              <w:tr2bl w:val="nil"/>
            </w:tcBorders>
            <w:tcMar>
              <w:left w:w="60" w:type="dxa"/>
              <w:right w:w="60" w:type="dxa"/>
            </w:tcMar>
            <w:vAlign w:val="center"/>
          </w:tcPr>
          <w:p>
            <w:pPr>
              <w:pStyle w:val="DMETW36612BIPFINES"/>
              <w:jc w:val="right"/>
              <w:rPr>
                <w:rFonts w:ascii="Verdana" w:eastAsia="Verdana" w:hAnsi="Verdana" w:cs="Verdana"/>
                <w:i/>
                <w:noProof/>
                <w:color w:val="016794"/>
                <w:sz w:val="18"/>
              </w:rPr>
            </w:pPr>
            <w:r>
              <w:rPr>
                <w:rFonts w:ascii="Verdana" w:hAnsi="Verdana"/>
                <w:i/>
                <w:noProof/>
                <w:color w:val="016794"/>
                <w:sz w:val="18"/>
              </w:rPr>
              <w:t>–</w:t>
            </w:r>
          </w:p>
        </w:tc>
      </w:tr>
      <w:tr>
        <w:trPr>
          <w:trHeight w:val="255"/>
        </w:trPr>
        <w:tc>
          <w:tcPr>
            <w:tcW w:w="5494" w:type="dxa"/>
            <w:tcBorders>
              <w:top w:val="nil"/>
              <w:left w:val="nil"/>
              <w:bottom w:val="nil"/>
              <w:right w:val="nil"/>
              <w:tl2br w:val="nil"/>
              <w:tr2bl w:val="nil"/>
            </w:tcBorders>
            <w:tcMar>
              <w:left w:w="60" w:type="dxa"/>
              <w:right w:w="60" w:type="dxa"/>
            </w:tcMar>
            <w:vAlign w:val="center"/>
          </w:tcPr>
          <w:p>
            <w:pPr>
              <w:pStyle w:val="DMETW36612BIPFINES"/>
              <w:rPr>
                <w:rFonts w:ascii="Verdana" w:eastAsia="Verdana" w:hAnsi="Verdana" w:cs="Verdana"/>
                <w:i/>
                <w:noProof/>
                <w:color w:val="016794"/>
                <w:sz w:val="18"/>
              </w:rPr>
            </w:pPr>
            <w:r>
              <w:rPr>
                <w:rFonts w:ascii="Verdana" w:hAnsi="Verdana"/>
                <w:i/>
                <w:noProof/>
                <w:color w:val="016794"/>
                <w:sz w:val="18"/>
              </w:rPr>
              <w:t>Courantes</w:t>
            </w:r>
          </w:p>
        </w:tc>
        <w:tc>
          <w:tcPr>
            <w:tcW w:w="2132" w:type="dxa"/>
            <w:tcBorders>
              <w:top w:val="nil"/>
              <w:left w:val="nil"/>
              <w:bottom w:val="nil"/>
              <w:right w:val="nil"/>
              <w:tl2br w:val="nil"/>
              <w:tr2bl w:val="nil"/>
            </w:tcBorders>
            <w:tcMar>
              <w:left w:w="60" w:type="dxa"/>
              <w:right w:w="60" w:type="dxa"/>
            </w:tcMar>
            <w:vAlign w:val="center"/>
          </w:tcPr>
          <w:p>
            <w:pPr>
              <w:pStyle w:val="DMETW36612BIPFINES"/>
              <w:jc w:val="right"/>
              <w:rPr>
                <w:rFonts w:ascii="Verdana" w:eastAsia="Verdana" w:hAnsi="Verdana" w:cs="Verdana"/>
                <w:i/>
                <w:noProof/>
                <w:color w:val="016794"/>
                <w:sz w:val="18"/>
              </w:rPr>
            </w:pPr>
            <w:r>
              <w:rPr>
                <w:rFonts w:ascii="Verdana" w:hAnsi="Verdana"/>
                <w:i/>
                <w:noProof/>
                <w:color w:val="016794"/>
                <w:sz w:val="18"/>
              </w:rPr>
              <w:t>10 964</w:t>
            </w:r>
          </w:p>
        </w:tc>
        <w:tc>
          <w:tcPr>
            <w:tcW w:w="2132" w:type="dxa"/>
            <w:tcBorders>
              <w:top w:val="nil"/>
              <w:left w:val="nil"/>
              <w:bottom w:val="nil"/>
              <w:right w:val="nil"/>
              <w:tl2br w:val="nil"/>
              <w:tr2bl w:val="nil"/>
            </w:tcBorders>
            <w:tcMar>
              <w:left w:w="60" w:type="dxa"/>
              <w:right w:w="60" w:type="dxa"/>
            </w:tcMar>
            <w:vAlign w:val="center"/>
          </w:tcPr>
          <w:p>
            <w:pPr>
              <w:pStyle w:val="DMETW36612BIPFINES"/>
              <w:jc w:val="right"/>
              <w:rPr>
                <w:rFonts w:ascii="Verdana" w:eastAsia="Verdana" w:hAnsi="Verdana" w:cs="Verdana"/>
                <w:i/>
                <w:noProof/>
                <w:color w:val="016794"/>
                <w:sz w:val="18"/>
              </w:rPr>
            </w:pPr>
            <w:r>
              <w:rPr>
                <w:rFonts w:ascii="Verdana" w:hAnsi="Verdana"/>
                <w:i/>
                <w:noProof/>
                <w:color w:val="016794"/>
                <w:sz w:val="18"/>
              </w:rPr>
              <w:t>9 152</w:t>
            </w:r>
          </w:p>
        </w:tc>
      </w:tr>
    </w:tbl>
    <w:p>
      <w:pPr>
        <w:pStyle w:val="DGTextstand-alone"/>
      </w:pPr>
      <w:r>
        <w:t>Les amendes infligées aux entreprises comprennent des amendes liées à des infractions aux règles de concurrence ainsi que d’autres amendes. Les entreprises sanctionnées qui ont introduit un recours ou qui envisagent de le faire ont la possibilité d’effectuer des paiements provisionnels ou de fournir des garanties bancaires à la Commission. En ce qui concerne le montant total des amendes en souffrance en fin d’exercice qui ne sont pas couvertes par des paiements provisoires ou définitifs, 10,729 milliards d’EUR (contre 7,091 milliards d’EUR en 2024) de garanties ont été perçus à titre de couverture.</w:t>
      </w:r>
    </w:p>
    <w:p>
      <w:pPr>
        <w:pStyle w:val="DGTextstand-alone"/>
      </w:pPr>
      <w:r>
        <w:t>Les paiements reçus des entreprises sanctionnées sont détenus soit sous forme d’investissements (voir note </w:t>
      </w:r>
      <w:r>
        <w:rPr>
          <w:b/>
        </w:rPr>
        <w:t>2.4.2.1</w:t>
      </w:r>
      <w:r>
        <w:t>), soit sur des comptes bancaires (voir note </w:t>
      </w:r>
      <w:r>
        <w:rPr>
          <w:b/>
        </w:rPr>
        <w:t>2.8</w:t>
      </w:r>
      <w:r>
        <w:t>).</w:t>
      </w:r>
    </w:p>
    <w:p>
      <w:pPr>
        <w:pStyle w:val="DGTextstand-alone"/>
      </w:pPr>
      <w:r>
        <w:t>Les réductions de valeur dues à une dépréciation sont le reflet d’une évaluation effectuée au cas par cas par la Commission quant aux amendes non encaissées ou non couvertes par une garantie, que celle-ci s’attend à ne pas recouvrer, ainsi que des amendes dont le montant a été réduit par une décision de justice.</w:t>
      </w:r>
    </w:p>
    <w:p>
      <w:pPr>
        <w:pStyle w:val="DGTextstand-alone"/>
      </w:pPr>
      <w:r>
        <w:t>Les recettes provenant des amendes infligées aux entreprises pour l’exercice se sont élevées à 4,808 milliards d’EUR (voir note </w:t>
      </w:r>
      <w:r>
        <w:rPr>
          <w:b/>
          <w:bCs/>
        </w:rPr>
        <w:t>3.5</w:t>
      </w:r>
      <w:r>
        <w:t>), tandis que les dépenses, c’est-à-dire les réductions d’amendes faisant suite à une décision de justice, se sont élevées à 214 millions d’EUR (voir note </w:t>
      </w:r>
      <w:r>
        <w:rPr>
          <w:b/>
          <w:bCs/>
        </w:rPr>
        <w:t>3.16</w:t>
      </w:r>
      <w:r>
        <w:t>).</w:t>
      </w:r>
    </w:p>
    <w:p>
      <w:pPr>
        <w:pStyle w:val="DGTextstand-alone"/>
      </w:pPr>
      <w:r>
        <w:t>Un passif éventuel de 2,035 milliards d’EUR est constitué pour le cas où les montants payés à titre provisionnel devraient être remboursés aux entreprises sanctionnées qui introduisent ou sont en droit d’introduire un recours contre les amendes qui leur sont infligées; voir note </w:t>
      </w:r>
      <w:r>
        <w:rPr>
          <w:b/>
          <w:bCs/>
        </w:rPr>
        <w:t>4.2.1</w:t>
      </w:r>
      <w:r>
        <w:t>.</w:t>
      </w:r>
    </w:p>
    <w:p>
      <w:pPr>
        <w:pStyle w:val="HEADER4NOTES"/>
        <w:numPr>
          <w:ilvl w:val="3"/>
          <w:numId w:val="15"/>
        </w:numPr>
        <w:rPr>
          <w:noProof/>
        </w:rPr>
      </w:pPr>
      <w:r>
        <w:rPr>
          <w:noProof/>
        </w:rPr>
        <w:t>Produits à recevoir et charges à reporter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84"/>
        <w:gridCol w:w="1787"/>
        <w:gridCol w:w="1787"/>
      </w:tblGrid>
      <w:tr>
        <w:trPr>
          <w:trHeight w:val="255"/>
        </w:trPr>
        <w:tc>
          <w:tcPr>
            <w:tcW w:w="6184" w:type="dxa"/>
            <w:tcBorders>
              <w:top w:val="nil"/>
              <w:left w:val="nil"/>
              <w:bottom w:val="nil"/>
              <w:right w:val="nil"/>
              <w:tl2br w:val="nil"/>
              <w:tr2bl w:val="nil"/>
            </w:tcBorders>
            <w:tcMar>
              <w:left w:w="60" w:type="dxa"/>
              <w:right w:w="60" w:type="dxa"/>
            </w:tcMar>
            <w:vAlign w:val="bottom"/>
          </w:tcPr>
          <w:p>
            <w:pPr>
              <w:pStyle w:val="DMETW36747BIPAIDC"/>
              <w:rPr>
                <w:rFonts w:ascii="Arial" w:eastAsia="Arial" w:hAnsi="Arial" w:cs="Arial"/>
                <w:noProof/>
                <w:color w:val="000000"/>
              </w:rPr>
            </w:pPr>
            <w:bookmarkStart w:id="134" w:name="DOC_TBL00040_1_1"/>
            <w:bookmarkEnd w:id="134"/>
          </w:p>
        </w:tc>
        <w:tc>
          <w:tcPr>
            <w:tcW w:w="1787" w:type="dxa"/>
            <w:tcBorders>
              <w:top w:val="nil"/>
              <w:left w:val="nil"/>
              <w:bottom w:val="nil"/>
              <w:right w:val="nil"/>
              <w:tl2br w:val="nil"/>
              <w:tr2bl w:val="nil"/>
            </w:tcBorders>
            <w:tcMar>
              <w:left w:w="60" w:type="dxa"/>
              <w:right w:w="60" w:type="dxa"/>
            </w:tcMar>
            <w:vAlign w:val="bottom"/>
          </w:tcPr>
          <w:p>
            <w:pPr>
              <w:pStyle w:val="DMETW36747BIPAIDC"/>
              <w:rPr>
                <w:rFonts w:ascii="Arial" w:eastAsia="Arial" w:hAnsi="Arial" w:cs="Arial"/>
                <w:noProof/>
                <w:color w:val="000000"/>
              </w:rPr>
            </w:pPr>
          </w:p>
        </w:tc>
        <w:tc>
          <w:tcPr>
            <w:tcW w:w="1787" w:type="dxa"/>
            <w:tcBorders>
              <w:top w:val="nil"/>
              <w:left w:val="nil"/>
              <w:bottom w:val="nil"/>
              <w:right w:val="nil"/>
              <w:tl2br w:val="nil"/>
              <w:tr2bl w:val="nil"/>
            </w:tcBorders>
            <w:tcMar>
              <w:left w:w="60" w:type="dxa"/>
              <w:right w:w="60" w:type="dxa"/>
            </w:tcMar>
            <w:vAlign w:val="bottom"/>
          </w:tcPr>
          <w:p>
            <w:pPr>
              <w:pStyle w:val="DMETW36747BIPAIDC"/>
              <w:jc w:val="right"/>
              <w:rPr>
                <w:rFonts w:ascii="Verdana" w:eastAsia="Verdana" w:hAnsi="Verdana" w:cs="Verdana"/>
                <w:i/>
                <w:noProof/>
                <w:color w:val="000000"/>
                <w:sz w:val="16"/>
              </w:rPr>
            </w:pPr>
            <w:r>
              <w:rPr>
                <w:rFonts w:ascii="Verdana" w:hAnsi="Verdana"/>
                <w:i/>
                <w:noProof/>
                <w:color w:val="000000"/>
                <w:sz w:val="16"/>
              </w:rPr>
              <w:t>en Mio EUR</w:t>
            </w:r>
          </w:p>
        </w:tc>
      </w:tr>
      <w:tr>
        <w:trPr>
          <w:trHeight w:val="255"/>
        </w:trPr>
        <w:tc>
          <w:tcPr>
            <w:tcW w:w="6184" w:type="dxa"/>
            <w:tcBorders>
              <w:top w:val="nil"/>
              <w:left w:val="nil"/>
              <w:bottom w:val="nil"/>
              <w:right w:val="nil"/>
              <w:tl2br w:val="nil"/>
              <w:tr2bl w:val="nil"/>
            </w:tcBorders>
            <w:shd w:val="solid" w:color="016794" w:fill="FFFFFF"/>
            <w:tcMar>
              <w:left w:w="60" w:type="dxa"/>
              <w:right w:w="60" w:type="dxa"/>
            </w:tcMar>
            <w:vAlign w:val="center"/>
          </w:tcPr>
          <w:p>
            <w:pPr>
              <w:pStyle w:val="DMETW36747BIPAIDC"/>
              <w:jc w:val="right"/>
              <w:rPr>
                <w:rFonts w:ascii="Verdana" w:eastAsia="Verdana" w:hAnsi="Verdana" w:cs="Verdana"/>
                <w:noProof/>
                <w:color w:val="FFFFFF"/>
                <w:sz w:val="18"/>
              </w:rPr>
            </w:pPr>
          </w:p>
        </w:tc>
        <w:tc>
          <w:tcPr>
            <w:tcW w:w="1787" w:type="dxa"/>
            <w:tcBorders>
              <w:top w:val="nil"/>
              <w:left w:val="nil"/>
              <w:bottom w:val="nil"/>
              <w:right w:val="nil"/>
              <w:tl2br w:val="nil"/>
              <w:tr2bl w:val="nil"/>
            </w:tcBorders>
            <w:shd w:val="solid" w:color="016794" w:fill="FFFFFF"/>
            <w:tcMar>
              <w:left w:w="60" w:type="dxa"/>
              <w:right w:w="60" w:type="dxa"/>
            </w:tcMar>
            <w:vAlign w:val="center"/>
          </w:tcPr>
          <w:p>
            <w:pPr>
              <w:pStyle w:val="DMETW36747BIPAIDC"/>
              <w:jc w:val="right"/>
              <w:rPr>
                <w:rFonts w:ascii="Verdana" w:eastAsia="Verdana" w:hAnsi="Verdana" w:cs="Verdana"/>
                <w:noProof/>
                <w:color w:val="FFFFFF"/>
              </w:rPr>
            </w:pPr>
            <w:r>
              <w:rPr>
                <w:rFonts w:ascii="Verdana" w:hAnsi="Verdana"/>
                <w:noProof/>
                <w:color w:val="FFFFFF"/>
              </w:rPr>
              <w:t>31.12.2025</w:t>
            </w:r>
          </w:p>
        </w:tc>
        <w:tc>
          <w:tcPr>
            <w:tcW w:w="1787" w:type="dxa"/>
            <w:tcBorders>
              <w:top w:val="nil"/>
              <w:left w:val="nil"/>
              <w:bottom w:val="nil"/>
              <w:right w:val="nil"/>
              <w:tl2br w:val="nil"/>
              <w:tr2bl w:val="nil"/>
            </w:tcBorders>
            <w:shd w:val="solid" w:color="016794" w:fill="FFFFFF"/>
            <w:tcMar>
              <w:left w:w="60" w:type="dxa"/>
              <w:right w:w="60" w:type="dxa"/>
            </w:tcMar>
            <w:vAlign w:val="center"/>
          </w:tcPr>
          <w:p>
            <w:pPr>
              <w:pStyle w:val="DMETW36747BIPAIDC"/>
              <w:jc w:val="right"/>
              <w:rPr>
                <w:rFonts w:ascii="Verdana" w:eastAsia="Verdana" w:hAnsi="Verdana" w:cs="Verdana"/>
                <w:noProof/>
                <w:color w:val="FFFFFF"/>
              </w:rPr>
            </w:pPr>
            <w:r>
              <w:rPr>
                <w:rFonts w:ascii="Verdana" w:hAnsi="Verdana"/>
                <w:noProof/>
                <w:color w:val="FFFFFF"/>
              </w:rPr>
              <w:t>31.12.2024</w:t>
            </w:r>
          </w:p>
        </w:tc>
      </w:tr>
      <w:tr>
        <w:trPr>
          <w:trHeight w:val="255"/>
        </w:trPr>
        <w:tc>
          <w:tcPr>
            <w:tcW w:w="6184" w:type="dxa"/>
            <w:tcBorders>
              <w:top w:val="nil"/>
              <w:left w:val="nil"/>
              <w:bottom w:val="nil"/>
              <w:right w:val="nil"/>
              <w:tl2br w:val="nil"/>
              <w:tr2bl w:val="nil"/>
            </w:tcBorders>
            <w:tcMar>
              <w:left w:w="60" w:type="dxa"/>
              <w:right w:w="60" w:type="dxa"/>
            </w:tcMar>
            <w:vAlign w:val="center"/>
          </w:tcPr>
          <w:p>
            <w:pPr>
              <w:pStyle w:val="DMETW36747BIPAIDC"/>
              <w:rPr>
                <w:rFonts w:ascii="Verdana" w:eastAsia="Verdana" w:hAnsi="Verdana" w:cs="Verdana"/>
                <w:i/>
                <w:noProof/>
                <w:color w:val="000000"/>
                <w:sz w:val="18"/>
              </w:rPr>
            </w:pPr>
            <w:r>
              <w:rPr>
                <w:rFonts w:ascii="Verdana" w:hAnsi="Verdana"/>
                <w:i/>
                <w:noProof/>
                <w:color w:val="000000"/>
                <w:sz w:val="18"/>
              </w:rPr>
              <w:t>Produits à recevoir</w:t>
            </w:r>
          </w:p>
        </w:tc>
        <w:tc>
          <w:tcPr>
            <w:tcW w:w="1787" w:type="dxa"/>
            <w:tcBorders>
              <w:top w:val="nil"/>
              <w:left w:val="nil"/>
              <w:bottom w:val="nil"/>
              <w:right w:val="nil"/>
              <w:tl2br w:val="nil"/>
              <w:tr2bl w:val="nil"/>
            </w:tcBorders>
            <w:tcMar>
              <w:left w:w="60" w:type="dxa"/>
              <w:right w:w="60" w:type="dxa"/>
            </w:tcMar>
            <w:vAlign w:val="bottom"/>
          </w:tcPr>
          <w:p>
            <w:pPr>
              <w:pStyle w:val="DMETW36747BIPAIDC"/>
              <w:jc w:val="right"/>
              <w:rPr>
                <w:rFonts w:ascii="Verdana" w:eastAsia="Verdana" w:hAnsi="Verdana" w:cs="Verdana"/>
                <w:i/>
                <w:noProof/>
                <w:color w:val="000000"/>
                <w:sz w:val="18"/>
              </w:rPr>
            </w:pPr>
            <w:r>
              <w:rPr>
                <w:rFonts w:ascii="Verdana" w:hAnsi="Verdana"/>
                <w:i/>
                <w:noProof/>
                <w:color w:val="000000"/>
                <w:sz w:val="18"/>
              </w:rPr>
              <w:t>1 679</w:t>
            </w:r>
          </w:p>
        </w:tc>
        <w:tc>
          <w:tcPr>
            <w:tcW w:w="1787" w:type="dxa"/>
            <w:tcBorders>
              <w:top w:val="nil"/>
              <w:left w:val="nil"/>
              <w:bottom w:val="nil"/>
              <w:right w:val="nil"/>
              <w:tl2br w:val="nil"/>
              <w:tr2bl w:val="nil"/>
            </w:tcBorders>
            <w:tcMar>
              <w:left w:w="60" w:type="dxa"/>
              <w:right w:w="60" w:type="dxa"/>
            </w:tcMar>
            <w:vAlign w:val="bottom"/>
          </w:tcPr>
          <w:p>
            <w:pPr>
              <w:pStyle w:val="DMETW36747BIPAIDC"/>
              <w:jc w:val="right"/>
              <w:rPr>
                <w:rFonts w:ascii="Verdana" w:eastAsia="Verdana" w:hAnsi="Verdana" w:cs="Verdana"/>
                <w:i/>
                <w:noProof/>
                <w:color w:val="000000"/>
                <w:sz w:val="18"/>
              </w:rPr>
            </w:pPr>
            <w:r>
              <w:rPr>
                <w:rFonts w:ascii="Verdana" w:hAnsi="Verdana"/>
                <w:i/>
                <w:noProof/>
                <w:color w:val="000000"/>
                <w:sz w:val="18"/>
              </w:rPr>
              <w:t xml:space="preserve"> 756</w:t>
            </w:r>
          </w:p>
        </w:tc>
      </w:tr>
      <w:tr>
        <w:trPr>
          <w:trHeight w:val="255"/>
        </w:trPr>
        <w:tc>
          <w:tcPr>
            <w:tcW w:w="6184" w:type="dxa"/>
            <w:tcBorders>
              <w:top w:val="nil"/>
              <w:left w:val="nil"/>
              <w:bottom w:val="single" w:sz="4" w:space="0" w:color="016794"/>
              <w:right w:val="nil"/>
              <w:tl2br w:val="nil"/>
              <w:tr2bl w:val="nil"/>
            </w:tcBorders>
            <w:tcMar>
              <w:left w:w="60" w:type="dxa"/>
              <w:right w:w="60" w:type="dxa"/>
            </w:tcMar>
            <w:vAlign w:val="center"/>
          </w:tcPr>
          <w:p>
            <w:pPr>
              <w:pStyle w:val="DMETW36747BIPAIDC"/>
              <w:rPr>
                <w:rFonts w:ascii="Verdana" w:eastAsia="Verdana" w:hAnsi="Verdana" w:cs="Verdana"/>
                <w:i/>
                <w:noProof/>
                <w:color w:val="000000"/>
                <w:sz w:val="18"/>
              </w:rPr>
            </w:pPr>
            <w:r>
              <w:rPr>
                <w:rFonts w:ascii="Verdana" w:hAnsi="Verdana"/>
                <w:i/>
                <w:noProof/>
                <w:color w:val="000000"/>
                <w:sz w:val="18"/>
              </w:rPr>
              <w:t>Charges à reporter relatives aux opérations sans contrepartie directe</w:t>
            </w:r>
          </w:p>
        </w:tc>
        <w:tc>
          <w:tcPr>
            <w:tcW w:w="1787" w:type="dxa"/>
            <w:tcBorders>
              <w:top w:val="nil"/>
              <w:left w:val="nil"/>
              <w:bottom w:val="single" w:sz="4" w:space="0" w:color="016794"/>
              <w:right w:val="nil"/>
              <w:tl2br w:val="nil"/>
              <w:tr2bl w:val="nil"/>
            </w:tcBorders>
            <w:tcMar>
              <w:left w:w="60" w:type="dxa"/>
              <w:right w:w="60" w:type="dxa"/>
            </w:tcMar>
            <w:vAlign w:val="bottom"/>
          </w:tcPr>
          <w:p>
            <w:pPr>
              <w:pStyle w:val="DMETW36747BIPAIDC"/>
              <w:jc w:val="right"/>
              <w:rPr>
                <w:rFonts w:ascii="Verdana" w:eastAsia="Verdana" w:hAnsi="Verdana" w:cs="Verdana"/>
                <w:i/>
                <w:noProof/>
                <w:color w:val="000000"/>
                <w:sz w:val="18"/>
              </w:rPr>
            </w:pPr>
            <w:r>
              <w:rPr>
                <w:rFonts w:ascii="Verdana" w:hAnsi="Verdana"/>
                <w:i/>
                <w:noProof/>
                <w:color w:val="000000"/>
                <w:sz w:val="18"/>
              </w:rPr>
              <w:t xml:space="preserve"> 591</w:t>
            </w:r>
          </w:p>
        </w:tc>
        <w:tc>
          <w:tcPr>
            <w:tcW w:w="1787" w:type="dxa"/>
            <w:tcBorders>
              <w:top w:val="nil"/>
              <w:left w:val="nil"/>
              <w:bottom w:val="single" w:sz="4" w:space="0" w:color="016794"/>
              <w:right w:val="nil"/>
              <w:tl2br w:val="nil"/>
              <w:tr2bl w:val="nil"/>
            </w:tcBorders>
            <w:tcMar>
              <w:left w:w="60" w:type="dxa"/>
              <w:right w:w="60" w:type="dxa"/>
            </w:tcMar>
            <w:vAlign w:val="bottom"/>
          </w:tcPr>
          <w:p>
            <w:pPr>
              <w:pStyle w:val="DMETW36747BIPAIDC"/>
              <w:jc w:val="right"/>
              <w:rPr>
                <w:rFonts w:ascii="Verdana" w:eastAsia="Verdana" w:hAnsi="Verdana" w:cs="Verdana"/>
                <w:i/>
                <w:noProof/>
                <w:color w:val="000000"/>
                <w:sz w:val="18"/>
              </w:rPr>
            </w:pPr>
            <w:r>
              <w:rPr>
                <w:rFonts w:ascii="Verdana" w:hAnsi="Verdana"/>
                <w:i/>
                <w:noProof/>
                <w:color w:val="000000"/>
                <w:sz w:val="18"/>
              </w:rPr>
              <w:t xml:space="preserve"> 339</w:t>
            </w:r>
          </w:p>
        </w:tc>
      </w:tr>
      <w:tr>
        <w:trPr>
          <w:trHeight w:val="255"/>
        </w:trPr>
        <w:tc>
          <w:tcPr>
            <w:tcW w:w="618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7BIPAIDC"/>
              <w:rPr>
                <w:rFonts w:ascii="Verdana" w:eastAsia="Verdana" w:hAnsi="Verdana" w:cs="Verdana"/>
                <w:b/>
                <w:noProof/>
                <w:color w:val="000000"/>
                <w:sz w:val="18"/>
              </w:rPr>
            </w:pPr>
            <w:r>
              <w:rPr>
                <w:rFonts w:ascii="Verdana" w:hAnsi="Verdana"/>
                <w:b/>
                <w:noProof/>
                <w:color w:val="000000"/>
                <w:sz w:val="18"/>
              </w:rPr>
              <w:t>Total</w:t>
            </w:r>
          </w:p>
        </w:tc>
        <w:tc>
          <w:tcPr>
            <w:tcW w:w="1787"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47BIPAIDC"/>
              <w:jc w:val="right"/>
              <w:rPr>
                <w:rFonts w:ascii="Verdana" w:eastAsia="Verdana" w:hAnsi="Verdana" w:cs="Verdana"/>
                <w:b/>
                <w:noProof/>
                <w:color w:val="000000"/>
                <w:sz w:val="18"/>
              </w:rPr>
            </w:pPr>
            <w:r>
              <w:rPr>
                <w:rFonts w:ascii="Verdana" w:hAnsi="Verdana"/>
                <w:b/>
                <w:noProof/>
                <w:color w:val="000000"/>
                <w:sz w:val="18"/>
              </w:rPr>
              <w:t>2 269</w:t>
            </w:r>
          </w:p>
        </w:tc>
        <w:tc>
          <w:tcPr>
            <w:tcW w:w="1787"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47BIPAIDC"/>
              <w:jc w:val="right"/>
              <w:rPr>
                <w:rFonts w:ascii="Verdana" w:eastAsia="Verdana" w:hAnsi="Verdana" w:cs="Verdana"/>
                <w:b/>
                <w:noProof/>
                <w:color w:val="000000"/>
                <w:sz w:val="18"/>
              </w:rPr>
            </w:pPr>
            <w:r>
              <w:rPr>
                <w:rFonts w:ascii="Verdana" w:hAnsi="Verdana"/>
                <w:b/>
                <w:noProof/>
                <w:color w:val="000000"/>
                <w:sz w:val="18"/>
              </w:rPr>
              <w:t>1 095</w:t>
            </w:r>
          </w:p>
        </w:tc>
      </w:tr>
      <w:tr>
        <w:trPr>
          <w:trHeight w:val="255"/>
        </w:trPr>
        <w:tc>
          <w:tcPr>
            <w:tcW w:w="6184" w:type="dxa"/>
            <w:tcBorders>
              <w:top w:val="single" w:sz="4" w:space="0" w:color="016794"/>
              <w:left w:val="nil"/>
              <w:bottom w:val="nil"/>
              <w:right w:val="nil"/>
              <w:tl2br w:val="nil"/>
              <w:tr2bl w:val="nil"/>
            </w:tcBorders>
            <w:tcMar>
              <w:left w:w="60" w:type="dxa"/>
              <w:right w:w="60" w:type="dxa"/>
            </w:tcMar>
            <w:vAlign w:val="center"/>
          </w:tcPr>
          <w:p>
            <w:pPr>
              <w:pStyle w:val="DMETW36747BIPAIDC"/>
              <w:rPr>
                <w:rFonts w:ascii="Verdana" w:eastAsia="Verdana" w:hAnsi="Verdana" w:cs="Verdana"/>
                <w:i/>
                <w:noProof/>
                <w:color w:val="016794"/>
                <w:sz w:val="18"/>
              </w:rPr>
            </w:pPr>
            <w:r>
              <w:rPr>
                <w:rFonts w:ascii="Verdana" w:hAnsi="Verdana"/>
                <w:i/>
                <w:noProof/>
                <w:color w:val="016794"/>
                <w:sz w:val="18"/>
              </w:rPr>
              <w:lastRenderedPageBreak/>
              <w:t>Non courants</w:t>
            </w:r>
          </w:p>
        </w:tc>
        <w:tc>
          <w:tcPr>
            <w:tcW w:w="1787" w:type="dxa"/>
            <w:tcBorders>
              <w:top w:val="single" w:sz="4" w:space="0" w:color="016794"/>
              <w:left w:val="nil"/>
              <w:bottom w:val="nil"/>
              <w:right w:val="nil"/>
              <w:tl2br w:val="nil"/>
              <w:tr2bl w:val="nil"/>
            </w:tcBorders>
            <w:tcMar>
              <w:left w:w="60" w:type="dxa"/>
              <w:right w:w="60" w:type="dxa"/>
            </w:tcMar>
            <w:vAlign w:val="bottom"/>
          </w:tcPr>
          <w:p>
            <w:pPr>
              <w:pStyle w:val="DMETW36747BIPAIDC"/>
              <w:jc w:val="right"/>
              <w:rPr>
                <w:rFonts w:ascii="Verdana" w:eastAsia="Verdana" w:hAnsi="Verdana" w:cs="Verdana"/>
                <w:i/>
                <w:noProof/>
                <w:color w:val="016794"/>
                <w:sz w:val="18"/>
              </w:rPr>
            </w:pPr>
            <w:r>
              <w:rPr>
                <w:rFonts w:ascii="Verdana" w:hAnsi="Verdana"/>
                <w:i/>
                <w:noProof/>
                <w:color w:val="016794"/>
                <w:sz w:val="18"/>
              </w:rPr>
              <w:t xml:space="preserve"> 0</w:t>
            </w:r>
          </w:p>
        </w:tc>
        <w:tc>
          <w:tcPr>
            <w:tcW w:w="1787" w:type="dxa"/>
            <w:tcBorders>
              <w:top w:val="single" w:sz="4" w:space="0" w:color="016794"/>
              <w:left w:val="nil"/>
              <w:bottom w:val="nil"/>
              <w:right w:val="nil"/>
              <w:tl2br w:val="nil"/>
              <w:tr2bl w:val="nil"/>
            </w:tcBorders>
            <w:tcMar>
              <w:left w:w="60" w:type="dxa"/>
              <w:right w:w="60" w:type="dxa"/>
            </w:tcMar>
            <w:vAlign w:val="bottom"/>
          </w:tcPr>
          <w:p>
            <w:pPr>
              <w:pStyle w:val="DMETW36747BIPAIDC"/>
              <w:jc w:val="right"/>
              <w:rPr>
                <w:rFonts w:ascii="Verdana" w:eastAsia="Verdana" w:hAnsi="Verdana" w:cs="Verdana"/>
                <w:i/>
                <w:noProof/>
                <w:color w:val="016794"/>
                <w:sz w:val="18"/>
              </w:rPr>
            </w:pPr>
            <w:r>
              <w:rPr>
                <w:rFonts w:ascii="Verdana" w:hAnsi="Verdana"/>
                <w:i/>
                <w:noProof/>
                <w:color w:val="016794"/>
                <w:sz w:val="18"/>
              </w:rPr>
              <w:t xml:space="preserve"> 10</w:t>
            </w:r>
          </w:p>
        </w:tc>
      </w:tr>
      <w:tr>
        <w:trPr>
          <w:trHeight w:val="255"/>
        </w:trPr>
        <w:tc>
          <w:tcPr>
            <w:tcW w:w="6184" w:type="dxa"/>
            <w:tcBorders>
              <w:top w:val="nil"/>
              <w:left w:val="nil"/>
              <w:bottom w:val="nil"/>
              <w:right w:val="nil"/>
              <w:tl2br w:val="nil"/>
              <w:tr2bl w:val="nil"/>
            </w:tcBorders>
            <w:tcMar>
              <w:left w:w="60" w:type="dxa"/>
              <w:right w:w="60" w:type="dxa"/>
            </w:tcMar>
            <w:vAlign w:val="center"/>
          </w:tcPr>
          <w:p>
            <w:pPr>
              <w:pStyle w:val="DMETW36747BIPAIDC"/>
              <w:rPr>
                <w:rFonts w:ascii="Verdana" w:eastAsia="Verdana" w:hAnsi="Verdana" w:cs="Verdana"/>
                <w:i/>
                <w:noProof/>
                <w:color w:val="016794"/>
                <w:sz w:val="18"/>
              </w:rPr>
            </w:pPr>
            <w:r>
              <w:rPr>
                <w:rFonts w:ascii="Verdana" w:hAnsi="Verdana"/>
                <w:i/>
                <w:noProof/>
                <w:color w:val="016794"/>
                <w:sz w:val="18"/>
              </w:rPr>
              <w:t>Courants</w:t>
            </w:r>
          </w:p>
        </w:tc>
        <w:tc>
          <w:tcPr>
            <w:tcW w:w="1787" w:type="dxa"/>
            <w:tcBorders>
              <w:top w:val="nil"/>
              <w:left w:val="nil"/>
              <w:bottom w:val="nil"/>
              <w:right w:val="nil"/>
              <w:tl2br w:val="nil"/>
              <w:tr2bl w:val="nil"/>
            </w:tcBorders>
            <w:tcMar>
              <w:left w:w="60" w:type="dxa"/>
              <w:right w:w="60" w:type="dxa"/>
            </w:tcMar>
            <w:vAlign w:val="bottom"/>
          </w:tcPr>
          <w:p>
            <w:pPr>
              <w:pStyle w:val="DMETW36747BIPAIDC"/>
              <w:jc w:val="right"/>
              <w:rPr>
                <w:rFonts w:ascii="Verdana" w:eastAsia="Verdana" w:hAnsi="Verdana" w:cs="Verdana"/>
                <w:i/>
                <w:noProof/>
                <w:color w:val="016794"/>
                <w:sz w:val="18"/>
              </w:rPr>
            </w:pPr>
            <w:r>
              <w:rPr>
                <w:rFonts w:ascii="Verdana" w:hAnsi="Verdana"/>
                <w:i/>
                <w:noProof/>
                <w:color w:val="016794"/>
                <w:sz w:val="18"/>
              </w:rPr>
              <w:t>2 269</w:t>
            </w:r>
          </w:p>
        </w:tc>
        <w:tc>
          <w:tcPr>
            <w:tcW w:w="1787" w:type="dxa"/>
            <w:tcBorders>
              <w:top w:val="nil"/>
              <w:left w:val="nil"/>
              <w:bottom w:val="nil"/>
              <w:right w:val="nil"/>
              <w:tl2br w:val="nil"/>
              <w:tr2bl w:val="nil"/>
            </w:tcBorders>
            <w:tcMar>
              <w:left w:w="60" w:type="dxa"/>
              <w:right w:w="60" w:type="dxa"/>
            </w:tcMar>
            <w:vAlign w:val="bottom"/>
          </w:tcPr>
          <w:p>
            <w:pPr>
              <w:pStyle w:val="DMETW36747BIPAIDC"/>
              <w:jc w:val="right"/>
              <w:rPr>
                <w:rFonts w:ascii="Verdana" w:eastAsia="Verdana" w:hAnsi="Verdana" w:cs="Verdana"/>
                <w:i/>
                <w:noProof/>
                <w:color w:val="016794"/>
                <w:sz w:val="18"/>
              </w:rPr>
            </w:pPr>
            <w:r>
              <w:rPr>
                <w:rFonts w:ascii="Verdana" w:hAnsi="Verdana"/>
                <w:i/>
                <w:noProof/>
                <w:color w:val="016794"/>
                <w:sz w:val="18"/>
              </w:rPr>
              <w:t>1 085</w:t>
            </w:r>
          </w:p>
        </w:tc>
      </w:tr>
    </w:tbl>
    <w:p>
      <w:pPr>
        <w:pStyle w:val="DGTextstand-alone"/>
        <w:rPr>
          <w:color w:val="000000" w:themeColor="text1"/>
        </w:rPr>
      </w:pPr>
      <w:r>
        <w:rPr>
          <w:color w:val="000000" w:themeColor="text1"/>
        </w:rPr>
        <w:t xml:space="preserve">Les produits à recevoir comprennent 0,3 milliard d’EUR (contre 0,4 milliard d’EUR en 2024) que la Commission s’attend à récupérer dans le domaine de la cohésion à la suite de l’examen et de l’acceptation des comptes annuels présentés par les États membres. </w:t>
      </w:r>
    </w:p>
    <w:p>
      <w:pPr>
        <w:pStyle w:val="HEADER3NOTES"/>
        <w:numPr>
          <w:ilvl w:val="2"/>
          <w:numId w:val="15"/>
        </w:numPr>
        <w:rPr>
          <w:noProof/>
        </w:rPr>
      </w:pPr>
      <w:r>
        <w:rPr>
          <w:noProof/>
        </w:rPr>
        <w:t>Créances à recevoir des opérations avec contrepartie directe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94"/>
        <w:gridCol w:w="2132"/>
        <w:gridCol w:w="2132"/>
      </w:tblGrid>
      <w:tr>
        <w:trPr>
          <w:trHeight w:val="255"/>
        </w:trPr>
        <w:tc>
          <w:tcPr>
            <w:tcW w:w="5494" w:type="dxa"/>
            <w:tcBorders>
              <w:top w:val="nil"/>
              <w:left w:val="nil"/>
              <w:bottom w:val="nil"/>
              <w:right w:val="nil"/>
              <w:tl2br w:val="nil"/>
              <w:tr2bl w:val="nil"/>
            </w:tcBorders>
            <w:tcMar>
              <w:left w:w="60" w:type="dxa"/>
              <w:right w:w="60" w:type="dxa"/>
            </w:tcMar>
            <w:vAlign w:val="bottom"/>
          </w:tcPr>
          <w:p>
            <w:pPr>
              <w:pStyle w:val="DMETW36745BIPRET"/>
              <w:rPr>
                <w:rFonts w:cs="Calibri"/>
                <w:noProof/>
                <w:color w:val="000000"/>
                <w:sz w:val="22"/>
              </w:rPr>
            </w:pPr>
            <w:bookmarkStart w:id="135" w:name="DOC_TBL00041_1_1"/>
            <w:bookmarkEnd w:id="135"/>
          </w:p>
        </w:tc>
        <w:tc>
          <w:tcPr>
            <w:tcW w:w="2132" w:type="dxa"/>
            <w:tcBorders>
              <w:top w:val="nil"/>
              <w:left w:val="nil"/>
              <w:bottom w:val="nil"/>
              <w:right w:val="nil"/>
              <w:tl2br w:val="nil"/>
              <w:tr2bl w:val="nil"/>
            </w:tcBorders>
            <w:tcMar>
              <w:left w:w="60" w:type="dxa"/>
              <w:right w:w="60" w:type="dxa"/>
            </w:tcMar>
            <w:vAlign w:val="bottom"/>
          </w:tcPr>
          <w:p>
            <w:pPr>
              <w:pStyle w:val="DMETW36745BIPRET"/>
              <w:rPr>
                <w:rFonts w:cs="Calibri"/>
                <w:noProof/>
                <w:color w:val="000000"/>
                <w:sz w:val="22"/>
              </w:rPr>
            </w:pPr>
          </w:p>
        </w:tc>
        <w:tc>
          <w:tcPr>
            <w:tcW w:w="2132" w:type="dxa"/>
            <w:tcBorders>
              <w:top w:val="nil"/>
              <w:left w:val="nil"/>
              <w:bottom w:val="nil"/>
              <w:right w:val="nil"/>
              <w:tl2br w:val="nil"/>
              <w:tr2bl w:val="nil"/>
            </w:tcBorders>
            <w:tcMar>
              <w:left w:w="60" w:type="dxa"/>
              <w:right w:w="60" w:type="dxa"/>
            </w:tcMar>
            <w:vAlign w:val="bottom"/>
          </w:tcPr>
          <w:p>
            <w:pPr>
              <w:pStyle w:val="DMETW36745BIPRET"/>
              <w:jc w:val="right"/>
              <w:rPr>
                <w:rFonts w:ascii="Verdana" w:eastAsia="Verdana" w:hAnsi="Verdana" w:cs="Verdana"/>
                <w:i/>
                <w:noProof/>
                <w:color w:val="000000"/>
                <w:sz w:val="16"/>
              </w:rPr>
            </w:pPr>
            <w:r>
              <w:rPr>
                <w:rFonts w:ascii="Verdana" w:hAnsi="Verdana"/>
                <w:i/>
                <w:noProof/>
                <w:color w:val="000000"/>
                <w:sz w:val="16"/>
              </w:rPr>
              <w:t>en Mio EUR</w:t>
            </w:r>
          </w:p>
        </w:tc>
      </w:tr>
      <w:tr>
        <w:trPr>
          <w:trHeight w:val="255"/>
        </w:trPr>
        <w:tc>
          <w:tcPr>
            <w:tcW w:w="5494" w:type="dxa"/>
            <w:tcBorders>
              <w:top w:val="nil"/>
              <w:left w:val="nil"/>
              <w:bottom w:val="nil"/>
              <w:right w:val="nil"/>
              <w:tl2br w:val="nil"/>
              <w:tr2bl w:val="nil"/>
            </w:tcBorders>
            <w:shd w:val="solid" w:color="016794" w:fill="FFFFFF"/>
            <w:tcMar>
              <w:left w:w="60" w:type="dxa"/>
              <w:right w:w="60" w:type="dxa"/>
            </w:tcMar>
            <w:vAlign w:val="center"/>
          </w:tcPr>
          <w:p>
            <w:pPr>
              <w:pStyle w:val="DMETW36745BIPRET"/>
              <w:jc w:val="center"/>
              <w:rPr>
                <w:rFonts w:ascii="Verdana" w:eastAsia="Verdana" w:hAnsi="Verdana" w:cs="Verdana"/>
                <w:noProof/>
                <w:color w:val="FFFFFF"/>
              </w:rPr>
            </w:pPr>
          </w:p>
        </w:tc>
        <w:tc>
          <w:tcPr>
            <w:tcW w:w="2132" w:type="dxa"/>
            <w:tcBorders>
              <w:top w:val="nil"/>
              <w:left w:val="nil"/>
              <w:bottom w:val="nil"/>
              <w:right w:val="nil"/>
              <w:tl2br w:val="nil"/>
              <w:tr2bl w:val="nil"/>
            </w:tcBorders>
            <w:shd w:val="solid" w:color="016794" w:fill="FFFFFF"/>
            <w:tcMar>
              <w:left w:w="60" w:type="dxa"/>
              <w:right w:w="60" w:type="dxa"/>
            </w:tcMar>
            <w:vAlign w:val="center"/>
          </w:tcPr>
          <w:p>
            <w:pPr>
              <w:pStyle w:val="DMETW36745BIPRET"/>
              <w:jc w:val="right"/>
              <w:rPr>
                <w:rFonts w:ascii="Verdana" w:eastAsia="Verdana" w:hAnsi="Verdana" w:cs="Verdana"/>
                <w:noProof/>
                <w:color w:val="FFFFFF"/>
              </w:rPr>
            </w:pPr>
            <w:r>
              <w:rPr>
                <w:rFonts w:ascii="Verdana" w:hAnsi="Verdana"/>
                <w:noProof/>
                <w:color w:val="FFFFFF"/>
              </w:rPr>
              <w:t>31.12.2025</w:t>
            </w:r>
          </w:p>
        </w:tc>
        <w:tc>
          <w:tcPr>
            <w:tcW w:w="2132" w:type="dxa"/>
            <w:tcBorders>
              <w:top w:val="nil"/>
              <w:left w:val="nil"/>
              <w:bottom w:val="nil"/>
              <w:right w:val="nil"/>
              <w:tl2br w:val="nil"/>
              <w:tr2bl w:val="nil"/>
            </w:tcBorders>
            <w:shd w:val="solid" w:color="016794" w:fill="FFFFFF"/>
            <w:tcMar>
              <w:left w:w="60" w:type="dxa"/>
              <w:right w:w="60" w:type="dxa"/>
            </w:tcMar>
            <w:vAlign w:val="center"/>
          </w:tcPr>
          <w:p>
            <w:pPr>
              <w:pStyle w:val="DMETW36745BIPRET"/>
              <w:jc w:val="right"/>
              <w:rPr>
                <w:rFonts w:ascii="Verdana" w:eastAsia="Verdana" w:hAnsi="Verdana" w:cs="Verdana"/>
                <w:noProof/>
                <w:color w:val="FFFFFF"/>
              </w:rPr>
            </w:pPr>
            <w:r>
              <w:rPr>
                <w:rFonts w:ascii="Verdana" w:hAnsi="Verdana"/>
                <w:noProof/>
                <w:color w:val="FFFFFF"/>
              </w:rPr>
              <w:t>31.12.2024</w:t>
            </w:r>
          </w:p>
        </w:tc>
      </w:tr>
      <w:tr>
        <w:trPr>
          <w:trHeight w:val="255"/>
        </w:trPr>
        <w:tc>
          <w:tcPr>
            <w:tcW w:w="5494" w:type="dxa"/>
            <w:tcBorders>
              <w:top w:val="nil"/>
              <w:left w:val="nil"/>
              <w:bottom w:val="nil"/>
              <w:right w:val="nil"/>
              <w:tl2br w:val="nil"/>
              <w:tr2bl w:val="nil"/>
            </w:tcBorders>
            <w:tcMar>
              <w:left w:w="60" w:type="dxa"/>
              <w:right w:w="60" w:type="dxa"/>
            </w:tcMar>
            <w:vAlign w:val="center"/>
          </w:tcPr>
          <w:p>
            <w:pPr>
              <w:pStyle w:val="DMETW36745BIPRET"/>
              <w:rPr>
                <w:rFonts w:ascii="Verdana" w:eastAsia="Verdana" w:hAnsi="Verdana" w:cs="Verdana"/>
                <w:b/>
                <w:noProof/>
                <w:color w:val="000000"/>
                <w:sz w:val="18"/>
              </w:rPr>
            </w:pPr>
            <w:r>
              <w:rPr>
                <w:rFonts w:ascii="Verdana" w:hAnsi="Verdana"/>
                <w:b/>
                <w:noProof/>
                <w:color w:val="000000"/>
                <w:sz w:val="18"/>
              </w:rPr>
              <w:t>Non courantes</w:t>
            </w:r>
          </w:p>
        </w:tc>
        <w:tc>
          <w:tcPr>
            <w:tcW w:w="2132" w:type="dxa"/>
            <w:tcBorders>
              <w:top w:val="nil"/>
              <w:left w:val="nil"/>
              <w:bottom w:val="nil"/>
              <w:right w:val="nil"/>
              <w:tl2br w:val="nil"/>
              <w:tr2bl w:val="nil"/>
            </w:tcBorders>
            <w:tcMar>
              <w:left w:w="60" w:type="dxa"/>
              <w:right w:w="60" w:type="dxa"/>
            </w:tcMar>
            <w:vAlign w:val="center"/>
          </w:tcPr>
          <w:p>
            <w:pPr>
              <w:pStyle w:val="DMETW36745BIPRET"/>
              <w:jc w:val="center"/>
              <w:rPr>
                <w:rFonts w:ascii="Verdana" w:eastAsia="Verdana" w:hAnsi="Verdana" w:cs="Verdana"/>
                <w:b/>
                <w:noProof/>
                <w:color w:val="000000"/>
                <w:sz w:val="18"/>
              </w:rPr>
            </w:pPr>
          </w:p>
        </w:tc>
        <w:tc>
          <w:tcPr>
            <w:tcW w:w="2132" w:type="dxa"/>
            <w:tcBorders>
              <w:top w:val="nil"/>
              <w:left w:val="nil"/>
              <w:bottom w:val="nil"/>
              <w:right w:val="nil"/>
              <w:tl2br w:val="nil"/>
              <w:tr2bl w:val="nil"/>
            </w:tcBorders>
            <w:tcMar>
              <w:left w:w="60" w:type="dxa"/>
              <w:right w:w="60" w:type="dxa"/>
            </w:tcMar>
            <w:vAlign w:val="center"/>
          </w:tcPr>
          <w:p>
            <w:pPr>
              <w:pStyle w:val="DMETW36745BIPRET"/>
              <w:rPr>
                <w:rFonts w:ascii="Verdana" w:eastAsia="Verdana" w:hAnsi="Verdana" w:cs="Verdana"/>
                <w:b/>
                <w:noProof/>
                <w:color w:val="000000"/>
                <w:sz w:val="18"/>
                <w:lang w:bidi="en-GB"/>
              </w:rPr>
            </w:pPr>
          </w:p>
        </w:tc>
      </w:tr>
      <w:tr>
        <w:trPr>
          <w:trHeight w:val="255"/>
        </w:trPr>
        <w:tc>
          <w:tcPr>
            <w:tcW w:w="5494" w:type="dxa"/>
            <w:tcBorders>
              <w:top w:val="nil"/>
              <w:left w:val="nil"/>
              <w:bottom w:val="nil"/>
              <w:right w:val="nil"/>
              <w:tl2br w:val="nil"/>
              <w:tr2bl w:val="nil"/>
            </w:tcBorders>
            <w:tcMar>
              <w:left w:w="60" w:type="dxa"/>
              <w:right w:w="60" w:type="dxa"/>
            </w:tcMar>
            <w:vAlign w:val="center"/>
          </w:tcPr>
          <w:p>
            <w:pPr>
              <w:pStyle w:val="DMETW36745BIPRET"/>
              <w:rPr>
                <w:rFonts w:ascii="Verdana" w:eastAsia="Verdana" w:hAnsi="Verdana" w:cs="Verdana"/>
                <w:i/>
                <w:noProof/>
                <w:color w:val="000000"/>
                <w:sz w:val="18"/>
              </w:rPr>
            </w:pPr>
            <w:r>
              <w:rPr>
                <w:rFonts w:ascii="Verdana" w:hAnsi="Verdana"/>
                <w:i/>
                <w:noProof/>
                <w:color w:val="000000"/>
                <w:sz w:val="18"/>
              </w:rPr>
              <w:t>Garantie financière – branche receveur</w:t>
            </w:r>
          </w:p>
        </w:tc>
        <w:tc>
          <w:tcPr>
            <w:tcW w:w="2132" w:type="dxa"/>
            <w:tcBorders>
              <w:top w:val="nil"/>
              <w:left w:val="nil"/>
              <w:bottom w:val="nil"/>
              <w:right w:val="nil"/>
              <w:tl2br w:val="nil"/>
              <w:tr2bl w:val="nil"/>
            </w:tcBorders>
            <w:tcMar>
              <w:left w:w="60" w:type="dxa"/>
              <w:right w:w="60" w:type="dxa"/>
            </w:tcMar>
            <w:vAlign w:val="bottom"/>
          </w:tcPr>
          <w:p>
            <w:pPr>
              <w:pStyle w:val="DMETW36745BIPRET"/>
              <w:jc w:val="right"/>
              <w:rPr>
                <w:rFonts w:ascii="Verdana" w:eastAsia="Verdana" w:hAnsi="Verdana" w:cs="Verdana"/>
                <w:i/>
                <w:noProof/>
                <w:color w:val="000000"/>
                <w:sz w:val="18"/>
              </w:rPr>
            </w:pPr>
            <w:r>
              <w:rPr>
                <w:rFonts w:ascii="Verdana" w:hAnsi="Verdana"/>
                <w:i/>
                <w:noProof/>
                <w:color w:val="000000"/>
                <w:sz w:val="18"/>
              </w:rPr>
              <w:t>1 359</w:t>
            </w:r>
          </w:p>
        </w:tc>
        <w:tc>
          <w:tcPr>
            <w:tcW w:w="2132" w:type="dxa"/>
            <w:tcBorders>
              <w:top w:val="nil"/>
              <w:left w:val="nil"/>
              <w:bottom w:val="nil"/>
              <w:right w:val="nil"/>
              <w:tl2br w:val="nil"/>
              <w:tr2bl w:val="nil"/>
            </w:tcBorders>
            <w:tcMar>
              <w:left w:w="60" w:type="dxa"/>
              <w:right w:w="60" w:type="dxa"/>
            </w:tcMar>
            <w:vAlign w:val="bottom"/>
          </w:tcPr>
          <w:p>
            <w:pPr>
              <w:pStyle w:val="DMETW36745BIPRET"/>
              <w:jc w:val="right"/>
              <w:rPr>
                <w:rFonts w:ascii="Verdana" w:eastAsia="Verdana" w:hAnsi="Verdana" w:cs="Verdana"/>
                <w:i/>
                <w:noProof/>
                <w:color w:val="000000"/>
                <w:sz w:val="18"/>
              </w:rPr>
            </w:pPr>
            <w:r>
              <w:rPr>
                <w:rFonts w:ascii="Verdana" w:hAnsi="Verdana"/>
                <w:i/>
                <w:noProof/>
                <w:color w:val="000000"/>
                <w:sz w:val="18"/>
              </w:rPr>
              <w:t>1 324</w:t>
            </w:r>
          </w:p>
        </w:tc>
      </w:tr>
      <w:tr>
        <w:trPr>
          <w:trHeight w:val="255"/>
        </w:trPr>
        <w:tc>
          <w:tcPr>
            <w:tcW w:w="5494" w:type="dxa"/>
            <w:tcBorders>
              <w:top w:val="nil"/>
              <w:left w:val="nil"/>
              <w:bottom w:val="nil"/>
              <w:right w:val="nil"/>
              <w:tl2br w:val="nil"/>
              <w:tr2bl w:val="nil"/>
            </w:tcBorders>
            <w:tcMar>
              <w:left w:w="60" w:type="dxa"/>
              <w:right w:w="60" w:type="dxa"/>
            </w:tcMar>
            <w:vAlign w:val="center"/>
          </w:tcPr>
          <w:p>
            <w:pPr>
              <w:pStyle w:val="DMETW36745BIPRET"/>
              <w:rPr>
                <w:rFonts w:ascii="Verdana" w:eastAsia="Verdana" w:hAnsi="Verdana" w:cs="Verdana"/>
                <w:i/>
                <w:noProof/>
                <w:color w:val="000000"/>
                <w:sz w:val="18"/>
              </w:rPr>
            </w:pPr>
            <w:r>
              <w:rPr>
                <w:rFonts w:ascii="Verdana" w:hAnsi="Verdana"/>
                <w:i/>
                <w:noProof/>
                <w:color w:val="000000"/>
                <w:sz w:val="18"/>
              </w:rPr>
              <w:t>Intérêts de retard</w:t>
            </w:r>
          </w:p>
        </w:tc>
        <w:tc>
          <w:tcPr>
            <w:tcW w:w="2132" w:type="dxa"/>
            <w:tcBorders>
              <w:top w:val="nil"/>
              <w:left w:val="nil"/>
              <w:bottom w:val="nil"/>
              <w:right w:val="nil"/>
              <w:tl2br w:val="nil"/>
              <w:tr2bl w:val="nil"/>
            </w:tcBorders>
            <w:tcMar>
              <w:left w:w="60" w:type="dxa"/>
              <w:right w:w="60" w:type="dxa"/>
            </w:tcMar>
            <w:vAlign w:val="bottom"/>
          </w:tcPr>
          <w:p>
            <w:pPr>
              <w:pStyle w:val="DMETW36745BIPRET"/>
              <w:jc w:val="right"/>
              <w:rPr>
                <w:rFonts w:ascii="Verdana" w:eastAsia="Verdana" w:hAnsi="Verdana" w:cs="Verdana"/>
                <w:i/>
                <w:noProof/>
                <w:color w:val="000000"/>
                <w:sz w:val="18"/>
              </w:rPr>
            </w:pPr>
            <w:r>
              <w:rPr>
                <w:rFonts w:ascii="Verdana" w:hAnsi="Verdana"/>
                <w:i/>
                <w:noProof/>
                <w:color w:val="000000"/>
                <w:sz w:val="18"/>
              </w:rPr>
              <w:t xml:space="preserve"> 319</w:t>
            </w:r>
          </w:p>
        </w:tc>
        <w:tc>
          <w:tcPr>
            <w:tcW w:w="2132" w:type="dxa"/>
            <w:tcBorders>
              <w:top w:val="nil"/>
              <w:left w:val="nil"/>
              <w:bottom w:val="nil"/>
              <w:right w:val="nil"/>
              <w:tl2br w:val="nil"/>
              <w:tr2bl w:val="nil"/>
            </w:tcBorders>
            <w:tcMar>
              <w:left w:w="60" w:type="dxa"/>
              <w:right w:w="60" w:type="dxa"/>
            </w:tcMar>
            <w:vAlign w:val="bottom"/>
          </w:tcPr>
          <w:p>
            <w:pPr>
              <w:pStyle w:val="DMETW36745BIPRET"/>
              <w:jc w:val="right"/>
              <w:rPr>
                <w:rFonts w:ascii="Verdana" w:eastAsia="Verdana" w:hAnsi="Verdana" w:cs="Verdana"/>
                <w:i/>
                <w:noProof/>
                <w:color w:val="000000"/>
                <w:sz w:val="18"/>
              </w:rPr>
            </w:pPr>
            <w:r>
              <w:rPr>
                <w:rFonts w:ascii="Verdana" w:hAnsi="Verdana"/>
                <w:i/>
                <w:noProof/>
                <w:color w:val="000000"/>
                <w:sz w:val="18"/>
              </w:rPr>
              <w:t xml:space="preserve"> 323</w:t>
            </w:r>
          </w:p>
        </w:tc>
      </w:tr>
      <w:tr>
        <w:trPr>
          <w:trHeight w:val="255"/>
        </w:trPr>
        <w:tc>
          <w:tcPr>
            <w:tcW w:w="5494" w:type="dxa"/>
            <w:tcBorders>
              <w:top w:val="nil"/>
              <w:left w:val="nil"/>
              <w:bottom w:val="single" w:sz="4" w:space="0" w:color="016794"/>
              <w:right w:val="nil"/>
              <w:tl2br w:val="nil"/>
              <w:tr2bl w:val="nil"/>
            </w:tcBorders>
            <w:tcMar>
              <w:left w:w="60" w:type="dxa"/>
              <w:right w:w="60" w:type="dxa"/>
            </w:tcMar>
            <w:vAlign w:val="center"/>
          </w:tcPr>
          <w:p>
            <w:pPr>
              <w:pStyle w:val="DMETW36745BIPRET"/>
              <w:rPr>
                <w:rFonts w:ascii="Verdana" w:eastAsia="Verdana" w:hAnsi="Verdana" w:cs="Verdana"/>
                <w:i/>
                <w:noProof/>
                <w:color w:val="000000"/>
                <w:sz w:val="18"/>
              </w:rPr>
            </w:pPr>
            <w:r>
              <w:rPr>
                <w:rFonts w:ascii="Verdana" w:hAnsi="Verdana"/>
                <w:i/>
                <w:noProof/>
                <w:color w:val="000000"/>
                <w:sz w:val="18"/>
              </w:rPr>
              <w:t>Autres créances à recevoir</w:t>
            </w:r>
          </w:p>
        </w:tc>
        <w:tc>
          <w:tcPr>
            <w:tcW w:w="2132" w:type="dxa"/>
            <w:tcBorders>
              <w:top w:val="nil"/>
              <w:left w:val="nil"/>
              <w:bottom w:val="single" w:sz="4" w:space="0" w:color="016794"/>
              <w:right w:val="nil"/>
              <w:tl2br w:val="nil"/>
              <w:tr2bl w:val="nil"/>
            </w:tcBorders>
            <w:tcMar>
              <w:left w:w="60" w:type="dxa"/>
              <w:right w:w="60" w:type="dxa"/>
            </w:tcMar>
            <w:vAlign w:val="bottom"/>
          </w:tcPr>
          <w:p>
            <w:pPr>
              <w:pStyle w:val="DMETW36745BIPRET"/>
              <w:jc w:val="right"/>
              <w:rPr>
                <w:rFonts w:ascii="Verdana" w:eastAsia="Verdana" w:hAnsi="Verdana" w:cs="Verdana"/>
                <w:i/>
                <w:noProof/>
                <w:color w:val="000000"/>
                <w:sz w:val="18"/>
              </w:rPr>
            </w:pPr>
            <w:r>
              <w:rPr>
                <w:rFonts w:ascii="Verdana" w:hAnsi="Verdana"/>
                <w:i/>
                <w:noProof/>
                <w:color w:val="000000"/>
                <w:sz w:val="18"/>
              </w:rPr>
              <w:t xml:space="preserve"> 108</w:t>
            </w:r>
          </w:p>
        </w:tc>
        <w:tc>
          <w:tcPr>
            <w:tcW w:w="2132" w:type="dxa"/>
            <w:tcBorders>
              <w:top w:val="nil"/>
              <w:left w:val="nil"/>
              <w:bottom w:val="single" w:sz="4" w:space="0" w:color="016794"/>
              <w:right w:val="nil"/>
              <w:tl2br w:val="nil"/>
              <w:tr2bl w:val="nil"/>
            </w:tcBorders>
            <w:tcMar>
              <w:left w:w="60" w:type="dxa"/>
              <w:right w:w="60" w:type="dxa"/>
            </w:tcMar>
            <w:vAlign w:val="bottom"/>
          </w:tcPr>
          <w:p>
            <w:pPr>
              <w:pStyle w:val="DMETW36745BIPRET"/>
              <w:jc w:val="right"/>
              <w:rPr>
                <w:rFonts w:ascii="Verdana" w:eastAsia="Verdana" w:hAnsi="Verdana" w:cs="Verdana"/>
                <w:i/>
                <w:noProof/>
                <w:color w:val="000000"/>
                <w:sz w:val="18"/>
              </w:rPr>
            </w:pPr>
            <w:r>
              <w:rPr>
                <w:rFonts w:ascii="Verdana" w:hAnsi="Verdana"/>
                <w:i/>
                <w:noProof/>
                <w:color w:val="000000"/>
                <w:sz w:val="18"/>
              </w:rPr>
              <w:t xml:space="preserve"> 84</w:t>
            </w:r>
          </w:p>
        </w:tc>
      </w:tr>
      <w:tr>
        <w:trPr>
          <w:trHeight w:val="255"/>
        </w:trPr>
        <w:tc>
          <w:tcPr>
            <w:tcW w:w="549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5BIPRET"/>
              <w:jc w:val="center"/>
              <w:rPr>
                <w:rFonts w:ascii="Verdana" w:eastAsia="Verdana" w:hAnsi="Verdana" w:cs="Verdana"/>
                <w:noProof/>
                <w:color w:val="000000"/>
                <w:sz w:val="18"/>
              </w:rPr>
            </w:pPr>
          </w:p>
        </w:tc>
        <w:tc>
          <w:tcPr>
            <w:tcW w:w="2132"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45BIPRET"/>
              <w:jc w:val="right"/>
              <w:rPr>
                <w:rFonts w:ascii="Verdana" w:eastAsia="Verdana" w:hAnsi="Verdana" w:cs="Verdana"/>
                <w:b/>
                <w:noProof/>
                <w:color w:val="000000"/>
                <w:sz w:val="18"/>
              </w:rPr>
            </w:pPr>
            <w:r>
              <w:rPr>
                <w:rFonts w:ascii="Verdana" w:hAnsi="Verdana"/>
                <w:b/>
                <w:noProof/>
                <w:color w:val="000000"/>
                <w:sz w:val="18"/>
              </w:rPr>
              <w:t>1 786</w:t>
            </w:r>
          </w:p>
        </w:tc>
        <w:tc>
          <w:tcPr>
            <w:tcW w:w="2132"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45BIPRET"/>
              <w:jc w:val="right"/>
              <w:rPr>
                <w:rFonts w:ascii="Verdana" w:eastAsia="Verdana" w:hAnsi="Verdana" w:cs="Verdana"/>
                <w:b/>
                <w:noProof/>
                <w:color w:val="000000"/>
                <w:sz w:val="18"/>
              </w:rPr>
            </w:pPr>
            <w:r>
              <w:rPr>
                <w:rFonts w:ascii="Verdana" w:hAnsi="Verdana"/>
                <w:b/>
                <w:noProof/>
                <w:color w:val="000000"/>
                <w:sz w:val="18"/>
              </w:rPr>
              <w:t>1 731</w:t>
            </w:r>
          </w:p>
        </w:tc>
      </w:tr>
      <w:tr>
        <w:trPr>
          <w:trHeight w:val="255"/>
        </w:trPr>
        <w:tc>
          <w:tcPr>
            <w:tcW w:w="5494" w:type="dxa"/>
            <w:tcBorders>
              <w:top w:val="single" w:sz="4" w:space="0" w:color="016794"/>
              <w:left w:val="nil"/>
              <w:bottom w:val="nil"/>
              <w:right w:val="nil"/>
              <w:tl2br w:val="nil"/>
              <w:tr2bl w:val="nil"/>
            </w:tcBorders>
            <w:tcMar>
              <w:left w:w="60" w:type="dxa"/>
              <w:right w:w="60" w:type="dxa"/>
            </w:tcMar>
            <w:vAlign w:val="center"/>
          </w:tcPr>
          <w:p>
            <w:pPr>
              <w:pStyle w:val="DMETW36745BIPRET"/>
              <w:rPr>
                <w:rFonts w:ascii="Verdana" w:eastAsia="Verdana" w:hAnsi="Verdana" w:cs="Verdana"/>
                <w:b/>
                <w:noProof/>
                <w:color w:val="000000"/>
                <w:sz w:val="18"/>
              </w:rPr>
            </w:pPr>
            <w:r>
              <w:rPr>
                <w:rFonts w:ascii="Verdana" w:hAnsi="Verdana"/>
                <w:b/>
                <w:noProof/>
                <w:color w:val="000000"/>
                <w:sz w:val="18"/>
              </w:rPr>
              <w:t>Courantes</w:t>
            </w:r>
          </w:p>
        </w:tc>
        <w:tc>
          <w:tcPr>
            <w:tcW w:w="2132" w:type="dxa"/>
            <w:tcBorders>
              <w:top w:val="single" w:sz="4" w:space="0" w:color="016794"/>
              <w:left w:val="nil"/>
              <w:bottom w:val="nil"/>
              <w:right w:val="nil"/>
              <w:tl2br w:val="nil"/>
              <w:tr2bl w:val="nil"/>
            </w:tcBorders>
            <w:tcMar>
              <w:left w:w="60" w:type="dxa"/>
              <w:right w:w="60" w:type="dxa"/>
            </w:tcMar>
            <w:vAlign w:val="center"/>
          </w:tcPr>
          <w:p>
            <w:pPr>
              <w:pStyle w:val="DMETW36745BIPRET"/>
              <w:jc w:val="center"/>
              <w:rPr>
                <w:rFonts w:ascii="Verdana" w:eastAsia="Verdana" w:hAnsi="Verdana" w:cs="Verdana"/>
                <w:b/>
                <w:noProof/>
                <w:color w:val="000000"/>
                <w:sz w:val="18"/>
              </w:rPr>
            </w:pPr>
          </w:p>
        </w:tc>
        <w:tc>
          <w:tcPr>
            <w:tcW w:w="2132" w:type="dxa"/>
            <w:tcBorders>
              <w:top w:val="single" w:sz="4" w:space="0" w:color="016794"/>
              <w:left w:val="nil"/>
              <w:bottom w:val="nil"/>
              <w:right w:val="nil"/>
              <w:tl2br w:val="nil"/>
              <w:tr2bl w:val="nil"/>
            </w:tcBorders>
            <w:tcMar>
              <w:left w:w="60" w:type="dxa"/>
              <w:right w:w="60" w:type="dxa"/>
            </w:tcMar>
            <w:vAlign w:val="center"/>
          </w:tcPr>
          <w:p>
            <w:pPr>
              <w:pStyle w:val="DMETW36745BIPRET"/>
              <w:rPr>
                <w:rFonts w:ascii="Verdana" w:eastAsia="Verdana" w:hAnsi="Verdana" w:cs="Verdana"/>
                <w:b/>
                <w:noProof/>
                <w:color w:val="000000"/>
                <w:sz w:val="18"/>
                <w:lang w:bidi="en-GB"/>
              </w:rPr>
            </w:pPr>
          </w:p>
        </w:tc>
      </w:tr>
      <w:tr>
        <w:trPr>
          <w:trHeight w:val="255"/>
        </w:trPr>
        <w:tc>
          <w:tcPr>
            <w:tcW w:w="5494" w:type="dxa"/>
            <w:tcBorders>
              <w:top w:val="nil"/>
              <w:left w:val="nil"/>
              <w:bottom w:val="nil"/>
              <w:right w:val="nil"/>
              <w:tl2br w:val="nil"/>
              <w:tr2bl w:val="nil"/>
            </w:tcBorders>
            <w:tcMar>
              <w:left w:w="60" w:type="dxa"/>
              <w:right w:w="60" w:type="dxa"/>
            </w:tcMar>
            <w:vAlign w:val="center"/>
          </w:tcPr>
          <w:p>
            <w:pPr>
              <w:pStyle w:val="DMETW36745BIPRET"/>
              <w:rPr>
                <w:rFonts w:ascii="Verdana" w:eastAsia="Verdana" w:hAnsi="Verdana" w:cs="Verdana"/>
                <w:i/>
                <w:noProof/>
                <w:color w:val="000000"/>
                <w:sz w:val="18"/>
              </w:rPr>
            </w:pPr>
            <w:r>
              <w:rPr>
                <w:rFonts w:ascii="Verdana" w:hAnsi="Verdana"/>
                <w:i/>
                <w:noProof/>
                <w:color w:val="000000"/>
                <w:sz w:val="18"/>
              </w:rPr>
              <w:t>Garantie financière – branche receveur</w:t>
            </w:r>
          </w:p>
        </w:tc>
        <w:tc>
          <w:tcPr>
            <w:tcW w:w="2132" w:type="dxa"/>
            <w:tcBorders>
              <w:top w:val="nil"/>
              <w:left w:val="nil"/>
              <w:bottom w:val="nil"/>
              <w:right w:val="nil"/>
              <w:tl2br w:val="nil"/>
              <w:tr2bl w:val="nil"/>
            </w:tcBorders>
            <w:tcMar>
              <w:left w:w="60" w:type="dxa"/>
              <w:right w:w="60" w:type="dxa"/>
            </w:tcMar>
            <w:vAlign w:val="bottom"/>
          </w:tcPr>
          <w:p>
            <w:pPr>
              <w:pStyle w:val="DMETW36745BIPRET"/>
              <w:jc w:val="right"/>
              <w:rPr>
                <w:rFonts w:ascii="Verdana" w:eastAsia="Verdana" w:hAnsi="Verdana" w:cs="Verdana"/>
                <w:i/>
                <w:noProof/>
                <w:color w:val="000000"/>
                <w:sz w:val="18"/>
              </w:rPr>
            </w:pPr>
            <w:r>
              <w:rPr>
                <w:rFonts w:ascii="Verdana" w:hAnsi="Verdana"/>
                <w:i/>
                <w:noProof/>
                <w:color w:val="000000"/>
                <w:sz w:val="18"/>
              </w:rPr>
              <w:t xml:space="preserve"> 293</w:t>
            </w:r>
          </w:p>
        </w:tc>
        <w:tc>
          <w:tcPr>
            <w:tcW w:w="2132" w:type="dxa"/>
            <w:tcBorders>
              <w:top w:val="nil"/>
              <w:left w:val="nil"/>
              <w:bottom w:val="nil"/>
              <w:right w:val="nil"/>
              <w:tl2br w:val="nil"/>
              <w:tr2bl w:val="nil"/>
            </w:tcBorders>
            <w:tcMar>
              <w:left w:w="60" w:type="dxa"/>
              <w:right w:w="60" w:type="dxa"/>
            </w:tcMar>
            <w:vAlign w:val="bottom"/>
          </w:tcPr>
          <w:p>
            <w:pPr>
              <w:pStyle w:val="DMETW36745BIPRET"/>
              <w:jc w:val="right"/>
              <w:rPr>
                <w:rFonts w:ascii="Verdana" w:eastAsia="Verdana" w:hAnsi="Verdana" w:cs="Verdana"/>
                <w:i/>
                <w:noProof/>
                <w:color w:val="000000"/>
                <w:sz w:val="18"/>
              </w:rPr>
            </w:pPr>
            <w:r>
              <w:rPr>
                <w:rFonts w:ascii="Verdana" w:hAnsi="Verdana"/>
                <w:i/>
                <w:noProof/>
                <w:color w:val="000000"/>
                <w:sz w:val="18"/>
              </w:rPr>
              <w:t xml:space="preserve"> 306</w:t>
            </w:r>
          </w:p>
        </w:tc>
      </w:tr>
      <w:tr>
        <w:trPr>
          <w:trHeight w:val="255"/>
        </w:trPr>
        <w:tc>
          <w:tcPr>
            <w:tcW w:w="5494" w:type="dxa"/>
            <w:tcBorders>
              <w:top w:val="nil"/>
              <w:left w:val="nil"/>
              <w:bottom w:val="nil"/>
              <w:right w:val="nil"/>
              <w:tl2br w:val="nil"/>
              <w:tr2bl w:val="nil"/>
            </w:tcBorders>
            <w:tcMar>
              <w:left w:w="60" w:type="dxa"/>
              <w:right w:w="60" w:type="dxa"/>
            </w:tcMar>
            <w:vAlign w:val="center"/>
          </w:tcPr>
          <w:p>
            <w:pPr>
              <w:pStyle w:val="DMETW36745BIPRET"/>
              <w:rPr>
                <w:rFonts w:ascii="Verdana" w:eastAsia="Verdana" w:hAnsi="Verdana" w:cs="Verdana"/>
                <w:i/>
                <w:noProof/>
                <w:color w:val="000000"/>
                <w:sz w:val="18"/>
              </w:rPr>
            </w:pPr>
            <w:r>
              <w:rPr>
                <w:rFonts w:ascii="Verdana" w:hAnsi="Verdana"/>
                <w:i/>
                <w:noProof/>
                <w:color w:val="000000"/>
                <w:sz w:val="18"/>
              </w:rPr>
              <w:t>Clients</w:t>
            </w:r>
          </w:p>
        </w:tc>
        <w:tc>
          <w:tcPr>
            <w:tcW w:w="2132" w:type="dxa"/>
            <w:tcBorders>
              <w:top w:val="nil"/>
              <w:left w:val="nil"/>
              <w:bottom w:val="nil"/>
              <w:right w:val="nil"/>
              <w:tl2br w:val="nil"/>
              <w:tr2bl w:val="nil"/>
            </w:tcBorders>
            <w:tcMar>
              <w:left w:w="60" w:type="dxa"/>
              <w:right w:w="60" w:type="dxa"/>
            </w:tcMar>
            <w:vAlign w:val="bottom"/>
          </w:tcPr>
          <w:p>
            <w:pPr>
              <w:pStyle w:val="DMETW36745BIPRET"/>
              <w:jc w:val="right"/>
              <w:rPr>
                <w:rFonts w:ascii="Verdana" w:eastAsia="Verdana" w:hAnsi="Verdana" w:cs="Verdana"/>
                <w:i/>
                <w:noProof/>
                <w:color w:val="000000"/>
                <w:sz w:val="18"/>
              </w:rPr>
            </w:pPr>
            <w:r>
              <w:rPr>
                <w:rFonts w:ascii="Verdana" w:hAnsi="Verdana"/>
                <w:i/>
                <w:noProof/>
                <w:color w:val="000000"/>
                <w:sz w:val="18"/>
              </w:rPr>
              <w:t xml:space="preserve"> 349</w:t>
            </w:r>
          </w:p>
        </w:tc>
        <w:tc>
          <w:tcPr>
            <w:tcW w:w="2132" w:type="dxa"/>
            <w:tcBorders>
              <w:top w:val="nil"/>
              <w:left w:val="nil"/>
              <w:bottom w:val="nil"/>
              <w:right w:val="nil"/>
              <w:tl2br w:val="nil"/>
              <w:tr2bl w:val="nil"/>
            </w:tcBorders>
            <w:tcMar>
              <w:left w:w="60" w:type="dxa"/>
              <w:right w:w="60" w:type="dxa"/>
            </w:tcMar>
            <w:vAlign w:val="bottom"/>
          </w:tcPr>
          <w:p>
            <w:pPr>
              <w:pStyle w:val="DMETW36745BIPRET"/>
              <w:jc w:val="right"/>
              <w:rPr>
                <w:rFonts w:ascii="Verdana" w:eastAsia="Verdana" w:hAnsi="Verdana" w:cs="Verdana"/>
                <w:i/>
                <w:noProof/>
                <w:color w:val="000000"/>
                <w:sz w:val="18"/>
              </w:rPr>
            </w:pPr>
            <w:r>
              <w:rPr>
                <w:rFonts w:ascii="Verdana" w:hAnsi="Verdana"/>
                <w:i/>
                <w:noProof/>
                <w:color w:val="000000"/>
                <w:sz w:val="18"/>
              </w:rPr>
              <w:t xml:space="preserve"> 302</w:t>
            </w:r>
          </w:p>
        </w:tc>
      </w:tr>
      <w:tr>
        <w:trPr>
          <w:trHeight w:val="255"/>
        </w:trPr>
        <w:tc>
          <w:tcPr>
            <w:tcW w:w="5494" w:type="dxa"/>
            <w:tcBorders>
              <w:top w:val="nil"/>
              <w:left w:val="nil"/>
              <w:bottom w:val="nil"/>
              <w:right w:val="nil"/>
              <w:tl2br w:val="nil"/>
              <w:tr2bl w:val="nil"/>
            </w:tcBorders>
            <w:tcMar>
              <w:left w:w="60" w:type="dxa"/>
              <w:right w:w="60" w:type="dxa"/>
            </w:tcMar>
            <w:vAlign w:val="center"/>
          </w:tcPr>
          <w:p>
            <w:pPr>
              <w:pStyle w:val="DMETW36745BIPRET"/>
              <w:rPr>
                <w:rFonts w:ascii="Verdana" w:eastAsia="Verdana" w:hAnsi="Verdana" w:cs="Verdana"/>
                <w:i/>
                <w:noProof/>
                <w:color w:val="000000"/>
                <w:sz w:val="18"/>
              </w:rPr>
            </w:pPr>
            <w:r>
              <w:rPr>
                <w:rFonts w:ascii="Verdana" w:hAnsi="Verdana"/>
                <w:i/>
                <w:noProof/>
                <w:color w:val="000000"/>
                <w:sz w:val="18"/>
              </w:rPr>
              <w:t>Dépréciation des créances à recevoir de clients</w:t>
            </w:r>
          </w:p>
        </w:tc>
        <w:tc>
          <w:tcPr>
            <w:tcW w:w="2132" w:type="dxa"/>
            <w:tcBorders>
              <w:top w:val="nil"/>
              <w:left w:val="nil"/>
              <w:bottom w:val="nil"/>
              <w:right w:val="nil"/>
              <w:tl2br w:val="nil"/>
              <w:tr2bl w:val="nil"/>
            </w:tcBorders>
            <w:tcMar>
              <w:left w:w="60" w:type="dxa"/>
              <w:right w:w="60" w:type="dxa"/>
            </w:tcMar>
            <w:vAlign w:val="bottom"/>
          </w:tcPr>
          <w:p>
            <w:pPr>
              <w:pStyle w:val="DMETW36745BIPRET"/>
              <w:jc w:val="right"/>
              <w:rPr>
                <w:rFonts w:ascii="Verdana" w:eastAsia="Verdana" w:hAnsi="Verdana" w:cs="Verdana"/>
                <w:i/>
                <w:noProof/>
                <w:color w:val="000000"/>
                <w:sz w:val="18"/>
              </w:rPr>
            </w:pPr>
            <w:r>
              <w:rPr>
                <w:rFonts w:ascii="Verdana" w:hAnsi="Verdana"/>
                <w:i/>
                <w:noProof/>
                <w:color w:val="000000"/>
                <w:sz w:val="18"/>
              </w:rPr>
              <w:t xml:space="preserve"> (154)</w:t>
            </w:r>
          </w:p>
        </w:tc>
        <w:tc>
          <w:tcPr>
            <w:tcW w:w="2132" w:type="dxa"/>
            <w:tcBorders>
              <w:top w:val="nil"/>
              <w:left w:val="nil"/>
              <w:bottom w:val="nil"/>
              <w:right w:val="nil"/>
              <w:tl2br w:val="nil"/>
              <w:tr2bl w:val="nil"/>
            </w:tcBorders>
            <w:tcMar>
              <w:left w:w="60" w:type="dxa"/>
              <w:right w:w="60" w:type="dxa"/>
            </w:tcMar>
            <w:vAlign w:val="bottom"/>
          </w:tcPr>
          <w:p>
            <w:pPr>
              <w:pStyle w:val="DMETW36745BIPRET"/>
              <w:jc w:val="right"/>
              <w:rPr>
                <w:rFonts w:ascii="Verdana" w:eastAsia="Verdana" w:hAnsi="Verdana" w:cs="Verdana"/>
                <w:i/>
                <w:noProof/>
                <w:color w:val="000000"/>
                <w:sz w:val="18"/>
              </w:rPr>
            </w:pPr>
            <w:r>
              <w:rPr>
                <w:rFonts w:ascii="Verdana" w:hAnsi="Verdana"/>
                <w:i/>
                <w:noProof/>
                <w:color w:val="000000"/>
                <w:sz w:val="18"/>
              </w:rPr>
              <w:t xml:space="preserve"> (136)</w:t>
            </w:r>
          </w:p>
        </w:tc>
      </w:tr>
      <w:tr>
        <w:trPr>
          <w:trHeight w:val="255"/>
        </w:trPr>
        <w:tc>
          <w:tcPr>
            <w:tcW w:w="5494" w:type="dxa"/>
            <w:tcBorders>
              <w:top w:val="nil"/>
              <w:left w:val="nil"/>
              <w:bottom w:val="nil"/>
              <w:right w:val="nil"/>
              <w:tl2br w:val="nil"/>
              <w:tr2bl w:val="nil"/>
            </w:tcBorders>
            <w:tcMar>
              <w:left w:w="60" w:type="dxa"/>
              <w:right w:w="60" w:type="dxa"/>
            </w:tcMar>
            <w:vAlign w:val="center"/>
          </w:tcPr>
          <w:p>
            <w:pPr>
              <w:pStyle w:val="DMETW36745BIPRET"/>
              <w:rPr>
                <w:rFonts w:ascii="Verdana" w:eastAsia="Verdana" w:hAnsi="Verdana" w:cs="Verdana"/>
                <w:i/>
                <w:noProof/>
                <w:color w:val="000000"/>
                <w:sz w:val="18"/>
              </w:rPr>
            </w:pPr>
            <w:r>
              <w:rPr>
                <w:rFonts w:ascii="Verdana" w:hAnsi="Verdana"/>
                <w:i/>
                <w:noProof/>
                <w:color w:val="000000"/>
                <w:sz w:val="18"/>
              </w:rPr>
              <w:t>Charges à reporter relatives aux opérations avec contrepartie directe</w:t>
            </w:r>
          </w:p>
        </w:tc>
        <w:tc>
          <w:tcPr>
            <w:tcW w:w="2132" w:type="dxa"/>
            <w:tcBorders>
              <w:top w:val="nil"/>
              <w:left w:val="nil"/>
              <w:bottom w:val="nil"/>
              <w:right w:val="nil"/>
              <w:tl2br w:val="nil"/>
              <w:tr2bl w:val="nil"/>
            </w:tcBorders>
            <w:tcMar>
              <w:left w:w="60" w:type="dxa"/>
              <w:right w:w="60" w:type="dxa"/>
            </w:tcMar>
            <w:vAlign w:val="bottom"/>
          </w:tcPr>
          <w:p>
            <w:pPr>
              <w:pStyle w:val="DMETW36745BIPRET"/>
              <w:jc w:val="right"/>
              <w:rPr>
                <w:rFonts w:ascii="Verdana" w:eastAsia="Verdana" w:hAnsi="Verdana" w:cs="Verdana"/>
                <w:i/>
                <w:noProof/>
                <w:color w:val="000000"/>
                <w:sz w:val="18"/>
              </w:rPr>
            </w:pPr>
            <w:r>
              <w:rPr>
                <w:rFonts w:ascii="Verdana" w:hAnsi="Verdana"/>
                <w:i/>
                <w:noProof/>
                <w:color w:val="000000"/>
                <w:sz w:val="18"/>
              </w:rPr>
              <w:t xml:space="preserve"> 411</w:t>
            </w:r>
          </w:p>
        </w:tc>
        <w:tc>
          <w:tcPr>
            <w:tcW w:w="2132" w:type="dxa"/>
            <w:tcBorders>
              <w:top w:val="nil"/>
              <w:left w:val="nil"/>
              <w:bottom w:val="nil"/>
              <w:right w:val="nil"/>
              <w:tl2br w:val="nil"/>
              <w:tr2bl w:val="nil"/>
            </w:tcBorders>
            <w:tcMar>
              <w:left w:w="60" w:type="dxa"/>
              <w:right w:w="60" w:type="dxa"/>
            </w:tcMar>
            <w:vAlign w:val="bottom"/>
          </w:tcPr>
          <w:p>
            <w:pPr>
              <w:pStyle w:val="DMETW36745BIPRET"/>
              <w:jc w:val="right"/>
              <w:rPr>
                <w:rFonts w:ascii="Verdana" w:eastAsia="Verdana" w:hAnsi="Verdana" w:cs="Verdana"/>
                <w:i/>
                <w:noProof/>
                <w:color w:val="000000"/>
                <w:sz w:val="18"/>
              </w:rPr>
            </w:pPr>
            <w:r>
              <w:rPr>
                <w:rFonts w:ascii="Verdana" w:hAnsi="Verdana"/>
                <w:i/>
                <w:noProof/>
                <w:color w:val="000000"/>
                <w:sz w:val="18"/>
              </w:rPr>
              <w:t xml:space="preserve"> 363</w:t>
            </w:r>
          </w:p>
        </w:tc>
      </w:tr>
      <w:tr>
        <w:trPr>
          <w:trHeight w:val="255"/>
        </w:trPr>
        <w:tc>
          <w:tcPr>
            <w:tcW w:w="5494" w:type="dxa"/>
            <w:tcBorders>
              <w:top w:val="nil"/>
              <w:left w:val="nil"/>
              <w:bottom w:val="nil"/>
              <w:right w:val="nil"/>
              <w:tl2br w:val="nil"/>
              <w:tr2bl w:val="nil"/>
            </w:tcBorders>
            <w:tcMar>
              <w:left w:w="60" w:type="dxa"/>
              <w:right w:w="60" w:type="dxa"/>
            </w:tcMar>
            <w:vAlign w:val="center"/>
          </w:tcPr>
          <w:p>
            <w:pPr>
              <w:pStyle w:val="DMETW36745BIPRET"/>
              <w:rPr>
                <w:rFonts w:ascii="Verdana" w:eastAsia="Verdana" w:hAnsi="Verdana" w:cs="Verdana"/>
                <w:i/>
                <w:noProof/>
                <w:color w:val="000000"/>
                <w:sz w:val="18"/>
              </w:rPr>
            </w:pPr>
            <w:r>
              <w:rPr>
                <w:rFonts w:ascii="Verdana" w:hAnsi="Verdana"/>
                <w:i/>
                <w:noProof/>
                <w:color w:val="000000"/>
                <w:sz w:val="18"/>
              </w:rPr>
              <w:t>Intérêts de retard</w:t>
            </w:r>
          </w:p>
        </w:tc>
        <w:tc>
          <w:tcPr>
            <w:tcW w:w="2132" w:type="dxa"/>
            <w:tcBorders>
              <w:top w:val="nil"/>
              <w:left w:val="nil"/>
              <w:bottom w:val="nil"/>
              <w:right w:val="nil"/>
              <w:tl2br w:val="nil"/>
              <w:tr2bl w:val="nil"/>
            </w:tcBorders>
            <w:tcMar>
              <w:left w:w="60" w:type="dxa"/>
              <w:right w:w="60" w:type="dxa"/>
            </w:tcMar>
            <w:vAlign w:val="bottom"/>
          </w:tcPr>
          <w:p>
            <w:pPr>
              <w:pStyle w:val="DMETW36745BIPRET"/>
              <w:jc w:val="right"/>
              <w:rPr>
                <w:rFonts w:ascii="Verdana" w:eastAsia="Verdana" w:hAnsi="Verdana" w:cs="Verdana"/>
                <w:i/>
                <w:noProof/>
                <w:color w:val="000000"/>
                <w:sz w:val="18"/>
              </w:rPr>
            </w:pPr>
            <w:r>
              <w:rPr>
                <w:rFonts w:ascii="Verdana" w:hAnsi="Verdana"/>
                <w:i/>
                <w:noProof/>
                <w:color w:val="000000"/>
                <w:sz w:val="18"/>
              </w:rPr>
              <w:t xml:space="preserve"> 801</w:t>
            </w:r>
          </w:p>
        </w:tc>
        <w:tc>
          <w:tcPr>
            <w:tcW w:w="2132" w:type="dxa"/>
            <w:tcBorders>
              <w:top w:val="nil"/>
              <w:left w:val="nil"/>
              <w:bottom w:val="nil"/>
              <w:right w:val="nil"/>
              <w:tl2br w:val="nil"/>
              <w:tr2bl w:val="nil"/>
            </w:tcBorders>
            <w:tcMar>
              <w:left w:w="60" w:type="dxa"/>
              <w:right w:w="60" w:type="dxa"/>
            </w:tcMar>
            <w:vAlign w:val="bottom"/>
          </w:tcPr>
          <w:p>
            <w:pPr>
              <w:pStyle w:val="DMETW36745BIPRET"/>
              <w:jc w:val="right"/>
              <w:rPr>
                <w:rFonts w:ascii="Verdana" w:eastAsia="Verdana" w:hAnsi="Verdana" w:cs="Verdana"/>
                <w:i/>
                <w:noProof/>
                <w:color w:val="000000"/>
                <w:sz w:val="18"/>
              </w:rPr>
            </w:pPr>
            <w:r>
              <w:rPr>
                <w:rFonts w:ascii="Verdana" w:hAnsi="Verdana"/>
                <w:i/>
                <w:noProof/>
                <w:color w:val="000000"/>
                <w:sz w:val="18"/>
              </w:rPr>
              <w:t xml:space="preserve"> 761</w:t>
            </w:r>
          </w:p>
        </w:tc>
      </w:tr>
      <w:tr>
        <w:trPr>
          <w:trHeight w:val="255"/>
        </w:trPr>
        <w:tc>
          <w:tcPr>
            <w:tcW w:w="5494" w:type="dxa"/>
            <w:tcBorders>
              <w:top w:val="nil"/>
              <w:left w:val="nil"/>
              <w:bottom w:val="single" w:sz="4" w:space="0" w:color="016794"/>
              <w:right w:val="nil"/>
              <w:tl2br w:val="nil"/>
              <w:tr2bl w:val="nil"/>
            </w:tcBorders>
            <w:tcMar>
              <w:left w:w="60" w:type="dxa"/>
              <w:right w:w="60" w:type="dxa"/>
            </w:tcMar>
            <w:vAlign w:val="center"/>
          </w:tcPr>
          <w:p>
            <w:pPr>
              <w:pStyle w:val="DMETW36745BIPRET"/>
              <w:rPr>
                <w:rFonts w:ascii="Verdana" w:eastAsia="Verdana" w:hAnsi="Verdana" w:cs="Verdana"/>
                <w:i/>
                <w:noProof/>
                <w:color w:val="000000"/>
                <w:sz w:val="18"/>
              </w:rPr>
            </w:pPr>
            <w:r>
              <w:rPr>
                <w:rFonts w:ascii="Verdana" w:hAnsi="Verdana"/>
                <w:i/>
                <w:noProof/>
                <w:color w:val="000000"/>
                <w:sz w:val="18"/>
              </w:rPr>
              <w:t>Autres</w:t>
            </w:r>
          </w:p>
        </w:tc>
        <w:tc>
          <w:tcPr>
            <w:tcW w:w="2132" w:type="dxa"/>
            <w:tcBorders>
              <w:top w:val="nil"/>
              <w:left w:val="nil"/>
              <w:bottom w:val="single" w:sz="4" w:space="0" w:color="016794"/>
              <w:right w:val="nil"/>
              <w:tl2br w:val="nil"/>
              <w:tr2bl w:val="nil"/>
            </w:tcBorders>
            <w:tcMar>
              <w:left w:w="60" w:type="dxa"/>
              <w:right w:w="60" w:type="dxa"/>
            </w:tcMar>
            <w:vAlign w:val="bottom"/>
          </w:tcPr>
          <w:p>
            <w:pPr>
              <w:pStyle w:val="DMETW36745BIPRET"/>
              <w:jc w:val="right"/>
              <w:rPr>
                <w:rFonts w:ascii="Verdana" w:eastAsia="Verdana" w:hAnsi="Verdana" w:cs="Verdana"/>
                <w:i/>
                <w:noProof/>
                <w:color w:val="000000"/>
                <w:sz w:val="18"/>
              </w:rPr>
            </w:pPr>
            <w:r>
              <w:rPr>
                <w:rFonts w:ascii="Verdana" w:hAnsi="Verdana"/>
                <w:i/>
                <w:noProof/>
                <w:color w:val="000000"/>
                <w:sz w:val="18"/>
              </w:rPr>
              <w:t xml:space="preserve"> 753</w:t>
            </w:r>
          </w:p>
        </w:tc>
        <w:tc>
          <w:tcPr>
            <w:tcW w:w="2132" w:type="dxa"/>
            <w:tcBorders>
              <w:top w:val="nil"/>
              <w:left w:val="nil"/>
              <w:bottom w:val="single" w:sz="4" w:space="0" w:color="016794"/>
              <w:right w:val="nil"/>
              <w:tl2br w:val="nil"/>
              <w:tr2bl w:val="nil"/>
            </w:tcBorders>
            <w:tcMar>
              <w:left w:w="60" w:type="dxa"/>
              <w:right w:w="60" w:type="dxa"/>
            </w:tcMar>
            <w:vAlign w:val="bottom"/>
          </w:tcPr>
          <w:p>
            <w:pPr>
              <w:pStyle w:val="DMETW36745BIPRET"/>
              <w:jc w:val="right"/>
              <w:rPr>
                <w:rFonts w:ascii="Verdana" w:eastAsia="Verdana" w:hAnsi="Verdana" w:cs="Verdana"/>
                <w:i/>
                <w:noProof/>
                <w:color w:val="000000"/>
                <w:sz w:val="18"/>
              </w:rPr>
            </w:pPr>
            <w:r>
              <w:rPr>
                <w:rFonts w:ascii="Verdana" w:hAnsi="Verdana"/>
                <w:i/>
                <w:noProof/>
                <w:color w:val="000000"/>
                <w:sz w:val="18"/>
              </w:rPr>
              <w:t xml:space="preserve"> 339</w:t>
            </w:r>
          </w:p>
        </w:tc>
      </w:tr>
      <w:tr>
        <w:trPr>
          <w:trHeight w:val="255"/>
        </w:trPr>
        <w:tc>
          <w:tcPr>
            <w:tcW w:w="549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5BIPRET"/>
              <w:jc w:val="center"/>
              <w:rPr>
                <w:rFonts w:ascii="Verdana" w:eastAsia="Verdana" w:hAnsi="Verdana" w:cs="Verdana"/>
                <w:noProof/>
                <w:color w:val="000000"/>
                <w:sz w:val="18"/>
              </w:rPr>
            </w:pPr>
          </w:p>
        </w:tc>
        <w:tc>
          <w:tcPr>
            <w:tcW w:w="2132"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45BIPRET"/>
              <w:jc w:val="right"/>
              <w:rPr>
                <w:rFonts w:ascii="Verdana" w:eastAsia="Verdana" w:hAnsi="Verdana" w:cs="Verdana"/>
                <w:b/>
                <w:noProof/>
                <w:color w:val="000000"/>
                <w:sz w:val="18"/>
              </w:rPr>
            </w:pPr>
            <w:r>
              <w:rPr>
                <w:rFonts w:ascii="Verdana" w:hAnsi="Verdana"/>
                <w:b/>
                <w:noProof/>
                <w:color w:val="000000"/>
                <w:sz w:val="18"/>
              </w:rPr>
              <w:t>2 452</w:t>
            </w:r>
          </w:p>
        </w:tc>
        <w:tc>
          <w:tcPr>
            <w:tcW w:w="2132"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45BIPRET"/>
              <w:jc w:val="right"/>
              <w:rPr>
                <w:rFonts w:ascii="Verdana" w:eastAsia="Verdana" w:hAnsi="Verdana" w:cs="Verdana"/>
                <w:b/>
                <w:noProof/>
                <w:color w:val="000000"/>
                <w:sz w:val="18"/>
              </w:rPr>
            </w:pPr>
            <w:r>
              <w:rPr>
                <w:rFonts w:ascii="Verdana" w:hAnsi="Verdana"/>
                <w:b/>
                <w:noProof/>
                <w:color w:val="000000"/>
                <w:sz w:val="18"/>
              </w:rPr>
              <w:t>1 936</w:t>
            </w:r>
          </w:p>
        </w:tc>
      </w:tr>
      <w:tr>
        <w:trPr>
          <w:trHeight w:val="255"/>
        </w:trPr>
        <w:tc>
          <w:tcPr>
            <w:tcW w:w="549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5BIPRET"/>
              <w:rPr>
                <w:rFonts w:ascii="Verdana" w:eastAsia="Verdana" w:hAnsi="Verdana" w:cs="Verdana"/>
                <w:b/>
                <w:noProof/>
                <w:color w:val="000000"/>
                <w:sz w:val="18"/>
              </w:rPr>
            </w:pPr>
            <w:r>
              <w:rPr>
                <w:rFonts w:ascii="Verdana" w:hAnsi="Verdana"/>
                <w:b/>
                <w:noProof/>
                <w:color w:val="000000"/>
                <w:sz w:val="18"/>
              </w:rPr>
              <w:t>Total</w:t>
            </w:r>
          </w:p>
        </w:tc>
        <w:tc>
          <w:tcPr>
            <w:tcW w:w="2132"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45BIPRET"/>
              <w:jc w:val="right"/>
              <w:rPr>
                <w:rFonts w:ascii="Verdana" w:eastAsia="Verdana" w:hAnsi="Verdana" w:cs="Verdana"/>
                <w:b/>
                <w:noProof/>
                <w:color w:val="000000"/>
                <w:sz w:val="18"/>
              </w:rPr>
            </w:pPr>
            <w:r>
              <w:rPr>
                <w:rFonts w:ascii="Verdana" w:hAnsi="Verdana"/>
                <w:b/>
                <w:noProof/>
                <w:color w:val="000000"/>
                <w:sz w:val="18"/>
              </w:rPr>
              <w:t>4 238</w:t>
            </w:r>
          </w:p>
        </w:tc>
        <w:tc>
          <w:tcPr>
            <w:tcW w:w="2132"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45BIPRET"/>
              <w:jc w:val="right"/>
              <w:rPr>
                <w:rFonts w:ascii="Verdana" w:eastAsia="Verdana" w:hAnsi="Verdana" w:cs="Verdana"/>
                <w:b/>
                <w:noProof/>
                <w:color w:val="000000"/>
                <w:sz w:val="18"/>
              </w:rPr>
            </w:pPr>
            <w:r>
              <w:rPr>
                <w:rFonts w:ascii="Verdana" w:hAnsi="Verdana"/>
                <w:b/>
                <w:noProof/>
                <w:color w:val="000000"/>
                <w:sz w:val="18"/>
              </w:rPr>
              <w:t>3 666</w:t>
            </w:r>
          </w:p>
        </w:tc>
      </w:tr>
    </w:tbl>
    <w:p>
      <w:pPr>
        <w:pStyle w:val="DGTextstand-alone"/>
      </w:pPr>
      <w:r>
        <w:t>La branche receveur du contrat de garantie financière (CGF) représente la rémunération future que l’UE s’attend à recevoir pour les garanties données. Les garanties de l’UE sont, dans leur majorité, non rémunérées ou proposées à un prix inférieur au taux du marché. Par conséquent, la branche receveur du CGF est nettement inférieure au passif lié au CGF (voir note </w:t>
      </w:r>
      <w:r>
        <w:rPr>
          <w:b/>
        </w:rPr>
        <w:t>2.11.2</w:t>
      </w:r>
      <w:r>
        <w:t>). Sur le montant total de 1,651 milliard d’EUR de la branche receveur du CGF au 31 décembre 2025, 1,564 milliard d’EUR sont classés en tant qu’actifs financiers à la JVCR (niveau 3 dans la hiérarchie des justes valeurs). Par rapport au solde d’ouverture au 1</w:t>
      </w:r>
      <w:r>
        <w:rPr>
          <w:vertAlign w:val="superscript"/>
        </w:rPr>
        <w:t>er</w:t>
      </w:r>
      <w:r>
        <w:t> janvier 2025 de 1,629 milliard d’EUR, la branche receveur du CGF a augmenté au total de 22 millions d’EUR, soit la différence entre le montant plus élevé, à savoir 264 millions d’EUR, des primes de garantie qui devraient être reçues à l’avenir et les primes de garantie reçues pendant l’année, d'un montant de 242 millions d’EUR.</w:t>
      </w:r>
    </w:p>
    <w:p>
      <w:pPr>
        <w:pStyle w:val="DGTextstand-alone"/>
        <w:rPr>
          <w:strike/>
        </w:rPr>
      </w:pPr>
      <w:r>
        <w:t>Les intérêts de retard concernent principalement des procédures relatives aux ressources propres et les intérêts courus sur les amendes couvertes par les garanties fournies par les entreprises sanctionnées. Le montant non courant (0,3 milliard d’EUR) concerne les affaires similaires toujours en cours avec les États membres mentionnées à la note </w:t>
      </w:r>
      <w:r>
        <w:rPr>
          <w:b/>
        </w:rPr>
        <w:t>2.6.1.1</w:t>
      </w:r>
      <w:r>
        <w:t>.</w:t>
      </w:r>
    </w:p>
    <w:p>
      <w:pPr>
        <w:pStyle w:val="DGTextstand-alone"/>
      </w:pPr>
    </w:p>
    <w:bookmarkEnd w:id="121"/>
    <w:p>
      <w:pPr>
        <w:pStyle w:val="DGTextstand-alone"/>
        <w:sectPr>
          <w:headerReference w:type="default" r:id="rId91"/>
          <w:footerReference w:type="default" r:id="rId92"/>
          <w:type w:val="continuous"/>
          <w:pgSz w:w="11906" w:h="16838"/>
          <w:pgMar w:top="1134" w:right="1134" w:bottom="1134" w:left="1134" w:header="709" w:footer="709" w:gutter="0"/>
          <w:cols w:space="708"/>
          <w:docGrid w:linePitch="360"/>
        </w:sectPr>
      </w:pPr>
    </w:p>
    <w:p>
      <w:pPr>
        <w:pStyle w:val="HEADER2NOTES"/>
        <w:numPr>
          <w:ilvl w:val="1"/>
          <w:numId w:val="15"/>
        </w:numPr>
        <w:rPr>
          <w:noProof/>
        </w:rPr>
      </w:pPr>
      <w:bookmarkStart w:id="136" w:name="_DMBM_36676"/>
      <w:r>
        <w:rPr>
          <w:noProof/>
        </w:rPr>
        <w:t xml:space="preserve">STOCKS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74"/>
        <w:gridCol w:w="2392"/>
        <w:gridCol w:w="2392"/>
      </w:tblGrid>
      <w:tr>
        <w:trPr>
          <w:trHeight w:val="255"/>
        </w:trPr>
        <w:tc>
          <w:tcPr>
            <w:tcW w:w="4974" w:type="dxa"/>
            <w:tcBorders>
              <w:top w:val="nil"/>
              <w:left w:val="nil"/>
              <w:bottom w:val="nil"/>
              <w:right w:val="nil"/>
              <w:tl2br w:val="nil"/>
              <w:tr2bl w:val="nil"/>
            </w:tcBorders>
            <w:tcMar>
              <w:left w:w="60" w:type="dxa"/>
              <w:right w:w="60" w:type="dxa"/>
            </w:tcMar>
            <w:vAlign w:val="bottom"/>
          </w:tcPr>
          <w:p>
            <w:pPr>
              <w:pStyle w:val="DMETW36766BIPINV"/>
              <w:rPr>
                <w:rFonts w:ascii="Arial" w:eastAsia="Arial" w:hAnsi="Arial" w:cs="Arial"/>
                <w:noProof/>
                <w:color w:val="000000"/>
              </w:rPr>
            </w:pPr>
            <w:bookmarkStart w:id="137" w:name="DOC_TBL00042_1_1"/>
            <w:bookmarkEnd w:id="137"/>
          </w:p>
        </w:tc>
        <w:tc>
          <w:tcPr>
            <w:tcW w:w="2392" w:type="dxa"/>
            <w:tcBorders>
              <w:top w:val="nil"/>
              <w:left w:val="nil"/>
              <w:bottom w:val="nil"/>
              <w:right w:val="nil"/>
              <w:tl2br w:val="nil"/>
              <w:tr2bl w:val="nil"/>
            </w:tcBorders>
            <w:tcMar>
              <w:left w:w="60" w:type="dxa"/>
              <w:right w:w="60" w:type="dxa"/>
            </w:tcMar>
            <w:vAlign w:val="bottom"/>
          </w:tcPr>
          <w:p>
            <w:pPr>
              <w:pStyle w:val="DMETW36766BIPINV"/>
              <w:rPr>
                <w:rFonts w:ascii="Arial" w:eastAsia="Arial" w:hAnsi="Arial" w:cs="Arial"/>
                <w:noProof/>
                <w:color w:val="000000"/>
              </w:rPr>
            </w:pPr>
          </w:p>
        </w:tc>
        <w:tc>
          <w:tcPr>
            <w:tcW w:w="2392" w:type="dxa"/>
            <w:tcBorders>
              <w:top w:val="nil"/>
              <w:left w:val="nil"/>
              <w:bottom w:val="nil"/>
              <w:right w:val="nil"/>
              <w:tl2br w:val="nil"/>
              <w:tr2bl w:val="nil"/>
            </w:tcBorders>
            <w:tcMar>
              <w:left w:w="60" w:type="dxa"/>
              <w:right w:w="60" w:type="dxa"/>
            </w:tcMar>
            <w:vAlign w:val="bottom"/>
          </w:tcPr>
          <w:p>
            <w:pPr>
              <w:pStyle w:val="DMETW36766BIPINV"/>
              <w:jc w:val="right"/>
              <w:rPr>
                <w:rFonts w:ascii="Verdana" w:eastAsia="Verdana" w:hAnsi="Verdana" w:cs="Verdana"/>
                <w:i/>
                <w:noProof/>
                <w:color w:val="000000"/>
                <w:sz w:val="16"/>
              </w:rPr>
            </w:pPr>
            <w:r>
              <w:rPr>
                <w:rFonts w:ascii="Verdana" w:hAnsi="Verdana"/>
                <w:i/>
                <w:noProof/>
                <w:color w:val="000000"/>
                <w:sz w:val="16"/>
              </w:rPr>
              <w:t>en Mio EUR</w:t>
            </w:r>
          </w:p>
        </w:tc>
      </w:tr>
      <w:tr>
        <w:trPr>
          <w:trHeight w:val="255"/>
        </w:trPr>
        <w:tc>
          <w:tcPr>
            <w:tcW w:w="4974" w:type="dxa"/>
            <w:tcBorders>
              <w:top w:val="nil"/>
              <w:left w:val="nil"/>
              <w:bottom w:val="nil"/>
              <w:right w:val="nil"/>
              <w:tl2br w:val="nil"/>
              <w:tr2bl w:val="nil"/>
            </w:tcBorders>
            <w:shd w:val="solid" w:color="016794" w:fill="FFFFFF"/>
            <w:tcMar>
              <w:left w:w="60" w:type="dxa"/>
              <w:right w:w="60" w:type="dxa"/>
            </w:tcMar>
            <w:vAlign w:val="center"/>
          </w:tcPr>
          <w:p>
            <w:pPr>
              <w:pStyle w:val="DMETW36766BIPINV"/>
              <w:jc w:val="right"/>
              <w:rPr>
                <w:rFonts w:ascii="Verdana" w:eastAsia="Verdana" w:hAnsi="Verdana" w:cs="Verdana"/>
                <w:noProof/>
                <w:color w:val="FFFFFF"/>
                <w:sz w:val="18"/>
              </w:rPr>
            </w:pPr>
          </w:p>
        </w:tc>
        <w:tc>
          <w:tcPr>
            <w:tcW w:w="2392" w:type="dxa"/>
            <w:tcBorders>
              <w:top w:val="nil"/>
              <w:left w:val="nil"/>
              <w:bottom w:val="nil"/>
              <w:right w:val="nil"/>
              <w:tl2br w:val="nil"/>
              <w:tr2bl w:val="nil"/>
            </w:tcBorders>
            <w:shd w:val="solid" w:color="016794" w:fill="FFFFFF"/>
            <w:tcMar>
              <w:left w:w="60" w:type="dxa"/>
              <w:right w:w="60" w:type="dxa"/>
            </w:tcMar>
            <w:vAlign w:val="center"/>
          </w:tcPr>
          <w:p>
            <w:pPr>
              <w:pStyle w:val="DMETW36766BIPINV"/>
              <w:jc w:val="right"/>
              <w:rPr>
                <w:rFonts w:ascii="Verdana" w:eastAsia="Verdana" w:hAnsi="Verdana" w:cs="Verdana"/>
                <w:noProof/>
                <w:color w:val="FFFFFF"/>
              </w:rPr>
            </w:pPr>
            <w:r>
              <w:rPr>
                <w:rFonts w:ascii="Verdana" w:hAnsi="Verdana"/>
                <w:noProof/>
                <w:color w:val="FFFFFF"/>
              </w:rPr>
              <w:t>31.12.2025</w:t>
            </w:r>
          </w:p>
        </w:tc>
        <w:tc>
          <w:tcPr>
            <w:tcW w:w="2392" w:type="dxa"/>
            <w:tcBorders>
              <w:top w:val="nil"/>
              <w:left w:val="nil"/>
              <w:bottom w:val="nil"/>
              <w:right w:val="nil"/>
              <w:tl2br w:val="nil"/>
              <w:tr2bl w:val="nil"/>
            </w:tcBorders>
            <w:shd w:val="solid" w:color="016794" w:fill="FFFFFF"/>
            <w:tcMar>
              <w:left w:w="60" w:type="dxa"/>
              <w:right w:w="60" w:type="dxa"/>
            </w:tcMar>
            <w:vAlign w:val="center"/>
          </w:tcPr>
          <w:p>
            <w:pPr>
              <w:pStyle w:val="DMETW36766BIPINV"/>
              <w:jc w:val="right"/>
              <w:rPr>
                <w:rFonts w:ascii="Verdana" w:eastAsia="Verdana" w:hAnsi="Verdana" w:cs="Verdana"/>
                <w:noProof/>
                <w:color w:val="FFFFFF"/>
              </w:rPr>
            </w:pPr>
            <w:r>
              <w:rPr>
                <w:rFonts w:ascii="Verdana" w:hAnsi="Verdana"/>
                <w:noProof/>
                <w:color w:val="FFFFFF"/>
              </w:rPr>
              <w:t>31.12.2024</w:t>
            </w:r>
          </w:p>
        </w:tc>
      </w:tr>
      <w:tr>
        <w:trPr>
          <w:trHeight w:val="255"/>
        </w:trPr>
        <w:tc>
          <w:tcPr>
            <w:tcW w:w="4974" w:type="dxa"/>
            <w:tcBorders>
              <w:top w:val="nil"/>
              <w:left w:val="nil"/>
              <w:bottom w:val="nil"/>
              <w:right w:val="nil"/>
              <w:tl2br w:val="nil"/>
              <w:tr2bl w:val="nil"/>
            </w:tcBorders>
            <w:tcMar>
              <w:left w:w="60" w:type="dxa"/>
              <w:right w:w="60" w:type="dxa"/>
            </w:tcMar>
            <w:vAlign w:val="center"/>
          </w:tcPr>
          <w:p>
            <w:pPr>
              <w:pStyle w:val="DMETW36766BIPINV"/>
              <w:rPr>
                <w:rFonts w:ascii="Verdana" w:eastAsia="Verdana" w:hAnsi="Verdana" w:cs="Verdana"/>
                <w:i/>
                <w:noProof/>
                <w:color w:val="000000"/>
                <w:sz w:val="18"/>
              </w:rPr>
            </w:pPr>
            <w:r>
              <w:rPr>
                <w:rFonts w:ascii="Verdana" w:hAnsi="Verdana"/>
                <w:i/>
                <w:noProof/>
                <w:color w:val="000000"/>
                <w:sz w:val="18"/>
              </w:rPr>
              <w:t>Matériel scientifique</w:t>
            </w:r>
          </w:p>
        </w:tc>
        <w:tc>
          <w:tcPr>
            <w:tcW w:w="2392" w:type="dxa"/>
            <w:tcBorders>
              <w:top w:val="nil"/>
              <w:left w:val="nil"/>
              <w:bottom w:val="nil"/>
              <w:right w:val="nil"/>
              <w:tl2br w:val="nil"/>
              <w:tr2bl w:val="nil"/>
            </w:tcBorders>
            <w:tcMar>
              <w:left w:w="60" w:type="dxa"/>
              <w:right w:w="60" w:type="dxa"/>
            </w:tcMar>
            <w:vAlign w:val="bottom"/>
          </w:tcPr>
          <w:p>
            <w:pPr>
              <w:pStyle w:val="DMETW36766BIPINV"/>
              <w:jc w:val="right"/>
              <w:rPr>
                <w:rFonts w:ascii="Verdana" w:eastAsia="Verdana" w:hAnsi="Verdana" w:cs="Verdana"/>
                <w:i/>
                <w:noProof/>
                <w:color w:val="000000"/>
                <w:sz w:val="18"/>
              </w:rPr>
            </w:pPr>
            <w:r>
              <w:rPr>
                <w:rFonts w:ascii="Verdana" w:hAnsi="Verdana"/>
                <w:i/>
                <w:noProof/>
                <w:color w:val="000000"/>
                <w:sz w:val="18"/>
              </w:rPr>
              <w:t xml:space="preserve"> 58</w:t>
            </w:r>
          </w:p>
        </w:tc>
        <w:tc>
          <w:tcPr>
            <w:tcW w:w="2392" w:type="dxa"/>
            <w:tcBorders>
              <w:top w:val="nil"/>
              <w:left w:val="nil"/>
              <w:bottom w:val="nil"/>
              <w:right w:val="nil"/>
              <w:tl2br w:val="nil"/>
              <w:tr2bl w:val="nil"/>
            </w:tcBorders>
            <w:tcMar>
              <w:left w:w="60" w:type="dxa"/>
              <w:right w:w="60" w:type="dxa"/>
            </w:tcMar>
            <w:vAlign w:val="bottom"/>
          </w:tcPr>
          <w:p>
            <w:pPr>
              <w:pStyle w:val="DMETW36766BIPINV"/>
              <w:jc w:val="right"/>
              <w:rPr>
                <w:rFonts w:ascii="Verdana" w:eastAsia="Verdana" w:hAnsi="Verdana" w:cs="Verdana"/>
                <w:i/>
                <w:noProof/>
                <w:color w:val="000000"/>
                <w:sz w:val="18"/>
              </w:rPr>
            </w:pPr>
            <w:r>
              <w:rPr>
                <w:rFonts w:ascii="Verdana" w:hAnsi="Verdana"/>
                <w:i/>
                <w:noProof/>
                <w:color w:val="000000"/>
                <w:sz w:val="18"/>
              </w:rPr>
              <w:t xml:space="preserve"> 66</w:t>
            </w:r>
          </w:p>
        </w:tc>
      </w:tr>
      <w:tr>
        <w:trPr>
          <w:trHeight w:val="255"/>
        </w:trPr>
        <w:tc>
          <w:tcPr>
            <w:tcW w:w="4974" w:type="dxa"/>
            <w:tcBorders>
              <w:top w:val="nil"/>
              <w:left w:val="nil"/>
              <w:bottom w:val="nil"/>
              <w:right w:val="nil"/>
              <w:tl2br w:val="nil"/>
              <w:tr2bl w:val="nil"/>
            </w:tcBorders>
            <w:tcMar>
              <w:left w:w="60" w:type="dxa"/>
              <w:right w:w="60" w:type="dxa"/>
            </w:tcMar>
            <w:vAlign w:val="center"/>
          </w:tcPr>
          <w:p>
            <w:pPr>
              <w:pStyle w:val="DMETW36766BIPINV"/>
              <w:rPr>
                <w:rFonts w:ascii="Verdana" w:eastAsia="Verdana" w:hAnsi="Verdana" w:cs="Verdana"/>
                <w:i/>
                <w:noProof/>
                <w:color w:val="000000"/>
                <w:sz w:val="18"/>
              </w:rPr>
            </w:pPr>
            <w:r>
              <w:rPr>
                <w:rFonts w:ascii="Verdana" w:hAnsi="Verdana"/>
                <w:i/>
                <w:noProof/>
                <w:color w:val="000000"/>
                <w:sz w:val="18"/>
              </w:rPr>
              <w:t>Autres</w:t>
            </w:r>
          </w:p>
        </w:tc>
        <w:tc>
          <w:tcPr>
            <w:tcW w:w="2392" w:type="dxa"/>
            <w:tcBorders>
              <w:top w:val="nil"/>
              <w:left w:val="nil"/>
              <w:bottom w:val="nil"/>
              <w:right w:val="nil"/>
              <w:tl2br w:val="nil"/>
              <w:tr2bl w:val="nil"/>
            </w:tcBorders>
            <w:tcMar>
              <w:left w:w="60" w:type="dxa"/>
              <w:right w:w="60" w:type="dxa"/>
            </w:tcMar>
            <w:vAlign w:val="bottom"/>
          </w:tcPr>
          <w:p>
            <w:pPr>
              <w:pStyle w:val="DMETW36766BIPINV"/>
              <w:jc w:val="right"/>
              <w:rPr>
                <w:rFonts w:ascii="Verdana" w:eastAsia="Verdana" w:hAnsi="Verdana" w:cs="Verdana"/>
                <w:i/>
                <w:noProof/>
                <w:color w:val="000000"/>
                <w:sz w:val="18"/>
              </w:rPr>
            </w:pPr>
            <w:r>
              <w:rPr>
                <w:rFonts w:ascii="Verdana" w:hAnsi="Verdana"/>
                <w:i/>
                <w:noProof/>
                <w:color w:val="000000"/>
                <w:sz w:val="18"/>
              </w:rPr>
              <w:t xml:space="preserve"> 22</w:t>
            </w:r>
          </w:p>
        </w:tc>
        <w:tc>
          <w:tcPr>
            <w:tcW w:w="2392" w:type="dxa"/>
            <w:tcBorders>
              <w:top w:val="nil"/>
              <w:left w:val="nil"/>
              <w:bottom w:val="nil"/>
              <w:right w:val="nil"/>
              <w:tl2br w:val="nil"/>
              <w:tr2bl w:val="nil"/>
            </w:tcBorders>
            <w:tcMar>
              <w:left w:w="60" w:type="dxa"/>
              <w:right w:w="60" w:type="dxa"/>
            </w:tcMar>
            <w:vAlign w:val="bottom"/>
          </w:tcPr>
          <w:p>
            <w:pPr>
              <w:pStyle w:val="DMETW36766BIPINV"/>
              <w:jc w:val="right"/>
              <w:rPr>
                <w:rFonts w:ascii="Verdana" w:eastAsia="Verdana" w:hAnsi="Verdana" w:cs="Verdana"/>
                <w:i/>
                <w:noProof/>
                <w:color w:val="000000"/>
                <w:sz w:val="18"/>
              </w:rPr>
            </w:pPr>
            <w:r>
              <w:rPr>
                <w:rFonts w:ascii="Verdana" w:hAnsi="Verdana"/>
                <w:i/>
                <w:noProof/>
                <w:color w:val="000000"/>
                <w:sz w:val="18"/>
              </w:rPr>
              <w:t xml:space="preserve"> 19</w:t>
            </w:r>
          </w:p>
        </w:tc>
      </w:tr>
      <w:tr>
        <w:trPr>
          <w:trHeight w:val="255"/>
        </w:trPr>
        <w:tc>
          <w:tcPr>
            <w:tcW w:w="4974" w:type="dxa"/>
            <w:tcBorders>
              <w:top w:val="nil"/>
              <w:left w:val="nil"/>
              <w:bottom w:val="nil"/>
              <w:right w:val="nil"/>
              <w:tl2br w:val="nil"/>
              <w:tr2bl w:val="nil"/>
            </w:tcBorders>
            <w:shd w:val="solid" w:color="CCE1EA" w:fill="FFFFFF"/>
            <w:tcMar>
              <w:left w:w="60" w:type="dxa"/>
              <w:right w:w="60" w:type="dxa"/>
            </w:tcMar>
            <w:vAlign w:val="center"/>
          </w:tcPr>
          <w:p>
            <w:pPr>
              <w:pStyle w:val="DMETW36766BIPINV"/>
              <w:rPr>
                <w:rFonts w:ascii="Verdana" w:eastAsia="Verdana" w:hAnsi="Verdana" w:cs="Verdana"/>
                <w:b/>
                <w:noProof/>
                <w:color w:val="000000"/>
                <w:sz w:val="18"/>
              </w:rPr>
            </w:pPr>
            <w:r>
              <w:rPr>
                <w:rFonts w:ascii="Verdana" w:hAnsi="Verdana"/>
                <w:b/>
                <w:noProof/>
                <w:color w:val="000000"/>
                <w:sz w:val="18"/>
              </w:rPr>
              <w:t>Total</w:t>
            </w:r>
          </w:p>
        </w:tc>
        <w:tc>
          <w:tcPr>
            <w:tcW w:w="2392" w:type="dxa"/>
            <w:tcBorders>
              <w:top w:val="nil"/>
              <w:left w:val="nil"/>
              <w:bottom w:val="nil"/>
              <w:right w:val="nil"/>
              <w:tl2br w:val="nil"/>
              <w:tr2bl w:val="nil"/>
            </w:tcBorders>
            <w:shd w:val="solid" w:color="CCE1EA" w:fill="FFFFFF"/>
            <w:tcMar>
              <w:left w:w="60" w:type="dxa"/>
              <w:right w:w="60" w:type="dxa"/>
            </w:tcMar>
            <w:vAlign w:val="bottom"/>
          </w:tcPr>
          <w:p>
            <w:pPr>
              <w:pStyle w:val="DMETW36766BIPINV"/>
              <w:jc w:val="right"/>
              <w:rPr>
                <w:rFonts w:ascii="Verdana" w:eastAsia="Verdana" w:hAnsi="Verdana" w:cs="Verdana"/>
                <w:b/>
                <w:noProof/>
                <w:color w:val="000000"/>
                <w:sz w:val="18"/>
              </w:rPr>
            </w:pPr>
            <w:r>
              <w:rPr>
                <w:rFonts w:ascii="Verdana" w:hAnsi="Verdana"/>
                <w:b/>
                <w:noProof/>
                <w:color w:val="000000"/>
                <w:sz w:val="18"/>
              </w:rPr>
              <w:t xml:space="preserve"> 79</w:t>
            </w:r>
          </w:p>
        </w:tc>
        <w:tc>
          <w:tcPr>
            <w:tcW w:w="2392" w:type="dxa"/>
            <w:tcBorders>
              <w:top w:val="nil"/>
              <w:left w:val="nil"/>
              <w:bottom w:val="nil"/>
              <w:right w:val="nil"/>
              <w:tl2br w:val="nil"/>
              <w:tr2bl w:val="nil"/>
            </w:tcBorders>
            <w:shd w:val="solid" w:color="CCE1EA" w:fill="FFFFFF"/>
            <w:tcMar>
              <w:left w:w="60" w:type="dxa"/>
              <w:right w:w="60" w:type="dxa"/>
            </w:tcMar>
            <w:vAlign w:val="bottom"/>
          </w:tcPr>
          <w:p>
            <w:pPr>
              <w:pStyle w:val="DMETW36766BIPINV"/>
              <w:jc w:val="right"/>
              <w:rPr>
                <w:rFonts w:ascii="Verdana" w:eastAsia="Verdana" w:hAnsi="Verdana" w:cs="Verdana"/>
                <w:b/>
                <w:noProof/>
                <w:color w:val="000000"/>
                <w:sz w:val="18"/>
              </w:rPr>
            </w:pPr>
            <w:r>
              <w:rPr>
                <w:rFonts w:ascii="Verdana" w:hAnsi="Verdana"/>
                <w:b/>
                <w:noProof/>
                <w:color w:val="000000"/>
                <w:sz w:val="18"/>
              </w:rPr>
              <w:t xml:space="preserve"> 85</w:t>
            </w:r>
          </w:p>
        </w:tc>
      </w:tr>
    </w:tbl>
    <w:p>
      <w:pPr>
        <w:pStyle w:val="Textstand-alone"/>
        <w:spacing w:before="0" w:after="0"/>
        <w:sectPr>
          <w:headerReference w:type="default" r:id="rId93"/>
          <w:footerReference w:type="default" r:id="rId94"/>
          <w:type w:val="continuous"/>
          <w:pgSz w:w="11906" w:h="16838"/>
          <w:pgMar w:top="1134" w:right="1134" w:bottom="1134" w:left="1134" w:header="709" w:footer="709" w:gutter="0"/>
          <w:cols w:space="708"/>
          <w:docGrid w:linePitch="360"/>
        </w:sectPr>
      </w:pPr>
      <w:r>
        <w:t xml:space="preserve"> </w:t>
      </w:r>
      <w:bookmarkEnd w:id="136"/>
    </w:p>
    <w:p>
      <w:pPr>
        <w:rPr>
          <w:rFonts w:ascii="Verdana" w:hAnsi="Verdana"/>
          <w:b/>
          <w:noProof/>
          <w:color w:val="016794"/>
          <w:sz w:val="28"/>
          <w:szCs w:val="28"/>
        </w:rPr>
      </w:pPr>
      <w:bookmarkStart w:id="138" w:name="_DMBM_36693"/>
      <w:r>
        <w:rPr>
          <w:noProof/>
        </w:rPr>
        <w:br w:type="page"/>
      </w:r>
    </w:p>
    <w:p>
      <w:pPr>
        <w:pStyle w:val="HEADER2NOTES"/>
        <w:numPr>
          <w:ilvl w:val="1"/>
          <w:numId w:val="15"/>
        </w:numPr>
        <w:rPr>
          <w:noProof/>
        </w:rPr>
      </w:pPr>
      <w:r>
        <w:rPr>
          <w:noProof/>
        </w:rPr>
        <w:lastRenderedPageBreak/>
        <w:t>TRÉSORERIE ET ÉQUIVALENTS DE TRÉSORERIE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56"/>
        <w:gridCol w:w="1226"/>
        <w:gridCol w:w="1288"/>
        <w:gridCol w:w="1288"/>
      </w:tblGrid>
      <w:tr>
        <w:trPr>
          <w:trHeight w:hRule="exact" w:val="255"/>
        </w:trPr>
        <w:tc>
          <w:tcPr>
            <w:tcW w:w="5956" w:type="dxa"/>
            <w:tcBorders>
              <w:top w:val="nil"/>
              <w:left w:val="nil"/>
              <w:bottom w:val="nil"/>
              <w:right w:val="nil"/>
              <w:tl2br w:val="nil"/>
              <w:tr2bl w:val="nil"/>
            </w:tcBorders>
            <w:tcMar>
              <w:left w:w="60" w:type="dxa"/>
              <w:right w:w="60" w:type="dxa"/>
            </w:tcMar>
            <w:vAlign w:val="bottom"/>
          </w:tcPr>
          <w:p>
            <w:pPr>
              <w:pStyle w:val="DMETW36767BIPCCE"/>
              <w:rPr>
                <w:rFonts w:ascii="Arial" w:eastAsia="Arial" w:hAnsi="Arial" w:cs="Arial"/>
                <w:noProof/>
                <w:color w:val="000000"/>
              </w:rPr>
            </w:pPr>
            <w:bookmarkStart w:id="139" w:name="DOC_TBL00043_1_1"/>
            <w:bookmarkEnd w:id="139"/>
          </w:p>
        </w:tc>
        <w:tc>
          <w:tcPr>
            <w:tcW w:w="1226" w:type="dxa"/>
            <w:tcBorders>
              <w:top w:val="nil"/>
              <w:left w:val="nil"/>
              <w:bottom w:val="nil"/>
              <w:right w:val="nil"/>
              <w:tl2br w:val="nil"/>
              <w:tr2bl w:val="nil"/>
            </w:tcBorders>
            <w:tcMar>
              <w:left w:w="60" w:type="dxa"/>
              <w:right w:w="60" w:type="dxa"/>
            </w:tcMar>
            <w:vAlign w:val="bottom"/>
          </w:tcPr>
          <w:p>
            <w:pPr>
              <w:pStyle w:val="DMETW36767BIPCCE"/>
              <w:rPr>
                <w:rFonts w:ascii="Arial" w:eastAsia="Arial" w:hAnsi="Arial" w:cs="Arial"/>
                <w:noProof/>
                <w:color w:val="000000"/>
              </w:rPr>
            </w:pPr>
          </w:p>
        </w:tc>
        <w:tc>
          <w:tcPr>
            <w:tcW w:w="1288" w:type="dxa"/>
            <w:tcBorders>
              <w:top w:val="nil"/>
              <w:left w:val="nil"/>
              <w:bottom w:val="nil"/>
              <w:right w:val="nil"/>
              <w:tl2br w:val="nil"/>
              <w:tr2bl w:val="nil"/>
            </w:tcBorders>
            <w:tcMar>
              <w:left w:w="60" w:type="dxa"/>
              <w:right w:w="60" w:type="dxa"/>
            </w:tcMar>
            <w:vAlign w:val="bottom"/>
          </w:tcPr>
          <w:p>
            <w:pPr>
              <w:pStyle w:val="DMETW36767BIPCCE"/>
              <w:rPr>
                <w:rFonts w:ascii="Arial" w:eastAsia="Arial" w:hAnsi="Arial" w:cs="Arial"/>
                <w:noProof/>
                <w:color w:val="000000"/>
              </w:rPr>
            </w:pPr>
          </w:p>
        </w:tc>
        <w:tc>
          <w:tcPr>
            <w:tcW w:w="1288" w:type="dxa"/>
            <w:tcBorders>
              <w:top w:val="nil"/>
              <w:left w:val="nil"/>
              <w:bottom w:val="nil"/>
              <w:right w:val="nil"/>
              <w:tl2br w:val="nil"/>
              <w:tr2bl w:val="nil"/>
            </w:tcBorders>
            <w:tcMar>
              <w:left w:w="60" w:type="dxa"/>
              <w:right w:w="60" w:type="dxa"/>
            </w:tcMar>
            <w:vAlign w:val="bottom"/>
          </w:tcPr>
          <w:p>
            <w:pPr>
              <w:pStyle w:val="DMETW36767BIPCCE"/>
              <w:jc w:val="right"/>
              <w:rPr>
                <w:rFonts w:ascii="Verdana" w:eastAsia="Verdana" w:hAnsi="Verdana" w:cs="Verdana"/>
                <w:i/>
                <w:noProof/>
                <w:color w:val="000000"/>
                <w:sz w:val="16"/>
              </w:rPr>
            </w:pPr>
            <w:r>
              <w:rPr>
                <w:rFonts w:ascii="Verdana" w:hAnsi="Verdana"/>
                <w:i/>
                <w:noProof/>
                <w:color w:val="000000"/>
                <w:sz w:val="16"/>
              </w:rPr>
              <w:t>en Mio EUR</w:t>
            </w:r>
          </w:p>
        </w:tc>
      </w:tr>
      <w:tr>
        <w:trPr>
          <w:trHeight w:hRule="exact" w:val="255"/>
        </w:trPr>
        <w:tc>
          <w:tcPr>
            <w:tcW w:w="5956" w:type="dxa"/>
            <w:tcBorders>
              <w:top w:val="nil"/>
              <w:left w:val="nil"/>
              <w:bottom w:val="nil"/>
              <w:right w:val="nil"/>
              <w:tl2br w:val="nil"/>
              <w:tr2bl w:val="nil"/>
            </w:tcBorders>
            <w:shd w:val="solid" w:color="016794" w:fill="FFFFFF"/>
            <w:tcMar>
              <w:left w:w="60" w:type="dxa"/>
              <w:right w:w="60" w:type="dxa"/>
            </w:tcMar>
            <w:vAlign w:val="center"/>
          </w:tcPr>
          <w:p>
            <w:pPr>
              <w:pStyle w:val="DMETW36767BIPCCE"/>
              <w:jc w:val="right"/>
              <w:rPr>
                <w:rFonts w:ascii="Verdana" w:eastAsia="Verdana" w:hAnsi="Verdana" w:cs="Verdana"/>
                <w:noProof/>
                <w:color w:val="FFFFFF"/>
              </w:rPr>
            </w:pPr>
          </w:p>
        </w:tc>
        <w:tc>
          <w:tcPr>
            <w:tcW w:w="1226" w:type="dxa"/>
            <w:tcBorders>
              <w:top w:val="nil"/>
              <w:left w:val="nil"/>
              <w:bottom w:val="nil"/>
              <w:right w:val="nil"/>
              <w:tl2br w:val="nil"/>
              <w:tr2bl w:val="nil"/>
            </w:tcBorders>
            <w:shd w:val="solid" w:color="016794" w:fill="FFFFFF"/>
            <w:tcMar>
              <w:left w:w="60" w:type="dxa"/>
              <w:right w:w="60" w:type="dxa"/>
            </w:tcMar>
            <w:vAlign w:val="center"/>
          </w:tcPr>
          <w:p>
            <w:pPr>
              <w:pStyle w:val="DMETW36767BIPCCE"/>
              <w:jc w:val="center"/>
              <w:rPr>
                <w:rFonts w:ascii="Verdana" w:eastAsia="Verdana" w:hAnsi="Verdana" w:cs="Verdana"/>
                <w:noProof/>
                <w:color w:val="FFFFFF"/>
              </w:rPr>
            </w:pPr>
            <w:r>
              <w:rPr>
                <w:rFonts w:ascii="Verdana" w:hAnsi="Verdana"/>
                <w:noProof/>
                <w:color w:val="FFFFFF"/>
              </w:rPr>
              <w:t>Note</w:t>
            </w:r>
          </w:p>
        </w:tc>
        <w:tc>
          <w:tcPr>
            <w:tcW w:w="1288" w:type="dxa"/>
            <w:tcBorders>
              <w:top w:val="nil"/>
              <w:left w:val="nil"/>
              <w:bottom w:val="nil"/>
              <w:right w:val="nil"/>
              <w:tl2br w:val="nil"/>
              <w:tr2bl w:val="nil"/>
            </w:tcBorders>
            <w:shd w:val="solid" w:color="016794" w:fill="FFFFFF"/>
            <w:tcMar>
              <w:left w:w="60" w:type="dxa"/>
              <w:right w:w="60" w:type="dxa"/>
            </w:tcMar>
            <w:vAlign w:val="center"/>
          </w:tcPr>
          <w:p>
            <w:pPr>
              <w:pStyle w:val="DMETW36767BIPCCE"/>
              <w:jc w:val="right"/>
              <w:rPr>
                <w:rFonts w:ascii="Verdana" w:eastAsia="Verdana" w:hAnsi="Verdana" w:cs="Verdana"/>
                <w:noProof/>
                <w:color w:val="FFFFFF"/>
              </w:rPr>
            </w:pPr>
            <w:r>
              <w:rPr>
                <w:rFonts w:ascii="Verdana" w:hAnsi="Verdana"/>
                <w:noProof/>
                <w:color w:val="FFFFFF"/>
              </w:rPr>
              <w:t>31.12.2025</w:t>
            </w:r>
          </w:p>
        </w:tc>
        <w:tc>
          <w:tcPr>
            <w:tcW w:w="1288" w:type="dxa"/>
            <w:tcBorders>
              <w:top w:val="nil"/>
              <w:left w:val="nil"/>
              <w:bottom w:val="nil"/>
              <w:right w:val="nil"/>
              <w:tl2br w:val="nil"/>
              <w:tr2bl w:val="nil"/>
            </w:tcBorders>
            <w:shd w:val="solid" w:color="016794" w:fill="FFFFFF"/>
            <w:tcMar>
              <w:left w:w="60" w:type="dxa"/>
              <w:right w:w="60" w:type="dxa"/>
            </w:tcMar>
            <w:vAlign w:val="center"/>
          </w:tcPr>
          <w:p>
            <w:pPr>
              <w:pStyle w:val="DMETW36767BIPCCE"/>
              <w:jc w:val="right"/>
              <w:rPr>
                <w:rFonts w:ascii="Verdana" w:eastAsia="Verdana" w:hAnsi="Verdana" w:cs="Verdana"/>
                <w:noProof/>
                <w:color w:val="FFFFFF"/>
              </w:rPr>
            </w:pPr>
            <w:r>
              <w:rPr>
                <w:rFonts w:ascii="Verdana" w:hAnsi="Verdana"/>
                <w:noProof/>
                <w:color w:val="FFFFFF"/>
              </w:rPr>
              <w:t>31.12.2024</w:t>
            </w:r>
          </w:p>
        </w:tc>
      </w:tr>
      <w:tr>
        <w:trPr>
          <w:trHeight w:hRule="exact" w:val="255"/>
        </w:trPr>
        <w:tc>
          <w:tcPr>
            <w:tcW w:w="5956" w:type="dxa"/>
            <w:tcBorders>
              <w:top w:val="nil"/>
              <w:left w:val="nil"/>
              <w:bottom w:val="nil"/>
              <w:right w:val="nil"/>
              <w:tl2br w:val="nil"/>
              <w:tr2bl w:val="nil"/>
            </w:tcBorders>
            <w:tcMar>
              <w:left w:w="60" w:type="dxa"/>
              <w:right w:w="60" w:type="dxa"/>
            </w:tcMar>
            <w:vAlign w:val="center"/>
          </w:tcPr>
          <w:p>
            <w:pPr>
              <w:pStyle w:val="DMETW36767BIPCCE"/>
              <w:rPr>
                <w:rFonts w:ascii="Verdana" w:eastAsia="Verdana" w:hAnsi="Verdana" w:cs="Verdana"/>
                <w:i/>
                <w:noProof/>
                <w:color w:val="000000"/>
                <w:sz w:val="18"/>
              </w:rPr>
            </w:pPr>
            <w:r>
              <w:rPr>
                <w:rFonts w:ascii="Verdana" w:hAnsi="Verdana"/>
                <w:i/>
                <w:noProof/>
                <w:color w:val="000000"/>
                <w:sz w:val="18"/>
              </w:rPr>
              <w:t>Comptes auprès du Trésor et des banques centrales</w:t>
            </w:r>
          </w:p>
        </w:tc>
        <w:tc>
          <w:tcPr>
            <w:tcW w:w="1226" w:type="dxa"/>
            <w:tcBorders>
              <w:top w:val="nil"/>
              <w:left w:val="nil"/>
              <w:bottom w:val="nil"/>
              <w:right w:val="nil"/>
              <w:tl2br w:val="nil"/>
              <w:tr2bl w:val="nil"/>
            </w:tcBorders>
            <w:tcMar>
              <w:left w:w="60" w:type="dxa"/>
              <w:right w:w="60" w:type="dxa"/>
            </w:tcMar>
            <w:vAlign w:val="center"/>
          </w:tcPr>
          <w:p>
            <w:pPr>
              <w:pStyle w:val="DMETW36767BIPCCE"/>
              <w:jc w:val="center"/>
              <w:rPr>
                <w:rFonts w:ascii="Verdana" w:eastAsia="Verdana" w:hAnsi="Verdana" w:cs="Verdana"/>
                <w:i/>
                <w:noProof/>
                <w:color w:val="000000"/>
                <w:sz w:val="18"/>
              </w:rPr>
            </w:pPr>
          </w:p>
        </w:tc>
        <w:tc>
          <w:tcPr>
            <w:tcW w:w="1288" w:type="dxa"/>
            <w:tcBorders>
              <w:top w:val="nil"/>
              <w:left w:val="nil"/>
              <w:bottom w:val="nil"/>
              <w:right w:val="nil"/>
              <w:tl2br w:val="nil"/>
              <w:tr2bl w:val="nil"/>
            </w:tcBorders>
            <w:tcMar>
              <w:left w:w="60" w:type="dxa"/>
              <w:right w:w="60" w:type="dxa"/>
            </w:tcMar>
            <w:vAlign w:val="center"/>
          </w:tcPr>
          <w:p>
            <w:pPr>
              <w:pStyle w:val="DMETW36767BIPCCE"/>
              <w:jc w:val="right"/>
              <w:rPr>
                <w:rFonts w:ascii="Verdana" w:eastAsia="Verdana" w:hAnsi="Verdana" w:cs="Verdana"/>
                <w:i/>
                <w:noProof/>
                <w:color w:val="000000"/>
                <w:sz w:val="18"/>
              </w:rPr>
            </w:pPr>
            <w:r>
              <w:rPr>
                <w:rFonts w:ascii="Verdana" w:hAnsi="Verdana"/>
                <w:i/>
                <w:noProof/>
                <w:color w:val="000000"/>
                <w:sz w:val="18"/>
              </w:rPr>
              <w:t>31 755</w:t>
            </w:r>
          </w:p>
        </w:tc>
        <w:tc>
          <w:tcPr>
            <w:tcW w:w="1288" w:type="dxa"/>
            <w:tcBorders>
              <w:top w:val="nil"/>
              <w:left w:val="nil"/>
              <w:bottom w:val="nil"/>
              <w:right w:val="nil"/>
              <w:tl2br w:val="nil"/>
              <w:tr2bl w:val="nil"/>
            </w:tcBorders>
            <w:tcMar>
              <w:left w:w="60" w:type="dxa"/>
              <w:right w:w="60" w:type="dxa"/>
            </w:tcMar>
            <w:vAlign w:val="center"/>
          </w:tcPr>
          <w:p>
            <w:pPr>
              <w:pStyle w:val="DMETW36767BIPCCE"/>
              <w:jc w:val="right"/>
              <w:rPr>
                <w:rFonts w:ascii="Verdana" w:eastAsia="Verdana" w:hAnsi="Verdana" w:cs="Verdana"/>
                <w:i/>
                <w:noProof/>
                <w:color w:val="000000"/>
                <w:sz w:val="18"/>
              </w:rPr>
            </w:pPr>
            <w:r>
              <w:rPr>
                <w:rFonts w:ascii="Verdana" w:hAnsi="Verdana"/>
                <w:i/>
                <w:noProof/>
                <w:color w:val="000000"/>
                <w:sz w:val="18"/>
              </w:rPr>
              <w:t>24 059</w:t>
            </w:r>
          </w:p>
        </w:tc>
      </w:tr>
      <w:tr>
        <w:trPr>
          <w:trHeight w:hRule="exact" w:val="255"/>
        </w:trPr>
        <w:tc>
          <w:tcPr>
            <w:tcW w:w="5956" w:type="dxa"/>
            <w:tcBorders>
              <w:top w:val="nil"/>
              <w:left w:val="nil"/>
              <w:bottom w:val="nil"/>
              <w:right w:val="nil"/>
              <w:tl2br w:val="nil"/>
              <w:tr2bl w:val="nil"/>
            </w:tcBorders>
            <w:tcMar>
              <w:left w:w="60" w:type="dxa"/>
              <w:right w:w="60" w:type="dxa"/>
            </w:tcMar>
            <w:vAlign w:val="center"/>
          </w:tcPr>
          <w:p>
            <w:pPr>
              <w:pStyle w:val="DMETW36767BIPCCE"/>
              <w:rPr>
                <w:rFonts w:ascii="Verdana" w:eastAsia="Verdana" w:hAnsi="Verdana" w:cs="Verdana"/>
                <w:i/>
                <w:noProof/>
                <w:color w:val="000000"/>
                <w:sz w:val="18"/>
              </w:rPr>
            </w:pPr>
            <w:r>
              <w:rPr>
                <w:rFonts w:ascii="Verdana" w:hAnsi="Verdana"/>
                <w:i/>
                <w:noProof/>
                <w:color w:val="000000"/>
                <w:sz w:val="18"/>
              </w:rPr>
              <w:t>Comptes courants</w:t>
            </w:r>
          </w:p>
        </w:tc>
        <w:tc>
          <w:tcPr>
            <w:tcW w:w="1226" w:type="dxa"/>
            <w:tcBorders>
              <w:top w:val="nil"/>
              <w:left w:val="nil"/>
              <w:bottom w:val="nil"/>
              <w:right w:val="nil"/>
              <w:tl2br w:val="nil"/>
              <w:tr2bl w:val="nil"/>
            </w:tcBorders>
            <w:tcMar>
              <w:left w:w="60" w:type="dxa"/>
              <w:right w:w="60" w:type="dxa"/>
            </w:tcMar>
            <w:vAlign w:val="center"/>
          </w:tcPr>
          <w:p>
            <w:pPr>
              <w:pStyle w:val="DMETW36767BIPCCE"/>
              <w:jc w:val="center"/>
              <w:rPr>
                <w:rFonts w:ascii="Verdana" w:eastAsia="Verdana" w:hAnsi="Verdana" w:cs="Verdana"/>
                <w:i/>
                <w:noProof/>
                <w:color w:val="000000"/>
                <w:sz w:val="18"/>
              </w:rPr>
            </w:pPr>
          </w:p>
        </w:tc>
        <w:tc>
          <w:tcPr>
            <w:tcW w:w="1288" w:type="dxa"/>
            <w:tcBorders>
              <w:top w:val="nil"/>
              <w:left w:val="nil"/>
              <w:bottom w:val="nil"/>
              <w:right w:val="nil"/>
              <w:tl2br w:val="nil"/>
              <w:tr2bl w:val="nil"/>
            </w:tcBorders>
            <w:tcMar>
              <w:left w:w="60" w:type="dxa"/>
              <w:right w:w="60" w:type="dxa"/>
            </w:tcMar>
            <w:vAlign w:val="center"/>
          </w:tcPr>
          <w:p>
            <w:pPr>
              <w:pStyle w:val="DMETW36767BIPCCE"/>
              <w:jc w:val="right"/>
              <w:rPr>
                <w:rFonts w:ascii="Verdana" w:eastAsia="Verdana" w:hAnsi="Verdana" w:cs="Verdana"/>
                <w:i/>
                <w:noProof/>
                <w:color w:val="000000"/>
                <w:sz w:val="18"/>
              </w:rPr>
            </w:pPr>
            <w:r>
              <w:rPr>
                <w:rFonts w:ascii="Verdana" w:hAnsi="Verdana"/>
                <w:i/>
                <w:noProof/>
                <w:color w:val="000000"/>
                <w:sz w:val="18"/>
              </w:rPr>
              <w:t>1 816</w:t>
            </w:r>
          </w:p>
        </w:tc>
        <w:tc>
          <w:tcPr>
            <w:tcW w:w="1288" w:type="dxa"/>
            <w:tcBorders>
              <w:top w:val="nil"/>
              <w:left w:val="nil"/>
              <w:bottom w:val="nil"/>
              <w:right w:val="nil"/>
              <w:tl2br w:val="nil"/>
              <w:tr2bl w:val="nil"/>
            </w:tcBorders>
            <w:tcMar>
              <w:left w:w="60" w:type="dxa"/>
              <w:right w:w="60" w:type="dxa"/>
            </w:tcMar>
            <w:vAlign w:val="center"/>
          </w:tcPr>
          <w:p>
            <w:pPr>
              <w:pStyle w:val="DMETW36767BIPCCE"/>
              <w:jc w:val="right"/>
              <w:rPr>
                <w:rFonts w:ascii="Verdana" w:eastAsia="Verdana" w:hAnsi="Verdana" w:cs="Verdana"/>
                <w:i/>
                <w:noProof/>
                <w:color w:val="000000"/>
                <w:sz w:val="18"/>
              </w:rPr>
            </w:pPr>
            <w:r>
              <w:rPr>
                <w:rFonts w:ascii="Verdana" w:hAnsi="Verdana"/>
                <w:i/>
                <w:noProof/>
                <w:color w:val="000000"/>
                <w:sz w:val="18"/>
              </w:rPr>
              <w:t xml:space="preserve"> 808</w:t>
            </w:r>
          </w:p>
        </w:tc>
      </w:tr>
      <w:tr>
        <w:trPr>
          <w:trHeight w:hRule="exact" w:val="255"/>
        </w:trPr>
        <w:tc>
          <w:tcPr>
            <w:tcW w:w="5956" w:type="dxa"/>
            <w:tcBorders>
              <w:top w:val="nil"/>
              <w:left w:val="nil"/>
              <w:bottom w:val="nil"/>
              <w:right w:val="nil"/>
              <w:tl2br w:val="nil"/>
              <w:tr2bl w:val="nil"/>
            </w:tcBorders>
            <w:tcMar>
              <w:left w:w="60" w:type="dxa"/>
              <w:right w:w="60" w:type="dxa"/>
            </w:tcMar>
            <w:vAlign w:val="center"/>
          </w:tcPr>
          <w:p>
            <w:pPr>
              <w:pStyle w:val="DMETW36767BIPCCE"/>
              <w:rPr>
                <w:rFonts w:ascii="Verdana" w:eastAsia="Verdana" w:hAnsi="Verdana" w:cs="Verdana"/>
                <w:i/>
                <w:noProof/>
                <w:color w:val="000000"/>
                <w:sz w:val="18"/>
              </w:rPr>
            </w:pPr>
            <w:r>
              <w:rPr>
                <w:rFonts w:ascii="Verdana" w:hAnsi="Verdana"/>
                <w:i/>
                <w:noProof/>
                <w:color w:val="000000"/>
                <w:sz w:val="18"/>
              </w:rPr>
              <w:t>Régies d’avances</w:t>
            </w:r>
          </w:p>
        </w:tc>
        <w:tc>
          <w:tcPr>
            <w:tcW w:w="1226" w:type="dxa"/>
            <w:tcBorders>
              <w:top w:val="nil"/>
              <w:left w:val="nil"/>
              <w:bottom w:val="nil"/>
              <w:right w:val="nil"/>
              <w:tl2br w:val="nil"/>
              <w:tr2bl w:val="nil"/>
            </w:tcBorders>
            <w:tcMar>
              <w:left w:w="60" w:type="dxa"/>
              <w:right w:w="60" w:type="dxa"/>
            </w:tcMar>
            <w:vAlign w:val="center"/>
          </w:tcPr>
          <w:p>
            <w:pPr>
              <w:pStyle w:val="DMETW36767BIPCCE"/>
              <w:jc w:val="center"/>
              <w:rPr>
                <w:rFonts w:ascii="Verdana" w:eastAsia="Verdana" w:hAnsi="Verdana" w:cs="Verdana"/>
                <w:i/>
                <w:noProof/>
                <w:color w:val="000000"/>
                <w:sz w:val="18"/>
              </w:rPr>
            </w:pPr>
          </w:p>
        </w:tc>
        <w:tc>
          <w:tcPr>
            <w:tcW w:w="1288" w:type="dxa"/>
            <w:tcBorders>
              <w:top w:val="nil"/>
              <w:left w:val="nil"/>
              <w:bottom w:val="nil"/>
              <w:right w:val="nil"/>
              <w:tl2br w:val="nil"/>
              <w:tr2bl w:val="nil"/>
            </w:tcBorders>
            <w:tcMar>
              <w:left w:w="60" w:type="dxa"/>
              <w:right w:w="60" w:type="dxa"/>
            </w:tcMar>
            <w:vAlign w:val="center"/>
          </w:tcPr>
          <w:p>
            <w:pPr>
              <w:pStyle w:val="DMETW36767BIPCCE"/>
              <w:jc w:val="right"/>
              <w:rPr>
                <w:rFonts w:ascii="Verdana" w:eastAsia="Verdana" w:hAnsi="Verdana" w:cs="Verdana"/>
                <w:i/>
                <w:noProof/>
                <w:color w:val="000000"/>
                <w:sz w:val="18"/>
              </w:rPr>
            </w:pPr>
            <w:r>
              <w:rPr>
                <w:rFonts w:ascii="Verdana" w:hAnsi="Verdana"/>
                <w:i/>
                <w:noProof/>
                <w:color w:val="000000"/>
                <w:sz w:val="18"/>
              </w:rPr>
              <w:t xml:space="preserve"> 7</w:t>
            </w:r>
          </w:p>
        </w:tc>
        <w:tc>
          <w:tcPr>
            <w:tcW w:w="1288" w:type="dxa"/>
            <w:tcBorders>
              <w:top w:val="nil"/>
              <w:left w:val="nil"/>
              <w:bottom w:val="nil"/>
              <w:right w:val="nil"/>
              <w:tl2br w:val="nil"/>
              <w:tr2bl w:val="nil"/>
            </w:tcBorders>
            <w:tcMar>
              <w:left w:w="60" w:type="dxa"/>
              <w:right w:w="60" w:type="dxa"/>
            </w:tcMar>
            <w:vAlign w:val="center"/>
          </w:tcPr>
          <w:p>
            <w:pPr>
              <w:pStyle w:val="DMETW36767BIPCCE"/>
              <w:jc w:val="right"/>
              <w:rPr>
                <w:rFonts w:ascii="Verdana" w:eastAsia="Verdana" w:hAnsi="Verdana" w:cs="Verdana"/>
                <w:i/>
                <w:noProof/>
                <w:color w:val="000000"/>
                <w:sz w:val="18"/>
              </w:rPr>
            </w:pPr>
            <w:r>
              <w:rPr>
                <w:rFonts w:ascii="Verdana" w:hAnsi="Verdana"/>
                <w:i/>
                <w:noProof/>
                <w:color w:val="000000"/>
                <w:sz w:val="18"/>
              </w:rPr>
              <w:t xml:space="preserve"> 10</w:t>
            </w:r>
          </w:p>
        </w:tc>
      </w:tr>
      <w:tr>
        <w:trPr>
          <w:trHeight w:hRule="exact" w:val="255"/>
        </w:trPr>
        <w:tc>
          <w:tcPr>
            <w:tcW w:w="5956" w:type="dxa"/>
            <w:tcBorders>
              <w:top w:val="nil"/>
              <w:left w:val="nil"/>
              <w:bottom w:val="nil"/>
              <w:right w:val="nil"/>
              <w:tl2br w:val="nil"/>
              <w:tr2bl w:val="nil"/>
            </w:tcBorders>
            <w:tcMar>
              <w:left w:w="60" w:type="dxa"/>
              <w:right w:w="60" w:type="dxa"/>
            </w:tcMar>
            <w:vAlign w:val="center"/>
          </w:tcPr>
          <w:p>
            <w:pPr>
              <w:pStyle w:val="DMETW36767BIPCCE"/>
              <w:rPr>
                <w:rFonts w:ascii="Verdana" w:eastAsia="Verdana" w:hAnsi="Verdana" w:cs="Verdana"/>
                <w:i/>
                <w:noProof/>
                <w:color w:val="000000"/>
                <w:sz w:val="18"/>
              </w:rPr>
            </w:pPr>
            <w:r>
              <w:rPr>
                <w:rFonts w:ascii="Verdana" w:hAnsi="Verdana"/>
                <w:i/>
                <w:noProof/>
                <w:color w:val="000000"/>
                <w:sz w:val="18"/>
              </w:rPr>
              <w:t>Transferts (fonds en transit)</w:t>
            </w:r>
          </w:p>
        </w:tc>
        <w:tc>
          <w:tcPr>
            <w:tcW w:w="1226" w:type="dxa"/>
            <w:tcBorders>
              <w:top w:val="nil"/>
              <w:left w:val="nil"/>
              <w:bottom w:val="nil"/>
              <w:right w:val="nil"/>
              <w:tl2br w:val="nil"/>
              <w:tr2bl w:val="nil"/>
            </w:tcBorders>
            <w:tcMar>
              <w:left w:w="60" w:type="dxa"/>
              <w:right w:w="60" w:type="dxa"/>
            </w:tcMar>
            <w:vAlign w:val="center"/>
          </w:tcPr>
          <w:p>
            <w:pPr>
              <w:pStyle w:val="DMETW36767BIPCCE"/>
              <w:jc w:val="center"/>
              <w:rPr>
                <w:rFonts w:ascii="Verdana" w:eastAsia="Verdana" w:hAnsi="Verdana" w:cs="Verdana"/>
                <w:i/>
                <w:noProof/>
                <w:color w:val="000000"/>
                <w:sz w:val="18"/>
              </w:rPr>
            </w:pPr>
          </w:p>
        </w:tc>
        <w:tc>
          <w:tcPr>
            <w:tcW w:w="1288" w:type="dxa"/>
            <w:tcBorders>
              <w:top w:val="nil"/>
              <w:left w:val="nil"/>
              <w:bottom w:val="nil"/>
              <w:right w:val="nil"/>
              <w:tl2br w:val="nil"/>
              <w:tr2bl w:val="nil"/>
            </w:tcBorders>
            <w:tcMar>
              <w:left w:w="60" w:type="dxa"/>
              <w:right w:w="60" w:type="dxa"/>
            </w:tcMar>
            <w:vAlign w:val="center"/>
          </w:tcPr>
          <w:p>
            <w:pPr>
              <w:pStyle w:val="DMETW36767BIPCCE"/>
              <w:jc w:val="right"/>
              <w:rPr>
                <w:rFonts w:ascii="Verdana" w:eastAsia="Verdana" w:hAnsi="Verdana" w:cs="Verdana"/>
                <w:i/>
                <w:noProof/>
                <w:color w:val="000000"/>
                <w:sz w:val="18"/>
              </w:rPr>
            </w:pPr>
            <w:r>
              <w:rPr>
                <w:rFonts w:ascii="Verdana" w:hAnsi="Verdana"/>
                <w:i/>
                <w:noProof/>
                <w:color w:val="000000"/>
                <w:sz w:val="18"/>
              </w:rPr>
              <w:t xml:space="preserve"> 0</w:t>
            </w:r>
          </w:p>
        </w:tc>
        <w:tc>
          <w:tcPr>
            <w:tcW w:w="1288" w:type="dxa"/>
            <w:tcBorders>
              <w:top w:val="nil"/>
              <w:left w:val="nil"/>
              <w:bottom w:val="nil"/>
              <w:right w:val="nil"/>
              <w:tl2br w:val="nil"/>
              <w:tr2bl w:val="nil"/>
            </w:tcBorders>
            <w:tcMar>
              <w:left w:w="60" w:type="dxa"/>
              <w:right w:w="60" w:type="dxa"/>
            </w:tcMar>
            <w:vAlign w:val="center"/>
          </w:tcPr>
          <w:p>
            <w:pPr>
              <w:pStyle w:val="DMETW36767BIPCCE"/>
              <w:jc w:val="right"/>
              <w:rPr>
                <w:rFonts w:ascii="Verdana" w:eastAsia="Verdana" w:hAnsi="Verdana" w:cs="Verdana"/>
                <w:i/>
                <w:noProof/>
                <w:color w:val="000000"/>
                <w:sz w:val="18"/>
              </w:rPr>
            </w:pPr>
            <w:r>
              <w:rPr>
                <w:rFonts w:ascii="Verdana" w:hAnsi="Verdana"/>
                <w:i/>
                <w:noProof/>
                <w:color w:val="000000"/>
                <w:sz w:val="18"/>
              </w:rPr>
              <w:t>–</w:t>
            </w:r>
          </w:p>
        </w:tc>
      </w:tr>
      <w:tr>
        <w:trPr>
          <w:trHeight w:hRule="exact" w:val="255"/>
        </w:trPr>
        <w:tc>
          <w:tcPr>
            <w:tcW w:w="5956" w:type="dxa"/>
            <w:tcBorders>
              <w:top w:val="nil"/>
              <w:left w:val="nil"/>
              <w:bottom w:val="single" w:sz="4" w:space="0" w:color="016794"/>
              <w:right w:val="nil"/>
              <w:tl2br w:val="nil"/>
              <w:tr2bl w:val="nil"/>
            </w:tcBorders>
            <w:tcMar>
              <w:left w:w="60" w:type="dxa"/>
              <w:right w:w="60" w:type="dxa"/>
            </w:tcMar>
            <w:vAlign w:val="center"/>
          </w:tcPr>
          <w:p>
            <w:pPr>
              <w:pStyle w:val="DMETW36767BIPCCE"/>
              <w:rPr>
                <w:rFonts w:ascii="Verdana" w:eastAsia="Verdana" w:hAnsi="Verdana" w:cs="Verdana"/>
                <w:i/>
                <w:noProof/>
                <w:color w:val="000000"/>
                <w:sz w:val="18"/>
              </w:rPr>
            </w:pPr>
            <w:r>
              <w:rPr>
                <w:rFonts w:ascii="Verdana" w:hAnsi="Verdana"/>
                <w:i/>
                <w:noProof/>
                <w:color w:val="000000"/>
                <w:sz w:val="18"/>
              </w:rPr>
              <w:t>Autres dépôts à terme</w:t>
            </w:r>
          </w:p>
        </w:tc>
        <w:tc>
          <w:tcPr>
            <w:tcW w:w="1226" w:type="dxa"/>
            <w:tcBorders>
              <w:top w:val="nil"/>
              <w:left w:val="nil"/>
              <w:bottom w:val="single" w:sz="4" w:space="0" w:color="016794"/>
              <w:right w:val="nil"/>
              <w:tl2br w:val="nil"/>
              <w:tr2bl w:val="nil"/>
            </w:tcBorders>
            <w:tcMar>
              <w:left w:w="60" w:type="dxa"/>
              <w:right w:w="60" w:type="dxa"/>
            </w:tcMar>
            <w:vAlign w:val="center"/>
          </w:tcPr>
          <w:p>
            <w:pPr>
              <w:pStyle w:val="DMETW36767BIPCCE"/>
              <w:jc w:val="center"/>
              <w:rPr>
                <w:rFonts w:ascii="Verdana" w:eastAsia="Verdana" w:hAnsi="Verdana" w:cs="Verdana"/>
                <w:i/>
                <w:noProof/>
                <w:color w:val="000000"/>
                <w:sz w:val="18"/>
              </w:rPr>
            </w:pPr>
          </w:p>
        </w:tc>
        <w:tc>
          <w:tcPr>
            <w:tcW w:w="1288" w:type="dxa"/>
            <w:tcBorders>
              <w:top w:val="nil"/>
              <w:left w:val="nil"/>
              <w:bottom w:val="single" w:sz="4" w:space="0" w:color="016794"/>
              <w:right w:val="nil"/>
              <w:tl2br w:val="nil"/>
              <w:tr2bl w:val="nil"/>
            </w:tcBorders>
            <w:tcMar>
              <w:left w:w="60" w:type="dxa"/>
              <w:right w:w="60" w:type="dxa"/>
            </w:tcMar>
            <w:vAlign w:val="center"/>
          </w:tcPr>
          <w:p>
            <w:pPr>
              <w:pStyle w:val="DMETW36767BIPCCE"/>
              <w:jc w:val="right"/>
              <w:rPr>
                <w:rFonts w:ascii="Verdana" w:eastAsia="Verdana" w:hAnsi="Verdana" w:cs="Verdana"/>
                <w:i/>
                <w:noProof/>
                <w:color w:val="000000"/>
                <w:sz w:val="18"/>
              </w:rPr>
            </w:pPr>
            <w:r>
              <w:rPr>
                <w:rFonts w:ascii="Verdana" w:hAnsi="Verdana"/>
                <w:i/>
                <w:noProof/>
                <w:color w:val="000000"/>
                <w:sz w:val="18"/>
              </w:rPr>
              <w:t>–</w:t>
            </w:r>
          </w:p>
        </w:tc>
        <w:tc>
          <w:tcPr>
            <w:tcW w:w="1288" w:type="dxa"/>
            <w:tcBorders>
              <w:top w:val="nil"/>
              <w:left w:val="nil"/>
              <w:bottom w:val="single" w:sz="4" w:space="0" w:color="016794"/>
              <w:right w:val="nil"/>
              <w:tl2br w:val="nil"/>
              <w:tr2bl w:val="nil"/>
            </w:tcBorders>
            <w:tcMar>
              <w:left w:w="60" w:type="dxa"/>
              <w:right w:w="60" w:type="dxa"/>
            </w:tcMar>
            <w:vAlign w:val="center"/>
          </w:tcPr>
          <w:p>
            <w:pPr>
              <w:pStyle w:val="DMETW36767BIPCCE"/>
              <w:jc w:val="right"/>
              <w:rPr>
                <w:rFonts w:ascii="Verdana" w:eastAsia="Verdana" w:hAnsi="Verdana" w:cs="Verdana"/>
                <w:i/>
                <w:noProof/>
                <w:color w:val="000000"/>
                <w:sz w:val="18"/>
              </w:rPr>
            </w:pPr>
            <w:r>
              <w:rPr>
                <w:rFonts w:ascii="Verdana" w:hAnsi="Verdana"/>
                <w:i/>
                <w:noProof/>
                <w:color w:val="000000"/>
                <w:sz w:val="18"/>
              </w:rPr>
              <w:t>–</w:t>
            </w:r>
          </w:p>
        </w:tc>
      </w:tr>
      <w:tr>
        <w:trPr>
          <w:trHeight w:hRule="exact" w:val="255"/>
        </w:trPr>
        <w:tc>
          <w:tcPr>
            <w:tcW w:w="595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7BIPCCE"/>
              <w:rPr>
                <w:rFonts w:ascii="Verdana" w:eastAsia="Verdana" w:hAnsi="Verdana" w:cs="Verdana"/>
                <w:b/>
                <w:noProof/>
                <w:color w:val="000000"/>
                <w:sz w:val="18"/>
              </w:rPr>
            </w:pPr>
            <w:r>
              <w:rPr>
                <w:rFonts w:ascii="Verdana" w:hAnsi="Verdana"/>
                <w:b/>
                <w:noProof/>
                <w:color w:val="000000"/>
                <w:sz w:val="18"/>
              </w:rPr>
              <w:t>Comptes bancaires pour l’exécution du budget</w:t>
            </w:r>
          </w:p>
        </w:tc>
        <w:tc>
          <w:tcPr>
            <w:tcW w:w="122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7BIPCCE"/>
              <w:jc w:val="center"/>
              <w:rPr>
                <w:rFonts w:ascii="Verdana" w:eastAsia="Verdana" w:hAnsi="Verdana" w:cs="Verdana"/>
                <w:i/>
                <w:noProof/>
                <w:color w:val="000000"/>
                <w:sz w:val="18"/>
              </w:rPr>
            </w:pPr>
            <w:r>
              <w:rPr>
                <w:rFonts w:ascii="Verdana" w:hAnsi="Verdana"/>
                <w:i/>
                <w:noProof/>
                <w:color w:val="000000"/>
                <w:sz w:val="18"/>
              </w:rPr>
              <w:t>2.8.1</w:t>
            </w:r>
          </w:p>
        </w:tc>
        <w:tc>
          <w:tcPr>
            <w:tcW w:w="128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7BIPCCE"/>
              <w:jc w:val="right"/>
              <w:rPr>
                <w:rFonts w:ascii="Verdana" w:eastAsia="Verdana" w:hAnsi="Verdana" w:cs="Verdana"/>
                <w:b/>
                <w:noProof/>
                <w:color w:val="000000"/>
                <w:sz w:val="18"/>
              </w:rPr>
            </w:pPr>
            <w:r>
              <w:rPr>
                <w:rFonts w:ascii="Verdana" w:hAnsi="Verdana"/>
                <w:b/>
                <w:noProof/>
                <w:color w:val="000000"/>
                <w:sz w:val="18"/>
              </w:rPr>
              <w:t>33 579</w:t>
            </w:r>
          </w:p>
        </w:tc>
        <w:tc>
          <w:tcPr>
            <w:tcW w:w="128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7BIPCCE"/>
              <w:jc w:val="right"/>
              <w:rPr>
                <w:rFonts w:ascii="Verdana" w:eastAsia="Verdana" w:hAnsi="Verdana" w:cs="Verdana"/>
                <w:b/>
                <w:noProof/>
                <w:color w:val="000000"/>
                <w:sz w:val="18"/>
              </w:rPr>
            </w:pPr>
            <w:r>
              <w:rPr>
                <w:rFonts w:ascii="Verdana" w:hAnsi="Verdana"/>
                <w:b/>
                <w:noProof/>
                <w:color w:val="000000"/>
                <w:sz w:val="18"/>
              </w:rPr>
              <w:t>24 877</w:t>
            </w:r>
          </w:p>
        </w:tc>
      </w:tr>
      <w:tr>
        <w:trPr>
          <w:trHeight w:hRule="exact" w:val="255"/>
        </w:trPr>
        <w:tc>
          <w:tcPr>
            <w:tcW w:w="5956" w:type="dxa"/>
            <w:tcBorders>
              <w:top w:val="single" w:sz="4" w:space="0" w:color="016794"/>
              <w:left w:val="nil"/>
              <w:bottom w:val="nil"/>
              <w:right w:val="nil"/>
              <w:tl2br w:val="nil"/>
              <w:tr2bl w:val="nil"/>
            </w:tcBorders>
            <w:tcMar>
              <w:left w:w="60" w:type="dxa"/>
              <w:right w:w="60" w:type="dxa"/>
            </w:tcMar>
            <w:vAlign w:val="center"/>
          </w:tcPr>
          <w:p>
            <w:pPr>
              <w:pStyle w:val="DMETW36767BIPCCE"/>
              <w:rPr>
                <w:rFonts w:ascii="Verdana" w:eastAsia="Verdana" w:hAnsi="Verdana" w:cs="Verdana"/>
                <w:i/>
                <w:noProof/>
                <w:color w:val="000000"/>
                <w:sz w:val="18"/>
              </w:rPr>
            </w:pPr>
            <w:r>
              <w:rPr>
                <w:rFonts w:ascii="Verdana" w:hAnsi="Verdana"/>
                <w:i/>
                <w:noProof/>
                <w:color w:val="000000"/>
                <w:sz w:val="18"/>
              </w:rPr>
              <w:t>Comptes auprès des banques centrales</w:t>
            </w:r>
          </w:p>
        </w:tc>
        <w:tc>
          <w:tcPr>
            <w:tcW w:w="1226" w:type="dxa"/>
            <w:tcBorders>
              <w:top w:val="single" w:sz="4" w:space="0" w:color="016794"/>
              <w:left w:val="nil"/>
              <w:bottom w:val="nil"/>
              <w:right w:val="nil"/>
              <w:tl2br w:val="nil"/>
              <w:tr2bl w:val="nil"/>
            </w:tcBorders>
            <w:tcMar>
              <w:left w:w="60" w:type="dxa"/>
              <w:right w:w="60" w:type="dxa"/>
            </w:tcMar>
            <w:vAlign w:val="bottom"/>
          </w:tcPr>
          <w:p>
            <w:pPr>
              <w:pStyle w:val="DMETW36767BIPCCE"/>
              <w:rPr>
                <w:rFonts w:cs="Calibri"/>
                <w:noProof/>
                <w:color w:val="000000"/>
                <w:sz w:val="22"/>
              </w:rPr>
            </w:pPr>
          </w:p>
        </w:tc>
        <w:tc>
          <w:tcPr>
            <w:tcW w:w="1288" w:type="dxa"/>
            <w:tcBorders>
              <w:top w:val="single" w:sz="4" w:space="0" w:color="016794"/>
              <w:left w:val="nil"/>
              <w:bottom w:val="nil"/>
              <w:right w:val="nil"/>
              <w:tl2br w:val="nil"/>
              <w:tr2bl w:val="nil"/>
            </w:tcBorders>
            <w:tcMar>
              <w:left w:w="60" w:type="dxa"/>
              <w:right w:w="60" w:type="dxa"/>
            </w:tcMar>
            <w:vAlign w:val="center"/>
          </w:tcPr>
          <w:p>
            <w:pPr>
              <w:pStyle w:val="DMETW36767BIPCCE"/>
              <w:jc w:val="right"/>
              <w:rPr>
                <w:rFonts w:ascii="Verdana" w:eastAsia="Verdana" w:hAnsi="Verdana" w:cs="Verdana"/>
                <w:i/>
                <w:noProof/>
                <w:color w:val="000000"/>
                <w:sz w:val="18"/>
              </w:rPr>
            </w:pPr>
            <w:r>
              <w:rPr>
                <w:rFonts w:ascii="Verdana" w:hAnsi="Verdana"/>
                <w:i/>
                <w:noProof/>
                <w:color w:val="000000"/>
                <w:sz w:val="18"/>
              </w:rPr>
              <w:t>23 596</w:t>
            </w:r>
          </w:p>
        </w:tc>
        <w:tc>
          <w:tcPr>
            <w:tcW w:w="1288" w:type="dxa"/>
            <w:tcBorders>
              <w:top w:val="single" w:sz="4" w:space="0" w:color="016794"/>
              <w:left w:val="nil"/>
              <w:bottom w:val="nil"/>
              <w:right w:val="nil"/>
              <w:tl2br w:val="nil"/>
              <w:tr2bl w:val="nil"/>
            </w:tcBorders>
            <w:tcMar>
              <w:left w:w="60" w:type="dxa"/>
              <w:right w:w="60" w:type="dxa"/>
            </w:tcMar>
            <w:vAlign w:val="center"/>
          </w:tcPr>
          <w:p>
            <w:pPr>
              <w:pStyle w:val="DMETW36767BIPCCE"/>
              <w:jc w:val="right"/>
              <w:rPr>
                <w:rFonts w:ascii="Verdana" w:eastAsia="Verdana" w:hAnsi="Verdana" w:cs="Verdana"/>
                <w:i/>
                <w:noProof/>
                <w:color w:val="000000"/>
                <w:sz w:val="18"/>
              </w:rPr>
            </w:pPr>
            <w:r>
              <w:rPr>
                <w:rFonts w:ascii="Verdana" w:hAnsi="Verdana"/>
                <w:i/>
                <w:noProof/>
                <w:color w:val="000000"/>
                <w:sz w:val="18"/>
              </w:rPr>
              <w:t>33 926</w:t>
            </w:r>
          </w:p>
        </w:tc>
      </w:tr>
      <w:tr>
        <w:trPr>
          <w:trHeight w:hRule="exact" w:val="255"/>
        </w:trPr>
        <w:tc>
          <w:tcPr>
            <w:tcW w:w="5956" w:type="dxa"/>
            <w:tcBorders>
              <w:top w:val="nil"/>
              <w:left w:val="nil"/>
              <w:bottom w:val="nil"/>
              <w:right w:val="nil"/>
              <w:tl2br w:val="nil"/>
              <w:tr2bl w:val="nil"/>
            </w:tcBorders>
            <w:tcMar>
              <w:left w:w="60" w:type="dxa"/>
              <w:right w:w="60" w:type="dxa"/>
            </w:tcMar>
            <w:vAlign w:val="center"/>
          </w:tcPr>
          <w:p>
            <w:pPr>
              <w:pStyle w:val="DMETW36767BIPCCE"/>
              <w:rPr>
                <w:rFonts w:ascii="Verdana" w:eastAsia="Verdana" w:hAnsi="Verdana" w:cs="Verdana"/>
                <w:i/>
                <w:noProof/>
                <w:color w:val="000000"/>
                <w:sz w:val="18"/>
              </w:rPr>
            </w:pPr>
            <w:r>
              <w:rPr>
                <w:rFonts w:ascii="Verdana" w:hAnsi="Verdana"/>
                <w:i/>
                <w:noProof/>
                <w:color w:val="000000"/>
                <w:sz w:val="18"/>
              </w:rPr>
              <w:t>Dépôts à terme</w:t>
            </w:r>
          </w:p>
        </w:tc>
        <w:tc>
          <w:tcPr>
            <w:tcW w:w="1226" w:type="dxa"/>
            <w:tcBorders>
              <w:top w:val="nil"/>
              <w:left w:val="nil"/>
              <w:bottom w:val="nil"/>
              <w:right w:val="nil"/>
              <w:tl2br w:val="nil"/>
              <w:tr2bl w:val="nil"/>
            </w:tcBorders>
            <w:tcMar>
              <w:left w:w="60" w:type="dxa"/>
              <w:right w:w="60" w:type="dxa"/>
            </w:tcMar>
            <w:vAlign w:val="bottom"/>
          </w:tcPr>
          <w:p>
            <w:pPr>
              <w:pStyle w:val="DMETW36767BIPCCE"/>
              <w:rPr>
                <w:rFonts w:cs="Calibri"/>
                <w:noProof/>
                <w:color w:val="000000"/>
                <w:sz w:val="22"/>
              </w:rPr>
            </w:pPr>
          </w:p>
        </w:tc>
        <w:tc>
          <w:tcPr>
            <w:tcW w:w="1288" w:type="dxa"/>
            <w:tcBorders>
              <w:top w:val="nil"/>
              <w:left w:val="nil"/>
              <w:bottom w:val="nil"/>
              <w:right w:val="nil"/>
              <w:tl2br w:val="nil"/>
              <w:tr2bl w:val="nil"/>
            </w:tcBorders>
            <w:tcMar>
              <w:left w:w="60" w:type="dxa"/>
              <w:right w:w="60" w:type="dxa"/>
            </w:tcMar>
            <w:vAlign w:val="center"/>
          </w:tcPr>
          <w:p>
            <w:pPr>
              <w:pStyle w:val="DMETW36767BIPCCE"/>
              <w:jc w:val="right"/>
              <w:rPr>
                <w:rFonts w:ascii="Verdana" w:eastAsia="Verdana" w:hAnsi="Verdana" w:cs="Verdana"/>
                <w:i/>
                <w:noProof/>
                <w:color w:val="000000"/>
                <w:sz w:val="18"/>
              </w:rPr>
            </w:pPr>
            <w:r>
              <w:rPr>
                <w:rFonts w:ascii="Verdana" w:hAnsi="Verdana"/>
                <w:i/>
                <w:noProof/>
                <w:color w:val="000000"/>
                <w:sz w:val="18"/>
              </w:rPr>
              <w:t>23 516</w:t>
            </w:r>
          </w:p>
        </w:tc>
        <w:tc>
          <w:tcPr>
            <w:tcW w:w="1288" w:type="dxa"/>
            <w:tcBorders>
              <w:top w:val="nil"/>
              <w:left w:val="nil"/>
              <w:bottom w:val="nil"/>
              <w:right w:val="nil"/>
              <w:tl2br w:val="nil"/>
              <w:tr2bl w:val="nil"/>
            </w:tcBorders>
            <w:tcMar>
              <w:left w:w="60" w:type="dxa"/>
              <w:right w:w="60" w:type="dxa"/>
            </w:tcMar>
            <w:vAlign w:val="center"/>
          </w:tcPr>
          <w:p>
            <w:pPr>
              <w:pStyle w:val="DMETW36767BIPCCE"/>
              <w:jc w:val="right"/>
              <w:rPr>
                <w:rFonts w:ascii="Verdana" w:eastAsia="Verdana" w:hAnsi="Verdana" w:cs="Verdana"/>
                <w:i/>
                <w:noProof/>
                <w:color w:val="000000"/>
                <w:sz w:val="18"/>
              </w:rPr>
            </w:pPr>
            <w:r>
              <w:rPr>
                <w:rFonts w:ascii="Verdana" w:hAnsi="Verdana"/>
                <w:i/>
                <w:noProof/>
                <w:color w:val="000000"/>
                <w:sz w:val="18"/>
              </w:rPr>
              <w:t>–</w:t>
            </w:r>
          </w:p>
        </w:tc>
      </w:tr>
      <w:tr>
        <w:trPr>
          <w:trHeight w:hRule="exact" w:val="255"/>
        </w:trPr>
        <w:tc>
          <w:tcPr>
            <w:tcW w:w="5956" w:type="dxa"/>
            <w:tcBorders>
              <w:top w:val="nil"/>
              <w:left w:val="nil"/>
              <w:bottom w:val="single" w:sz="4" w:space="0" w:color="016794"/>
              <w:right w:val="nil"/>
              <w:tl2br w:val="nil"/>
              <w:tr2bl w:val="nil"/>
            </w:tcBorders>
            <w:tcMar>
              <w:left w:w="60" w:type="dxa"/>
              <w:right w:w="60" w:type="dxa"/>
            </w:tcMar>
            <w:vAlign w:val="center"/>
          </w:tcPr>
          <w:p>
            <w:pPr>
              <w:pStyle w:val="DMETW36767BIPCCE"/>
              <w:rPr>
                <w:rFonts w:ascii="Verdana" w:eastAsia="Verdana" w:hAnsi="Verdana" w:cs="Verdana"/>
                <w:i/>
                <w:noProof/>
                <w:color w:val="000000"/>
                <w:sz w:val="18"/>
              </w:rPr>
            </w:pPr>
            <w:r>
              <w:rPr>
                <w:rFonts w:ascii="Verdana" w:hAnsi="Verdana"/>
                <w:i/>
                <w:noProof/>
                <w:color w:val="000000"/>
                <w:sz w:val="18"/>
              </w:rPr>
              <w:t>Opérations de prise en pension</w:t>
            </w:r>
          </w:p>
        </w:tc>
        <w:tc>
          <w:tcPr>
            <w:tcW w:w="1226" w:type="dxa"/>
            <w:tcBorders>
              <w:top w:val="nil"/>
              <w:left w:val="nil"/>
              <w:bottom w:val="single" w:sz="4" w:space="0" w:color="016794"/>
              <w:right w:val="nil"/>
              <w:tl2br w:val="nil"/>
              <w:tr2bl w:val="nil"/>
            </w:tcBorders>
            <w:tcMar>
              <w:left w:w="60" w:type="dxa"/>
              <w:right w:w="60" w:type="dxa"/>
            </w:tcMar>
            <w:vAlign w:val="bottom"/>
          </w:tcPr>
          <w:p>
            <w:pPr>
              <w:pStyle w:val="DMETW36767BIPCCE"/>
              <w:rPr>
                <w:rFonts w:cs="Calibri"/>
                <w:noProof/>
                <w:color w:val="000000"/>
                <w:sz w:val="22"/>
              </w:rPr>
            </w:pPr>
          </w:p>
        </w:tc>
        <w:tc>
          <w:tcPr>
            <w:tcW w:w="1288" w:type="dxa"/>
            <w:tcBorders>
              <w:top w:val="nil"/>
              <w:left w:val="nil"/>
              <w:bottom w:val="single" w:sz="4" w:space="0" w:color="016794"/>
              <w:right w:val="nil"/>
              <w:tl2br w:val="nil"/>
              <w:tr2bl w:val="nil"/>
            </w:tcBorders>
            <w:tcMar>
              <w:left w:w="60" w:type="dxa"/>
              <w:right w:w="60" w:type="dxa"/>
            </w:tcMar>
            <w:vAlign w:val="center"/>
          </w:tcPr>
          <w:p>
            <w:pPr>
              <w:pStyle w:val="DMETW36767BIPCCE"/>
              <w:jc w:val="right"/>
              <w:rPr>
                <w:rFonts w:ascii="Verdana" w:eastAsia="Verdana" w:hAnsi="Verdana" w:cs="Verdana"/>
                <w:i/>
                <w:noProof/>
                <w:color w:val="000000"/>
                <w:sz w:val="18"/>
              </w:rPr>
            </w:pPr>
            <w:r>
              <w:rPr>
                <w:rFonts w:ascii="Verdana" w:hAnsi="Verdana"/>
                <w:i/>
                <w:noProof/>
                <w:color w:val="000000"/>
                <w:sz w:val="18"/>
              </w:rPr>
              <w:t>18 115</w:t>
            </w:r>
          </w:p>
        </w:tc>
        <w:tc>
          <w:tcPr>
            <w:tcW w:w="1288" w:type="dxa"/>
            <w:tcBorders>
              <w:top w:val="nil"/>
              <w:left w:val="nil"/>
              <w:bottom w:val="single" w:sz="4" w:space="0" w:color="016794"/>
              <w:right w:val="nil"/>
              <w:tl2br w:val="nil"/>
              <w:tr2bl w:val="nil"/>
            </w:tcBorders>
            <w:tcMar>
              <w:left w:w="60" w:type="dxa"/>
              <w:right w:w="60" w:type="dxa"/>
            </w:tcMar>
            <w:vAlign w:val="center"/>
          </w:tcPr>
          <w:p>
            <w:pPr>
              <w:pStyle w:val="DMETW36767BIPCCE"/>
              <w:jc w:val="right"/>
              <w:rPr>
                <w:rFonts w:ascii="Verdana" w:eastAsia="Verdana" w:hAnsi="Verdana" w:cs="Verdana"/>
                <w:i/>
                <w:noProof/>
                <w:color w:val="000000"/>
                <w:sz w:val="18"/>
              </w:rPr>
            </w:pPr>
            <w:r>
              <w:rPr>
                <w:rFonts w:ascii="Verdana" w:hAnsi="Verdana"/>
                <w:i/>
                <w:noProof/>
                <w:color w:val="000000"/>
                <w:sz w:val="18"/>
              </w:rPr>
              <w:t>–</w:t>
            </w:r>
          </w:p>
        </w:tc>
      </w:tr>
      <w:tr>
        <w:trPr>
          <w:trHeight w:hRule="exact" w:val="255"/>
        </w:trPr>
        <w:tc>
          <w:tcPr>
            <w:tcW w:w="595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7BIPCCE"/>
              <w:rPr>
                <w:rFonts w:ascii="Verdana" w:eastAsia="Verdana" w:hAnsi="Verdana" w:cs="Verdana"/>
                <w:b/>
                <w:noProof/>
                <w:color w:val="000000"/>
                <w:sz w:val="18"/>
              </w:rPr>
            </w:pPr>
            <w:r>
              <w:rPr>
                <w:rFonts w:ascii="Verdana" w:hAnsi="Verdana"/>
                <w:b/>
                <w:noProof/>
                <w:color w:val="000000"/>
                <w:sz w:val="18"/>
              </w:rPr>
              <w:t>Liquidité pour un financement unifié</w:t>
            </w:r>
          </w:p>
        </w:tc>
        <w:tc>
          <w:tcPr>
            <w:tcW w:w="122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7BIPCCE"/>
              <w:jc w:val="center"/>
              <w:rPr>
                <w:rFonts w:ascii="Verdana" w:eastAsia="Verdana" w:hAnsi="Verdana" w:cs="Verdana"/>
                <w:i/>
                <w:noProof/>
                <w:color w:val="000000"/>
                <w:sz w:val="18"/>
              </w:rPr>
            </w:pPr>
            <w:r>
              <w:rPr>
                <w:rFonts w:ascii="Verdana" w:hAnsi="Verdana"/>
                <w:i/>
                <w:noProof/>
                <w:color w:val="000000"/>
                <w:sz w:val="18"/>
              </w:rPr>
              <w:t>2.8.2</w:t>
            </w:r>
          </w:p>
        </w:tc>
        <w:tc>
          <w:tcPr>
            <w:tcW w:w="128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7BIPCCE"/>
              <w:jc w:val="right"/>
              <w:rPr>
                <w:rFonts w:ascii="Verdana" w:eastAsia="Verdana" w:hAnsi="Verdana" w:cs="Verdana"/>
                <w:b/>
                <w:noProof/>
                <w:color w:val="000000"/>
                <w:sz w:val="18"/>
              </w:rPr>
            </w:pPr>
            <w:r>
              <w:rPr>
                <w:rFonts w:ascii="Verdana" w:hAnsi="Verdana"/>
                <w:b/>
                <w:noProof/>
                <w:color w:val="000000"/>
                <w:sz w:val="18"/>
              </w:rPr>
              <w:t>65 227</w:t>
            </w:r>
          </w:p>
        </w:tc>
        <w:tc>
          <w:tcPr>
            <w:tcW w:w="128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7BIPCCE"/>
              <w:jc w:val="right"/>
              <w:rPr>
                <w:rFonts w:ascii="Verdana" w:eastAsia="Verdana" w:hAnsi="Verdana" w:cs="Verdana"/>
                <w:b/>
                <w:noProof/>
                <w:color w:val="000000"/>
                <w:sz w:val="18"/>
              </w:rPr>
            </w:pPr>
            <w:r>
              <w:rPr>
                <w:rFonts w:ascii="Verdana" w:hAnsi="Verdana"/>
                <w:b/>
                <w:noProof/>
                <w:color w:val="000000"/>
                <w:sz w:val="18"/>
              </w:rPr>
              <w:t>33 926</w:t>
            </w:r>
          </w:p>
        </w:tc>
      </w:tr>
      <w:tr>
        <w:trPr>
          <w:trHeight w:hRule="exact" w:val="315"/>
        </w:trPr>
        <w:tc>
          <w:tcPr>
            <w:tcW w:w="595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7BIPCCE"/>
              <w:rPr>
                <w:rFonts w:ascii="Verdana" w:eastAsia="Verdana" w:hAnsi="Verdana" w:cs="Verdana"/>
                <w:b/>
                <w:noProof/>
                <w:color w:val="000000"/>
                <w:sz w:val="18"/>
              </w:rPr>
            </w:pPr>
            <w:r>
              <w:rPr>
                <w:rFonts w:ascii="Verdana" w:hAnsi="Verdana"/>
                <w:b/>
                <w:noProof/>
                <w:color w:val="000000"/>
                <w:sz w:val="18"/>
              </w:rPr>
              <w:t>Instruments financiers</w:t>
            </w:r>
          </w:p>
        </w:tc>
        <w:tc>
          <w:tcPr>
            <w:tcW w:w="122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7BIPCCE"/>
              <w:jc w:val="center"/>
              <w:rPr>
                <w:rFonts w:ascii="Verdana" w:eastAsia="Verdana" w:hAnsi="Verdana" w:cs="Verdana"/>
                <w:i/>
                <w:noProof/>
                <w:color w:val="000000"/>
                <w:sz w:val="18"/>
              </w:rPr>
            </w:pPr>
            <w:r>
              <w:rPr>
                <w:rFonts w:ascii="Verdana" w:hAnsi="Verdana"/>
                <w:i/>
                <w:noProof/>
                <w:color w:val="000000"/>
                <w:sz w:val="18"/>
              </w:rPr>
              <w:t>2.8.3</w:t>
            </w:r>
          </w:p>
        </w:tc>
        <w:tc>
          <w:tcPr>
            <w:tcW w:w="128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7BIPCCE"/>
              <w:jc w:val="right"/>
              <w:rPr>
                <w:rFonts w:ascii="Verdana" w:eastAsia="Verdana" w:hAnsi="Verdana" w:cs="Verdana"/>
                <w:b/>
                <w:noProof/>
                <w:color w:val="000000"/>
                <w:sz w:val="18"/>
              </w:rPr>
            </w:pPr>
            <w:r>
              <w:rPr>
                <w:rFonts w:ascii="Verdana" w:hAnsi="Verdana"/>
                <w:b/>
                <w:noProof/>
                <w:color w:val="000000"/>
                <w:sz w:val="18"/>
              </w:rPr>
              <w:t>2 975</w:t>
            </w:r>
          </w:p>
        </w:tc>
        <w:tc>
          <w:tcPr>
            <w:tcW w:w="128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7BIPCCE"/>
              <w:jc w:val="right"/>
              <w:rPr>
                <w:rFonts w:ascii="Verdana" w:eastAsia="Verdana" w:hAnsi="Verdana" w:cs="Verdana"/>
                <w:b/>
                <w:noProof/>
                <w:color w:val="000000"/>
                <w:sz w:val="18"/>
              </w:rPr>
            </w:pPr>
            <w:r>
              <w:rPr>
                <w:rFonts w:ascii="Verdana" w:hAnsi="Verdana"/>
                <w:b/>
                <w:noProof/>
                <w:color w:val="000000"/>
                <w:sz w:val="18"/>
              </w:rPr>
              <w:t>2 758</w:t>
            </w:r>
          </w:p>
        </w:tc>
      </w:tr>
      <w:tr>
        <w:trPr>
          <w:trHeight w:hRule="exact" w:val="300"/>
        </w:trPr>
        <w:tc>
          <w:tcPr>
            <w:tcW w:w="595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7BIPCCE"/>
              <w:rPr>
                <w:rFonts w:ascii="Verdana" w:eastAsia="Verdana" w:hAnsi="Verdana" w:cs="Verdana"/>
                <w:b/>
                <w:noProof/>
                <w:color w:val="000000"/>
                <w:sz w:val="18"/>
              </w:rPr>
            </w:pPr>
            <w:r>
              <w:rPr>
                <w:rFonts w:ascii="Verdana" w:hAnsi="Verdana"/>
                <w:b/>
                <w:noProof/>
                <w:color w:val="000000"/>
                <w:sz w:val="18"/>
              </w:rPr>
              <w:t>Amendes</w:t>
            </w:r>
          </w:p>
        </w:tc>
        <w:tc>
          <w:tcPr>
            <w:tcW w:w="122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7BIPCCE"/>
              <w:jc w:val="center"/>
              <w:rPr>
                <w:rFonts w:ascii="Verdana" w:eastAsia="Verdana" w:hAnsi="Verdana" w:cs="Verdana"/>
                <w:i/>
                <w:noProof/>
                <w:color w:val="000000"/>
                <w:sz w:val="18"/>
              </w:rPr>
            </w:pPr>
            <w:r>
              <w:rPr>
                <w:rFonts w:ascii="Verdana" w:hAnsi="Verdana"/>
                <w:i/>
                <w:noProof/>
                <w:color w:val="000000"/>
                <w:sz w:val="18"/>
              </w:rPr>
              <w:t>2.8.4</w:t>
            </w:r>
          </w:p>
        </w:tc>
        <w:tc>
          <w:tcPr>
            <w:tcW w:w="128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7BIPCCE"/>
              <w:jc w:val="right"/>
              <w:rPr>
                <w:rFonts w:ascii="Verdana" w:eastAsia="Verdana" w:hAnsi="Verdana" w:cs="Verdana"/>
                <w:b/>
                <w:noProof/>
                <w:color w:val="000000"/>
                <w:sz w:val="18"/>
              </w:rPr>
            </w:pPr>
            <w:r>
              <w:rPr>
                <w:rFonts w:ascii="Verdana" w:hAnsi="Verdana"/>
                <w:b/>
                <w:noProof/>
                <w:color w:val="000000"/>
                <w:sz w:val="18"/>
              </w:rPr>
              <w:t xml:space="preserve"> 237</w:t>
            </w:r>
          </w:p>
        </w:tc>
        <w:tc>
          <w:tcPr>
            <w:tcW w:w="128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7BIPCCE"/>
              <w:jc w:val="right"/>
              <w:rPr>
                <w:rFonts w:ascii="Verdana" w:eastAsia="Verdana" w:hAnsi="Verdana" w:cs="Verdana"/>
                <w:b/>
                <w:noProof/>
                <w:color w:val="000000"/>
                <w:sz w:val="18"/>
              </w:rPr>
            </w:pPr>
            <w:r>
              <w:rPr>
                <w:rFonts w:ascii="Verdana" w:hAnsi="Verdana"/>
                <w:b/>
                <w:noProof/>
                <w:color w:val="000000"/>
                <w:sz w:val="18"/>
              </w:rPr>
              <w:t xml:space="preserve"> 134</w:t>
            </w:r>
          </w:p>
        </w:tc>
      </w:tr>
      <w:tr>
        <w:trPr>
          <w:trHeight w:hRule="exact" w:val="300"/>
        </w:trPr>
        <w:tc>
          <w:tcPr>
            <w:tcW w:w="595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7BIPCCE"/>
              <w:rPr>
                <w:rFonts w:ascii="Verdana" w:eastAsia="Verdana" w:hAnsi="Verdana" w:cs="Verdana"/>
                <w:b/>
                <w:noProof/>
                <w:color w:val="000000"/>
                <w:sz w:val="18"/>
              </w:rPr>
            </w:pPr>
            <w:r>
              <w:rPr>
                <w:rFonts w:ascii="Verdana" w:hAnsi="Verdana"/>
                <w:b/>
                <w:noProof/>
                <w:color w:val="000000"/>
                <w:sz w:val="18"/>
              </w:rPr>
              <w:t>Autres institutions, agences et organes</w:t>
            </w:r>
          </w:p>
        </w:tc>
        <w:tc>
          <w:tcPr>
            <w:tcW w:w="122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7BIPCCE"/>
              <w:jc w:val="center"/>
              <w:rPr>
                <w:rFonts w:ascii="Verdana" w:eastAsia="Verdana" w:hAnsi="Verdana" w:cs="Verdana"/>
                <w:i/>
                <w:noProof/>
                <w:color w:val="000000"/>
                <w:sz w:val="18"/>
              </w:rPr>
            </w:pPr>
          </w:p>
        </w:tc>
        <w:tc>
          <w:tcPr>
            <w:tcW w:w="128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7BIPCCE"/>
              <w:jc w:val="right"/>
              <w:rPr>
                <w:rFonts w:ascii="Verdana" w:eastAsia="Verdana" w:hAnsi="Verdana" w:cs="Verdana"/>
                <w:b/>
                <w:noProof/>
                <w:color w:val="000000"/>
                <w:sz w:val="18"/>
              </w:rPr>
            </w:pPr>
            <w:r>
              <w:rPr>
                <w:rFonts w:ascii="Verdana" w:hAnsi="Verdana"/>
                <w:b/>
                <w:noProof/>
                <w:color w:val="000000"/>
                <w:sz w:val="18"/>
              </w:rPr>
              <w:t xml:space="preserve"> 988</w:t>
            </w:r>
          </w:p>
        </w:tc>
        <w:tc>
          <w:tcPr>
            <w:tcW w:w="128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7BIPCCE"/>
              <w:jc w:val="right"/>
              <w:rPr>
                <w:rFonts w:ascii="Verdana" w:eastAsia="Verdana" w:hAnsi="Verdana" w:cs="Verdana"/>
                <w:b/>
                <w:noProof/>
                <w:color w:val="000000"/>
                <w:sz w:val="18"/>
              </w:rPr>
            </w:pPr>
            <w:r>
              <w:rPr>
                <w:rFonts w:ascii="Verdana" w:hAnsi="Verdana"/>
                <w:b/>
                <w:noProof/>
                <w:color w:val="000000"/>
                <w:sz w:val="18"/>
              </w:rPr>
              <w:t>1 439</w:t>
            </w:r>
          </w:p>
        </w:tc>
      </w:tr>
      <w:tr>
        <w:trPr>
          <w:trHeight w:hRule="exact" w:val="300"/>
        </w:trPr>
        <w:tc>
          <w:tcPr>
            <w:tcW w:w="5956" w:type="dxa"/>
            <w:tcBorders>
              <w:top w:val="single" w:sz="4" w:space="0" w:color="016794"/>
              <w:left w:val="nil"/>
              <w:bottom w:val="nil"/>
              <w:right w:val="nil"/>
              <w:tl2br w:val="nil"/>
              <w:tr2bl w:val="nil"/>
            </w:tcBorders>
            <w:tcMar>
              <w:left w:w="60" w:type="dxa"/>
              <w:right w:w="60" w:type="dxa"/>
            </w:tcMar>
            <w:vAlign w:val="center"/>
          </w:tcPr>
          <w:p>
            <w:pPr>
              <w:pStyle w:val="DMETW36767BIPCCE"/>
              <w:rPr>
                <w:rFonts w:ascii="Verdana" w:eastAsia="Verdana" w:hAnsi="Verdana" w:cs="Verdana"/>
                <w:b/>
                <w:noProof/>
                <w:color w:val="000000"/>
                <w:sz w:val="18"/>
              </w:rPr>
            </w:pPr>
            <w:r>
              <w:rPr>
                <w:rFonts w:ascii="Verdana" w:hAnsi="Verdana"/>
                <w:b/>
                <w:noProof/>
                <w:color w:val="000000"/>
                <w:sz w:val="18"/>
              </w:rPr>
              <w:t>Fonds fiduciaires</w:t>
            </w:r>
          </w:p>
        </w:tc>
        <w:tc>
          <w:tcPr>
            <w:tcW w:w="1226" w:type="dxa"/>
            <w:tcBorders>
              <w:top w:val="single" w:sz="4" w:space="0" w:color="016794"/>
              <w:left w:val="nil"/>
              <w:bottom w:val="nil"/>
              <w:right w:val="nil"/>
              <w:tl2br w:val="nil"/>
              <w:tr2bl w:val="nil"/>
            </w:tcBorders>
            <w:tcMar>
              <w:left w:w="60" w:type="dxa"/>
              <w:right w:w="60" w:type="dxa"/>
            </w:tcMar>
            <w:vAlign w:val="center"/>
          </w:tcPr>
          <w:p>
            <w:pPr>
              <w:pStyle w:val="DMETW36767BIPCCE"/>
              <w:jc w:val="center"/>
              <w:rPr>
                <w:rFonts w:ascii="Verdana" w:eastAsia="Verdana" w:hAnsi="Verdana" w:cs="Verdana"/>
                <w:i/>
                <w:noProof/>
                <w:color w:val="000000"/>
                <w:sz w:val="18"/>
              </w:rPr>
            </w:pPr>
          </w:p>
        </w:tc>
        <w:tc>
          <w:tcPr>
            <w:tcW w:w="1288" w:type="dxa"/>
            <w:tcBorders>
              <w:top w:val="single" w:sz="4" w:space="0" w:color="016794"/>
              <w:left w:val="nil"/>
              <w:bottom w:val="nil"/>
              <w:right w:val="nil"/>
              <w:tl2br w:val="nil"/>
              <w:tr2bl w:val="nil"/>
            </w:tcBorders>
            <w:tcMar>
              <w:left w:w="60" w:type="dxa"/>
              <w:right w:w="60" w:type="dxa"/>
            </w:tcMar>
            <w:vAlign w:val="center"/>
          </w:tcPr>
          <w:p>
            <w:pPr>
              <w:pStyle w:val="DMETW36767BIPCCE"/>
              <w:jc w:val="right"/>
              <w:rPr>
                <w:rFonts w:ascii="Verdana" w:eastAsia="Verdana" w:hAnsi="Verdana" w:cs="Verdana"/>
                <w:b/>
                <w:noProof/>
                <w:color w:val="000000"/>
                <w:sz w:val="18"/>
              </w:rPr>
            </w:pPr>
            <w:r>
              <w:rPr>
                <w:rFonts w:ascii="Verdana" w:hAnsi="Verdana"/>
                <w:b/>
                <w:noProof/>
                <w:color w:val="000000"/>
                <w:sz w:val="18"/>
              </w:rPr>
              <w:t xml:space="preserve"> 35</w:t>
            </w:r>
          </w:p>
        </w:tc>
        <w:tc>
          <w:tcPr>
            <w:tcW w:w="1288" w:type="dxa"/>
            <w:tcBorders>
              <w:top w:val="single" w:sz="4" w:space="0" w:color="016794"/>
              <w:left w:val="nil"/>
              <w:bottom w:val="nil"/>
              <w:right w:val="nil"/>
              <w:tl2br w:val="nil"/>
              <w:tr2bl w:val="nil"/>
            </w:tcBorders>
            <w:tcMar>
              <w:left w:w="60" w:type="dxa"/>
              <w:right w:w="60" w:type="dxa"/>
            </w:tcMar>
            <w:vAlign w:val="center"/>
          </w:tcPr>
          <w:p>
            <w:pPr>
              <w:pStyle w:val="DMETW36767BIPCCE"/>
              <w:jc w:val="right"/>
              <w:rPr>
                <w:rFonts w:ascii="Verdana" w:eastAsia="Verdana" w:hAnsi="Verdana" w:cs="Verdana"/>
                <w:b/>
                <w:noProof/>
                <w:color w:val="000000"/>
                <w:sz w:val="18"/>
              </w:rPr>
            </w:pPr>
            <w:r>
              <w:rPr>
                <w:rFonts w:ascii="Verdana" w:hAnsi="Verdana"/>
                <w:b/>
                <w:noProof/>
                <w:color w:val="000000"/>
                <w:sz w:val="18"/>
              </w:rPr>
              <w:t xml:space="preserve"> 30</w:t>
            </w:r>
          </w:p>
        </w:tc>
      </w:tr>
      <w:tr>
        <w:trPr>
          <w:trHeight w:hRule="exact" w:val="290"/>
        </w:trPr>
        <w:tc>
          <w:tcPr>
            <w:tcW w:w="5956" w:type="dxa"/>
            <w:tcBorders>
              <w:top w:val="nil"/>
              <w:left w:val="nil"/>
              <w:bottom w:val="nil"/>
              <w:right w:val="nil"/>
              <w:tl2br w:val="nil"/>
              <w:tr2bl w:val="nil"/>
            </w:tcBorders>
            <w:shd w:val="solid" w:color="CCE1EA" w:fill="FFFFFF"/>
            <w:tcMar>
              <w:left w:w="60" w:type="dxa"/>
              <w:right w:w="60" w:type="dxa"/>
            </w:tcMar>
            <w:vAlign w:val="center"/>
          </w:tcPr>
          <w:p>
            <w:pPr>
              <w:pStyle w:val="DMETW36767BIPCCE"/>
              <w:rPr>
                <w:rFonts w:ascii="Verdana" w:eastAsia="Verdana" w:hAnsi="Verdana" w:cs="Verdana"/>
                <w:b/>
                <w:noProof/>
                <w:color w:val="000000"/>
                <w:sz w:val="18"/>
              </w:rPr>
            </w:pPr>
            <w:r>
              <w:rPr>
                <w:rFonts w:ascii="Verdana" w:hAnsi="Verdana"/>
                <w:b/>
                <w:noProof/>
                <w:color w:val="000000"/>
                <w:sz w:val="18"/>
              </w:rPr>
              <w:t>Total</w:t>
            </w:r>
          </w:p>
        </w:tc>
        <w:tc>
          <w:tcPr>
            <w:tcW w:w="1226" w:type="dxa"/>
            <w:tcBorders>
              <w:top w:val="nil"/>
              <w:left w:val="nil"/>
              <w:bottom w:val="nil"/>
              <w:right w:val="nil"/>
              <w:tl2br w:val="nil"/>
              <w:tr2bl w:val="nil"/>
            </w:tcBorders>
            <w:shd w:val="solid" w:color="CCE1EA" w:fill="FFFFFF"/>
            <w:tcMar>
              <w:left w:w="60" w:type="dxa"/>
              <w:right w:w="60" w:type="dxa"/>
            </w:tcMar>
            <w:vAlign w:val="center"/>
          </w:tcPr>
          <w:p>
            <w:pPr>
              <w:pStyle w:val="DMETW36767BIPCCE"/>
              <w:rPr>
                <w:rFonts w:ascii="Verdana" w:eastAsia="Verdana" w:hAnsi="Verdana" w:cs="Verdana"/>
                <w:b/>
                <w:noProof/>
                <w:color w:val="000000"/>
                <w:sz w:val="18"/>
              </w:rPr>
            </w:pPr>
          </w:p>
        </w:tc>
        <w:tc>
          <w:tcPr>
            <w:tcW w:w="1288" w:type="dxa"/>
            <w:tcBorders>
              <w:top w:val="nil"/>
              <w:left w:val="nil"/>
              <w:bottom w:val="nil"/>
              <w:right w:val="nil"/>
              <w:tl2br w:val="nil"/>
              <w:tr2bl w:val="nil"/>
            </w:tcBorders>
            <w:shd w:val="solid" w:color="CCE1EA" w:fill="FFFFFF"/>
            <w:tcMar>
              <w:left w:w="60" w:type="dxa"/>
              <w:right w:w="60" w:type="dxa"/>
            </w:tcMar>
            <w:vAlign w:val="center"/>
          </w:tcPr>
          <w:p>
            <w:pPr>
              <w:pStyle w:val="DMETW36767BIPCCE"/>
              <w:jc w:val="right"/>
              <w:rPr>
                <w:rFonts w:ascii="Verdana" w:eastAsia="Verdana" w:hAnsi="Verdana" w:cs="Verdana"/>
                <w:b/>
                <w:noProof/>
                <w:color w:val="000000"/>
                <w:sz w:val="18"/>
              </w:rPr>
            </w:pPr>
            <w:r>
              <w:rPr>
                <w:rFonts w:ascii="Verdana" w:hAnsi="Verdana"/>
                <w:b/>
                <w:noProof/>
                <w:color w:val="000000"/>
                <w:sz w:val="18"/>
              </w:rPr>
              <w:t>103 041</w:t>
            </w:r>
          </w:p>
        </w:tc>
        <w:tc>
          <w:tcPr>
            <w:tcW w:w="1288" w:type="dxa"/>
            <w:tcBorders>
              <w:top w:val="nil"/>
              <w:left w:val="nil"/>
              <w:bottom w:val="nil"/>
              <w:right w:val="nil"/>
              <w:tl2br w:val="nil"/>
              <w:tr2bl w:val="nil"/>
            </w:tcBorders>
            <w:shd w:val="solid" w:color="CCE1EA" w:fill="FFFFFF"/>
            <w:tcMar>
              <w:left w:w="60" w:type="dxa"/>
              <w:right w:w="60" w:type="dxa"/>
            </w:tcMar>
            <w:vAlign w:val="center"/>
          </w:tcPr>
          <w:p>
            <w:pPr>
              <w:pStyle w:val="DMETW36767BIPCCE"/>
              <w:jc w:val="right"/>
              <w:rPr>
                <w:rFonts w:ascii="Verdana" w:eastAsia="Verdana" w:hAnsi="Verdana" w:cs="Verdana"/>
                <w:b/>
                <w:noProof/>
                <w:color w:val="000000"/>
                <w:sz w:val="18"/>
              </w:rPr>
            </w:pPr>
            <w:r>
              <w:rPr>
                <w:rFonts w:ascii="Verdana" w:hAnsi="Verdana"/>
                <w:b/>
                <w:noProof/>
                <w:color w:val="000000"/>
                <w:sz w:val="18"/>
              </w:rPr>
              <w:t>63 163</w:t>
            </w:r>
          </w:p>
        </w:tc>
      </w:tr>
    </w:tbl>
    <w:p>
      <w:pPr>
        <w:pStyle w:val="HEADER3NOTES"/>
        <w:numPr>
          <w:ilvl w:val="2"/>
          <w:numId w:val="15"/>
        </w:numPr>
        <w:rPr>
          <w:noProof/>
        </w:rPr>
      </w:pPr>
      <w:r>
        <w:rPr>
          <w:noProof/>
        </w:rPr>
        <w:t>Comptes bancaires pour l’exécution du budget</w:t>
      </w:r>
    </w:p>
    <w:p>
      <w:pPr>
        <w:pStyle w:val="DGTextstand-alone"/>
      </w:pPr>
      <w:r>
        <w:t xml:space="preserve">Cette rubrique comprend les fonds de la Commission détenus sur des comptes bancaires auprès de chaque État membre et pays AELE (Trésor ou banque centrale), ainsi que sur des comptes à vue dans des banques commerciales, dans des régies d’avances et des comptes de caisse. </w:t>
      </w:r>
    </w:p>
    <w:p>
      <w:pPr>
        <w:pStyle w:val="DGTextstand-alone"/>
      </w:pPr>
      <w:r>
        <w:t>Les soldes de trésorerie de la Commission suivent une tendance cyclique: les entrées de ressources (par exemple, la collecte de recettes) sont généralement suivies de dépenses. Cette asymétrie temporelle entraîne une fluctuation des soldes tout au long de l’année. Une caractéristique essentielle de ce cycle est qu’une part importante du solde de trésorerie de fin d’exercice est utilisée au début du mois de janvier pour couvrir un paiement important, principalement aux fins des dépenses réalisées au titre du Fonds européen agricole de garantie (FEAGA).</w:t>
      </w:r>
    </w:p>
    <w:p>
      <w:pPr>
        <w:pStyle w:val="DGTextstand-alone"/>
      </w:pPr>
      <w:r>
        <w:t>La différence entre le solde de trésorerie disponible à la fin de 2025 et celui de 2024 s’explique principalement par un report plus important de crédits de paiement, notamment pour le Fonds de solidarité de l’Union européenne afin de couvrir les paiements en faveur de plusieurs pays sinistrés; par les recettes tirées de la mise aux enchères des quotas du SEQE pour financer les plans du Fonds social pour le climat à partir de 2026; et par un montant de ressources propres traditionnelles plus élevé que celui inscrit au budget. En outre, le rythme de certaines dépenses a été légèrement plus lent que prévu.</w:t>
      </w:r>
    </w:p>
    <w:p>
      <w:pPr>
        <w:pStyle w:val="HEADER3NOTES"/>
        <w:numPr>
          <w:ilvl w:val="2"/>
          <w:numId w:val="15"/>
        </w:numPr>
        <w:rPr>
          <w:noProof/>
        </w:rPr>
      </w:pPr>
      <w:bookmarkStart w:id="140" w:name="_Hlk162374986"/>
      <w:r>
        <w:rPr>
          <w:noProof/>
        </w:rPr>
        <w:t>Liquidité pour un financement unifié</w:t>
      </w:r>
    </w:p>
    <w:p>
      <w:pPr>
        <w:pStyle w:val="Textstand-alone"/>
      </w:pPr>
      <w:r>
        <w:t xml:space="preserve">Dans le cadre de la stratégie unifiée en matière de financement, une partie du produit des emprunts est soit conservée en tant que trésorerie, soit utilisée pour des investissements à court terme afin de répondre aux obligations de décaissement à venir. </w:t>
      </w:r>
    </w:p>
    <w:p>
      <w:pPr>
        <w:pStyle w:val="Textstand-alone"/>
      </w:pPr>
      <w:r>
        <w:t>Une opération de prise en pension est une opération de prêt de liquidités convenue par l’UE avec une contrepartie pour une période déterminée et à un taux d’intérêt fixe. La durée de l’opération est de 7 ou 14 jours. À titre de garantie, l’UE reçoit des obligations très liquides pour la durée limitée de l’opération de prise en pension (18,1 milliards d’EUR au 31 décembre 2025). Étant donné que les risques et les avantages de la garantie demeurent à la charge du cédant, celle-ci n’est pas comptabilisée au bilan de l’UE.</w:t>
      </w:r>
    </w:p>
    <w:p>
      <w:pPr>
        <w:pStyle w:val="Textstand-alone"/>
      </w:pPr>
      <w:r>
        <w:t xml:space="preserve">L’augmentation des soldes de trésorerie et d’équivalents de trésorerie à la fin de 2025 est due aux décaissements prévus pour le début de l’année 2026 pour financer les programmes au titre de la FRR et de </w:t>
      </w:r>
      <w:bookmarkStart w:id="141" w:name="_Hlk225197736"/>
      <w:r>
        <w:t>SAFE</w:t>
      </w:r>
      <w:bookmarkEnd w:id="141"/>
      <w:r>
        <w:t>.</w:t>
      </w:r>
    </w:p>
    <w:bookmarkEnd w:id="140"/>
    <w:p>
      <w:pPr>
        <w:pStyle w:val="HEADER3NOTES"/>
        <w:numPr>
          <w:ilvl w:val="2"/>
          <w:numId w:val="15"/>
        </w:numPr>
        <w:rPr>
          <w:noProof/>
        </w:rPr>
      </w:pPr>
      <w:r>
        <w:rPr>
          <w:noProof/>
        </w:rPr>
        <w:lastRenderedPageBreak/>
        <w:t>Instruments financiers</w:t>
      </w:r>
    </w:p>
    <w:p>
      <w:pPr>
        <w:pStyle w:val="Textstand-alone"/>
      </w:pPr>
      <w:r>
        <w:t>Les montants repris sous cette rubrique concernent essentiellement des équivalents de trésorerie gérés par les fiduciaires pour le compte de la Commission aux fins de l’exécution de programmes d’instruments financiers financés par le budget de l’UE: 2,0 milliards d’EUR au 31 décembre 2025, dont 0,8 milliard d’EUR concerne le Fonds du CEI — voir note </w:t>
      </w:r>
      <w:r>
        <w:rPr>
          <w:b/>
          <w:bCs/>
        </w:rPr>
        <w:t>2.4.2.1</w:t>
      </w:r>
      <w:r>
        <w:t>. La rubrique inclut également 0,8 milliard d’EUR d’équivalents de trésorerie (dépôts à terme et billets de trésorerie à court terme) appartenant au Fonds pour l’innovation géré par la BEI - voir note </w:t>
      </w:r>
      <w:r>
        <w:rPr>
          <w:b/>
        </w:rPr>
        <w:t>2.4.2.1</w:t>
      </w:r>
      <w:r>
        <w:t>. Cette rubrique ne couvre pas le coussin de liquidité lié au FCP (0,2 milliard d’EUR au 31 décembre 2025), qui est détenu dans la trésorerie centrale de la Commission. Les liquidités attachées à des instruments financiers ne peuvent être utilisées que par les programmes correspondants.</w:t>
      </w:r>
    </w:p>
    <w:p>
      <w:pPr>
        <w:pStyle w:val="HEADER3NOTES"/>
        <w:numPr>
          <w:ilvl w:val="2"/>
          <w:numId w:val="15"/>
        </w:numPr>
        <w:rPr>
          <w:noProof/>
        </w:rPr>
      </w:pPr>
      <w:r>
        <w:rPr>
          <w:noProof/>
        </w:rPr>
        <w:t>Amendes</w:t>
      </w:r>
    </w:p>
    <w:p>
      <w:pPr>
        <w:pStyle w:val="Textstand-alone"/>
      </w:pPr>
      <w:r>
        <w:t>Il s’agit des montants reçus se rapportant à des amendes infligées par la Commission à des entreprises dans le cadre d’affaires encore en cours. Si un recours a été formé ou si les intentions en la matière de l’entreprise sanctionnée ne sont pas connues, le montant sous-jacent est indiqué comme un passif éventuel dans la note </w:t>
      </w:r>
      <w:r>
        <w:rPr>
          <w:b/>
        </w:rPr>
        <w:t>4.2.1</w:t>
      </w:r>
      <w:r>
        <w:t>. Depuis 2010, toutes les amendes encaissées à titre provisionnel auprès d’entreprises ont été gérées par la Commission dans le fonds BUFI et investies dans des instruments financiers classés comme actifs financiers à la JVCR non dérivés (voir note </w:t>
      </w:r>
      <w:r>
        <w:rPr>
          <w:b/>
        </w:rPr>
        <w:t>2.4.2</w:t>
      </w:r>
      <w:r>
        <w:t xml:space="preserve">), certains des actifs du fonds étant encaissés à la fin de l’exercice. </w:t>
      </w:r>
    </w:p>
    <w:p>
      <w:pPr>
        <w:pStyle w:val="Textstand-alone"/>
        <w:spacing w:after="0"/>
        <w:sectPr>
          <w:headerReference w:type="default" r:id="rId95"/>
          <w:footerReference w:type="default" r:id="rId96"/>
          <w:type w:val="continuous"/>
          <w:pgSz w:w="11906" w:h="16838"/>
          <w:pgMar w:top="1134" w:right="1134" w:bottom="1134" w:left="1134" w:header="709" w:footer="709" w:gutter="0"/>
          <w:cols w:space="708"/>
          <w:docGrid w:linePitch="360"/>
        </w:sectPr>
      </w:pPr>
      <w:r>
        <w:t xml:space="preserve"> </w:t>
      </w:r>
      <w:bookmarkEnd w:id="138"/>
    </w:p>
    <w:p>
      <w:pPr>
        <w:pStyle w:val="HEADERTABLE"/>
        <w:spacing w:after="0"/>
        <w:rPr>
          <w:noProof/>
        </w:rPr>
      </w:pPr>
      <w:bookmarkStart w:id="142" w:name="_DMBM_36667"/>
      <w:r>
        <w:rPr>
          <w:noProof/>
        </w:rPr>
        <w:lastRenderedPageBreak/>
        <w:t>PASSIFS</w:t>
      </w:r>
    </w:p>
    <w:p>
      <w:pPr>
        <w:pStyle w:val="Textstand-alone"/>
        <w:spacing w:before="0" w:after="0"/>
        <w:sectPr>
          <w:headerReference w:type="default" r:id="rId97"/>
          <w:footerReference w:type="default" r:id="rId98"/>
          <w:pgSz w:w="11906" w:h="16838"/>
          <w:pgMar w:top="1134" w:right="1134" w:bottom="1134" w:left="1134" w:header="709" w:footer="709" w:gutter="0"/>
          <w:cols w:space="708"/>
          <w:docGrid w:linePitch="360"/>
        </w:sectPr>
      </w:pPr>
      <w:r>
        <w:t xml:space="preserve"> </w:t>
      </w:r>
      <w:bookmarkEnd w:id="142"/>
    </w:p>
    <w:p>
      <w:pPr>
        <w:pStyle w:val="HEADER2NOTES"/>
        <w:numPr>
          <w:ilvl w:val="1"/>
          <w:numId w:val="15"/>
        </w:numPr>
        <w:spacing w:before="0"/>
        <w:rPr>
          <w:noProof/>
        </w:rPr>
      </w:pPr>
      <w:bookmarkStart w:id="143" w:name="_DMBM_36721"/>
      <w:r>
        <w:rPr>
          <w:noProof/>
        </w:rPr>
        <w:t>RETRAITES ET AUTRES AVANTAGES DU PERSONNEL</w:t>
      </w:r>
    </w:p>
    <w:p>
      <w:pPr>
        <w:pStyle w:val="HEADER3NOTES"/>
        <w:numPr>
          <w:ilvl w:val="2"/>
          <w:numId w:val="15"/>
        </w:numPr>
        <w:rPr>
          <w:noProof/>
        </w:rPr>
      </w:pPr>
      <w:r>
        <w:rPr>
          <w:noProof/>
        </w:rPr>
        <w:t>Passifs nets liés aux avantages du personnel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49"/>
        <w:gridCol w:w="1401"/>
        <w:gridCol w:w="1402"/>
        <w:gridCol w:w="1402"/>
        <w:gridCol w:w="1402"/>
        <w:gridCol w:w="1402"/>
      </w:tblGrid>
      <w:tr>
        <w:trPr>
          <w:trHeight w:val="255"/>
        </w:trPr>
        <w:tc>
          <w:tcPr>
            <w:tcW w:w="2749" w:type="dxa"/>
            <w:tcBorders>
              <w:top w:val="nil"/>
              <w:left w:val="nil"/>
              <w:bottom w:val="nil"/>
              <w:right w:val="nil"/>
              <w:tl2br w:val="nil"/>
              <w:tr2bl w:val="nil"/>
            </w:tcBorders>
            <w:tcMar>
              <w:left w:w="60" w:type="dxa"/>
              <w:right w:w="60" w:type="dxa"/>
            </w:tcMar>
            <w:vAlign w:val="bottom"/>
          </w:tcPr>
          <w:p>
            <w:pPr>
              <w:pStyle w:val="DMETW36768BIPPENS1"/>
              <w:rPr>
                <w:rFonts w:ascii="Arial" w:eastAsia="Arial" w:hAnsi="Arial" w:cs="Arial"/>
                <w:noProof/>
                <w:color w:val="000000"/>
              </w:rPr>
            </w:pPr>
            <w:bookmarkStart w:id="144" w:name="DOC_TBL00044_1_1"/>
            <w:bookmarkEnd w:id="144"/>
          </w:p>
        </w:tc>
        <w:tc>
          <w:tcPr>
            <w:tcW w:w="1401" w:type="dxa"/>
            <w:tcBorders>
              <w:top w:val="nil"/>
              <w:left w:val="nil"/>
              <w:bottom w:val="nil"/>
              <w:right w:val="nil"/>
              <w:tl2br w:val="nil"/>
              <w:tr2bl w:val="nil"/>
            </w:tcBorders>
            <w:tcMar>
              <w:left w:w="60" w:type="dxa"/>
              <w:right w:w="60" w:type="dxa"/>
            </w:tcMar>
            <w:vAlign w:val="bottom"/>
          </w:tcPr>
          <w:p>
            <w:pPr>
              <w:pStyle w:val="DMETW36768BIPPENS1"/>
              <w:rPr>
                <w:rFonts w:ascii="Arial" w:eastAsia="Arial" w:hAnsi="Arial" w:cs="Arial"/>
                <w:noProof/>
                <w:color w:val="000000"/>
              </w:rPr>
            </w:pPr>
          </w:p>
        </w:tc>
        <w:tc>
          <w:tcPr>
            <w:tcW w:w="1402" w:type="dxa"/>
            <w:tcBorders>
              <w:top w:val="nil"/>
              <w:left w:val="nil"/>
              <w:bottom w:val="nil"/>
              <w:right w:val="nil"/>
              <w:tl2br w:val="nil"/>
              <w:tr2bl w:val="nil"/>
            </w:tcBorders>
            <w:tcMar>
              <w:left w:w="60" w:type="dxa"/>
              <w:right w:w="60" w:type="dxa"/>
            </w:tcMar>
            <w:vAlign w:val="bottom"/>
          </w:tcPr>
          <w:p>
            <w:pPr>
              <w:pStyle w:val="DMETW36768BIPPENS1"/>
              <w:rPr>
                <w:rFonts w:ascii="Arial" w:eastAsia="Arial" w:hAnsi="Arial" w:cs="Arial"/>
                <w:noProof/>
                <w:color w:val="000000"/>
              </w:rPr>
            </w:pPr>
          </w:p>
        </w:tc>
        <w:tc>
          <w:tcPr>
            <w:tcW w:w="1402" w:type="dxa"/>
            <w:tcBorders>
              <w:top w:val="nil"/>
              <w:left w:val="nil"/>
              <w:bottom w:val="nil"/>
              <w:right w:val="nil"/>
              <w:tl2br w:val="nil"/>
              <w:tr2bl w:val="nil"/>
            </w:tcBorders>
            <w:tcMar>
              <w:left w:w="60" w:type="dxa"/>
              <w:right w:w="60" w:type="dxa"/>
            </w:tcMar>
            <w:vAlign w:val="bottom"/>
          </w:tcPr>
          <w:p>
            <w:pPr>
              <w:pStyle w:val="DMETW36768BIPPENS1"/>
              <w:rPr>
                <w:rFonts w:ascii="Arial" w:eastAsia="Arial" w:hAnsi="Arial" w:cs="Arial"/>
                <w:noProof/>
                <w:color w:val="000000"/>
              </w:rPr>
            </w:pPr>
          </w:p>
        </w:tc>
        <w:tc>
          <w:tcPr>
            <w:tcW w:w="1402" w:type="dxa"/>
            <w:tcBorders>
              <w:top w:val="nil"/>
              <w:left w:val="nil"/>
              <w:bottom w:val="nil"/>
              <w:right w:val="nil"/>
              <w:tl2br w:val="nil"/>
              <w:tr2bl w:val="nil"/>
            </w:tcBorders>
            <w:tcMar>
              <w:left w:w="60" w:type="dxa"/>
              <w:right w:w="60" w:type="dxa"/>
            </w:tcMar>
            <w:vAlign w:val="bottom"/>
          </w:tcPr>
          <w:p>
            <w:pPr>
              <w:pStyle w:val="DMETW36768BIPPENS1"/>
              <w:rPr>
                <w:rFonts w:ascii="Arial" w:eastAsia="Arial" w:hAnsi="Arial" w:cs="Arial"/>
                <w:noProof/>
                <w:color w:val="000000"/>
              </w:rPr>
            </w:pPr>
          </w:p>
        </w:tc>
        <w:tc>
          <w:tcPr>
            <w:tcW w:w="1402" w:type="dxa"/>
            <w:tcBorders>
              <w:top w:val="nil"/>
              <w:left w:val="nil"/>
              <w:bottom w:val="nil"/>
              <w:right w:val="nil"/>
              <w:tl2br w:val="nil"/>
              <w:tr2bl w:val="nil"/>
            </w:tcBorders>
            <w:tcMar>
              <w:left w:w="60" w:type="dxa"/>
              <w:right w:w="60" w:type="dxa"/>
            </w:tcMar>
            <w:vAlign w:val="bottom"/>
          </w:tcPr>
          <w:p>
            <w:pPr>
              <w:pStyle w:val="DMETW36768BIPPENS1"/>
              <w:jc w:val="right"/>
              <w:rPr>
                <w:rFonts w:ascii="Verdana" w:eastAsia="Verdana" w:hAnsi="Verdana" w:cs="Verdana"/>
                <w:i/>
                <w:noProof/>
                <w:color w:val="000000"/>
                <w:sz w:val="16"/>
              </w:rPr>
            </w:pPr>
            <w:r>
              <w:rPr>
                <w:rFonts w:ascii="Verdana" w:hAnsi="Verdana"/>
                <w:i/>
                <w:noProof/>
                <w:color w:val="000000"/>
                <w:sz w:val="16"/>
              </w:rPr>
              <w:t>en Mio EUR</w:t>
            </w:r>
          </w:p>
        </w:tc>
      </w:tr>
      <w:tr>
        <w:trPr>
          <w:trHeight w:val="255"/>
        </w:trPr>
        <w:tc>
          <w:tcPr>
            <w:tcW w:w="2749" w:type="dxa"/>
            <w:tcBorders>
              <w:top w:val="nil"/>
              <w:left w:val="nil"/>
              <w:bottom w:val="nil"/>
              <w:right w:val="nil"/>
              <w:tl2br w:val="nil"/>
              <w:tr2bl w:val="nil"/>
            </w:tcBorders>
            <w:shd w:val="solid" w:color="016794" w:fill="FFFFFF"/>
            <w:tcMar>
              <w:left w:w="60" w:type="dxa"/>
              <w:right w:w="60" w:type="dxa"/>
            </w:tcMar>
            <w:vAlign w:val="center"/>
          </w:tcPr>
          <w:p>
            <w:pPr>
              <w:pStyle w:val="DMETW36768BIPPENS1"/>
              <w:jc w:val="right"/>
              <w:rPr>
                <w:rFonts w:ascii="Verdana" w:eastAsia="Verdana" w:hAnsi="Verdana" w:cs="Verdana"/>
                <w:noProof/>
                <w:color w:val="FFFFFF"/>
                <w:sz w:val="18"/>
              </w:rPr>
            </w:pPr>
          </w:p>
        </w:tc>
        <w:tc>
          <w:tcPr>
            <w:tcW w:w="1401" w:type="dxa"/>
            <w:tcBorders>
              <w:top w:val="nil"/>
              <w:left w:val="nil"/>
              <w:bottom w:val="nil"/>
              <w:right w:val="nil"/>
              <w:tl2br w:val="nil"/>
              <w:tr2bl w:val="nil"/>
            </w:tcBorders>
            <w:shd w:val="solid" w:color="016794" w:fill="FFFFFF"/>
            <w:tcMar>
              <w:left w:w="60" w:type="dxa"/>
              <w:right w:w="60" w:type="dxa"/>
            </w:tcMar>
          </w:tcPr>
          <w:p>
            <w:pPr>
              <w:pStyle w:val="DMETW36768BIPPENS1"/>
              <w:jc w:val="right"/>
              <w:rPr>
                <w:rFonts w:ascii="Verdana" w:eastAsia="Verdana" w:hAnsi="Verdana" w:cs="Verdana"/>
                <w:noProof/>
                <w:color w:val="FFFFFF"/>
                <w:sz w:val="18"/>
              </w:rPr>
            </w:pPr>
            <w:r>
              <w:rPr>
                <w:rFonts w:ascii="Verdana" w:hAnsi="Verdana"/>
                <w:noProof/>
                <w:color w:val="FFFFFF"/>
                <w:sz w:val="18"/>
              </w:rPr>
              <w:t>Régime de pension des fonctionnaires européens</w:t>
            </w:r>
          </w:p>
        </w:tc>
        <w:tc>
          <w:tcPr>
            <w:tcW w:w="1402" w:type="dxa"/>
            <w:tcBorders>
              <w:top w:val="nil"/>
              <w:left w:val="nil"/>
              <w:bottom w:val="nil"/>
              <w:right w:val="nil"/>
              <w:tl2br w:val="nil"/>
              <w:tr2bl w:val="nil"/>
            </w:tcBorders>
            <w:shd w:val="solid" w:color="016794" w:fill="FFFFFF"/>
            <w:tcMar>
              <w:left w:w="60" w:type="dxa"/>
              <w:right w:w="60" w:type="dxa"/>
            </w:tcMar>
          </w:tcPr>
          <w:p>
            <w:pPr>
              <w:pStyle w:val="DMETW36768BIPPENS1"/>
              <w:jc w:val="right"/>
              <w:rPr>
                <w:rFonts w:ascii="Verdana" w:eastAsia="Verdana" w:hAnsi="Verdana" w:cs="Verdana"/>
                <w:noProof/>
                <w:color w:val="FFFFFF"/>
                <w:sz w:val="18"/>
              </w:rPr>
            </w:pPr>
            <w:r>
              <w:rPr>
                <w:rFonts w:ascii="Verdana" w:hAnsi="Verdana"/>
                <w:noProof/>
                <w:color w:val="FFFFFF"/>
                <w:sz w:val="18"/>
              </w:rPr>
              <w:t>Autres régimes de prestations de retraite</w:t>
            </w:r>
          </w:p>
        </w:tc>
        <w:tc>
          <w:tcPr>
            <w:tcW w:w="1402" w:type="dxa"/>
            <w:tcBorders>
              <w:top w:val="nil"/>
              <w:left w:val="nil"/>
              <w:bottom w:val="nil"/>
              <w:right w:val="nil"/>
              <w:tl2br w:val="nil"/>
              <w:tr2bl w:val="nil"/>
            </w:tcBorders>
            <w:shd w:val="solid" w:color="016794" w:fill="FFFFFF"/>
            <w:tcMar>
              <w:left w:w="60" w:type="dxa"/>
              <w:right w:w="60" w:type="dxa"/>
            </w:tcMar>
          </w:tcPr>
          <w:p>
            <w:pPr>
              <w:pStyle w:val="DMETW36768BIPPENS1"/>
              <w:jc w:val="right"/>
              <w:rPr>
                <w:rFonts w:ascii="Verdana" w:eastAsia="Verdana" w:hAnsi="Verdana" w:cs="Verdana"/>
                <w:noProof/>
                <w:color w:val="FFFFFF"/>
                <w:sz w:val="18"/>
              </w:rPr>
            </w:pPr>
            <w:r>
              <w:rPr>
                <w:rFonts w:ascii="Verdana" w:hAnsi="Verdana"/>
                <w:noProof/>
                <w:color w:val="FFFFFF"/>
                <w:sz w:val="18"/>
              </w:rPr>
              <w:t>Régime commun d’assurance maladie</w:t>
            </w:r>
          </w:p>
        </w:tc>
        <w:tc>
          <w:tcPr>
            <w:tcW w:w="1402" w:type="dxa"/>
            <w:tcBorders>
              <w:top w:val="nil"/>
              <w:left w:val="nil"/>
              <w:bottom w:val="nil"/>
              <w:right w:val="nil"/>
              <w:tl2br w:val="nil"/>
              <w:tr2bl w:val="nil"/>
            </w:tcBorders>
            <w:shd w:val="solid" w:color="016794" w:fill="FFFFFF"/>
            <w:tcMar>
              <w:left w:w="60" w:type="dxa"/>
              <w:right w:w="60" w:type="dxa"/>
            </w:tcMar>
          </w:tcPr>
          <w:p>
            <w:pPr>
              <w:pStyle w:val="DMETW36768BIPPENS1"/>
              <w:jc w:val="right"/>
              <w:rPr>
                <w:rFonts w:ascii="Verdana" w:eastAsia="Verdana" w:hAnsi="Verdana" w:cs="Verdana"/>
                <w:noProof/>
                <w:color w:val="FFFFFF"/>
                <w:sz w:val="18"/>
              </w:rPr>
            </w:pPr>
            <w:r>
              <w:rPr>
                <w:rFonts w:ascii="Verdana" w:hAnsi="Verdana"/>
                <w:noProof/>
                <w:color w:val="FFFFFF"/>
                <w:sz w:val="18"/>
              </w:rPr>
              <w:t>31.12.2025  Total</w:t>
            </w:r>
          </w:p>
        </w:tc>
        <w:tc>
          <w:tcPr>
            <w:tcW w:w="1402" w:type="dxa"/>
            <w:tcBorders>
              <w:top w:val="nil"/>
              <w:left w:val="nil"/>
              <w:bottom w:val="nil"/>
              <w:right w:val="nil"/>
              <w:tl2br w:val="nil"/>
              <w:tr2bl w:val="nil"/>
            </w:tcBorders>
            <w:shd w:val="solid" w:color="016794" w:fill="FFFFFF"/>
            <w:tcMar>
              <w:left w:w="60" w:type="dxa"/>
              <w:right w:w="60" w:type="dxa"/>
            </w:tcMar>
          </w:tcPr>
          <w:p>
            <w:pPr>
              <w:pStyle w:val="DMETW36768BIPPENS1"/>
              <w:jc w:val="right"/>
              <w:rPr>
                <w:rFonts w:ascii="Verdana" w:eastAsia="Verdana" w:hAnsi="Verdana" w:cs="Verdana"/>
                <w:noProof/>
                <w:color w:val="FFFFFF"/>
                <w:sz w:val="18"/>
              </w:rPr>
            </w:pPr>
            <w:r>
              <w:rPr>
                <w:rFonts w:ascii="Verdana" w:hAnsi="Verdana"/>
                <w:noProof/>
                <w:color w:val="FFFFFF"/>
                <w:sz w:val="18"/>
              </w:rPr>
              <w:t>31.12.2024  Total</w:t>
            </w:r>
          </w:p>
        </w:tc>
      </w:tr>
      <w:tr>
        <w:trPr>
          <w:trHeight w:val="255"/>
        </w:trPr>
        <w:tc>
          <w:tcPr>
            <w:tcW w:w="2749" w:type="dxa"/>
            <w:tcBorders>
              <w:top w:val="nil"/>
              <w:left w:val="nil"/>
              <w:bottom w:val="nil"/>
              <w:right w:val="nil"/>
              <w:tl2br w:val="nil"/>
              <w:tr2bl w:val="nil"/>
            </w:tcBorders>
            <w:tcMar>
              <w:left w:w="60" w:type="dxa"/>
              <w:right w:w="60" w:type="dxa"/>
            </w:tcMar>
            <w:vAlign w:val="center"/>
          </w:tcPr>
          <w:p>
            <w:pPr>
              <w:pStyle w:val="DMETW36768BIPPENS1"/>
              <w:rPr>
                <w:rFonts w:ascii="Verdana" w:eastAsia="Verdana" w:hAnsi="Verdana" w:cs="Verdana"/>
                <w:i/>
                <w:noProof/>
                <w:color w:val="000000"/>
                <w:sz w:val="18"/>
              </w:rPr>
            </w:pPr>
            <w:r>
              <w:rPr>
                <w:rFonts w:ascii="Verdana" w:hAnsi="Verdana"/>
                <w:i/>
                <w:noProof/>
                <w:color w:val="000000"/>
                <w:sz w:val="18"/>
              </w:rPr>
              <w:t>Obligation au titre des prestations définies</w:t>
            </w:r>
          </w:p>
        </w:tc>
        <w:tc>
          <w:tcPr>
            <w:tcW w:w="1401" w:type="dxa"/>
            <w:tcBorders>
              <w:top w:val="nil"/>
              <w:left w:val="nil"/>
              <w:bottom w:val="nil"/>
              <w:right w:val="nil"/>
              <w:tl2br w:val="nil"/>
              <w:tr2bl w:val="nil"/>
            </w:tcBorders>
            <w:tcMar>
              <w:left w:w="60" w:type="dxa"/>
              <w:right w:w="60" w:type="dxa"/>
            </w:tcMar>
            <w:vAlign w:val="bottom"/>
          </w:tcPr>
          <w:p>
            <w:pPr>
              <w:pStyle w:val="DMETW36768BIPPENS1"/>
              <w:jc w:val="right"/>
              <w:rPr>
                <w:rFonts w:ascii="Verdana" w:eastAsia="Verdana" w:hAnsi="Verdana" w:cs="Verdana"/>
                <w:i/>
                <w:noProof/>
                <w:color w:val="000000"/>
                <w:sz w:val="18"/>
              </w:rPr>
            </w:pPr>
            <w:r>
              <w:rPr>
                <w:rFonts w:ascii="Verdana" w:hAnsi="Verdana"/>
                <w:i/>
                <w:noProof/>
                <w:color w:val="000000"/>
                <w:sz w:val="18"/>
              </w:rPr>
              <w:t>83 998</w:t>
            </w:r>
          </w:p>
        </w:tc>
        <w:tc>
          <w:tcPr>
            <w:tcW w:w="1402" w:type="dxa"/>
            <w:tcBorders>
              <w:top w:val="nil"/>
              <w:left w:val="nil"/>
              <w:bottom w:val="nil"/>
              <w:right w:val="nil"/>
              <w:tl2br w:val="nil"/>
              <w:tr2bl w:val="nil"/>
            </w:tcBorders>
            <w:tcMar>
              <w:left w:w="60" w:type="dxa"/>
              <w:right w:w="60" w:type="dxa"/>
            </w:tcMar>
            <w:vAlign w:val="bottom"/>
          </w:tcPr>
          <w:p>
            <w:pPr>
              <w:pStyle w:val="DMETW36768BIPPENS1"/>
              <w:jc w:val="right"/>
              <w:rPr>
                <w:rFonts w:ascii="Verdana" w:eastAsia="Verdana" w:hAnsi="Verdana" w:cs="Verdana"/>
                <w:i/>
                <w:noProof/>
                <w:color w:val="000000"/>
                <w:sz w:val="18"/>
              </w:rPr>
            </w:pPr>
            <w:r>
              <w:rPr>
                <w:rFonts w:ascii="Verdana" w:hAnsi="Verdana"/>
                <w:i/>
                <w:noProof/>
                <w:color w:val="000000"/>
                <w:sz w:val="18"/>
              </w:rPr>
              <w:t>1 887</w:t>
            </w:r>
          </w:p>
        </w:tc>
        <w:tc>
          <w:tcPr>
            <w:tcW w:w="1402" w:type="dxa"/>
            <w:tcBorders>
              <w:top w:val="nil"/>
              <w:left w:val="nil"/>
              <w:bottom w:val="nil"/>
              <w:right w:val="nil"/>
              <w:tl2br w:val="nil"/>
              <w:tr2bl w:val="nil"/>
            </w:tcBorders>
            <w:tcMar>
              <w:left w:w="60" w:type="dxa"/>
              <w:right w:w="60" w:type="dxa"/>
            </w:tcMar>
            <w:vAlign w:val="bottom"/>
          </w:tcPr>
          <w:p>
            <w:pPr>
              <w:pStyle w:val="DMETW36768BIPPENS1"/>
              <w:jc w:val="right"/>
              <w:rPr>
                <w:rFonts w:ascii="Verdana" w:eastAsia="Verdana" w:hAnsi="Verdana" w:cs="Verdana"/>
                <w:i/>
                <w:noProof/>
                <w:color w:val="000000"/>
                <w:sz w:val="18"/>
              </w:rPr>
            </w:pPr>
            <w:r>
              <w:rPr>
                <w:rFonts w:ascii="Verdana" w:hAnsi="Verdana"/>
                <w:i/>
                <w:noProof/>
                <w:color w:val="000000"/>
                <w:sz w:val="18"/>
              </w:rPr>
              <w:t>5 721</w:t>
            </w:r>
          </w:p>
        </w:tc>
        <w:tc>
          <w:tcPr>
            <w:tcW w:w="1402" w:type="dxa"/>
            <w:tcBorders>
              <w:top w:val="nil"/>
              <w:left w:val="nil"/>
              <w:bottom w:val="nil"/>
              <w:right w:val="nil"/>
              <w:tl2br w:val="nil"/>
              <w:tr2bl w:val="nil"/>
            </w:tcBorders>
            <w:tcMar>
              <w:left w:w="60" w:type="dxa"/>
              <w:right w:w="60" w:type="dxa"/>
            </w:tcMar>
            <w:vAlign w:val="bottom"/>
          </w:tcPr>
          <w:p>
            <w:pPr>
              <w:pStyle w:val="DMETW36768BIPPENS1"/>
              <w:jc w:val="right"/>
              <w:rPr>
                <w:rFonts w:ascii="Verdana" w:eastAsia="Verdana" w:hAnsi="Verdana" w:cs="Verdana"/>
                <w:i/>
                <w:noProof/>
                <w:color w:val="000000"/>
                <w:sz w:val="18"/>
              </w:rPr>
            </w:pPr>
            <w:r>
              <w:rPr>
                <w:rFonts w:ascii="Verdana" w:hAnsi="Verdana"/>
                <w:i/>
                <w:noProof/>
                <w:color w:val="000000"/>
                <w:sz w:val="18"/>
              </w:rPr>
              <w:t>91 605</w:t>
            </w:r>
          </w:p>
        </w:tc>
        <w:tc>
          <w:tcPr>
            <w:tcW w:w="1402" w:type="dxa"/>
            <w:tcBorders>
              <w:top w:val="nil"/>
              <w:left w:val="nil"/>
              <w:bottom w:val="nil"/>
              <w:right w:val="nil"/>
              <w:tl2br w:val="nil"/>
              <w:tr2bl w:val="nil"/>
            </w:tcBorders>
            <w:tcMar>
              <w:left w:w="60" w:type="dxa"/>
              <w:right w:w="60" w:type="dxa"/>
            </w:tcMar>
            <w:vAlign w:val="bottom"/>
          </w:tcPr>
          <w:p>
            <w:pPr>
              <w:pStyle w:val="DMETW36768BIPPENS1"/>
              <w:jc w:val="right"/>
              <w:rPr>
                <w:rFonts w:ascii="Verdana" w:eastAsia="Verdana" w:hAnsi="Verdana" w:cs="Verdana"/>
                <w:i/>
                <w:noProof/>
                <w:color w:val="000000"/>
                <w:sz w:val="18"/>
              </w:rPr>
            </w:pPr>
            <w:r>
              <w:rPr>
                <w:rFonts w:ascii="Verdana" w:hAnsi="Verdana"/>
                <w:i/>
                <w:noProof/>
                <w:color w:val="000000"/>
                <w:sz w:val="18"/>
              </w:rPr>
              <w:t>93 557</w:t>
            </w:r>
          </w:p>
        </w:tc>
      </w:tr>
      <w:tr>
        <w:trPr>
          <w:trHeight w:val="255"/>
        </w:trPr>
        <w:tc>
          <w:tcPr>
            <w:tcW w:w="2749" w:type="dxa"/>
            <w:tcBorders>
              <w:top w:val="nil"/>
              <w:left w:val="nil"/>
              <w:bottom w:val="nil"/>
              <w:right w:val="nil"/>
              <w:tl2br w:val="nil"/>
              <w:tr2bl w:val="nil"/>
            </w:tcBorders>
            <w:tcMar>
              <w:left w:w="60" w:type="dxa"/>
              <w:right w:w="60" w:type="dxa"/>
            </w:tcMar>
            <w:vAlign w:val="center"/>
          </w:tcPr>
          <w:p>
            <w:pPr>
              <w:pStyle w:val="DMETW36768BIPPENS1"/>
              <w:rPr>
                <w:rFonts w:ascii="Verdana" w:eastAsia="Verdana" w:hAnsi="Verdana" w:cs="Verdana"/>
                <w:i/>
                <w:noProof/>
                <w:color w:val="000000"/>
                <w:sz w:val="18"/>
              </w:rPr>
            </w:pPr>
            <w:r>
              <w:rPr>
                <w:rFonts w:ascii="Verdana" w:hAnsi="Verdana"/>
                <w:i/>
                <w:noProof/>
                <w:color w:val="000000"/>
                <w:sz w:val="18"/>
              </w:rPr>
              <w:t>Actifs du régime</w:t>
            </w:r>
          </w:p>
        </w:tc>
        <w:tc>
          <w:tcPr>
            <w:tcW w:w="1401" w:type="dxa"/>
            <w:tcBorders>
              <w:top w:val="nil"/>
              <w:left w:val="nil"/>
              <w:bottom w:val="nil"/>
              <w:right w:val="nil"/>
              <w:tl2br w:val="nil"/>
              <w:tr2bl w:val="nil"/>
            </w:tcBorders>
            <w:tcMar>
              <w:left w:w="60" w:type="dxa"/>
              <w:right w:w="60" w:type="dxa"/>
            </w:tcMar>
            <w:vAlign w:val="bottom"/>
          </w:tcPr>
          <w:p>
            <w:pPr>
              <w:pStyle w:val="DMETW36768BIPPENS1"/>
              <w:jc w:val="right"/>
              <w:rPr>
                <w:rFonts w:ascii="Verdana" w:eastAsia="Verdana" w:hAnsi="Verdana" w:cs="Verdana"/>
                <w:i/>
                <w:noProof/>
                <w:color w:val="000000"/>
                <w:sz w:val="18"/>
              </w:rPr>
            </w:pPr>
            <w:r>
              <w:rPr>
                <w:rFonts w:ascii="Verdana" w:hAnsi="Verdana"/>
                <w:i/>
                <w:noProof/>
                <w:color w:val="000000"/>
                <w:sz w:val="18"/>
              </w:rPr>
              <w:t>s.o.</w:t>
            </w:r>
          </w:p>
        </w:tc>
        <w:tc>
          <w:tcPr>
            <w:tcW w:w="1402" w:type="dxa"/>
            <w:tcBorders>
              <w:top w:val="nil"/>
              <w:left w:val="nil"/>
              <w:bottom w:val="nil"/>
              <w:right w:val="nil"/>
              <w:tl2br w:val="nil"/>
              <w:tr2bl w:val="nil"/>
            </w:tcBorders>
            <w:tcMar>
              <w:left w:w="60" w:type="dxa"/>
              <w:right w:w="60" w:type="dxa"/>
            </w:tcMar>
            <w:vAlign w:val="bottom"/>
          </w:tcPr>
          <w:p>
            <w:pPr>
              <w:pStyle w:val="DMETW36768BIPPENS1"/>
              <w:jc w:val="right"/>
              <w:rPr>
                <w:rFonts w:ascii="Verdana" w:eastAsia="Verdana" w:hAnsi="Verdana" w:cs="Verdana"/>
                <w:i/>
                <w:noProof/>
                <w:color w:val="000000"/>
                <w:sz w:val="18"/>
              </w:rPr>
            </w:pPr>
            <w:r>
              <w:rPr>
                <w:rFonts w:ascii="Verdana" w:hAnsi="Verdana"/>
                <w:i/>
                <w:noProof/>
                <w:color w:val="000000"/>
                <w:sz w:val="18"/>
              </w:rPr>
              <w:t xml:space="preserve"> (11)</w:t>
            </w:r>
          </w:p>
        </w:tc>
        <w:tc>
          <w:tcPr>
            <w:tcW w:w="1402" w:type="dxa"/>
            <w:tcBorders>
              <w:top w:val="nil"/>
              <w:left w:val="nil"/>
              <w:bottom w:val="nil"/>
              <w:right w:val="nil"/>
              <w:tl2br w:val="nil"/>
              <w:tr2bl w:val="nil"/>
            </w:tcBorders>
            <w:tcMar>
              <w:left w:w="60" w:type="dxa"/>
              <w:right w:w="60" w:type="dxa"/>
            </w:tcMar>
            <w:vAlign w:val="bottom"/>
          </w:tcPr>
          <w:p>
            <w:pPr>
              <w:pStyle w:val="DMETW36768BIPPENS1"/>
              <w:jc w:val="right"/>
              <w:rPr>
                <w:rFonts w:ascii="Verdana" w:eastAsia="Verdana" w:hAnsi="Verdana" w:cs="Verdana"/>
                <w:i/>
                <w:noProof/>
                <w:color w:val="000000"/>
                <w:sz w:val="18"/>
              </w:rPr>
            </w:pPr>
            <w:r>
              <w:rPr>
                <w:rFonts w:ascii="Verdana" w:hAnsi="Verdana"/>
                <w:i/>
                <w:noProof/>
                <w:color w:val="000000"/>
                <w:sz w:val="18"/>
              </w:rPr>
              <w:t xml:space="preserve"> (467)</w:t>
            </w:r>
          </w:p>
        </w:tc>
        <w:tc>
          <w:tcPr>
            <w:tcW w:w="1402" w:type="dxa"/>
            <w:tcBorders>
              <w:top w:val="nil"/>
              <w:left w:val="nil"/>
              <w:bottom w:val="nil"/>
              <w:right w:val="nil"/>
              <w:tl2br w:val="nil"/>
              <w:tr2bl w:val="nil"/>
            </w:tcBorders>
            <w:tcMar>
              <w:left w:w="60" w:type="dxa"/>
              <w:right w:w="60" w:type="dxa"/>
            </w:tcMar>
            <w:vAlign w:val="bottom"/>
          </w:tcPr>
          <w:p>
            <w:pPr>
              <w:pStyle w:val="DMETW36768BIPPENS1"/>
              <w:jc w:val="right"/>
              <w:rPr>
                <w:rFonts w:ascii="Verdana" w:eastAsia="Verdana" w:hAnsi="Verdana" w:cs="Verdana"/>
                <w:i/>
                <w:noProof/>
                <w:color w:val="000000"/>
                <w:sz w:val="18"/>
              </w:rPr>
            </w:pPr>
            <w:r>
              <w:rPr>
                <w:rFonts w:ascii="Verdana" w:hAnsi="Verdana"/>
                <w:i/>
                <w:noProof/>
                <w:color w:val="000000"/>
                <w:sz w:val="18"/>
              </w:rPr>
              <w:t xml:space="preserve"> (477)</w:t>
            </w:r>
          </w:p>
        </w:tc>
        <w:tc>
          <w:tcPr>
            <w:tcW w:w="1402" w:type="dxa"/>
            <w:tcBorders>
              <w:top w:val="nil"/>
              <w:left w:val="nil"/>
              <w:bottom w:val="nil"/>
              <w:right w:val="nil"/>
              <w:tl2br w:val="nil"/>
              <w:tr2bl w:val="nil"/>
            </w:tcBorders>
            <w:tcMar>
              <w:left w:w="60" w:type="dxa"/>
              <w:right w:w="60" w:type="dxa"/>
            </w:tcMar>
            <w:vAlign w:val="bottom"/>
          </w:tcPr>
          <w:p>
            <w:pPr>
              <w:pStyle w:val="DMETW36768BIPPENS1"/>
              <w:jc w:val="right"/>
              <w:rPr>
                <w:rFonts w:ascii="Verdana" w:eastAsia="Verdana" w:hAnsi="Verdana" w:cs="Verdana"/>
                <w:i/>
                <w:noProof/>
                <w:color w:val="000000"/>
                <w:sz w:val="18"/>
              </w:rPr>
            </w:pPr>
            <w:r>
              <w:rPr>
                <w:rFonts w:ascii="Verdana" w:hAnsi="Verdana"/>
                <w:i/>
                <w:noProof/>
                <w:color w:val="000000"/>
                <w:sz w:val="18"/>
              </w:rPr>
              <w:t xml:space="preserve"> (461)</w:t>
            </w:r>
          </w:p>
        </w:tc>
      </w:tr>
      <w:tr>
        <w:trPr>
          <w:trHeight w:val="255"/>
        </w:trPr>
        <w:tc>
          <w:tcPr>
            <w:tcW w:w="2749" w:type="dxa"/>
            <w:tcBorders>
              <w:top w:val="nil"/>
              <w:left w:val="nil"/>
              <w:bottom w:val="nil"/>
              <w:right w:val="nil"/>
              <w:tl2br w:val="nil"/>
              <w:tr2bl w:val="nil"/>
            </w:tcBorders>
            <w:shd w:val="solid" w:color="CCE1EA" w:fill="FFFFFF"/>
            <w:tcMar>
              <w:left w:w="60" w:type="dxa"/>
              <w:right w:w="60" w:type="dxa"/>
            </w:tcMar>
            <w:vAlign w:val="center"/>
          </w:tcPr>
          <w:p>
            <w:pPr>
              <w:pStyle w:val="DMETW36768BIPPENS1"/>
              <w:rPr>
                <w:rFonts w:ascii="Verdana" w:eastAsia="Verdana" w:hAnsi="Verdana" w:cs="Verdana"/>
                <w:b/>
                <w:noProof/>
                <w:color w:val="000000"/>
                <w:sz w:val="18"/>
              </w:rPr>
            </w:pPr>
            <w:r>
              <w:rPr>
                <w:rFonts w:ascii="Verdana" w:hAnsi="Verdana"/>
                <w:b/>
                <w:noProof/>
                <w:color w:val="000000"/>
                <w:sz w:val="18"/>
              </w:rPr>
              <w:t>Passifs nets</w:t>
            </w:r>
          </w:p>
        </w:tc>
        <w:tc>
          <w:tcPr>
            <w:tcW w:w="1401" w:type="dxa"/>
            <w:tcBorders>
              <w:top w:val="nil"/>
              <w:left w:val="nil"/>
              <w:bottom w:val="nil"/>
              <w:right w:val="nil"/>
              <w:tl2br w:val="nil"/>
              <w:tr2bl w:val="nil"/>
            </w:tcBorders>
            <w:shd w:val="solid" w:color="CCE1EA" w:fill="FFFFFF"/>
            <w:tcMar>
              <w:left w:w="60" w:type="dxa"/>
              <w:right w:w="60" w:type="dxa"/>
            </w:tcMar>
            <w:vAlign w:val="bottom"/>
          </w:tcPr>
          <w:p>
            <w:pPr>
              <w:pStyle w:val="DMETW36768BIPPENS1"/>
              <w:jc w:val="right"/>
              <w:rPr>
                <w:rFonts w:ascii="Verdana" w:eastAsia="Verdana" w:hAnsi="Verdana" w:cs="Verdana"/>
                <w:b/>
                <w:noProof/>
                <w:color w:val="000000"/>
                <w:sz w:val="18"/>
              </w:rPr>
            </w:pPr>
            <w:r>
              <w:rPr>
                <w:rFonts w:ascii="Verdana" w:hAnsi="Verdana"/>
                <w:b/>
                <w:noProof/>
                <w:color w:val="000000"/>
                <w:sz w:val="18"/>
              </w:rPr>
              <w:t>83 998</w:t>
            </w:r>
          </w:p>
        </w:tc>
        <w:tc>
          <w:tcPr>
            <w:tcW w:w="1402" w:type="dxa"/>
            <w:tcBorders>
              <w:top w:val="nil"/>
              <w:left w:val="nil"/>
              <w:bottom w:val="nil"/>
              <w:right w:val="nil"/>
              <w:tl2br w:val="nil"/>
              <w:tr2bl w:val="nil"/>
            </w:tcBorders>
            <w:shd w:val="solid" w:color="CCE1EA" w:fill="FFFFFF"/>
            <w:tcMar>
              <w:left w:w="60" w:type="dxa"/>
              <w:right w:w="60" w:type="dxa"/>
            </w:tcMar>
            <w:vAlign w:val="bottom"/>
          </w:tcPr>
          <w:p>
            <w:pPr>
              <w:pStyle w:val="DMETW36768BIPPENS1"/>
              <w:jc w:val="right"/>
              <w:rPr>
                <w:rFonts w:ascii="Verdana" w:eastAsia="Verdana" w:hAnsi="Verdana" w:cs="Verdana"/>
                <w:b/>
                <w:noProof/>
                <w:color w:val="000000"/>
                <w:sz w:val="18"/>
              </w:rPr>
            </w:pPr>
            <w:r>
              <w:rPr>
                <w:rFonts w:ascii="Verdana" w:hAnsi="Verdana"/>
                <w:b/>
                <w:noProof/>
                <w:color w:val="000000"/>
                <w:sz w:val="18"/>
              </w:rPr>
              <w:t>1 876</w:t>
            </w:r>
          </w:p>
        </w:tc>
        <w:tc>
          <w:tcPr>
            <w:tcW w:w="1402" w:type="dxa"/>
            <w:tcBorders>
              <w:top w:val="nil"/>
              <w:left w:val="nil"/>
              <w:bottom w:val="nil"/>
              <w:right w:val="nil"/>
              <w:tl2br w:val="nil"/>
              <w:tr2bl w:val="nil"/>
            </w:tcBorders>
            <w:shd w:val="solid" w:color="CCE1EA" w:fill="FFFFFF"/>
            <w:tcMar>
              <w:left w:w="60" w:type="dxa"/>
              <w:right w:w="60" w:type="dxa"/>
            </w:tcMar>
            <w:vAlign w:val="bottom"/>
          </w:tcPr>
          <w:p>
            <w:pPr>
              <w:pStyle w:val="DMETW36768BIPPENS1"/>
              <w:jc w:val="right"/>
              <w:rPr>
                <w:rFonts w:ascii="Verdana" w:eastAsia="Verdana" w:hAnsi="Verdana" w:cs="Verdana"/>
                <w:b/>
                <w:noProof/>
                <w:color w:val="000000"/>
                <w:sz w:val="18"/>
              </w:rPr>
            </w:pPr>
            <w:r>
              <w:rPr>
                <w:rFonts w:ascii="Verdana" w:hAnsi="Verdana"/>
                <w:b/>
                <w:noProof/>
                <w:color w:val="000000"/>
                <w:sz w:val="18"/>
              </w:rPr>
              <w:t>5 254</w:t>
            </w:r>
          </w:p>
        </w:tc>
        <w:tc>
          <w:tcPr>
            <w:tcW w:w="1402" w:type="dxa"/>
            <w:tcBorders>
              <w:top w:val="nil"/>
              <w:left w:val="nil"/>
              <w:bottom w:val="nil"/>
              <w:right w:val="nil"/>
              <w:tl2br w:val="nil"/>
              <w:tr2bl w:val="nil"/>
            </w:tcBorders>
            <w:shd w:val="solid" w:color="CCE1EA" w:fill="FFFFFF"/>
            <w:tcMar>
              <w:left w:w="60" w:type="dxa"/>
              <w:right w:w="60" w:type="dxa"/>
            </w:tcMar>
            <w:vAlign w:val="bottom"/>
          </w:tcPr>
          <w:p>
            <w:pPr>
              <w:pStyle w:val="DMETW36768BIPPENS1"/>
              <w:jc w:val="right"/>
              <w:rPr>
                <w:rFonts w:ascii="Verdana" w:eastAsia="Verdana" w:hAnsi="Verdana" w:cs="Verdana"/>
                <w:b/>
                <w:noProof/>
                <w:color w:val="000000"/>
                <w:sz w:val="18"/>
              </w:rPr>
            </w:pPr>
            <w:r>
              <w:rPr>
                <w:rFonts w:ascii="Verdana" w:hAnsi="Verdana"/>
                <w:b/>
                <w:noProof/>
                <w:color w:val="000000"/>
                <w:sz w:val="18"/>
              </w:rPr>
              <w:t>91 128</w:t>
            </w:r>
          </w:p>
        </w:tc>
        <w:tc>
          <w:tcPr>
            <w:tcW w:w="1402" w:type="dxa"/>
            <w:tcBorders>
              <w:top w:val="nil"/>
              <w:left w:val="nil"/>
              <w:bottom w:val="nil"/>
              <w:right w:val="nil"/>
              <w:tl2br w:val="nil"/>
              <w:tr2bl w:val="nil"/>
            </w:tcBorders>
            <w:shd w:val="solid" w:color="CCE1EA" w:fill="FFFFFF"/>
            <w:tcMar>
              <w:left w:w="60" w:type="dxa"/>
              <w:right w:w="60" w:type="dxa"/>
            </w:tcMar>
            <w:vAlign w:val="bottom"/>
          </w:tcPr>
          <w:p>
            <w:pPr>
              <w:pStyle w:val="DMETW36768BIPPENS1"/>
              <w:jc w:val="right"/>
              <w:rPr>
                <w:rFonts w:ascii="Verdana" w:eastAsia="Verdana" w:hAnsi="Verdana" w:cs="Verdana"/>
                <w:b/>
                <w:noProof/>
                <w:color w:val="000000"/>
                <w:sz w:val="18"/>
              </w:rPr>
            </w:pPr>
            <w:r>
              <w:rPr>
                <w:rFonts w:ascii="Verdana" w:hAnsi="Verdana"/>
                <w:b/>
                <w:noProof/>
                <w:color w:val="000000"/>
                <w:sz w:val="18"/>
              </w:rPr>
              <w:t>93 096</w:t>
            </w:r>
          </w:p>
        </w:tc>
      </w:tr>
    </w:tbl>
    <w:p>
      <w:pPr>
        <w:pStyle w:val="DGTextstand-alone"/>
      </w:pPr>
      <w:r>
        <w:t>Le passif total lié aux avantages du personnel est resté relativement stable, la faible diminution étant principalement due à une diminution des passifs nets du régime commun d’assurance maladie (RCAM). Cela s’explique par la valeur actualisée de l’évolution des frais médicaux dans le cadre du RCAM, qui a entraîné des gains actuariels dus à des changements dans les hypothèses financières, réduisant ainsi le passif total. En outre, une très légère diminution du passif net a été observée dans le régime de pension des fonctionnaires européens (PSEO), lequel constitue le régime le plus important en place. Les gains actuariels résultant de l’augmentation du taux d’actualisation réel du PSEO au cours de l’année ont été partiellement compensés par des pertes dues aux hypothèses actuarielles relatives aux variations salariales (voir notes </w:t>
      </w:r>
      <w:r>
        <w:rPr>
          <w:b/>
          <w:bCs/>
        </w:rPr>
        <w:t>2.9.2</w:t>
      </w:r>
      <w:r>
        <w:t xml:space="preserve"> et </w:t>
      </w:r>
      <w:r>
        <w:rPr>
          <w:b/>
          <w:bCs/>
        </w:rPr>
        <w:t>2.9.4</w:t>
      </w:r>
      <w:r>
        <w:t>). Il convient de noter cependant que, si une augmentation ou une diminution du taux d’actualisation réel a une incidence sur l’importance du passif en fin d’exercice, elle ne modifie pas le montant des avantages qui devra effectivement être versé sur le budget de l’UE aux bénéficiaires au cours des années à venir. La diminution supplémentaire du passif net observée dans le PSEO et due aux gains actuariels résultant de l’expérience a été compensée par une hausse liée au coût annuel des services rendus au cours de la période et au coût des intérêts (détricotage de l’actualisation du passif), réduisant encore l’incidence, sur le passif total, des gains actuariels dus à des changements dans les hypothèses financières (voir note </w:t>
      </w:r>
      <w:r>
        <w:rPr>
          <w:b/>
          <w:bCs/>
        </w:rPr>
        <w:t>2.9.2</w:t>
      </w:r>
      <w:r>
        <w:t xml:space="preserve">). </w:t>
      </w:r>
    </w:p>
    <w:p>
      <w:pPr>
        <w:pStyle w:val="DGTextstand-alone"/>
        <w:rPr>
          <w:color w:val="016794"/>
        </w:rPr>
      </w:pPr>
      <w:r>
        <w:rPr>
          <w:color w:val="016794"/>
        </w:rPr>
        <w:t>Régime de pension des fonctionnaires européens</w:t>
      </w:r>
    </w:p>
    <w:p>
      <w:pPr>
        <w:pStyle w:val="DGTextstand-alone"/>
      </w:pPr>
      <w:bookmarkStart w:id="145" w:name="_Hlk193797087"/>
      <w:r>
        <w:t>Cette obligation au titre des prestations définies correspond à la valeur actuelle des paiements futurs de l’UE qui devraient être nécessaires pour régler l’obligation résultant des services rendus par les membres du personnel pendant la période considérée et les périodes antérieures. Le régime fonctionne en continu et, à ce titre, tous les paiements devant découler du régime sur une base annuelle sont inscrits chaque année au budget de l’UE.</w:t>
      </w:r>
    </w:p>
    <w:p>
      <w:pPr>
        <w:pStyle w:val="DGTextstand-alone"/>
      </w:pPr>
      <w:r>
        <w:t>Conformément à l’article 83 du statut, le paiement des prestations prévues au régime de pension du personnel constitue une dépense dans le budget de l’UE. Le régime repose sur un financement théorique, mais les États membres garantissent le paiement de ces prestations de manière collective. Une contribution obligatoire au régime des pensions, actuellement fixée à 13,1 %, est déduite du traitement de base des membres actifs. Ces contributions sont considérées comme des recettes budgétaires de l’exercice et contribuent au financement des dépenses de l’UE en général, voir également la note </w:t>
      </w:r>
      <w:r>
        <w:rPr>
          <w:b/>
        </w:rPr>
        <w:t>3.8</w:t>
      </w:r>
      <w:r>
        <w:t>.</w:t>
      </w:r>
    </w:p>
    <w:p>
      <w:pPr>
        <w:pStyle w:val="DGTextstand-alone"/>
      </w:pPr>
      <w:r>
        <w:t>Le passif du régime des pensions a été évalué sur la base du nombre d’agents affiliés au PSEO (actifs, retraités, anciens actifs actuellement en invalidité et personnes à charge des agents décédés) au 31 décembre 2025 et des dispositions du statut en vigueur à cette date. Cette évaluation a été effectuée selon les dispositions comptables de la norme IPSAS 39 (et par conséquent de la règle comptable nº 12 de l’UE</w:t>
      </w:r>
      <w:bookmarkEnd w:id="145"/>
      <w:r>
        <w:t>).</w:t>
      </w:r>
    </w:p>
    <w:p>
      <w:pPr>
        <w:pStyle w:val="DGTextstand-alone"/>
        <w:rPr>
          <w:color w:val="016794"/>
        </w:rPr>
      </w:pPr>
      <w:r>
        <w:rPr>
          <w:color w:val="016794"/>
        </w:rPr>
        <w:t>Autres régimes de prestations de retraite</w:t>
      </w:r>
    </w:p>
    <w:p>
      <w:pPr>
        <w:pStyle w:val="DGTextstand-alone"/>
      </w:pPr>
      <w:r>
        <w:t>Cette rubrique comprend les obligations de pension envers les membres et anciens membres de la Commission, de la Cour de justice et de la Cour des comptes, du Conseil, du Médiateur européen, et du Contrôleur européen de la protection des données. Y figurent également les obligations de pension envers les membres du Parlement européen.</w:t>
      </w:r>
    </w:p>
    <w:p>
      <w:pPr>
        <w:pStyle w:val="DGTextstand-alone"/>
        <w:keepNext/>
        <w:rPr>
          <w:color w:val="016794"/>
        </w:rPr>
      </w:pPr>
      <w:r>
        <w:rPr>
          <w:color w:val="016794"/>
        </w:rPr>
        <w:lastRenderedPageBreak/>
        <w:t>Régime commun d’assurance maladie</w:t>
      </w:r>
    </w:p>
    <w:p>
      <w:pPr>
        <w:pStyle w:val="HEADER5"/>
        <w:jc w:val="both"/>
        <w:rPr>
          <w:rFonts w:eastAsia="Calibri"/>
          <w:noProof/>
          <w:color w:val="auto"/>
        </w:rPr>
      </w:pPr>
      <w:r>
        <w:rPr>
          <w:noProof/>
          <w:color w:val="auto"/>
        </w:rPr>
        <w:t>Outre les régimes de prestations de retraite susmentionnés, un calcul est effectué pour évaluer le passif que l’UE devra assumer au titre du régime commun d’assurance maladie (RCAM) en ce qui concerne les dépenses de santé qui doivent être payées pendant les périodes postérieures au départ des membres (déduction faite de leur contribution). Comme indiqué dans la note </w:t>
      </w:r>
      <w:r>
        <w:rPr>
          <w:b/>
          <w:noProof/>
          <w:color w:val="auto"/>
        </w:rPr>
        <w:t>1.5.10</w:t>
      </w:r>
      <w:r>
        <w:rPr>
          <w:noProof/>
          <w:color w:val="auto"/>
        </w:rPr>
        <w:t>, le calcul de ce passif tient compte de l’ensemble de la période de service actif, garantissant que les régimes de retraite et d’assurance maladie du régime d’avantages postérieurs à l’emploi du personnel soient tous deux pris en considération de manière cohérente.</w:t>
      </w:r>
    </w:p>
    <w:p>
      <w:pPr>
        <w:pStyle w:val="HEADER5"/>
        <w:jc w:val="both"/>
        <w:rPr>
          <w:rFonts w:eastAsia="Calibri"/>
          <w:noProof/>
          <w:color w:val="auto"/>
        </w:rPr>
      </w:pPr>
      <w:r>
        <w:rPr>
          <w:noProof/>
          <w:color w:val="auto"/>
        </w:rPr>
        <w:t>Compte tenu de l’obligation, imposée à la fois par les règles comptables de l’UE et par les IPSAS, de présenter fidèlement la réalité économique de la situation sous-jacente, l’IPSAS 39 n’a pas été interprétée de manière plus stricte lors de l’affectation des droits à prestations aux périodes de service. Si le coût des services pour le RCAM était considéré sur 10 années pour l’ensemble des fonctionnaires, et non sur la période de service actif du membre du personnel, l’incidence d’une telle approche sur l’obligation au titre des prestations définies en fin d’exercice serait une augmentation de 0,8 milliard d’EUR. Toutefois, comme il a déjà été indiqué, cette approche plus stricte ne serait pas compatible avec la caractéristique qualitative «représentation fidèle» et elle ne serait donc pas considérée comme procurant des informations fiables conformément à la règle comptable nº 1 et au cadre conceptuel des IPSAS. Cette estimation est extrêmement sensible à l’évolution du statut administratif actuel du personnel (en particulier au nombre de membres sous contrat à durée déterminée supposés devenir fonctionnaires à l’avenir).</w:t>
      </w:r>
    </w:p>
    <w:p>
      <w:pPr>
        <w:pStyle w:val="HEADER3NOTES"/>
        <w:numPr>
          <w:ilvl w:val="2"/>
          <w:numId w:val="15"/>
        </w:numPr>
        <w:rPr>
          <w:noProof/>
        </w:rPr>
      </w:pPr>
      <w:r>
        <w:rPr>
          <w:noProof/>
        </w:rPr>
        <w:t>Évolution de la valeur actuelle de l’obligation au titre des prestations définies pour les avantages du personnel</w:t>
      </w:r>
    </w:p>
    <w:p>
      <w:pPr>
        <w:pStyle w:val="DGTextstand-alone"/>
      </w:pPr>
      <w:r>
        <w:t>La valeur actuelle de l’obligation au titre de prestations définies est la valeur actualisée des paiements futurs qui devraient être nécessaires pour régler l’obligation résultant des services rendus par les membres du personnel pendant la période considérée et les périodes antérieures.</w:t>
      </w:r>
    </w:p>
    <w:p>
      <w:pPr>
        <w:pStyle w:val="DGTextstand-alone"/>
      </w:pPr>
      <w:r>
        <w:t>Une analyse de l’évolution de l’obligation au titre des prestations définies pour l’exercice en cours est présentée ci-dessous: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60"/>
        <w:gridCol w:w="1615"/>
        <w:gridCol w:w="1615"/>
        <w:gridCol w:w="1616"/>
        <w:gridCol w:w="1152"/>
      </w:tblGrid>
      <w:tr>
        <w:trPr>
          <w:trHeight w:val="255"/>
        </w:trPr>
        <w:tc>
          <w:tcPr>
            <w:tcW w:w="3760" w:type="dxa"/>
            <w:tcBorders>
              <w:top w:val="nil"/>
              <w:left w:val="nil"/>
              <w:bottom w:val="nil"/>
              <w:right w:val="nil"/>
              <w:tl2br w:val="nil"/>
              <w:tr2bl w:val="nil"/>
            </w:tcBorders>
            <w:tcMar>
              <w:left w:w="60" w:type="dxa"/>
              <w:right w:w="60" w:type="dxa"/>
            </w:tcMar>
            <w:vAlign w:val="bottom"/>
          </w:tcPr>
          <w:p>
            <w:pPr>
              <w:pStyle w:val="DMETW36768BIPPENS2"/>
              <w:rPr>
                <w:rFonts w:ascii="Arial" w:eastAsia="Arial" w:hAnsi="Arial" w:cs="Arial"/>
                <w:noProof/>
                <w:color w:val="000000"/>
              </w:rPr>
            </w:pPr>
            <w:bookmarkStart w:id="146" w:name="DOC_TBL00045_1_1"/>
            <w:bookmarkEnd w:id="146"/>
          </w:p>
        </w:tc>
        <w:tc>
          <w:tcPr>
            <w:tcW w:w="1615" w:type="dxa"/>
            <w:tcBorders>
              <w:top w:val="nil"/>
              <w:left w:val="nil"/>
              <w:bottom w:val="nil"/>
              <w:right w:val="nil"/>
              <w:tl2br w:val="nil"/>
              <w:tr2bl w:val="nil"/>
            </w:tcBorders>
            <w:tcMar>
              <w:left w:w="60" w:type="dxa"/>
              <w:right w:w="60" w:type="dxa"/>
            </w:tcMar>
            <w:vAlign w:val="bottom"/>
          </w:tcPr>
          <w:p>
            <w:pPr>
              <w:pStyle w:val="DMETW36768BIPPENS2"/>
              <w:rPr>
                <w:rFonts w:ascii="Arial" w:eastAsia="Arial" w:hAnsi="Arial" w:cs="Arial"/>
                <w:noProof/>
                <w:color w:val="000000"/>
              </w:rPr>
            </w:pPr>
          </w:p>
        </w:tc>
        <w:tc>
          <w:tcPr>
            <w:tcW w:w="1615" w:type="dxa"/>
            <w:tcBorders>
              <w:top w:val="nil"/>
              <w:left w:val="nil"/>
              <w:bottom w:val="nil"/>
              <w:right w:val="nil"/>
              <w:tl2br w:val="nil"/>
              <w:tr2bl w:val="nil"/>
            </w:tcBorders>
            <w:tcMar>
              <w:left w:w="60" w:type="dxa"/>
              <w:right w:w="60" w:type="dxa"/>
            </w:tcMar>
            <w:vAlign w:val="bottom"/>
          </w:tcPr>
          <w:p>
            <w:pPr>
              <w:pStyle w:val="DMETW36768BIPPENS2"/>
              <w:rPr>
                <w:rFonts w:ascii="Arial" w:eastAsia="Arial" w:hAnsi="Arial" w:cs="Arial"/>
                <w:noProof/>
                <w:color w:val="000000"/>
              </w:rPr>
            </w:pPr>
          </w:p>
        </w:tc>
        <w:tc>
          <w:tcPr>
            <w:tcW w:w="1616" w:type="dxa"/>
            <w:tcBorders>
              <w:top w:val="nil"/>
              <w:left w:val="nil"/>
              <w:bottom w:val="nil"/>
              <w:right w:val="nil"/>
              <w:tl2br w:val="nil"/>
              <w:tr2bl w:val="nil"/>
            </w:tcBorders>
            <w:tcMar>
              <w:left w:w="60" w:type="dxa"/>
              <w:right w:w="60" w:type="dxa"/>
            </w:tcMar>
            <w:vAlign w:val="bottom"/>
          </w:tcPr>
          <w:p>
            <w:pPr>
              <w:pStyle w:val="DMETW36768BIPPENS2"/>
              <w:rPr>
                <w:rFonts w:ascii="Arial" w:eastAsia="Arial" w:hAnsi="Arial" w:cs="Arial"/>
                <w:noProof/>
                <w:color w:val="000000"/>
              </w:rPr>
            </w:pPr>
          </w:p>
        </w:tc>
        <w:tc>
          <w:tcPr>
            <w:tcW w:w="1152" w:type="dxa"/>
            <w:tcBorders>
              <w:top w:val="nil"/>
              <w:left w:val="nil"/>
              <w:bottom w:val="nil"/>
              <w:right w:val="nil"/>
              <w:tl2br w:val="nil"/>
              <w:tr2bl w:val="nil"/>
            </w:tcBorders>
            <w:tcMar>
              <w:left w:w="60" w:type="dxa"/>
              <w:right w:w="60" w:type="dxa"/>
            </w:tcMar>
            <w:vAlign w:val="bottom"/>
          </w:tcPr>
          <w:p>
            <w:pPr>
              <w:pStyle w:val="DMETW36768BIPPENS2"/>
              <w:jc w:val="right"/>
              <w:rPr>
                <w:rFonts w:ascii="Verdana" w:eastAsia="Verdana" w:hAnsi="Verdana" w:cs="Verdana"/>
                <w:i/>
                <w:noProof/>
                <w:color w:val="000000"/>
                <w:sz w:val="16"/>
              </w:rPr>
            </w:pPr>
            <w:r>
              <w:rPr>
                <w:rFonts w:ascii="Verdana" w:hAnsi="Verdana"/>
                <w:i/>
                <w:noProof/>
                <w:color w:val="000000"/>
                <w:sz w:val="16"/>
              </w:rPr>
              <w:t>en Mio EUR</w:t>
            </w:r>
          </w:p>
        </w:tc>
      </w:tr>
      <w:tr>
        <w:trPr>
          <w:trHeight w:val="255"/>
        </w:trPr>
        <w:tc>
          <w:tcPr>
            <w:tcW w:w="3760" w:type="dxa"/>
            <w:tcBorders>
              <w:top w:val="nil"/>
              <w:left w:val="nil"/>
              <w:bottom w:val="nil"/>
              <w:right w:val="nil"/>
              <w:tl2br w:val="nil"/>
              <w:tr2bl w:val="nil"/>
            </w:tcBorders>
            <w:shd w:val="solid" w:color="016794" w:fill="FFFFFF"/>
            <w:tcMar>
              <w:left w:w="60" w:type="dxa"/>
              <w:right w:w="60" w:type="dxa"/>
            </w:tcMar>
            <w:vAlign w:val="center"/>
          </w:tcPr>
          <w:p>
            <w:pPr>
              <w:pStyle w:val="DMETW36768BIPPENS2"/>
              <w:jc w:val="right"/>
              <w:rPr>
                <w:rFonts w:ascii="Verdana" w:eastAsia="Verdana" w:hAnsi="Verdana" w:cs="Verdana"/>
                <w:noProof/>
                <w:color w:val="FFFFFF"/>
                <w:sz w:val="18"/>
              </w:rPr>
            </w:pPr>
          </w:p>
        </w:tc>
        <w:tc>
          <w:tcPr>
            <w:tcW w:w="1615" w:type="dxa"/>
            <w:tcBorders>
              <w:top w:val="nil"/>
              <w:left w:val="nil"/>
              <w:bottom w:val="nil"/>
              <w:right w:val="nil"/>
              <w:tl2br w:val="nil"/>
              <w:tr2bl w:val="nil"/>
            </w:tcBorders>
            <w:shd w:val="solid" w:color="016794" w:fill="FFFFFF"/>
            <w:tcMar>
              <w:left w:w="60" w:type="dxa"/>
              <w:right w:w="60" w:type="dxa"/>
            </w:tcMar>
          </w:tcPr>
          <w:p>
            <w:pPr>
              <w:pStyle w:val="DMETW36768BIPPENS2"/>
              <w:jc w:val="right"/>
              <w:rPr>
                <w:rFonts w:ascii="Verdana" w:eastAsia="Verdana" w:hAnsi="Verdana" w:cs="Verdana"/>
                <w:noProof/>
                <w:color w:val="FFFFFF"/>
                <w:sz w:val="18"/>
              </w:rPr>
            </w:pPr>
            <w:r>
              <w:rPr>
                <w:rFonts w:ascii="Verdana" w:hAnsi="Verdana"/>
                <w:noProof/>
                <w:color w:val="FFFFFF"/>
                <w:sz w:val="18"/>
              </w:rPr>
              <w:t xml:space="preserve">Régime de pension des fonctionnaires européens </w:t>
            </w:r>
          </w:p>
        </w:tc>
        <w:tc>
          <w:tcPr>
            <w:tcW w:w="1615" w:type="dxa"/>
            <w:tcBorders>
              <w:top w:val="nil"/>
              <w:left w:val="nil"/>
              <w:bottom w:val="nil"/>
              <w:right w:val="nil"/>
              <w:tl2br w:val="nil"/>
              <w:tr2bl w:val="nil"/>
            </w:tcBorders>
            <w:shd w:val="solid" w:color="016794" w:fill="FFFFFF"/>
            <w:tcMar>
              <w:left w:w="60" w:type="dxa"/>
              <w:right w:w="60" w:type="dxa"/>
            </w:tcMar>
          </w:tcPr>
          <w:p>
            <w:pPr>
              <w:pStyle w:val="DMETW36768BIPPENS2"/>
              <w:jc w:val="right"/>
              <w:rPr>
                <w:rFonts w:ascii="Verdana" w:eastAsia="Verdana" w:hAnsi="Verdana" w:cs="Verdana"/>
                <w:noProof/>
                <w:color w:val="FFFFFF"/>
                <w:sz w:val="18"/>
              </w:rPr>
            </w:pPr>
            <w:r>
              <w:rPr>
                <w:rFonts w:ascii="Verdana" w:hAnsi="Verdana"/>
                <w:noProof/>
                <w:color w:val="FFFFFF"/>
                <w:sz w:val="18"/>
              </w:rPr>
              <w:t>Autres régimes de prestations de retraite</w:t>
            </w:r>
          </w:p>
        </w:tc>
        <w:tc>
          <w:tcPr>
            <w:tcW w:w="1616" w:type="dxa"/>
            <w:tcBorders>
              <w:top w:val="nil"/>
              <w:left w:val="nil"/>
              <w:bottom w:val="nil"/>
              <w:right w:val="nil"/>
              <w:tl2br w:val="nil"/>
              <w:tr2bl w:val="nil"/>
            </w:tcBorders>
            <w:shd w:val="solid" w:color="016794" w:fill="FFFFFF"/>
            <w:tcMar>
              <w:left w:w="60" w:type="dxa"/>
              <w:right w:w="60" w:type="dxa"/>
            </w:tcMar>
          </w:tcPr>
          <w:p>
            <w:pPr>
              <w:pStyle w:val="DMETW36768BIPPENS2"/>
              <w:jc w:val="right"/>
              <w:rPr>
                <w:rFonts w:ascii="Verdana" w:eastAsia="Verdana" w:hAnsi="Verdana" w:cs="Verdana"/>
                <w:noProof/>
                <w:color w:val="FFFFFF"/>
                <w:sz w:val="18"/>
              </w:rPr>
            </w:pPr>
            <w:r>
              <w:rPr>
                <w:rFonts w:ascii="Verdana" w:hAnsi="Verdana"/>
                <w:noProof/>
                <w:color w:val="FFFFFF"/>
                <w:sz w:val="18"/>
              </w:rPr>
              <w:t>Régime commun d’assurance maladie</w:t>
            </w:r>
          </w:p>
        </w:tc>
        <w:tc>
          <w:tcPr>
            <w:tcW w:w="1152" w:type="dxa"/>
            <w:tcBorders>
              <w:top w:val="nil"/>
              <w:left w:val="nil"/>
              <w:bottom w:val="nil"/>
              <w:right w:val="nil"/>
              <w:tl2br w:val="nil"/>
              <w:tr2bl w:val="nil"/>
            </w:tcBorders>
            <w:shd w:val="solid" w:color="016794" w:fill="FFFFFF"/>
            <w:tcMar>
              <w:left w:w="60" w:type="dxa"/>
              <w:right w:w="60" w:type="dxa"/>
            </w:tcMar>
          </w:tcPr>
          <w:p>
            <w:pPr>
              <w:pStyle w:val="DMETW36768BIPPENS2"/>
              <w:jc w:val="right"/>
              <w:rPr>
                <w:rFonts w:ascii="Verdana" w:eastAsia="Verdana" w:hAnsi="Verdana" w:cs="Verdana"/>
                <w:noProof/>
                <w:color w:val="FFFFFF"/>
                <w:sz w:val="18"/>
              </w:rPr>
            </w:pPr>
            <w:r>
              <w:rPr>
                <w:rFonts w:ascii="Verdana" w:hAnsi="Verdana"/>
                <w:noProof/>
                <w:color w:val="FFFFFF"/>
                <w:sz w:val="18"/>
              </w:rPr>
              <w:t>Total</w:t>
            </w:r>
          </w:p>
        </w:tc>
      </w:tr>
      <w:tr>
        <w:trPr>
          <w:trHeight w:val="255"/>
        </w:trPr>
        <w:tc>
          <w:tcPr>
            <w:tcW w:w="3760" w:type="dxa"/>
            <w:tcBorders>
              <w:top w:val="nil"/>
              <w:left w:val="nil"/>
              <w:bottom w:val="single" w:sz="4" w:space="0" w:color="016794"/>
              <w:right w:val="nil"/>
              <w:tl2br w:val="nil"/>
              <w:tr2bl w:val="nil"/>
            </w:tcBorders>
            <w:tcMar>
              <w:left w:w="60" w:type="dxa"/>
              <w:right w:w="60" w:type="dxa"/>
            </w:tcMar>
            <w:vAlign w:val="center"/>
          </w:tcPr>
          <w:p>
            <w:pPr>
              <w:pStyle w:val="DMETW36768BIPPENS2"/>
              <w:rPr>
                <w:rFonts w:ascii="Verdana" w:eastAsia="Verdana" w:hAnsi="Verdana" w:cs="Verdana"/>
                <w:b/>
                <w:noProof/>
                <w:color w:val="000000"/>
                <w:sz w:val="18"/>
              </w:rPr>
            </w:pPr>
            <w:r>
              <w:rPr>
                <w:rFonts w:ascii="Verdana" w:hAnsi="Verdana"/>
                <w:b/>
                <w:noProof/>
                <w:color w:val="000000"/>
                <w:sz w:val="18"/>
              </w:rPr>
              <w:t>Valeur actuelle au 31.12.2024</w:t>
            </w:r>
          </w:p>
        </w:tc>
        <w:tc>
          <w:tcPr>
            <w:tcW w:w="1615" w:type="dxa"/>
            <w:tcBorders>
              <w:top w:val="nil"/>
              <w:left w:val="nil"/>
              <w:bottom w:val="single" w:sz="4" w:space="0" w:color="016794"/>
              <w:right w:val="nil"/>
              <w:tl2br w:val="nil"/>
              <w:tr2bl w:val="nil"/>
            </w:tcBorders>
            <w:tcMar>
              <w:left w:w="60" w:type="dxa"/>
              <w:right w:w="60" w:type="dxa"/>
            </w:tcMar>
            <w:vAlign w:val="center"/>
          </w:tcPr>
          <w:p>
            <w:pPr>
              <w:pStyle w:val="DMETW36768BIPPENS2"/>
              <w:jc w:val="right"/>
              <w:rPr>
                <w:rFonts w:ascii="Verdana" w:eastAsia="Verdana" w:hAnsi="Verdana" w:cs="Verdana"/>
                <w:b/>
                <w:noProof/>
                <w:color w:val="000000"/>
                <w:sz w:val="18"/>
              </w:rPr>
            </w:pPr>
            <w:r>
              <w:rPr>
                <w:rFonts w:ascii="Verdana" w:hAnsi="Verdana"/>
                <w:b/>
                <w:noProof/>
                <w:color w:val="000000"/>
                <w:sz w:val="18"/>
              </w:rPr>
              <w:t>84 765</w:t>
            </w:r>
          </w:p>
        </w:tc>
        <w:tc>
          <w:tcPr>
            <w:tcW w:w="1615" w:type="dxa"/>
            <w:tcBorders>
              <w:top w:val="nil"/>
              <w:left w:val="nil"/>
              <w:bottom w:val="single" w:sz="4" w:space="0" w:color="016794"/>
              <w:right w:val="nil"/>
              <w:tl2br w:val="nil"/>
              <w:tr2bl w:val="nil"/>
            </w:tcBorders>
            <w:tcMar>
              <w:left w:w="60" w:type="dxa"/>
              <w:right w:w="60" w:type="dxa"/>
            </w:tcMar>
            <w:vAlign w:val="center"/>
          </w:tcPr>
          <w:p>
            <w:pPr>
              <w:pStyle w:val="DMETW36768BIPPENS2"/>
              <w:jc w:val="right"/>
              <w:rPr>
                <w:rFonts w:ascii="Verdana" w:eastAsia="Verdana" w:hAnsi="Verdana" w:cs="Verdana"/>
                <w:b/>
                <w:noProof/>
                <w:color w:val="000000"/>
                <w:sz w:val="18"/>
              </w:rPr>
            </w:pPr>
            <w:r>
              <w:rPr>
                <w:rFonts w:ascii="Verdana" w:hAnsi="Verdana"/>
                <w:b/>
                <w:noProof/>
                <w:color w:val="000000"/>
                <w:sz w:val="18"/>
              </w:rPr>
              <w:t>1 942</w:t>
            </w:r>
          </w:p>
        </w:tc>
        <w:tc>
          <w:tcPr>
            <w:tcW w:w="1616" w:type="dxa"/>
            <w:tcBorders>
              <w:top w:val="nil"/>
              <w:left w:val="nil"/>
              <w:bottom w:val="single" w:sz="4" w:space="0" w:color="016794"/>
              <w:right w:val="nil"/>
              <w:tl2br w:val="nil"/>
              <w:tr2bl w:val="nil"/>
            </w:tcBorders>
            <w:tcMar>
              <w:left w:w="60" w:type="dxa"/>
              <w:right w:w="60" w:type="dxa"/>
            </w:tcMar>
            <w:vAlign w:val="center"/>
          </w:tcPr>
          <w:p>
            <w:pPr>
              <w:pStyle w:val="DMETW36768BIPPENS2"/>
              <w:jc w:val="right"/>
              <w:rPr>
                <w:rFonts w:ascii="Verdana" w:eastAsia="Verdana" w:hAnsi="Verdana" w:cs="Verdana"/>
                <w:b/>
                <w:noProof/>
                <w:color w:val="000000"/>
                <w:sz w:val="18"/>
              </w:rPr>
            </w:pPr>
            <w:r>
              <w:rPr>
                <w:rFonts w:ascii="Verdana" w:hAnsi="Verdana"/>
                <w:b/>
                <w:noProof/>
                <w:color w:val="000000"/>
                <w:sz w:val="18"/>
              </w:rPr>
              <w:t>6 850</w:t>
            </w:r>
          </w:p>
        </w:tc>
        <w:tc>
          <w:tcPr>
            <w:tcW w:w="1152" w:type="dxa"/>
            <w:tcBorders>
              <w:top w:val="nil"/>
              <w:left w:val="nil"/>
              <w:bottom w:val="single" w:sz="4" w:space="0" w:color="016794"/>
              <w:right w:val="nil"/>
              <w:tl2br w:val="nil"/>
              <w:tr2bl w:val="nil"/>
            </w:tcBorders>
            <w:tcMar>
              <w:left w:w="60" w:type="dxa"/>
              <w:right w:w="60" w:type="dxa"/>
            </w:tcMar>
            <w:vAlign w:val="center"/>
          </w:tcPr>
          <w:p>
            <w:pPr>
              <w:pStyle w:val="DMETW36768BIPPENS2"/>
              <w:jc w:val="right"/>
              <w:rPr>
                <w:rFonts w:ascii="Verdana" w:eastAsia="Verdana" w:hAnsi="Verdana" w:cs="Verdana"/>
                <w:b/>
                <w:noProof/>
                <w:color w:val="000000"/>
                <w:sz w:val="18"/>
              </w:rPr>
            </w:pPr>
            <w:r>
              <w:rPr>
                <w:rFonts w:ascii="Verdana" w:hAnsi="Verdana"/>
                <w:b/>
                <w:noProof/>
                <w:color w:val="000000"/>
                <w:sz w:val="18"/>
              </w:rPr>
              <w:t>93 557</w:t>
            </w:r>
          </w:p>
        </w:tc>
      </w:tr>
      <w:tr>
        <w:trPr>
          <w:trHeight w:val="255"/>
        </w:trPr>
        <w:tc>
          <w:tcPr>
            <w:tcW w:w="3760" w:type="dxa"/>
            <w:tcBorders>
              <w:top w:val="single" w:sz="4" w:space="0" w:color="016794"/>
              <w:left w:val="nil"/>
              <w:bottom w:val="nil"/>
              <w:right w:val="nil"/>
              <w:tl2br w:val="nil"/>
              <w:tr2bl w:val="nil"/>
            </w:tcBorders>
            <w:tcMar>
              <w:left w:w="60" w:type="dxa"/>
              <w:right w:w="60" w:type="dxa"/>
            </w:tcMar>
            <w:vAlign w:val="center"/>
          </w:tcPr>
          <w:p>
            <w:pPr>
              <w:pStyle w:val="DMETW36768BIPPENS2"/>
              <w:rPr>
                <w:rFonts w:ascii="Verdana" w:eastAsia="Verdana" w:hAnsi="Verdana" w:cs="Verdana"/>
                <w:b/>
                <w:noProof/>
                <w:color w:val="000000"/>
                <w:sz w:val="18"/>
              </w:rPr>
            </w:pPr>
            <w:r>
              <w:rPr>
                <w:rFonts w:ascii="Verdana" w:hAnsi="Verdana"/>
                <w:b/>
                <w:noProof/>
                <w:color w:val="000000"/>
                <w:sz w:val="18"/>
              </w:rPr>
              <w:t>Comptabilisation dans le compte de résultat économique</w:t>
            </w:r>
          </w:p>
        </w:tc>
        <w:tc>
          <w:tcPr>
            <w:tcW w:w="1615" w:type="dxa"/>
            <w:tcBorders>
              <w:top w:val="single" w:sz="4" w:space="0" w:color="016794"/>
              <w:left w:val="nil"/>
              <w:bottom w:val="nil"/>
              <w:right w:val="nil"/>
              <w:tl2br w:val="nil"/>
              <w:tr2bl w:val="nil"/>
            </w:tcBorders>
            <w:tcMar>
              <w:left w:w="60" w:type="dxa"/>
              <w:right w:w="60" w:type="dxa"/>
            </w:tcMar>
            <w:vAlign w:val="center"/>
          </w:tcPr>
          <w:p>
            <w:pPr>
              <w:pStyle w:val="DMETW36768BIPPENS2"/>
              <w:rPr>
                <w:rFonts w:ascii="Verdana" w:eastAsia="Verdana" w:hAnsi="Verdana" w:cs="Verdana"/>
                <w:b/>
                <w:noProof/>
                <w:color w:val="000000"/>
                <w:sz w:val="18"/>
              </w:rPr>
            </w:pPr>
          </w:p>
        </w:tc>
        <w:tc>
          <w:tcPr>
            <w:tcW w:w="1615" w:type="dxa"/>
            <w:tcBorders>
              <w:top w:val="single" w:sz="4" w:space="0" w:color="016794"/>
              <w:left w:val="nil"/>
              <w:bottom w:val="nil"/>
              <w:right w:val="nil"/>
              <w:tl2br w:val="nil"/>
              <w:tr2bl w:val="nil"/>
            </w:tcBorders>
            <w:tcMar>
              <w:left w:w="60" w:type="dxa"/>
              <w:right w:w="60" w:type="dxa"/>
            </w:tcMar>
            <w:vAlign w:val="center"/>
          </w:tcPr>
          <w:p>
            <w:pPr>
              <w:pStyle w:val="DMETW36768BIPPENS2"/>
              <w:rPr>
                <w:rFonts w:ascii="Verdana" w:eastAsia="Verdana" w:hAnsi="Verdana" w:cs="Verdana"/>
                <w:b/>
                <w:noProof/>
                <w:color w:val="000000"/>
                <w:sz w:val="18"/>
              </w:rPr>
            </w:pPr>
          </w:p>
        </w:tc>
        <w:tc>
          <w:tcPr>
            <w:tcW w:w="1616" w:type="dxa"/>
            <w:tcBorders>
              <w:top w:val="single" w:sz="4" w:space="0" w:color="016794"/>
              <w:left w:val="nil"/>
              <w:bottom w:val="nil"/>
              <w:right w:val="nil"/>
              <w:tl2br w:val="nil"/>
              <w:tr2bl w:val="nil"/>
            </w:tcBorders>
            <w:tcMar>
              <w:left w:w="60" w:type="dxa"/>
              <w:right w:w="60" w:type="dxa"/>
            </w:tcMar>
            <w:vAlign w:val="center"/>
          </w:tcPr>
          <w:p>
            <w:pPr>
              <w:pStyle w:val="DMETW36768BIPPENS2"/>
              <w:rPr>
                <w:rFonts w:ascii="Verdana" w:eastAsia="Verdana" w:hAnsi="Verdana" w:cs="Verdana"/>
                <w:b/>
                <w:noProof/>
                <w:color w:val="000000"/>
                <w:sz w:val="18"/>
              </w:rPr>
            </w:pPr>
          </w:p>
        </w:tc>
        <w:tc>
          <w:tcPr>
            <w:tcW w:w="1152" w:type="dxa"/>
            <w:tcBorders>
              <w:top w:val="single" w:sz="4" w:space="0" w:color="016794"/>
              <w:left w:val="nil"/>
              <w:bottom w:val="nil"/>
              <w:right w:val="nil"/>
              <w:tl2br w:val="nil"/>
              <w:tr2bl w:val="nil"/>
            </w:tcBorders>
            <w:tcMar>
              <w:left w:w="60" w:type="dxa"/>
              <w:right w:w="60" w:type="dxa"/>
            </w:tcMar>
            <w:vAlign w:val="center"/>
          </w:tcPr>
          <w:p>
            <w:pPr>
              <w:pStyle w:val="DMETW36768BIPPENS2"/>
              <w:rPr>
                <w:rFonts w:ascii="Verdana" w:eastAsia="Verdana" w:hAnsi="Verdana" w:cs="Verdana"/>
                <w:b/>
                <w:noProof/>
                <w:color w:val="000000"/>
                <w:sz w:val="18"/>
                <w:lang w:bidi="en-GB"/>
              </w:rPr>
            </w:pPr>
          </w:p>
        </w:tc>
      </w:tr>
      <w:tr>
        <w:trPr>
          <w:trHeight w:val="255"/>
        </w:trPr>
        <w:tc>
          <w:tcPr>
            <w:tcW w:w="3760" w:type="dxa"/>
            <w:tcBorders>
              <w:top w:val="nil"/>
              <w:left w:val="nil"/>
              <w:bottom w:val="nil"/>
              <w:right w:val="nil"/>
              <w:tl2br w:val="nil"/>
              <w:tr2bl w:val="nil"/>
            </w:tcBorders>
            <w:tcMar>
              <w:left w:w="60" w:type="dxa"/>
              <w:right w:w="60" w:type="dxa"/>
            </w:tcMar>
            <w:vAlign w:val="center"/>
          </w:tcPr>
          <w:p>
            <w:pPr>
              <w:pStyle w:val="DMETW36768BIPPENS2"/>
              <w:rPr>
                <w:rFonts w:ascii="Verdana" w:eastAsia="Verdana" w:hAnsi="Verdana" w:cs="Verdana"/>
                <w:i/>
                <w:noProof/>
                <w:color w:val="000000"/>
                <w:sz w:val="18"/>
              </w:rPr>
            </w:pPr>
            <w:r>
              <w:rPr>
                <w:rFonts w:ascii="Verdana" w:hAnsi="Verdana"/>
                <w:i/>
                <w:noProof/>
                <w:color w:val="000000"/>
                <w:sz w:val="18"/>
              </w:rPr>
              <w:t>Coût des services rendus au cours de la période</w:t>
            </w:r>
          </w:p>
        </w:tc>
        <w:tc>
          <w:tcPr>
            <w:tcW w:w="1615" w:type="dxa"/>
            <w:tcBorders>
              <w:top w:val="nil"/>
              <w:left w:val="nil"/>
              <w:bottom w:val="nil"/>
              <w:right w:val="nil"/>
              <w:tl2br w:val="nil"/>
              <w:tr2bl w:val="nil"/>
            </w:tcBorders>
            <w:tcMar>
              <w:left w:w="60" w:type="dxa"/>
              <w:right w:w="60" w:type="dxa"/>
            </w:tcMar>
            <w:vAlign w:val="center"/>
          </w:tcPr>
          <w:p>
            <w:pPr>
              <w:pStyle w:val="DMETW36768BIPPENS2"/>
              <w:jc w:val="right"/>
              <w:rPr>
                <w:rFonts w:ascii="Verdana" w:eastAsia="Verdana" w:hAnsi="Verdana" w:cs="Verdana"/>
                <w:i/>
                <w:noProof/>
                <w:color w:val="000000"/>
                <w:sz w:val="18"/>
              </w:rPr>
            </w:pPr>
            <w:r>
              <w:rPr>
                <w:rFonts w:ascii="Verdana" w:hAnsi="Verdana"/>
                <w:i/>
                <w:noProof/>
                <w:color w:val="000000"/>
                <w:sz w:val="18"/>
              </w:rPr>
              <w:t>2 874</w:t>
            </w:r>
          </w:p>
        </w:tc>
        <w:tc>
          <w:tcPr>
            <w:tcW w:w="1615" w:type="dxa"/>
            <w:tcBorders>
              <w:top w:val="nil"/>
              <w:left w:val="nil"/>
              <w:bottom w:val="nil"/>
              <w:right w:val="nil"/>
              <w:tl2br w:val="nil"/>
              <w:tr2bl w:val="nil"/>
            </w:tcBorders>
            <w:tcMar>
              <w:left w:w="60" w:type="dxa"/>
              <w:right w:w="60" w:type="dxa"/>
            </w:tcMar>
            <w:vAlign w:val="center"/>
          </w:tcPr>
          <w:p>
            <w:pPr>
              <w:pStyle w:val="DMETW36768BIPPENS2"/>
              <w:jc w:val="right"/>
              <w:rPr>
                <w:rFonts w:ascii="Verdana" w:eastAsia="Verdana" w:hAnsi="Verdana" w:cs="Verdana"/>
                <w:i/>
                <w:noProof/>
                <w:color w:val="000000"/>
                <w:sz w:val="18"/>
              </w:rPr>
            </w:pPr>
            <w:r>
              <w:rPr>
                <w:rFonts w:ascii="Verdana" w:hAnsi="Verdana"/>
                <w:i/>
                <w:noProof/>
                <w:color w:val="000000"/>
                <w:sz w:val="18"/>
              </w:rPr>
              <w:t xml:space="preserve"> 77</w:t>
            </w:r>
          </w:p>
        </w:tc>
        <w:tc>
          <w:tcPr>
            <w:tcW w:w="1616" w:type="dxa"/>
            <w:tcBorders>
              <w:top w:val="nil"/>
              <w:left w:val="nil"/>
              <w:bottom w:val="nil"/>
              <w:right w:val="nil"/>
              <w:tl2br w:val="nil"/>
              <w:tr2bl w:val="nil"/>
            </w:tcBorders>
            <w:tcMar>
              <w:left w:w="60" w:type="dxa"/>
              <w:right w:w="60" w:type="dxa"/>
            </w:tcMar>
            <w:vAlign w:val="center"/>
          </w:tcPr>
          <w:p>
            <w:pPr>
              <w:pStyle w:val="DMETW36768BIPPENS2"/>
              <w:jc w:val="right"/>
              <w:rPr>
                <w:rFonts w:ascii="Verdana" w:eastAsia="Verdana" w:hAnsi="Verdana" w:cs="Verdana"/>
                <w:i/>
                <w:noProof/>
                <w:color w:val="000000"/>
                <w:sz w:val="18"/>
              </w:rPr>
            </w:pPr>
            <w:r>
              <w:rPr>
                <w:rFonts w:ascii="Verdana" w:hAnsi="Verdana"/>
                <w:i/>
                <w:noProof/>
                <w:color w:val="000000"/>
                <w:sz w:val="18"/>
              </w:rPr>
              <w:t xml:space="preserve"> 241</w:t>
            </w:r>
          </w:p>
        </w:tc>
        <w:tc>
          <w:tcPr>
            <w:tcW w:w="1152" w:type="dxa"/>
            <w:tcBorders>
              <w:top w:val="nil"/>
              <w:left w:val="nil"/>
              <w:bottom w:val="nil"/>
              <w:right w:val="nil"/>
              <w:tl2br w:val="nil"/>
              <w:tr2bl w:val="nil"/>
            </w:tcBorders>
            <w:tcMar>
              <w:left w:w="60" w:type="dxa"/>
              <w:right w:w="60" w:type="dxa"/>
            </w:tcMar>
            <w:vAlign w:val="center"/>
          </w:tcPr>
          <w:p>
            <w:pPr>
              <w:pStyle w:val="DMETW36768BIPPENS2"/>
              <w:jc w:val="right"/>
              <w:rPr>
                <w:rFonts w:ascii="Verdana" w:eastAsia="Verdana" w:hAnsi="Verdana" w:cs="Verdana"/>
                <w:i/>
                <w:noProof/>
                <w:color w:val="000000"/>
                <w:sz w:val="18"/>
              </w:rPr>
            </w:pPr>
            <w:r>
              <w:rPr>
                <w:rFonts w:ascii="Verdana" w:hAnsi="Verdana"/>
                <w:i/>
                <w:noProof/>
                <w:color w:val="000000"/>
                <w:sz w:val="18"/>
              </w:rPr>
              <w:t>3 192</w:t>
            </w:r>
          </w:p>
        </w:tc>
      </w:tr>
      <w:tr>
        <w:trPr>
          <w:trHeight w:val="255"/>
        </w:trPr>
        <w:tc>
          <w:tcPr>
            <w:tcW w:w="3760" w:type="dxa"/>
            <w:tcBorders>
              <w:top w:val="nil"/>
              <w:left w:val="nil"/>
              <w:bottom w:val="nil"/>
              <w:right w:val="nil"/>
              <w:tl2br w:val="nil"/>
              <w:tr2bl w:val="nil"/>
            </w:tcBorders>
            <w:tcMar>
              <w:left w:w="60" w:type="dxa"/>
              <w:right w:w="60" w:type="dxa"/>
            </w:tcMar>
            <w:vAlign w:val="center"/>
          </w:tcPr>
          <w:p>
            <w:pPr>
              <w:pStyle w:val="DMETW36768BIPPENS2"/>
              <w:rPr>
                <w:rFonts w:ascii="Verdana" w:eastAsia="Verdana" w:hAnsi="Verdana" w:cs="Verdana"/>
                <w:i/>
                <w:noProof/>
                <w:color w:val="000000"/>
                <w:sz w:val="18"/>
              </w:rPr>
            </w:pPr>
            <w:r>
              <w:rPr>
                <w:rFonts w:ascii="Verdana" w:hAnsi="Verdana"/>
                <w:i/>
                <w:noProof/>
                <w:color w:val="000000"/>
                <w:sz w:val="18"/>
              </w:rPr>
              <w:t>Coût financier</w:t>
            </w:r>
          </w:p>
        </w:tc>
        <w:tc>
          <w:tcPr>
            <w:tcW w:w="1615" w:type="dxa"/>
            <w:tcBorders>
              <w:top w:val="nil"/>
              <w:left w:val="nil"/>
              <w:bottom w:val="nil"/>
              <w:right w:val="nil"/>
              <w:tl2br w:val="nil"/>
              <w:tr2bl w:val="nil"/>
            </w:tcBorders>
            <w:tcMar>
              <w:left w:w="60" w:type="dxa"/>
              <w:right w:w="60" w:type="dxa"/>
            </w:tcMar>
            <w:vAlign w:val="center"/>
          </w:tcPr>
          <w:p>
            <w:pPr>
              <w:pStyle w:val="DMETW36768BIPPENS2"/>
              <w:jc w:val="right"/>
              <w:rPr>
                <w:rFonts w:ascii="Verdana" w:eastAsia="Verdana" w:hAnsi="Verdana" w:cs="Verdana"/>
                <w:i/>
                <w:noProof/>
                <w:color w:val="000000"/>
                <w:sz w:val="18"/>
              </w:rPr>
            </w:pPr>
            <w:r>
              <w:rPr>
                <w:rFonts w:ascii="Verdana" w:hAnsi="Verdana"/>
                <w:i/>
                <w:noProof/>
                <w:color w:val="000000"/>
                <w:sz w:val="18"/>
              </w:rPr>
              <w:t>2 794</w:t>
            </w:r>
          </w:p>
        </w:tc>
        <w:tc>
          <w:tcPr>
            <w:tcW w:w="1615" w:type="dxa"/>
            <w:tcBorders>
              <w:top w:val="nil"/>
              <w:left w:val="nil"/>
              <w:bottom w:val="nil"/>
              <w:right w:val="nil"/>
              <w:tl2br w:val="nil"/>
              <w:tr2bl w:val="nil"/>
            </w:tcBorders>
            <w:tcMar>
              <w:left w:w="60" w:type="dxa"/>
              <w:right w:w="60" w:type="dxa"/>
            </w:tcMar>
            <w:vAlign w:val="center"/>
          </w:tcPr>
          <w:p>
            <w:pPr>
              <w:pStyle w:val="DMETW36768BIPPENS2"/>
              <w:jc w:val="right"/>
              <w:rPr>
                <w:rFonts w:ascii="Verdana" w:eastAsia="Verdana" w:hAnsi="Verdana" w:cs="Verdana"/>
                <w:i/>
                <w:noProof/>
                <w:color w:val="000000"/>
                <w:sz w:val="18"/>
              </w:rPr>
            </w:pPr>
            <w:r>
              <w:rPr>
                <w:rFonts w:ascii="Verdana" w:hAnsi="Verdana"/>
                <w:i/>
                <w:noProof/>
                <w:color w:val="000000"/>
                <w:sz w:val="18"/>
              </w:rPr>
              <w:t xml:space="preserve"> 63</w:t>
            </w:r>
          </w:p>
        </w:tc>
        <w:tc>
          <w:tcPr>
            <w:tcW w:w="1616" w:type="dxa"/>
            <w:tcBorders>
              <w:top w:val="nil"/>
              <w:left w:val="nil"/>
              <w:bottom w:val="nil"/>
              <w:right w:val="nil"/>
              <w:tl2br w:val="nil"/>
              <w:tr2bl w:val="nil"/>
            </w:tcBorders>
            <w:tcMar>
              <w:left w:w="60" w:type="dxa"/>
              <w:right w:w="60" w:type="dxa"/>
            </w:tcMar>
            <w:vAlign w:val="center"/>
          </w:tcPr>
          <w:p>
            <w:pPr>
              <w:pStyle w:val="DMETW36768BIPPENS2"/>
              <w:jc w:val="right"/>
              <w:rPr>
                <w:rFonts w:ascii="Verdana" w:eastAsia="Verdana" w:hAnsi="Verdana" w:cs="Verdana"/>
                <w:i/>
                <w:noProof/>
                <w:color w:val="000000"/>
                <w:sz w:val="18"/>
              </w:rPr>
            </w:pPr>
            <w:r>
              <w:rPr>
                <w:rFonts w:ascii="Verdana" w:hAnsi="Verdana"/>
                <w:i/>
                <w:noProof/>
                <w:color w:val="000000"/>
                <w:sz w:val="18"/>
              </w:rPr>
              <w:t xml:space="preserve"> 226</w:t>
            </w:r>
          </w:p>
        </w:tc>
        <w:tc>
          <w:tcPr>
            <w:tcW w:w="1152" w:type="dxa"/>
            <w:tcBorders>
              <w:top w:val="nil"/>
              <w:left w:val="nil"/>
              <w:bottom w:val="nil"/>
              <w:right w:val="nil"/>
              <w:tl2br w:val="nil"/>
              <w:tr2bl w:val="nil"/>
            </w:tcBorders>
            <w:tcMar>
              <w:left w:w="60" w:type="dxa"/>
              <w:right w:w="60" w:type="dxa"/>
            </w:tcMar>
            <w:vAlign w:val="center"/>
          </w:tcPr>
          <w:p>
            <w:pPr>
              <w:pStyle w:val="DMETW36768BIPPENS2"/>
              <w:jc w:val="right"/>
              <w:rPr>
                <w:rFonts w:ascii="Verdana" w:eastAsia="Verdana" w:hAnsi="Verdana" w:cs="Verdana"/>
                <w:i/>
                <w:noProof/>
                <w:color w:val="000000"/>
                <w:sz w:val="18"/>
              </w:rPr>
            </w:pPr>
            <w:r>
              <w:rPr>
                <w:rFonts w:ascii="Verdana" w:hAnsi="Verdana"/>
                <w:i/>
                <w:noProof/>
                <w:color w:val="000000"/>
                <w:sz w:val="18"/>
              </w:rPr>
              <w:t>3 083</w:t>
            </w:r>
          </w:p>
        </w:tc>
      </w:tr>
      <w:tr>
        <w:trPr>
          <w:trHeight w:val="255"/>
        </w:trPr>
        <w:tc>
          <w:tcPr>
            <w:tcW w:w="3760" w:type="dxa"/>
            <w:tcBorders>
              <w:top w:val="nil"/>
              <w:left w:val="nil"/>
              <w:bottom w:val="nil"/>
              <w:right w:val="nil"/>
              <w:tl2br w:val="nil"/>
              <w:tr2bl w:val="nil"/>
            </w:tcBorders>
            <w:tcMar>
              <w:left w:w="60" w:type="dxa"/>
              <w:right w:w="60" w:type="dxa"/>
            </w:tcMar>
            <w:vAlign w:val="center"/>
          </w:tcPr>
          <w:p>
            <w:pPr>
              <w:pStyle w:val="DMETW36768BIPPENS2"/>
              <w:rPr>
                <w:rFonts w:ascii="Verdana" w:eastAsia="Verdana" w:hAnsi="Verdana" w:cs="Verdana"/>
                <w:b/>
                <w:noProof/>
                <w:color w:val="000000"/>
                <w:sz w:val="18"/>
              </w:rPr>
            </w:pPr>
            <w:r>
              <w:rPr>
                <w:rFonts w:ascii="Verdana" w:hAnsi="Verdana"/>
                <w:b/>
                <w:noProof/>
                <w:color w:val="000000"/>
                <w:sz w:val="18"/>
              </w:rPr>
              <w:t>Comptabilisation dans les actifs nets</w:t>
            </w:r>
          </w:p>
        </w:tc>
        <w:tc>
          <w:tcPr>
            <w:tcW w:w="1615" w:type="dxa"/>
            <w:tcBorders>
              <w:top w:val="nil"/>
              <w:left w:val="nil"/>
              <w:bottom w:val="nil"/>
              <w:right w:val="nil"/>
              <w:tl2br w:val="nil"/>
              <w:tr2bl w:val="nil"/>
            </w:tcBorders>
            <w:tcMar>
              <w:left w:w="60" w:type="dxa"/>
              <w:right w:w="60" w:type="dxa"/>
            </w:tcMar>
            <w:vAlign w:val="center"/>
          </w:tcPr>
          <w:p>
            <w:pPr>
              <w:pStyle w:val="DMETW36768BIPPENS2"/>
              <w:rPr>
                <w:rFonts w:ascii="Verdana" w:eastAsia="Verdana" w:hAnsi="Verdana" w:cs="Verdana"/>
                <w:b/>
                <w:noProof/>
                <w:color w:val="000000"/>
                <w:sz w:val="18"/>
              </w:rPr>
            </w:pPr>
          </w:p>
        </w:tc>
        <w:tc>
          <w:tcPr>
            <w:tcW w:w="1615" w:type="dxa"/>
            <w:tcBorders>
              <w:top w:val="nil"/>
              <w:left w:val="nil"/>
              <w:bottom w:val="nil"/>
              <w:right w:val="nil"/>
              <w:tl2br w:val="nil"/>
              <w:tr2bl w:val="nil"/>
            </w:tcBorders>
            <w:tcMar>
              <w:left w:w="60" w:type="dxa"/>
              <w:right w:w="60" w:type="dxa"/>
            </w:tcMar>
            <w:vAlign w:val="center"/>
          </w:tcPr>
          <w:p>
            <w:pPr>
              <w:pStyle w:val="DMETW36768BIPPENS2"/>
              <w:rPr>
                <w:rFonts w:ascii="Verdana" w:eastAsia="Verdana" w:hAnsi="Verdana" w:cs="Verdana"/>
                <w:b/>
                <w:noProof/>
                <w:color w:val="000000"/>
                <w:sz w:val="18"/>
              </w:rPr>
            </w:pPr>
          </w:p>
        </w:tc>
        <w:tc>
          <w:tcPr>
            <w:tcW w:w="1616" w:type="dxa"/>
            <w:tcBorders>
              <w:top w:val="nil"/>
              <w:left w:val="nil"/>
              <w:bottom w:val="nil"/>
              <w:right w:val="nil"/>
              <w:tl2br w:val="nil"/>
              <w:tr2bl w:val="nil"/>
            </w:tcBorders>
            <w:tcMar>
              <w:left w:w="60" w:type="dxa"/>
              <w:right w:w="60" w:type="dxa"/>
            </w:tcMar>
            <w:vAlign w:val="center"/>
          </w:tcPr>
          <w:p>
            <w:pPr>
              <w:pStyle w:val="DMETW36768BIPPENS2"/>
              <w:rPr>
                <w:rFonts w:ascii="Verdana" w:eastAsia="Verdana" w:hAnsi="Verdana" w:cs="Verdana"/>
                <w:b/>
                <w:noProof/>
                <w:color w:val="000000"/>
                <w:sz w:val="18"/>
              </w:rPr>
            </w:pPr>
          </w:p>
        </w:tc>
        <w:tc>
          <w:tcPr>
            <w:tcW w:w="1152" w:type="dxa"/>
            <w:tcBorders>
              <w:top w:val="nil"/>
              <w:left w:val="nil"/>
              <w:bottom w:val="nil"/>
              <w:right w:val="nil"/>
              <w:tl2br w:val="nil"/>
              <w:tr2bl w:val="nil"/>
            </w:tcBorders>
            <w:tcMar>
              <w:left w:w="60" w:type="dxa"/>
              <w:right w:w="60" w:type="dxa"/>
            </w:tcMar>
            <w:vAlign w:val="center"/>
          </w:tcPr>
          <w:p>
            <w:pPr>
              <w:pStyle w:val="DMETW36768BIPPENS2"/>
              <w:rPr>
                <w:rFonts w:ascii="Verdana" w:eastAsia="Verdana" w:hAnsi="Verdana" w:cs="Verdana"/>
                <w:b/>
                <w:noProof/>
                <w:color w:val="000000"/>
                <w:sz w:val="18"/>
                <w:lang w:bidi="en-GB"/>
              </w:rPr>
            </w:pPr>
          </w:p>
        </w:tc>
      </w:tr>
      <w:tr>
        <w:trPr>
          <w:trHeight w:val="255"/>
        </w:trPr>
        <w:tc>
          <w:tcPr>
            <w:tcW w:w="3760" w:type="dxa"/>
            <w:tcBorders>
              <w:top w:val="nil"/>
              <w:left w:val="nil"/>
              <w:bottom w:val="nil"/>
              <w:right w:val="nil"/>
              <w:tl2br w:val="nil"/>
              <w:tr2bl w:val="nil"/>
            </w:tcBorders>
            <w:tcMar>
              <w:left w:w="60" w:type="dxa"/>
              <w:right w:w="60" w:type="dxa"/>
            </w:tcMar>
            <w:vAlign w:val="center"/>
          </w:tcPr>
          <w:p>
            <w:pPr>
              <w:pStyle w:val="DMETW36768BIPPENS2"/>
              <w:rPr>
                <w:rFonts w:ascii="Verdana" w:eastAsia="Verdana" w:hAnsi="Verdana" w:cs="Verdana"/>
                <w:i/>
                <w:noProof/>
                <w:color w:val="000000"/>
                <w:sz w:val="18"/>
              </w:rPr>
            </w:pPr>
            <w:r>
              <w:rPr>
                <w:rFonts w:ascii="Verdana" w:hAnsi="Verdana"/>
                <w:i/>
                <w:noProof/>
                <w:color w:val="000000"/>
                <w:sz w:val="18"/>
              </w:rPr>
              <w:t>Réévaluations des passifs liés aux avantages du personnel</w:t>
            </w:r>
          </w:p>
        </w:tc>
        <w:tc>
          <w:tcPr>
            <w:tcW w:w="1615" w:type="dxa"/>
            <w:tcBorders>
              <w:top w:val="nil"/>
              <w:left w:val="nil"/>
              <w:bottom w:val="nil"/>
              <w:right w:val="nil"/>
              <w:tl2br w:val="nil"/>
              <w:tr2bl w:val="nil"/>
            </w:tcBorders>
            <w:tcMar>
              <w:left w:w="60" w:type="dxa"/>
              <w:right w:w="60" w:type="dxa"/>
            </w:tcMar>
            <w:vAlign w:val="center"/>
          </w:tcPr>
          <w:p>
            <w:pPr>
              <w:pStyle w:val="DMETW36768BIPPENS2"/>
              <w:rPr>
                <w:rFonts w:ascii="Verdana" w:eastAsia="Verdana" w:hAnsi="Verdana" w:cs="Verdana"/>
                <w:b/>
                <w:noProof/>
                <w:color w:val="000000"/>
                <w:sz w:val="18"/>
              </w:rPr>
            </w:pPr>
          </w:p>
        </w:tc>
        <w:tc>
          <w:tcPr>
            <w:tcW w:w="1615" w:type="dxa"/>
            <w:tcBorders>
              <w:top w:val="nil"/>
              <w:left w:val="nil"/>
              <w:bottom w:val="nil"/>
              <w:right w:val="nil"/>
              <w:tl2br w:val="nil"/>
              <w:tr2bl w:val="nil"/>
            </w:tcBorders>
            <w:tcMar>
              <w:left w:w="60" w:type="dxa"/>
              <w:right w:w="60" w:type="dxa"/>
            </w:tcMar>
            <w:vAlign w:val="center"/>
          </w:tcPr>
          <w:p>
            <w:pPr>
              <w:pStyle w:val="DMETW36768BIPPENS2"/>
              <w:rPr>
                <w:rFonts w:ascii="Verdana" w:eastAsia="Verdana" w:hAnsi="Verdana" w:cs="Verdana"/>
                <w:b/>
                <w:noProof/>
                <w:color w:val="000000"/>
                <w:sz w:val="18"/>
              </w:rPr>
            </w:pPr>
          </w:p>
        </w:tc>
        <w:tc>
          <w:tcPr>
            <w:tcW w:w="1616" w:type="dxa"/>
            <w:tcBorders>
              <w:top w:val="nil"/>
              <w:left w:val="nil"/>
              <w:bottom w:val="nil"/>
              <w:right w:val="nil"/>
              <w:tl2br w:val="nil"/>
              <w:tr2bl w:val="nil"/>
            </w:tcBorders>
            <w:tcMar>
              <w:left w:w="60" w:type="dxa"/>
              <w:right w:w="60" w:type="dxa"/>
            </w:tcMar>
            <w:vAlign w:val="center"/>
          </w:tcPr>
          <w:p>
            <w:pPr>
              <w:pStyle w:val="DMETW36768BIPPENS2"/>
              <w:rPr>
                <w:rFonts w:ascii="Verdana" w:eastAsia="Verdana" w:hAnsi="Verdana" w:cs="Verdana"/>
                <w:b/>
                <w:noProof/>
                <w:color w:val="000000"/>
                <w:sz w:val="18"/>
              </w:rPr>
            </w:pPr>
          </w:p>
        </w:tc>
        <w:tc>
          <w:tcPr>
            <w:tcW w:w="1152" w:type="dxa"/>
            <w:tcBorders>
              <w:top w:val="nil"/>
              <w:left w:val="nil"/>
              <w:bottom w:val="nil"/>
              <w:right w:val="nil"/>
              <w:tl2br w:val="nil"/>
              <w:tr2bl w:val="nil"/>
            </w:tcBorders>
            <w:tcMar>
              <w:left w:w="60" w:type="dxa"/>
              <w:right w:w="60" w:type="dxa"/>
            </w:tcMar>
            <w:vAlign w:val="center"/>
          </w:tcPr>
          <w:p>
            <w:pPr>
              <w:pStyle w:val="DMETW36768BIPPENS2"/>
              <w:rPr>
                <w:rFonts w:ascii="Verdana" w:eastAsia="Verdana" w:hAnsi="Verdana" w:cs="Verdana"/>
                <w:b/>
                <w:noProof/>
                <w:color w:val="000000"/>
                <w:sz w:val="18"/>
                <w:lang w:bidi="en-GB"/>
              </w:rPr>
            </w:pPr>
          </w:p>
        </w:tc>
      </w:tr>
      <w:tr>
        <w:trPr>
          <w:trHeight w:val="255"/>
        </w:trPr>
        <w:tc>
          <w:tcPr>
            <w:tcW w:w="3760" w:type="dxa"/>
            <w:tcBorders>
              <w:top w:val="nil"/>
              <w:left w:val="nil"/>
              <w:bottom w:val="nil"/>
              <w:right w:val="nil"/>
              <w:tl2br w:val="nil"/>
              <w:tr2bl w:val="nil"/>
            </w:tcBorders>
            <w:tcMar>
              <w:left w:w="60" w:type="dxa"/>
              <w:right w:w="60" w:type="dxa"/>
            </w:tcMar>
            <w:vAlign w:val="center"/>
          </w:tcPr>
          <w:p>
            <w:pPr>
              <w:pStyle w:val="DMETW36768BIPPENS2"/>
              <w:rPr>
                <w:rFonts w:ascii="Verdana" w:eastAsia="Verdana" w:hAnsi="Verdana" w:cs="Verdana"/>
                <w:i/>
                <w:noProof/>
                <w:color w:val="000000"/>
                <w:sz w:val="18"/>
              </w:rPr>
            </w:pPr>
            <w:r>
              <w:rPr>
                <w:rFonts w:ascii="Verdana" w:hAnsi="Verdana"/>
                <w:i/>
                <w:noProof/>
                <w:color w:val="000000"/>
                <w:sz w:val="18"/>
              </w:rPr>
              <w:t xml:space="preserve">     Écarts actuariels découlant de</w:t>
            </w:r>
          </w:p>
          <w:p>
            <w:pPr>
              <w:pStyle w:val="DMETW36768BIPPENS2"/>
              <w:rPr>
                <w:rFonts w:ascii="Verdana" w:eastAsia="Verdana" w:hAnsi="Verdana" w:cs="Verdana"/>
                <w:i/>
                <w:noProof/>
                <w:color w:val="000000"/>
                <w:sz w:val="18"/>
              </w:rPr>
            </w:pPr>
            <w:r>
              <w:rPr>
                <w:rFonts w:ascii="Verdana" w:hAnsi="Verdana"/>
                <w:i/>
                <w:noProof/>
                <w:color w:val="000000"/>
                <w:sz w:val="18"/>
              </w:rPr>
              <w:t xml:space="preserve">     l’expérience</w:t>
            </w:r>
          </w:p>
        </w:tc>
        <w:tc>
          <w:tcPr>
            <w:tcW w:w="1615" w:type="dxa"/>
            <w:tcBorders>
              <w:top w:val="nil"/>
              <w:left w:val="nil"/>
              <w:bottom w:val="nil"/>
              <w:right w:val="nil"/>
              <w:tl2br w:val="nil"/>
              <w:tr2bl w:val="nil"/>
            </w:tcBorders>
            <w:tcMar>
              <w:left w:w="60" w:type="dxa"/>
              <w:right w:w="60" w:type="dxa"/>
            </w:tcMar>
            <w:vAlign w:val="center"/>
          </w:tcPr>
          <w:p>
            <w:pPr>
              <w:pStyle w:val="DMETW36768BIPPENS2"/>
              <w:jc w:val="right"/>
              <w:rPr>
                <w:rFonts w:ascii="Verdana" w:eastAsia="Verdana" w:hAnsi="Verdana" w:cs="Verdana"/>
                <w:i/>
                <w:noProof/>
                <w:color w:val="000000"/>
                <w:sz w:val="18"/>
              </w:rPr>
            </w:pPr>
            <w:r>
              <w:rPr>
                <w:rFonts w:ascii="Verdana" w:hAnsi="Verdana"/>
                <w:i/>
                <w:noProof/>
                <w:color w:val="000000"/>
                <w:sz w:val="18"/>
              </w:rPr>
              <w:t>(1 498)</w:t>
            </w:r>
          </w:p>
        </w:tc>
        <w:tc>
          <w:tcPr>
            <w:tcW w:w="1615" w:type="dxa"/>
            <w:tcBorders>
              <w:top w:val="nil"/>
              <w:left w:val="nil"/>
              <w:bottom w:val="nil"/>
              <w:right w:val="nil"/>
              <w:tl2br w:val="nil"/>
              <w:tr2bl w:val="nil"/>
            </w:tcBorders>
            <w:tcMar>
              <w:left w:w="60" w:type="dxa"/>
              <w:right w:w="60" w:type="dxa"/>
            </w:tcMar>
            <w:vAlign w:val="center"/>
          </w:tcPr>
          <w:p>
            <w:pPr>
              <w:pStyle w:val="DMETW36768BIPPENS2"/>
              <w:jc w:val="right"/>
              <w:rPr>
                <w:rFonts w:ascii="Verdana" w:eastAsia="Verdana" w:hAnsi="Verdana" w:cs="Verdana"/>
                <w:i/>
                <w:noProof/>
                <w:color w:val="000000"/>
                <w:sz w:val="18"/>
              </w:rPr>
            </w:pPr>
            <w:r>
              <w:rPr>
                <w:rFonts w:ascii="Verdana" w:hAnsi="Verdana"/>
                <w:i/>
                <w:noProof/>
                <w:color w:val="000000"/>
                <w:sz w:val="18"/>
              </w:rPr>
              <w:t xml:space="preserve"> 17</w:t>
            </w:r>
          </w:p>
        </w:tc>
        <w:tc>
          <w:tcPr>
            <w:tcW w:w="1616" w:type="dxa"/>
            <w:tcBorders>
              <w:top w:val="nil"/>
              <w:left w:val="nil"/>
              <w:bottom w:val="nil"/>
              <w:right w:val="nil"/>
              <w:tl2br w:val="nil"/>
              <w:tr2bl w:val="nil"/>
            </w:tcBorders>
            <w:tcMar>
              <w:left w:w="60" w:type="dxa"/>
              <w:right w:w="60" w:type="dxa"/>
            </w:tcMar>
            <w:vAlign w:val="center"/>
          </w:tcPr>
          <w:p>
            <w:pPr>
              <w:pStyle w:val="DMETW36768BIPPENS2"/>
              <w:jc w:val="right"/>
              <w:rPr>
                <w:rFonts w:ascii="Verdana" w:eastAsia="Verdana" w:hAnsi="Verdana" w:cs="Verdana"/>
                <w:i/>
                <w:noProof/>
                <w:color w:val="000000"/>
                <w:sz w:val="18"/>
              </w:rPr>
            </w:pPr>
            <w:r>
              <w:rPr>
                <w:rFonts w:ascii="Verdana" w:hAnsi="Verdana"/>
                <w:i/>
                <w:noProof/>
                <w:color w:val="000000"/>
                <w:sz w:val="18"/>
              </w:rPr>
              <w:t xml:space="preserve"> (202)</w:t>
            </w:r>
          </w:p>
        </w:tc>
        <w:tc>
          <w:tcPr>
            <w:tcW w:w="1152" w:type="dxa"/>
            <w:tcBorders>
              <w:top w:val="nil"/>
              <w:left w:val="nil"/>
              <w:bottom w:val="nil"/>
              <w:right w:val="nil"/>
              <w:tl2br w:val="nil"/>
              <w:tr2bl w:val="nil"/>
            </w:tcBorders>
            <w:tcMar>
              <w:left w:w="60" w:type="dxa"/>
              <w:right w:w="60" w:type="dxa"/>
            </w:tcMar>
            <w:vAlign w:val="center"/>
          </w:tcPr>
          <w:p>
            <w:pPr>
              <w:pStyle w:val="DMETW36768BIPPENS2"/>
              <w:jc w:val="right"/>
              <w:rPr>
                <w:rFonts w:ascii="Verdana" w:eastAsia="Verdana" w:hAnsi="Verdana" w:cs="Verdana"/>
                <w:i/>
                <w:noProof/>
                <w:color w:val="000000"/>
                <w:sz w:val="18"/>
              </w:rPr>
            </w:pPr>
            <w:r>
              <w:rPr>
                <w:rFonts w:ascii="Verdana" w:hAnsi="Verdana"/>
                <w:i/>
                <w:noProof/>
                <w:color w:val="000000"/>
                <w:sz w:val="18"/>
              </w:rPr>
              <w:t>(1 683)</w:t>
            </w:r>
          </w:p>
        </w:tc>
      </w:tr>
      <w:tr>
        <w:trPr>
          <w:trHeight w:val="255"/>
        </w:trPr>
        <w:tc>
          <w:tcPr>
            <w:tcW w:w="3760" w:type="dxa"/>
            <w:tcBorders>
              <w:top w:val="nil"/>
              <w:left w:val="nil"/>
              <w:bottom w:val="nil"/>
              <w:right w:val="nil"/>
              <w:tl2br w:val="nil"/>
              <w:tr2bl w:val="nil"/>
            </w:tcBorders>
            <w:tcMar>
              <w:left w:w="60" w:type="dxa"/>
              <w:right w:w="60" w:type="dxa"/>
            </w:tcMar>
            <w:vAlign w:val="center"/>
          </w:tcPr>
          <w:p>
            <w:pPr>
              <w:pStyle w:val="DMETW36768BIPPENS2"/>
              <w:rPr>
                <w:rFonts w:ascii="Verdana" w:eastAsia="Verdana" w:hAnsi="Verdana" w:cs="Verdana"/>
                <w:i/>
                <w:noProof/>
                <w:color w:val="000000"/>
                <w:sz w:val="18"/>
              </w:rPr>
            </w:pPr>
            <w:r>
              <w:rPr>
                <w:rFonts w:ascii="Verdana" w:hAnsi="Verdana"/>
                <w:i/>
                <w:noProof/>
                <w:color w:val="000000"/>
                <w:sz w:val="18"/>
              </w:rPr>
              <w:t xml:space="preserve">     Écarts actuariels découlant des </w:t>
            </w:r>
          </w:p>
          <w:p>
            <w:pPr>
              <w:pStyle w:val="DMETW36768BIPPENS2"/>
              <w:rPr>
                <w:rFonts w:ascii="Verdana" w:eastAsia="Verdana" w:hAnsi="Verdana" w:cs="Verdana"/>
                <w:i/>
                <w:noProof/>
                <w:color w:val="000000"/>
                <w:sz w:val="18"/>
              </w:rPr>
            </w:pPr>
            <w:r>
              <w:rPr>
                <w:rFonts w:ascii="Verdana" w:hAnsi="Verdana"/>
                <w:i/>
                <w:noProof/>
                <w:color w:val="000000"/>
                <w:sz w:val="18"/>
              </w:rPr>
              <w:t xml:space="preserve">     hypothèses démographiques</w:t>
            </w:r>
          </w:p>
        </w:tc>
        <w:tc>
          <w:tcPr>
            <w:tcW w:w="1615" w:type="dxa"/>
            <w:tcBorders>
              <w:top w:val="nil"/>
              <w:left w:val="nil"/>
              <w:bottom w:val="nil"/>
              <w:right w:val="nil"/>
              <w:tl2br w:val="nil"/>
              <w:tr2bl w:val="nil"/>
            </w:tcBorders>
            <w:tcMar>
              <w:left w:w="60" w:type="dxa"/>
              <w:right w:w="60" w:type="dxa"/>
            </w:tcMar>
            <w:vAlign w:val="center"/>
          </w:tcPr>
          <w:p>
            <w:pPr>
              <w:pStyle w:val="DMETW36768BIPPENS2"/>
              <w:jc w:val="right"/>
              <w:rPr>
                <w:rFonts w:ascii="Verdana" w:eastAsia="Verdana" w:hAnsi="Verdana" w:cs="Verdana"/>
                <w:i/>
                <w:noProof/>
                <w:color w:val="000000"/>
                <w:sz w:val="18"/>
              </w:rPr>
            </w:pPr>
            <w:r>
              <w:rPr>
                <w:rFonts w:ascii="Verdana" w:hAnsi="Verdana"/>
                <w:i/>
                <w:noProof/>
                <w:color w:val="000000"/>
                <w:sz w:val="18"/>
              </w:rPr>
              <w:t xml:space="preserve"> 237</w:t>
            </w:r>
          </w:p>
        </w:tc>
        <w:tc>
          <w:tcPr>
            <w:tcW w:w="1615" w:type="dxa"/>
            <w:tcBorders>
              <w:top w:val="nil"/>
              <w:left w:val="nil"/>
              <w:bottom w:val="nil"/>
              <w:right w:val="nil"/>
              <w:tl2br w:val="nil"/>
              <w:tr2bl w:val="nil"/>
            </w:tcBorders>
            <w:tcMar>
              <w:left w:w="60" w:type="dxa"/>
              <w:right w:w="60" w:type="dxa"/>
            </w:tcMar>
            <w:vAlign w:val="center"/>
          </w:tcPr>
          <w:p>
            <w:pPr>
              <w:pStyle w:val="DMETW36768BIPPENS2"/>
              <w:jc w:val="right"/>
              <w:rPr>
                <w:rFonts w:ascii="Verdana" w:eastAsia="Verdana" w:hAnsi="Verdana" w:cs="Verdana"/>
                <w:i/>
                <w:noProof/>
                <w:color w:val="000000"/>
                <w:sz w:val="18"/>
              </w:rPr>
            </w:pPr>
            <w:r>
              <w:rPr>
                <w:rFonts w:ascii="Verdana" w:hAnsi="Verdana"/>
                <w:i/>
                <w:noProof/>
                <w:color w:val="000000"/>
                <w:sz w:val="18"/>
              </w:rPr>
              <w:t xml:space="preserve"> 6</w:t>
            </w:r>
          </w:p>
        </w:tc>
        <w:tc>
          <w:tcPr>
            <w:tcW w:w="1616" w:type="dxa"/>
            <w:tcBorders>
              <w:top w:val="nil"/>
              <w:left w:val="nil"/>
              <w:bottom w:val="nil"/>
              <w:right w:val="nil"/>
              <w:tl2br w:val="nil"/>
              <w:tr2bl w:val="nil"/>
            </w:tcBorders>
            <w:tcMar>
              <w:left w:w="60" w:type="dxa"/>
              <w:right w:w="60" w:type="dxa"/>
            </w:tcMar>
            <w:vAlign w:val="center"/>
          </w:tcPr>
          <w:p>
            <w:pPr>
              <w:pStyle w:val="DMETW36768BIPPENS2"/>
              <w:jc w:val="right"/>
              <w:rPr>
                <w:rFonts w:ascii="Verdana" w:eastAsia="Verdana" w:hAnsi="Verdana" w:cs="Verdana"/>
                <w:i/>
                <w:noProof/>
                <w:color w:val="000000"/>
                <w:sz w:val="18"/>
              </w:rPr>
            </w:pPr>
            <w:r>
              <w:rPr>
                <w:rFonts w:ascii="Verdana" w:hAnsi="Verdana"/>
                <w:i/>
                <w:noProof/>
                <w:color w:val="000000"/>
                <w:sz w:val="18"/>
              </w:rPr>
              <w:t xml:space="preserve"> 15</w:t>
            </w:r>
          </w:p>
        </w:tc>
        <w:tc>
          <w:tcPr>
            <w:tcW w:w="1152" w:type="dxa"/>
            <w:tcBorders>
              <w:top w:val="nil"/>
              <w:left w:val="nil"/>
              <w:bottom w:val="nil"/>
              <w:right w:val="nil"/>
              <w:tl2br w:val="nil"/>
              <w:tr2bl w:val="nil"/>
            </w:tcBorders>
            <w:tcMar>
              <w:left w:w="60" w:type="dxa"/>
              <w:right w:w="60" w:type="dxa"/>
            </w:tcMar>
            <w:vAlign w:val="center"/>
          </w:tcPr>
          <w:p>
            <w:pPr>
              <w:pStyle w:val="DMETW36768BIPPENS2"/>
              <w:jc w:val="right"/>
              <w:rPr>
                <w:rFonts w:ascii="Verdana" w:eastAsia="Verdana" w:hAnsi="Verdana" w:cs="Verdana"/>
                <w:i/>
                <w:noProof/>
                <w:color w:val="000000"/>
                <w:sz w:val="18"/>
              </w:rPr>
            </w:pPr>
            <w:r>
              <w:rPr>
                <w:rFonts w:ascii="Verdana" w:hAnsi="Verdana"/>
                <w:i/>
                <w:noProof/>
                <w:color w:val="000000"/>
                <w:sz w:val="18"/>
              </w:rPr>
              <w:t xml:space="preserve"> 259</w:t>
            </w:r>
          </w:p>
        </w:tc>
      </w:tr>
      <w:tr>
        <w:trPr>
          <w:trHeight w:val="255"/>
        </w:trPr>
        <w:tc>
          <w:tcPr>
            <w:tcW w:w="3760" w:type="dxa"/>
            <w:tcBorders>
              <w:top w:val="nil"/>
              <w:left w:val="nil"/>
              <w:bottom w:val="nil"/>
              <w:right w:val="nil"/>
              <w:tl2br w:val="nil"/>
              <w:tr2bl w:val="nil"/>
            </w:tcBorders>
            <w:tcMar>
              <w:left w:w="60" w:type="dxa"/>
              <w:right w:w="60" w:type="dxa"/>
            </w:tcMar>
            <w:vAlign w:val="center"/>
          </w:tcPr>
          <w:p>
            <w:pPr>
              <w:pStyle w:val="DMETW36768BIPPENS2"/>
              <w:rPr>
                <w:rFonts w:ascii="Verdana" w:eastAsia="Verdana" w:hAnsi="Verdana" w:cs="Verdana"/>
                <w:i/>
                <w:noProof/>
                <w:color w:val="000000"/>
                <w:sz w:val="18"/>
              </w:rPr>
            </w:pPr>
            <w:r>
              <w:rPr>
                <w:rFonts w:ascii="Verdana" w:hAnsi="Verdana"/>
                <w:i/>
                <w:noProof/>
                <w:color w:val="000000"/>
                <w:sz w:val="18"/>
              </w:rPr>
              <w:t xml:space="preserve">     Écarts actuariels découlant des</w:t>
            </w:r>
          </w:p>
          <w:p>
            <w:pPr>
              <w:pStyle w:val="DMETW36768BIPPENS2"/>
              <w:rPr>
                <w:rFonts w:ascii="Verdana" w:eastAsia="Verdana" w:hAnsi="Verdana" w:cs="Verdana"/>
                <w:i/>
                <w:noProof/>
                <w:color w:val="000000"/>
                <w:sz w:val="18"/>
              </w:rPr>
            </w:pPr>
            <w:r>
              <w:rPr>
                <w:rFonts w:ascii="Verdana" w:hAnsi="Verdana"/>
                <w:i/>
                <w:noProof/>
                <w:color w:val="000000"/>
                <w:sz w:val="18"/>
              </w:rPr>
              <w:t xml:space="preserve">     hypothèses financières</w:t>
            </w:r>
          </w:p>
        </w:tc>
        <w:tc>
          <w:tcPr>
            <w:tcW w:w="1615" w:type="dxa"/>
            <w:tcBorders>
              <w:top w:val="nil"/>
              <w:left w:val="nil"/>
              <w:bottom w:val="nil"/>
              <w:right w:val="nil"/>
              <w:tl2br w:val="nil"/>
              <w:tr2bl w:val="nil"/>
            </w:tcBorders>
            <w:tcMar>
              <w:left w:w="60" w:type="dxa"/>
              <w:right w:w="60" w:type="dxa"/>
            </w:tcMar>
            <w:vAlign w:val="center"/>
          </w:tcPr>
          <w:p>
            <w:pPr>
              <w:pStyle w:val="DMETW36768BIPPENS2"/>
              <w:jc w:val="right"/>
              <w:rPr>
                <w:rFonts w:ascii="Verdana" w:eastAsia="Verdana" w:hAnsi="Verdana" w:cs="Verdana"/>
                <w:i/>
                <w:noProof/>
                <w:color w:val="000000"/>
                <w:sz w:val="18"/>
              </w:rPr>
            </w:pPr>
            <w:r>
              <w:rPr>
                <w:rFonts w:ascii="Verdana" w:hAnsi="Verdana"/>
                <w:i/>
                <w:noProof/>
                <w:color w:val="000000"/>
                <w:sz w:val="18"/>
              </w:rPr>
              <w:t>(2 608)</w:t>
            </w:r>
          </w:p>
        </w:tc>
        <w:tc>
          <w:tcPr>
            <w:tcW w:w="1615" w:type="dxa"/>
            <w:tcBorders>
              <w:top w:val="nil"/>
              <w:left w:val="nil"/>
              <w:bottom w:val="nil"/>
              <w:right w:val="nil"/>
              <w:tl2br w:val="nil"/>
              <w:tr2bl w:val="nil"/>
            </w:tcBorders>
            <w:tcMar>
              <w:left w:w="60" w:type="dxa"/>
              <w:right w:w="60" w:type="dxa"/>
            </w:tcMar>
            <w:vAlign w:val="center"/>
          </w:tcPr>
          <w:p>
            <w:pPr>
              <w:pStyle w:val="DMETW36768BIPPENS2"/>
              <w:jc w:val="right"/>
              <w:rPr>
                <w:rFonts w:ascii="Verdana" w:eastAsia="Verdana" w:hAnsi="Verdana" w:cs="Verdana"/>
                <w:i/>
                <w:noProof/>
                <w:color w:val="000000"/>
                <w:sz w:val="18"/>
              </w:rPr>
            </w:pPr>
            <w:r>
              <w:rPr>
                <w:rFonts w:ascii="Verdana" w:hAnsi="Verdana"/>
                <w:i/>
                <w:noProof/>
                <w:color w:val="000000"/>
                <w:sz w:val="18"/>
              </w:rPr>
              <w:t xml:space="preserve"> (134)</w:t>
            </w:r>
          </w:p>
        </w:tc>
        <w:tc>
          <w:tcPr>
            <w:tcW w:w="1616" w:type="dxa"/>
            <w:tcBorders>
              <w:top w:val="nil"/>
              <w:left w:val="nil"/>
              <w:bottom w:val="nil"/>
              <w:right w:val="nil"/>
              <w:tl2br w:val="nil"/>
              <w:tr2bl w:val="nil"/>
            </w:tcBorders>
            <w:tcMar>
              <w:left w:w="60" w:type="dxa"/>
              <w:right w:w="60" w:type="dxa"/>
            </w:tcMar>
            <w:vAlign w:val="center"/>
          </w:tcPr>
          <w:p>
            <w:pPr>
              <w:pStyle w:val="DMETW36768BIPPENS2"/>
              <w:jc w:val="right"/>
              <w:rPr>
                <w:rFonts w:ascii="Verdana" w:eastAsia="Verdana" w:hAnsi="Verdana" w:cs="Verdana"/>
                <w:i/>
                <w:noProof/>
                <w:color w:val="000000"/>
                <w:sz w:val="18"/>
              </w:rPr>
            </w:pPr>
            <w:r>
              <w:rPr>
                <w:rFonts w:ascii="Verdana" w:hAnsi="Verdana"/>
                <w:i/>
                <w:noProof/>
                <w:color w:val="000000"/>
                <w:sz w:val="18"/>
              </w:rPr>
              <w:t>(1 270)</w:t>
            </w:r>
          </w:p>
        </w:tc>
        <w:tc>
          <w:tcPr>
            <w:tcW w:w="1152" w:type="dxa"/>
            <w:tcBorders>
              <w:top w:val="nil"/>
              <w:left w:val="nil"/>
              <w:bottom w:val="nil"/>
              <w:right w:val="nil"/>
              <w:tl2br w:val="nil"/>
              <w:tr2bl w:val="nil"/>
            </w:tcBorders>
            <w:tcMar>
              <w:left w:w="60" w:type="dxa"/>
              <w:right w:w="60" w:type="dxa"/>
            </w:tcMar>
            <w:vAlign w:val="center"/>
          </w:tcPr>
          <w:p>
            <w:pPr>
              <w:pStyle w:val="DMETW36768BIPPENS2"/>
              <w:jc w:val="right"/>
              <w:rPr>
                <w:rFonts w:ascii="Verdana" w:eastAsia="Verdana" w:hAnsi="Verdana" w:cs="Verdana"/>
                <w:i/>
                <w:noProof/>
                <w:color w:val="000000"/>
                <w:sz w:val="18"/>
              </w:rPr>
            </w:pPr>
            <w:r>
              <w:rPr>
                <w:rFonts w:ascii="Verdana" w:hAnsi="Verdana"/>
                <w:i/>
                <w:noProof/>
                <w:color w:val="000000"/>
                <w:sz w:val="18"/>
              </w:rPr>
              <w:t>(4 012)</w:t>
            </w:r>
          </w:p>
        </w:tc>
      </w:tr>
      <w:tr>
        <w:trPr>
          <w:trHeight w:val="255"/>
        </w:trPr>
        <w:tc>
          <w:tcPr>
            <w:tcW w:w="3760" w:type="dxa"/>
            <w:tcBorders>
              <w:top w:val="nil"/>
              <w:left w:val="nil"/>
              <w:bottom w:val="nil"/>
              <w:right w:val="nil"/>
              <w:tl2br w:val="nil"/>
              <w:tr2bl w:val="nil"/>
            </w:tcBorders>
            <w:tcMar>
              <w:left w:w="60" w:type="dxa"/>
              <w:right w:w="60" w:type="dxa"/>
            </w:tcMar>
            <w:vAlign w:val="center"/>
          </w:tcPr>
          <w:p>
            <w:pPr>
              <w:pStyle w:val="DMETW36768BIPPENS2"/>
              <w:rPr>
                <w:rFonts w:ascii="Verdana" w:eastAsia="Verdana" w:hAnsi="Verdana" w:cs="Verdana"/>
                <w:b/>
                <w:noProof/>
                <w:color w:val="000000"/>
                <w:sz w:val="18"/>
              </w:rPr>
            </w:pPr>
            <w:r>
              <w:rPr>
                <w:rFonts w:ascii="Verdana" w:hAnsi="Verdana"/>
                <w:b/>
                <w:noProof/>
                <w:color w:val="000000"/>
                <w:sz w:val="18"/>
              </w:rPr>
              <w:t>Autres</w:t>
            </w:r>
          </w:p>
        </w:tc>
        <w:tc>
          <w:tcPr>
            <w:tcW w:w="1615" w:type="dxa"/>
            <w:tcBorders>
              <w:top w:val="nil"/>
              <w:left w:val="nil"/>
              <w:bottom w:val="nil"/>
              <w:right w:val="nil"/>
              <w:tl2br w:val="nil"/>
              <w:tr2bl w:val="nil"/>
            </w:tcBorders>
            <w:tcMar>
              <w:left w:w="60" w:type="dxa"/>
              <w:right w:w="60" w:type="dxa"/>
            </w:tcMar>
            <w:vAlign w:val="center"/>
          </w:tcPr>
          <w:p>
            <w:pPr>
              <w:pStyle w:val="DMETW36768BIPPENS2"/>
              <w:rPr>
                <w:rFonts w:ascii="Verdana" w:eastAsia="Verdana" w:hAnsi="Verdana" w:cs="Verdana"/>
                <w:b/>
                <w:noProof/>
                <w:color w:val="000000"/>
                <w:sz w:val="18"/>
              </w:rPr>
            </w:pPr>
          </w:p>
        </w:tc>
        <w:tc>
          <w:tcPr>
            <w:tcW w:w="1615" w:type="dxa"/>
            <w:tcBorders>
              <w:top w:val="nil"/>
              <w:left w:val="nil"/>
              <w:bottom w:val="nil"/>
              <w:right w:val="nil"/>
              <w:tl2br w:val="nil"/>
              <w:tr2bl w:val="nil"/>
            </w:tcBorders>
            <w:tcMar>
              <w:left w:w="60" w:type="dxa"/>
              <w:right w:w="60" w:type="dxa"/>
            </w:tcMar>
            <w:vAlign w:val="center"/>
          </w:tcPr>
          <w:p>
            <w:pPr>
              <w:pStyle w:val="DMETW36768BIPPENS2"/>
              <w:rPr>
                <w:rFonts w:ascii="Verdana" w:eastAsia="Verdana" w:hAnsi="Verdana" w:cs="Verdana"/>
                <w:b/>
                <w:noProof/>
                <w:color w:val="000000"/>
                <w:sz w:val="18"/>
              </w:rPr>
            </w:pPr>
          </w:p>
        </w:tc>
        <w:tc>
          <w:tcPr>
            <w:tcW w:w="1616" w:type="dxa"/>
            <w:tcBorders>
              <w:top w:val="nil"/>
              <w:left w:val="nil"/>
              <w:bottom w:val="nil"/>
              <w:right w:val="nil"/>
              <w:tl2br w:val="nil"/>
              <w:tr2bl w:val="nil"/>
            </w:tcBorders>
            <w:tcMar>
              <w:left w:w="60" w:type="dxa"/>
              <w:right w:w="60" w:type="dxa"/>
            </w:tcMar>
            <w:vAlign w:val="center"/>
          </w:tcPr>
          <w:p>
            <w:pPr>
              <w:pStyle w:val="DMETW36768BIPPENS2"/>
              <w:rPr>
                <w:rFonts w:ascii="Verdana" w:eastAsia="Verdana" w:hAnsi="Verdana" w:cs="Verdana"/>
                <w:b/>
                <w:noProof/>
                <w:color w:val="000000"/>
                <w:sz w:val="18"/>
              </w:rPr>
            </w:pPr>
          </w:p>
        </w:tc>
        <w:tc>
          <w:tcPr>
            <w:tcW w:w="1152" w:type="dxa"/>
            <w:tcBorders>
              <w:top w:val="nil"/>
              <w:left w:val="nil"/>
              <w:bottom w:val="nil"/>
              <w:right w:val="nil"/>
              <w:tl2br w:val="nil"/>
              <w:tr2bl w:val="nil"/>
            </w:tcBorders>
            <w:tcMar>
              <w:left w:w="60" w:type="dxa"/>
              <w:right w:w="60" w:type="dxa"/>
            </w:tcMar>
            <w:vAlign w:val="center"/>
          </w:tcPr>
          <w:p>
            <w:pPr>
              <w:pStyle w:val="DMETW36768BIPPENS2"/>
              <w:rPr>
                <w:rFonts w:ascii="Verdana" w:eastAsia="Verdana" w:hAnsi="Verdana" w:cs="Verdana"/>
                <w:b/>
                <w:noProof/>
                <w:color w:val="000000"/>
                <w:sz w:val="18"/>
                <w:lang w:bidi="en-GB"/>
              </w:rPr>
            </w:pPr>
          </w:p>
        </w:tc>
      </w:tr>
      <w:tr>
        <w:trPr>
          <w:trHeight w:val="255"/>
        </w:trPr>
        <w:tc>
          <w:tcPr>
            <w:tcW w:w="3760" w:type="dxa"/>
            <w:tcBorders>
              <w:top w:val="nil"/>
              <w:left w:val="nil"/>
              <w:bottom w:val="single" w:sz="4" w:space="0" w:color="016794"/>
              <w:right w:val="nil"/>
              <w:tl2br w:val="nil"/>
              <w:tr2bl w:val="nil"/>
            </w:tcBorders>
            <w:tcMar>
              <w:left w:w="60" w:type="dxa"/>
              <w:right w:w="60" w:type="dxa"/>
            </w:tcMar>
            <w:vAlign w:val="center"/>
          </w:tcPr>
          <w:p>
            <w:pPr>
              <w:pStyle w:val="DMETW36768BIPPENS2"/>
              <w:rPr>
                <w:rFonts w:ascii="Verdana" w:eastAsia="Verdana" w:hAnsi="Verdana" w:cs="Verdana"/>
                <w:i/>
                <w:noProof/>
                <w:color w:val="000000"/>
                <w:sz w:val="18"/>
              </w:rPr>
            </w:pPr>
            <w:r>
              <w:rPr>
                <w:rFonts w:ascii="Verdana" w:hAnsi="Verdana"/>
                <w:i/>
                <w:noProof/>
                <w:color w:val="000000"/>
                <w:sz w:val="18"/>
              </w:rPr>
              <w:t>Prestations servies</w:t>
            </w:r>
          </w:p>
        </w:tc>
        <w:tc>
          <w:tcPr>
            <w:tcW w:w="1615" w:type="dxa"/>
            <w:tcBorders>
              <w:top w:val="nil"/>
              <w:left w:val="nil"/>
              <w:bottom w:val="single" w:sz="4" w:space="0" w:color="016794"/>
              <w:right w:val="nil"/>
              <w:tl2br w:val="nil"/>
              <w:tr2bl w:val="nil"/>
            </w:tcBorders>
            <w:tcMar>
              <w:left w:w="60" w:type="dxa"/>
              <w:right w:w="60" w:type="dxa"/>
            </w:tcMar>
            <w:vAlign w:val="center"/>
          </w:tcPr>
          <w:p>
            <w:pPr>
              <w:pStyle w:val="DMETW36768BIPPENS2"/>
              <w:jc w:val="right"/>
              <w:rPr>
                <w:rFonts w:ascii="Verdana" w:eastAsia="Verdana" w:hAnsi="Verdana" w:cs="Verdana"/>
                <w:i/>
                <w:noProof/>
                <w:color w:val="000000"/>
                <w:sz w:val="18"/>
              </w:rPr>
            </w:pPr>
            <w:r>
              <w:rPr>
                <w:rFonts w:ascii="Verdana" w:hAnsi="Verdana"/>
                <w:i/>
                <w:noProof/>
                <w:color w:val="000000"/>
                <w:sz w:val="18"/>
              </w:rPr>
              <w:t>(2 567)</w:t>
            </w:r>
          </w:p>
        </w:tc>
        <w:tc>
          <w:tcPr>
            <w:tcW w:w="1615" w:type="dxa"/>
            <w:tcBorders>
              <w:top w:val="nil"/>
              <w:left w:val="nil"/>
              <w:bottom w:val="single" w:sz="4" w:space="0" w:color="016794"/>
              <w:right w:val="nil"/>
              <w:tl2br w:val="nil"/>
              <w:tr2bl w:val="nil"/>
            </w:tcBorders>
            <w:tcMar>
              <w:left w:w="60" w:type="dxa"/>
              <w:right w:w="60" w:type="dxa"/>
            </w:tcMar>
            <w:vAlign w:val="center"/>
          </w:tcPr>
          <w:p>
            <w:pPr>
              <w:pStyle w:val="DMETW36768BIPPENS2"/>
              <w:jc w:val="right"/>
              <w:rPr>
                <w:rFonts w:ascii="Verdana" w:eastAsia="Verdana" w:hAnsi="Verdana" w:cs="Verdana"/>
                <w:i/>
                <w:noProof/>
                <w:color w:val="000000"/>
                <w:sz w:val="18"/>
              </w:rPr>
            </w:pPr>
            <w:r>
              <w:rPr>
                <w:rFonts w:ascii="Verdana" w:hAnsi="Verdana"/>
                <w:i/>
                <w:noProof/>
                <w:color w:val="000000"/>
                <w:sz w:val="18"/>
              </w:rPr>
              <w:t xml:space="preserve"> (84)</w:t>
            </w:r>
          </w:p>
        </w:tc>
        <w:tc>
          <w:tcPr>
            <w:tcW w:w="1616" w:type="dxa"/>
            <w:tcBorders>
              <w:top w:val="nil"/>
              <w:left w:val="nil"/>
              <w:bottom w:val="single" w:sz="4" w:space="0" w:color="016794"/>
              <w:right w:val="nil"/>
              <w:tl2br w:val="nil"/>
              <w:tr2bl w:val="nil"/>
            </w:tcBorders>
            <w:tcMar>
              <w:left w:w="60" w:type="dxa"/>
              <w:right w:w="60" w:type="dxa"/>
            </w:tcMar>
            <w:vAlign w:val="center"/>
          </w:tcPr>
          <w:p>
            <w:pPr>
              <w:pStyle w:val="DMETW36768BIPPENS2"/>
              <w:jc w:val="right"/>
              <w:rPr>
                <w:rFonts w:ascii="Verdana" w:eastAsia="Verdana" w:hAnsi="Verdana" w:cs="Verdana"/>
                <w:i/>
                <w:noProof/>
                <w:color w:val="000000"/>
                <w:sz w:val="18"/>
              </w:rPr>
            </w:pPr>
            <w:r>
              <w:rPr>
                <w:rFonts w:ascii="Verdana" w:hAnsi="Verdana"/>
                <w:i/>
                <w:noProof/>
                <w:color w:val="000000"/>
                <w:sz w:val="18"/>
              </w:rPr>
              <w:t xml:space="preserve"> (140)</w:t>
            </w:r>
          </w:p>
        </w:tc>
        <w:tc>
          <w:tcPr>
            <w:tcW w:w="1152" w:type="dxa"/>
            <w:tcBorders>
              <w:top w:val="nil"/>
              <w:left w:val="nil"/>
              <w:bottom w:val="single" w:sz="4" w:space="0" w:color="016794"/>
              <w:right w:val="nil"/>
              <w:tl2br w:val="nil"/>
              <w:tr2bl w:val="nil"/>
            </w:tcBorders>
            <w:tcMar>
              <w:left w:w="60" w:type="dxa"/>
              <w:right w:w="60" w:type="dxa"/>
            </w:tcMar>
            <w:vAlign w:val="center"/>
          </w:tcPr>
          <w:p>
            <w:pPr>
              <w:pStyle w:val="DMETW36768BIPPENS2"/>
              <w:jc w:val="right"/>
              <w:rPr>
                <w:rFonts w:ascii="Verdana" w:eastAsia="Verdana" w:hAnsi="Verdana" w:cs="Verdana"/>
                <w:i/>
                <w:noProof/>
                <w:color w:val="000000"/>
                <w:sz w:val="18"/>
              </w:rPr>
            </w:pPr>
            <w:r>
              <w:rPr>
                <w:rFonts w:ascii="Verdana" w:hAnsi="Verdana"/>
                <w:i/>
                <w:noProof/>
                <w:color w:val="000000"/>
                <w:sz w:val="18"/>
              </w:rPr>
              <w:t>(2 791)</w:t>
            </w:r>
          </w:p>
        </w:tc>
      </w:tr>
      <w:tr>
        <w:trPr>
          <w:trHeight w:val="255"/>
        </w:trPr>
        <w:tc>
          <w:tcPr>
            <w:tcW w:w="376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8BIPPENS2"/>
              <w:rPr>
                <w:rFonts w:ascii="Verdana" w:eastAsia="Verdana" w:hAnsi="Verdana" w:cs="Verdana"/>
                <w:b/>
                <w:noProof/>
                <w:color w:val="000000"/>
                <w:sz w:val="18"/>
              </w:rPr>
            </w:pPr>
            <w:r>
              <w:rPr>
                <w:rFonts w:ascii="Verdana" w:hAnsi="Verdana"/>
                <w:b/>
                <w:noProof/>
                <w:color w:val="000000"/>
                <w:sz w:val="18"/>
              </w:rPr>
              <w:t>Valeur actuelle au 31.12.2025</w:t>
            </w:r>
          </w:p>
        </w:tc>
        <w:tc>
          <w:tcPr>
            <w:tcW w:w="161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8BIPPENS2"/>
              <w:jc w:val="right"/>
              <w:rPr>
                <w:rFonts w:ascii="Verdana" w:eastAsia="Verdana" w:hAnsi="Verdana" w:cs="Verdana"/>
                <w:b/>
                <w:noProof/>
                <w:color w:val="000000"/>
                <w:sz w:val="18"/>
              </w:rPr>
            </w:pPr>
            <w:r>
              <w:rPr>
                <w:rFonts w:ascii="Verdana" w:hAnsi="Verdana"/>
                <w:b/>
                <w:noProof/>
                <w:color w:val="000000"/>
                <w:sz w:val="18"/>
              </w:rPr>
              <w:t>83 998</w:t>
            </w:r>
          </w:p>
        </w:tc>
        <w:tc>
          <w:tcPr>
            <w:tcW w:w="161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8BIPPENS2"/>
              <w:jc w:val="right"/>
              <w:rPr>
                <w:rFonts w:ascii="Verdana" w:eastAsia="Verdana" w:hAnsi="Verdana" w:cs="Verdana"/>
                <w:b/>
                <w:noProof/>
                <w:color w:val="000000"/>
                <w:sz w:val="18"/>
              </w:rPr>
            </w:pPr>
            <w:r>
              <w:rPr>
                <w:rFonts w:ascii="Verdana" w:hAnsi="Verdana"/>
                <w:b/>
                <w:noProof/>
                <w:color w:val="000000"/>
                <w:sz w:val="18"/>
              </w:rPr>
              <w:t>1 887</w:t>
            </w:r>
          </w:p>
        </w:tc>
        <w:tc>
          <w:tcPr>
            <w:tcW w:w="161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8BIPPENS2"/>
              <w:jc w:val="right"/>
              <w:rPr>
                <w:rFonts w:ascii="Verdana" w:eastAsia="Verdana" w:hAnsi="Verdana" w:cs="Verdana"/>
                <w:b/>
                <w:noProof/>
                <w:color w:val="000000"/>
                <w:sz w:val="18"/>
              </w:rPr>
            </w:pPr>
            <w:r>
              <w:rPr>
                <w:rFonts w:ascii="Verdana" w:hAnsi="Verdana"/>
                <w:b/>
                <w:noProof/>
                <w:color w:val="000000"/>
                <w:sz w:val="18"/>
              </w:rPr>
              <w:t>5 721</w:t>
            </w:r>
          </w:p>
        </w:tc>
        <w:tc>
          <w:tcPr>
            <w:tcW w:w="115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8BIPPENS2"/>
              <w:jc w:val="right"/>
              <w:rPr>
                <w:rFonts w:ascii="Verdana" w:eastAsia="Verdana" w:hAnsi="Verdana" w:cs="Verdana"/>
                <w:b/>
                <w:noProof/>
                <w:color w:val="000000"/>
                <w:sz w:val="18"/>
              </w:rPr>
            </w:pPr>
            <w:r>
              <w:rPr>
                <w:rFonts w:ascii="Verdana" w:hAnsi="Verdana"/>
                <w:b/>
                <w:noProof/>
                <w:color w:val="000000"/>
                <w:sz w:val="18"/>
              </w:rPr>
              <w:t>91 605</w:t>
            </w:r>
          </w:p>
        </w:tc>
      </w:tr>
    </w:tbl>
    <w:p>
      <w:pPr>
        <w:pStyle w:val="HEADER5"/>
        <w:spacing w:before="240"/>
        <w:jc w:val="both"/>
        <w:rPr>
          <w:rFonts w:eastAsia="Calibri"/>
          <w:noProof/>
          <w:color w:val="auto"/>
        </w:rPr>
      </w:pPr>
      <w:r>
        <w:rPr>
          <w:noProof/>
          <w:color w:val="auto"/>
        </w:rPr>
        <w:t>Le coût des services rendus au cours de la période désigne l’accroissement de la valeur actuelle de l’obligation au titre des prestations définies résultant des services rendus par les membres du personnel au cours de l’exercice considéré.</w:t>
      </w:r>
    </w:p>
    <w:p>
      <w:pPr>
        <w:pStyle w:val="HEADER5"/>
        <w:spacing w:before="240"/>
        <w:jc w:val="both"/>
        <w:rPr>
          <w:rFonts w:eastAsia="Calibri"/>
          <w:noProof/>
          <w:color w:val="auto"/>
        </w:rPr>
      </w:pPr>
      <w:r>
        <w:rPr>
          <w:noProof/>
          <w:color w:val="auto"/>
        </w:rPr>
        <w:lastRenderedPageBreak/>
        <w:t xml:space="preserve">Le coût financier désigne l’accroissement, au cours de la période, de la valeur actuelle de l’obligation au titre des prestations définies résultant du fait que l’on s’est rapproché de la date de règlement des prestations d’une période. </w:t>
      </w:r>
    </w:p>
    <w:p>
      <w:pPr>
        <w:pStyle w:val="HEADER5"/>
        <w:spacing w:before="240"/>
        <w:jc w:val="both"/>
        <w:rPr>
          <w:rFonts w:eastAsia="Calibri"/>
          <w:noProof/>
          <w:color w:val="auto"/>
        </w:rPr>
      </w:pPr>
      <w:r>
        <w:rPr>
          <w:noProof/>
          <w:color w:val="auto"/>
        </w:rPr>
        <w:t>Les écarts actuariels découlant de l’expérience renvoient aux effets des différences entre ce qui était prévu selon les hypothèses émises l’année précédente pour 2025 et ce qui s’est effectivement produit en 2025. Ce poste reflète également l’incidence des nouveaux arrivants (membres du personnel présents lors de l’exercice en cours, mais pas lors de l’exercice précédent).</w:t>
      </w:r>
    </w:p>
    <w:p>
      <w:pPr>
        <w:pStyle w:val="HEADER5"/>
        <w:spacing w:before="240"/>
        <w:jc w:val="both"/>
        <w:rPr>
          <w:rFonts w:eastAsia="Calibri"/>
          <w:noProof/>
          <w:color w:val="auto"/>
        </w:rPr>
      </w:pPr>
      <w:r>
        <w:rPr>
          <w:noProof/>
          <w:color w:val="auto"/>
        </w:rPr>
        <w:t>Des écarts actuariels découlant de changements dans les valeurs des hypothèses actuarielles (des variables démographiques telles que la rotation du personnel et la mortalité et des variables financières telles que les taux d’actualisation et les augmentations salariales prévues) apparaissent lorsque les valeurs estimées de ces hypothèses sont mises à jour pour tenir compte des conditions sous-jacentes.</w:t>
      </w:r>
    </w:p>
    <w:p>
      <w:pPr>
        <w:pStyle w:val="HEADER5"/>
        <w:spacing w:before="240"/>
        <w:jc w:val="both"/>
        <w:rPr>
          <w:rFonts w:eastAsia="Calibri"/>
          <w:noProof/>
          <w:color w:val="auto"/>
        </w:rPr>
      </w:pPr>
      <w:r>
        <w:rPr>
          <w:noProof/>
          <w:color w:val="auto"/>
        </w:rPr>
        <w:t>Les prestations (pensions ou remboursements des frais médicaux, par exemple) sont versées au cours de l’exercice selon les règles du régime. Ces prestations servies conduisent à une diminution de l’obligation au titre des prestations définies.</w:t>
      </w:r>
    </w:p>
    <w:p>
      <w:pPr>
        <w:pStyle w:val="HEADER3NOTES"/>
        <w:numPr>
          <w:ilvl w:val="2"/>
          <w:numId w:val="15"/>
        </w:numPr>
        <w:rPr>
          <w:noProof/>
        </w:rPr>
      </w:pPr>
      <w:r>
        <w:rPr>
          <w:noProof/>
        </w:rPr>
        <w:t>Actifs du régime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96"/>
        <w:gridCol w:w="1954"/>
        <w:gridCol w:w="1954"/>
        <w:gridCol w:w="1954"/>
      </w:tblGrid>
      <w:tr>
        <w:trPr>
          <w:trHeight w:val="255"/>
        </w:trPr>
        <w:tc>
          <w:tcPr>
            <w:tcW w:w="3896" w:type="dxa"/>
            <w:tcBorders>
              <w:top w:val="nil"/>
              <w:left w:val="nil"/>
              <w:bottom w:val="nil"/>
              <w:right w:val="nil"/>
              <w:tl2br w:val="nil"/>
              <w:tr2bl w:val="nil"/>
            </w:tcBorders>
            <w:tcMar>
              <w:left w:w="60" w:type="dxa"/>
              <w:right w:w="60" w:type="dxa"/>
            </w:tcMar>
            <w:vAlign w:val="bottom"/>
          </w:tcPr>
          <w:p>
            <w:pPr>
              <w:pStyle w:val="DMETW36768BIPPENS3"/>
              <w:rPr>
                <w:rFonts w:ascii="Arial" w:eastAsia="Arial" w:hAnsi="Arial" w:cs="Arial"/>
                <w:noProof/>
                <w:color w:val="000000"/>
              </w:rPr>
            </w:pPr>
            <w:bookmarkStart w:id="147" w:name="DOC_TBL00046_1_1"/>
            <w:bookmarkEnd w:id="147"/>
          </w:p>
        </w:tc>
        <w:tc>
          <w:tcPr>
            <w:tcW w:w="1954" w:type="dxa"/>
            <w:tcBorders>
              <w:top w:val="nil"/>
              <w:left w:val="nil"/>
              <w:bottom w:val="nil"/>
              <w:right w:val="nil"/>
              <w:tl2br w:val="nil"/>
              <w:tr2bl w:val="nil"/>
            </w:tcBorders>
            <w:tcMar>
              <w:left w:w="60" w:type="dxa"/>
              <w:right w:w="60" w:type="dxa"/>
            </w:tcMar>
            <w:vAlign w:val="bottom"/>
          </w:tcPr>
          <w:p>
            <w:pPr>
              <w:pStyle w:val="DMETW36768BIPPENS3"/>
              <w:jc w:val="right"/>
              <w:rPr>
                <w:rFonts w:ascii="Verdana" w:eastAsia="Verdana" w:hAnsi="Verdana" w:cs="Verdana"/>
                <w:i/>
                <w:noProof/>
                <w:color w:val="000000"/>
                <w:sz w:val="16"/>
              </w:rPr>
            </w:pPr>
          </w:p>
        </w:tc>
        <w:tc>
          <w:tcPr>
            <w:tcW w:w="1954" w:type="dxa"/>
            <w:tcBorders>
              <w:top w:val="nil"/>
              <w:left w:val="nil"/>
              <w:bottom w:val="nil"/>
              <w:right w:val="nil"/>
              <w:tl2br w:val="nil"/>
              <w:tr2bl w:val="nil"/>
            </w:tcBorders>
            <w:tcMar>
              <w:left w:w="60" w:type="dxa"/>
              <w:right w:w="60" w:type="dxa"/>
            </w:tcMar>
            <w:vAlign w:val="bottom"/>
          </w:tcPr>
          <w:p>
            <w:pPr>
              <w:pStyle w:val="DMETW36768BIPPENS3"/>
              <w:jc w:val="right"/>
              <w:rPr>
                <w:rFonts w:ascii="Verdana" w:eastAsia="Verdana" w:hAnsi="Verdana" w:cs="Verdana"/>
                <w:i/>
                <w:noProof/>
                <w:color w:val="000000"/>
                <w:sz w:val="16"/>
              </w:rPr>
            </w:pPr>
          </w:p>
        </w:tc>
        <w:tc>
          <w:tcPr>
            <w:tcW w:w="1954" w:type="dxa"/>
            <w:tcBorders>
              <w:top w:val="nil"/>
              <w:left w:val="nil"/>
              <w:bottom w:val="nil"/>
              <w:right w:val="nil"/>
              <w:tl2br w:val="nil"/>
              <w:tr2bl w:val="nil"/>
            </w:tcBorders>
            <w:tcMar>
              <w:left w:w="60" w:type="dxa"/>
              <w:right w:w="60" w:type="dxa"/>
            </w:tcMar>
            <w:vAlign w:val="bottom"/>
          </w:tcPr>
          <w:p>
            <w:pPr>
              <w:pStyle w:val="DMETW36768BIPPENS3"/>
              <w:jc w:val="right"/>
              <w:rPr>
                <w:rFonts w:ascii="Verdana" w:eastAsia="Verdana" w:hAnsi="Verdana" w:cs="Verdana"/>
                <w:i/>
                <w:noProof/>
                <w:color w:val="000000"/>
                <w:sz w:val="16"/>
              </w:rPr>
            </w:pPr>
            <w:r>
              <w:rPr>
                <w:rFonts w:ascii="Verdana" w:hAnsi="Verdana"/>
                <w:i/>
                <w:noProof/>
                <w:color w:val="000000"/>
                <w:sz w:val="16"/>
              </w:rPr>
              <w:t>en Mio EUR</w:t>
            </w:r>
          </w:p>
        </w:tc>
      </w:tr>
      <w:tr>
        <w:trPr>
          <w:trHeight w:val="255"/>
        </w:trPr>
        <w:tc>
          <w:tcPr>
            <w:tcW w:w="3896" w:type="dxa"/>
            <w:tcBorders>
              <w:top w:val="nil"/>
              <w:left w:val="nil"/>
              <w:bottom w:val="nil"/>
              <w:right w:val="nil"/>
              <w:tl2br w:val="nil"/>
              <w:tr2bl w:val="nil"/>
            </w:tcBorders>
            <w:shd w:val="solid" w:color="016794" w:fill="FFFFFF"/>
            <w:tcMar>
              <w:left w:w="60" w:type="dxa"/>
              <w:right w:w="60" w:type="dxa"/>
            </w:tcMar>
            <w:vAlign w:val="center"/>
          </w:tcPr>
          <w:p>
            <w:pPr>
              <w:pStyle w:val="DMETW36768BIPPENS3"/>
              <w:jc w:val="right"/>
              <w:rPr>
                <w:rFonts w:ascii="Verdana" w:eastAsia="Verdana" w:hAnsi="Verdana" w:cs="Verdana"/>
                <w:noProof/>
                <w:color w:val="FFFFFF"/>
                <w:sz w:val="18"/>
              </w:rPr>
            </w:pPr>
          </w:p>
        </w:tc>
        <w:tc>
          <w:tcPr>
            <w:tcW w:w="1954" w:type="dxa"/>
            <w:tcBorders>
              <w:top w:val="nil"/>
              <w:left w:val="nil"/>
              <w:bottom w:val="nil"/>
              <w:right w:val="nil"/>
              <w:tl2br w:val="nil"/>
              <w:tr2bl w:val="nil"/>
            </w:tcBorders>
            <w:shd w:val="solid" w:color="016794" w:fill="FFFFFF"/>
            <w:tcMar>
              <w:left w:w="60" w:type="dxa"/>
              <w:right w:w="60" w:type="dxa"/>
            </w:tcMar>
          </w:tcPr>
          <w:p>
            <w:pPr>
              <w:pStyle w:val="DMETW36768BIPPENS3"/>
              <w:jc w:val="right"/>
              <w:rPr>
                <w:rFonts w:ascii="Verdana" w:eastAsia="Verdana" w:hAnsi="Verdana" w:cs="Verdana"/>
                <w:noProof/>
                <w:color w:val="FFFFFF"/>
                <w:sz w:val="18"/>
              </w:rPr>
            </w:pPr>
            <w:r>
              <w:rPr>
                <w:rFonts w:ascii="Verdana" w:hAnsi="Verdana"/>
                <w:noProof/>
                <w:color w:val="FFFFFF"/>
                <w:sz w:val="18"/>
              </w:rPr>
              <w:t>Autres régimes de prestations de retraite</w:t>
            </w:r>
          </w:p>
        </w:tc>
        <w:tc>
          <w:tcPr>
            <w:tcW w:w="1954" w:type="dxa"/>
            <w:tcBorders>
              <w:top w:val="nil"/>
              <w:left w:val="nil"/>
              <w:bottom w:val="nil"/>
              <w:right w:val="nil"/>
              <w:tl2br w:val="nil"/>
              <w:tr2bl w:val="nil"/>
            </w:tcBorders>
            <w:shd w:val="solid" w:color="016794" w:fill="FFFFFF"/>
            <w:tcMar>
              <w:left w:w="60" w:type="dxa"/>
              <w:right w:w="60" w:type="dxa"/>
            </w:tcMar>
          </w:tcPr>
          <w:p>
            <w:pPr>
              <w:pStyle w:val="DMETW36768BIPPENS3"/>
              <w:jc w:val="right"/>
              <w:rPr>
                <w:rFonts w:ascii="Verdana" w:eastAsia="Verdana" w:hAnsi="Verdana" w:cs="Verdana"/>
                <w:noProof/>
                <w:color w:val="FFFFFF"/>
                <w:sz w:val="18"/>
              </w:rPr>
            </w:pPr>
            <w:r>
              <w:rPr>
                <w:rFonts w:ascii="Verdana" w:hAnsi="Verdana"/>
                <w:noProof/>
                <w:color w:val="FFFFFF"/>
                <w:sz w:val="18"/>
              </w:rPr>
              <w:t>Régime commun d’assurance maladie</w:t>
            </w:r>
          </w:p>
        </w:tc>
        <w:tc>
          <w:tcPr>
            <w:tcW w:w="1954" w:type="dxa"/>
            <w:tcBorders>
              <w:top w:val="nil"/>
              <w:left w:val="nil"/>
              <w:bottom w:val="nil"/>
              <w:right w:val="nil"/>
              <w:tl2br w:val="nil"/>
              <w:tr2bl w:val="nil"/>
            </w:tcBorders>
            <w:shd w:val="solid" w:color="016794" w:fill="FFFFFF"/>
            <w:tcMar>
              <w:left w:w="60" w:type="dxa"/>
              <w:right w:w="60" w:type="dxa"/>
            </w:tcMar>
          </w:tcPr>
          <w:p>
            <w:pPr>
              <w:pStyle w:val="DMETW36768BIPPENS3"/>
              <w:jc w:val="right"/>
              <w:rPr>
                <w:rFonts w:ascii="Verdana" w:eastAsia="Verdana" w:hAnsi="Verdana" w:cs="Verdana"/>
                <w:noProof/>
                <w:color w:val="FFFFFF"/>
                <w:sz w:val="18"/>
              </w:rPr>
            </w:pPr>
            <w:r>
              <w:rPr>
                <w:rFonts w:ascii="Verdana" w:hAnsi="Verdana"/>
                <w:noProof/>
                <w:color w:val="FFFFFF"/>
                <w:sz w:val="18"/>
              </w:rPr>
              <w:t>Total</w:t>
            </w:r>
          </w:p>
        </w:tc>
      </w:tr>
      <w:tr>
        <w:trPr>
          <w:trHeight w:val="255"/>
        </w:trPr>
        <w:tc>
          <w:tcPr>
            <w:tcW w:w="3896" w:type="dxa"/>
            <w:tcBorders>
              <w:top w:val="nil"/>
              <w:left w:val="nil"/>
              <w:bottom w:val="nil"/>
              <w:right w:val="nil"/>
              <w:tl2br w:val="nil"/>
              <w:tr2bl w:val="nil"/>
            </w:tcBorders>
            <w:tcMar>
              <w:left w:w="60" w:type="dxa"/>
              <w:right w:w="60" w:type="dxa"/>
            </w:tcMar>
            <w:vAlign w:val="center"/>
          </w:tcPr>
          <w:p>
            <w:pPr>
              <w:pStyle w:val="DMETW36768BIPPENS3"/>
              <w:rPr>
                <w:rFonts w:ascii="Verdana" w:eastAsia="Verdana" w:hAnsi="Verdana" w:cs="Verdana"/>
                <w:b/>
                <w:noProof/>
                <w:color w:val="000000"/>
                <w:sz w:val="18"/>
              </w:rPr>
            </w:pPr>
            <w:r>
              <w:rPr>
                <w:rFonts w:ascii="Verdana" w:hAnsi="Verdana"/>
                <w:b/>
                <w:noProof/>
                <w:color w:val="000000"/>
                <w:sz w:val="18"/>
              </w:rPr>
              <w:t>Valeur actuelle au 31.12.2024</w:t>
            </w:r>
          </w:p>
        </w:tc>
        <w:tc>
          <w:tcPr>
            <w:tcW w:w="1954" w:type="dxa"/>
            <w:tcBorders>
              <w:top w:val="nil"/>
              <w:left w:val="nil"/>
              <w:bottom w:val="nil"/>
              <w:right w:val="nil"/>
              <w:tl2br w:val="nil"/>
              <w:tr2bl w:val="nil"/>
            </w:tcBorders>
            <w:tcMar>
              <w:left w:w="60" w:type="dxa"/>
              <w:right w:w="60" w:type="dxa"/>
            </w:tcMar>
            <w:vAlign w:val="bottom"/>
          </w:tcPr>
          <w:p>
            <w:pPr>
              <w:pStyle w:val="DMETW36768BIPPENS3"/>
              <w:jc w:val="right"/>
              <w:rPr>
                <w:rFonts w:ascii="Verdana" w:eastAsia="Verdana" w:hAnsi="Verdana" w:cs="Verdana"/>
                <w:b/>
                <w:noProof/>
                <w:color w:val="000000"/>
                <w:sz w:val="18"/>
              </w:rPr>
            </w:pPr>
            <w:r>
              <w:rPr>
                <w:rFonts w:ascii="Verdana" w:hAnsi="Verdana"/>
                <w:b/>
                <w:noProof/>
                <w:color w:val="000000"/>
                <w:sz w:val="18"/>
              </w:rPr>
              <w:t xml:space="preserve"> 23</w:t>
            </w:r>
          </w:p>
        </w:tc>
        <w:tc>
          <w:tcPr>
            <w:tcW w:w="1954" w:type="dxa"/>
            <w:tcBorders>
              <w:top w:val="nil"/>
              <w:left w:val="nil"/>
              <w:bottom w:val="nil"/>
              <w:right w:val="nil"/>
              <w:tl2br w:val="nil"/>
              <w:tr2bl w:val="nil"/>
            </w:tcBorders>
            <w:tcMar>
              <w:left w:w="60" w:type="dxa"/>
              <w:right w:w="60" w:type="dxa"/>
            </w:tcMar>
            <w:vAlign w:val="bottom"/>
          </w:tcPr>
          <w:p>
            <w:pPr>
              <w:pStyle w:val="DMETW36768BIPPENS3"/>
              <w:jc w:val="right"/>
              <w:rPr>
                <w:rFonts w:ascii="Verdana" w:eastAsia="Verdana" w:hAnsi="Verdana" w:cs="Verdana"/>
                <w:b/>
                <w:noProof/>
                <w:color w:val="000000"/>
                <w:sz w:val="18"/>
              </w:rPr>
            </w:pPr>
            <w:r>
              <w:rPr>
                <w:rFonts w:ascii="Verdana" w:hAnsi="Verdana"/>
                <w:b/>
                <w:noProof/>
                <w:color w:val="000000"/>
                <w:sz w:val="18"/>
              </w:rPr>
              <w:t xml:space="preserve"> 438</w:t>
            </w:r>
          </w:p>
        </w:tc>
        <w:tc>
          <w:tcPr>
            <w:tcW w:w="1954" w:type="dxa"/>
            <w:tcBorders>
              <w:top w:val="nil"/>
              <w:left w:val="nil"/>
              <w:bottom w:val="nil"/>
              <w:right w:val="nil"/>
              <w:tl2br w:val="nil"/>
              <w:tr2bl w:val="nil"/>
            </w:tcBorders>
            <w:tcMar>
              <w:left w:w="60" w:type="dxa"/>
              <w:right w:w="60" w:type="dxa"/>
            </w:tcMar>
            <w:vAlign w:val="bottom"/>
          </w:tcPr>
          <w:p>
            <w:pPr>
              <w:pStyle w:val="DMETW36768BIPPENS3"/>
              <w:jc w:val="right"/>
              <w:rPr>
                <w:rFonts w:ascii="Verdana" w:eastAsia="Verdana" w:hAnsi="Verdana" w:cs="Verdana"/>
                <w:b/>
                <w:noProof/>
                <w:color w:val="000000"/>
                <w:sz w:val="18"/>
              </w:rPr>
            </w:pPr>
            <w:r>
              <w:rPr>
                <w:rFonts w:ascii="Verdana" w:hAnsi="Verdana"/>
                <w:b/>
                <w:noProof/>
                <w:color w:val="000000"/>
                <w:sz w:val="18"/>
              </w:rPr>
              <w:t xml:space="preserve"> 461</w:t>
            </w:r>
          </w:p>
        </w:tc>
      </w:tr>
      <w:tr>
        <w:trPr>
          <w:trHeight w:val="255"/>
        </w:trPr>
        <w:tc>
          <w:tcPr>
            <w:tcW w:w="3896" w:type="dxa"/>
            <w:tcBorders>
              <w:top w:val="nil"/>
              <w:left w:val="nil"/>
              <w:bottom w:val="single" w:sz="4" w:space="0" w:color="016794"/>
              <w:right w:val="nil"/>
              <w:tl2br w:val="nil"/>
              <w:tr2bl w:val="nil"/>
            </w:tcBorders>
            <w:tcMar>
              <w:left w:w="60" w:type="dxa"/>
              <w:right w:w="60" w:type="dxa"/>
            </w:tcMar>
            <w:vAlign w:val="center"/>
          </w:tcPr>
          <w:p>
            <w:pPr>
              <w:pStyle w:val="DMETW36768BIPPENS3"/>
              <w:rPr>
                <w:rFonts w:ascii="Verdana" w:eastAsia="Verdana" w:hAnsi="Verdana" w:cs="Verdana"/>
                <w:i/>
                <w:noProof/>
                <w:color w:val="000000"/>
                <w:sz w:val="18"/>
              </w:rPr>
            </w:pPr>
            <w:r>
              <w:rPr>
                <w:rFonts w:ascii="Verdana" w:hAnsi="Verdana"/>
                <w:i/>
                <w:noProof/>
                <w:color w:val="000000"/>
                <w:sz w:val="18"/>
              </w:rPr>
              <w:t>Évolution nette des actifs du régime</w:t>
            </w:r>
          </w:p>
        </w:tc>
        <w:tc>
          <w:tcPr>
            <w:tcW w:w="1954" w:type="dxa"/>
            <w:tcBorders>
              <w:top w:val="nil"/>
              <w:left w:val="nil"/>
              <w:bottom w:val="single" w:sz="4" w:space="0" w:color="016794"/>
              <w:right w:val="nil"/>
              <w:tl2br w:val="nil"/>
              <w:tr2bl w:val="nil"/>
            </w:tcBorders>
            <w:tcMar>
              <w:left w:w="60" w:type="dxa"/>
              <w:right w:w="60" w:type="dxa"/>
            </w:tcMar>
            <w:vAlign w:val="bottom"/>
          </w:tcPr>
          <w:p>
            <w:pPr>
              <w:pStyle w:val="DMETW36768BIPPENS3"/>
              <w:jc w:val="right"/>
              <w:rPr>
                <w:rFonts w:ascii="Verdana" w:eastAsia="Verdana" w:hAnsi="Verdana" w:cs="Verdana"/>
                <w:i/>
                <w:noProof/>
                <w:color w:val="000000"/>
                <w:sz w:val="18"/>
              </w:rPr>
            </w:pPr>
            <w:r>
              <w:rPr>
                <w:rFonts w:ascii="Verdana" w:hAnsi="Verdana"/>
                <w:i/>
                <w:noProof/>
                <w:color w:val="000000"/>
                <w:sz w:val="18"/>
              </w:rPr>
              <w:t xml:space="preserve"> (12)</w:t>
            </w:r>
          </w:p>
        </w:tc>
        <w:tc>
          <w:tcPr>
            <w:tcW w:w="1954" w:type="dxa"/>
            <w:tcBorders>
              <w:top w:val="nil"/>
              <w:left w:val="nil"/>
              <w:bottom w:val="single" w:sz="4" w:space="0" w:color="016794"/>
              <w:right w:val="nil"/>
              <w:tl2br w:val="nil"/>
              <w:tr2bl w:val="nil"/>
            </w:tcBorders>
            <w:tcMar>
              <w:left w:w="60" w:type="dxa"/>
              <w:right w:w="60" w:type="dxa"/>
            </w:tcMar>
            <w:vAlign w:val="bottom"/>
          </w:tcPr>
          <w:p>
            <w:pPr>
              <w:pStyle w:val="DMETW36768BIPPENS3"/>
              <w:jc w:val="right"/>
              <w:rPr>
                <w:rFonts w:ascii="Verdana" w:eastAsia="Verdana" w:hAnsi="Verdana" w:cs="Verdana"/>
                <w:i/>
                <w:noProof/>
                <w:color w:val="000000"/>
                <w:sz w:val="18"/>
              </w:rPr>
            </w:pPr>
            <w:r>
              <w:rPr>
                <w:rFonts w:ascii="Verdana" w:hAnsi="Verdana"/>
                <w:i/>
                <w:noProof/>
                <w:color w:val="000000"/>
                <w:sz w:val="18"/>
              </w:rPr>
              <w:t xml:space="preserve"> 29</w:t>
            </w:r>
          </w:p>
        </w:tc>
        <w:tc>
          <w:tcPr>
            <w:tcW w:w="1954" w:type="dxa"/>
            <w:tcBorders>
              <w:top w:val="nil"/>
              <w:left w:val="nil"/>
              <w:bottom w:val="single" w:sz="4" w:space="0" w:color="016794"/>
              <w:right w:val="nil"/>
              <w:tl2br w:val="nil"/>
              <w:tr2bl w:val="nil"/>
            </w:tcBorders>
            <w:tcMar>
              <w:left w:w="60" w:type="dxa"/>
              <w:right w:w="60" w:type="dxa"/>
            </w:tcMar>
            <w:vAlign w:val="bottom"/>
          </w:tcPr>
          <w:p>
            <w:pPr>
              <w:pStyle w:val="DMETW36768BIPPENS3"/>
              <w:jc w:val="right"/>
              <w:rPr>
                <w:rFonts w:ascii="Verdana" w:eastAsia="Verdana" w:hAnsi="Verdana" w:cs="Verdana"/>
                <w:i/>
                <w:noProof/>
                <w:color w:val="000000"/>
                <w:sz w:val="18"/>
              </w:rPr>
            </w:pPr>
            <w:r>
              <w:rPr>
                <w:rFonts w:ascii="Verdana" w:hAnsi="Verdana"/>
                <w:i/>
                <w:noProof/>
                <w:color w:val="000000"/>
                <w:sz w:val="18"/>
              </w:rPr>
              <w:t xml:space="preserve"> 17</w:t>
            </w:r>
          </w:p>
        </w:tc>
      </w:tr>
      <w:tr>
        <w:trPr>
          <w:trHeight w:val="255"/>
        </w:trPr>
        <w:tc>
          <w:tcPr>
            <w:tcW w:w="389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8BIPPENS3"/>
              <w:rPr>
                <w:rFonts w:ascii="Verdana" w:eastAsia="Verdana" w:hAnsi="Verdana" w:cs="Verdana"/>
                <w:b/>
                <w:noProof/>
                <w:color w:val="000000"/>
                <w:sz w:val="18"/>
              </w:rPr>
            </w:pPr>
            <w:r>
              <w:rPr>
                <w:rFonts w:ascii="Verdana" w:hAnsi="Verdana"/>
                <w:b/>
                <w:noProof/>
                <w:color w:val="000000"/>
                <w:sz w:val="18"/>
              </w:rPr>
              <w:t>Valeur actuelle au 31.12.2025</w:t>
            </w:r>
          </w:p>
        </w:tc>
        <w:tc>
          <w:tcPr>
            <w:tcW w:w="1954"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68BIPPENS3"/>
              <w:jc w:val="right"/>
              <w:rPr>
                <w:rFonts w:ascii="Verdana" w:eastAsia="Verdana" w:hAnsi="Verdana" w:cs="Verdana"/>
                <w:b/>
                <w:noProof/>
                <w:color w:val="000000"/>
                <w:sz w:val="18"/>
              </w:rPr>
            </w:pPr>
            <w:r>
              <w:rPr>
                <w:rFonts w:ascii="Verdana" w:hAnsi="Verdana"/>
                <w:b/>
                <w:noProof/>
                <w:color w:val="000000"/>
                <w:sz w:val="18"/>
              </w:rPr>
              <w:t xml:space="preserve"> 11</w:t>
            </w:r>
          </w:p>
        </w:tc>
        <w:tc>
          <w:tcPr>
            <w:tcW w:w="1954"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68BIPPENS3"/>
              <w:jc w:val="right"/>
              <w:rPr>
                <w:rFonts w:ascii="Verdana" w:eastAsia="Verdana" w:hAnsi="Verdana" w:cs="Verdana"/>
                <w:b/>
                <w:noProof/>
                <w:color w:val="000000"/>
                <w:sz w:val="18"/>
              </w:rPr>
            </w:pPr>
            <w:r>
              <w:rPr>
                <w:rFonts w:ascii="Verdana" w:hAnsi="Verdana"/>
                <w:b/>
                <w:noProof/>
                <w:color w:val="000000"/>
                <w:sz w:val="18"/>
              </w:rPr>
              <w:t xml:space="preserve"> 467</w:t>
            </w:r>
          </w:p>
        </w:tc>
        <w:tc>
          <w:tcPr>
            <w:tcW w:w="1954"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68BIPPENS3"/>
              <w:jc w:val="right"/>
              <w:rPr>
                <w:rFonts w:ascii="Verdana" w:eastAsia="Verdana" w:hAnsi="Verdana" w:cs="Verdana"/>
                <w:b/>
                <w:noProof/>
                <w:color w:val="000000"/>
                <w:sz w:val="18"/>
              </w:rPr>
            </w:pPr>
            <w:r>
              <w:rPr>
                <w:rFonts w:ascii="Verdana" w:hAnsi="Verdana"/>
                <w:b/>
                <w:noProof/>
                <w:color w:val="000000"/>
                <w:sz w:val="18"/>
              </w:rPr>
              <w:t xml:space="preserve"> 477</w:t>
            </w:r>
          </w:p>
        </w:tc>
      </w:tr>
    </w:tbl>
    <w:p>
      <w:pPr>
        <w:pStyle w:val="HEADER3NOTES"/>
        <w:numPr>
          <w:ilvl w:val="2"/>
          <w:numId w:val="15"/>
        </w:numPr>
        <w:rPr>
          <w:noProof/>
        </w:rPr>
      </w:pPr>
      <w:r>
        <w:rPr>
          <w:noProof/>
        </w:rPr>
        <w:t>Hypothèses actuarielles – avantages du personnel</w:t>
      </w:r>
    </w:p>
    <w:p>
      <w:pPr>
        <w:pStyle w:val="DGTextstand-alone"/>
      </w:pPr>
      <w:r>
        <w:t>Les principales hypothèses actuarielles utilisées dans l’évaluation des deux principaux régimes d’avantages du personnel de l’UE sont présentées ci-dessous: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88"/>
        <w:gridCol w:w="2435"/>
        <w:gridCol w:w="2435"/>
      </w:tblGrid>
      <w:tr>
        <w:trPr>
          <w:trHeight w:val="255"/>
        </w:trPr>
        <w:tc>
          <w:tcPr>
            <w:tcW w:w="4888" w:type="dxa"/>
            <w:tcBorders>
              <w:top w:val="nil"/>
              <w:left w:val="nil"/>
              <w:bottom w:val="nil"/>
              <w:right w:val="nil"/>
              <w:tl2br w:val="nil"/>
              <w:tr2bl w:val="nil"/>
            </w:tcBorders>
            <w:shd w:val="solid" w:color="016794" w:fill="FFFFFF"/>
            <w:tcMar>
              <w:left w:w="60" w:type="dxa"/>
              <w:right w:w="60" w:type="dxa"/>
            </w:tcMar>
            <w:vAlign w:val="center"/>
          </w:tcPr>
          <w:p>
            <w:pPr>
              <w:pStyle w:val="DMETW36768BIPSPL"/>
              <w:jc w:val="right"/>
              <w:rPr>
                <w:rFonts w:ascii="Verdana" w:eastAsia="Verdana" w:hAnsi="Verdana" w:cs="Verdana"/>
                <w:noProof/>
                <w:color w:val="FFFFFF"/>
                <w:sz w:val="18"/>
              </w:rPr>
            </w:pPr>
            <w:bookmarkStart w:id="148" w:name="DOC_TBL00047_1_1"/>
            <w:bookmarkEnd w:id="148"/>
          </w:p>
        </w:tc>
        <w:tc>
          <w:tcPr>
            <w:tcW w:w="2435" w:type="dxa"/>
            <w:tcBorders>
              <w:top w:val="nil"/>
              <w:left w:val="nil"/>
              <w:bottom w:val="nil"/>
              <w:right w:val="nil"/>
              <w:tl2br w:val="nil"/>
              <w:tr2bl w:val="nil"/>
            </w:tcBorders>
            <w:shd w:val="solid" w:color="016794" w:fill="FFFFFF"/>
            <w:tcMar>
              <w:left w:w="60" w:type="dxa"/>
              <w:right w:w="60" w:type="dxa"/>
            </w:tcMar>
            <w:vAlign w:val="center"/>
          </w:tcPr>
          <w:p>
            <w:pPr>
              <w:pStyle w:val="DMETW36768BIPSPL"/>
              <w:jc w:val="right"/>
              <w:rPr>
                <w:rFonts w:ascii="Verdana" w:eastAsia="Verdana" w:hAnsi="Verdana" w:cs="Verdana"/>
                <w:b/>
                <w:noProof/>
                <w:color w:val="FFFFFF"/>
                <w:sz w:val="18"/>
              </w:rPr>
            </w:pPr>
            <w:r>
              <w:rPr>
                <w:rFonts w:ascii="Verdana" w:hAnsi="Verdana"/>
                <w:b/>
                <w:noProof/>
                <w:color w:val="FFFFFF"/>
                <w:sz w:val="18"/>
              </w:rPr>
              <w:t>2025</w:t>
            </w:r>
          </w:p>
        </w:tc>
        <w:tc>
          <w:tcPr>
            <w:tcW w:w="2435" w:type="dxa"/>
            <w:tcBorders>
              <w:top w:val="nil"/>
              <w:left w:val="nil"/>
              <w:bottom w:val="nil"/>
              <w:right w:val="nil"/>
              <w:tl2br w:val="nil"/>
              <w:tr2bl w:val="nil"/>
            </w:tcBorders>
            <w:shd w:val="solid" w:color="016794" w:fill="FFFFFF"/>
            <w:tcMar>
              <w:left w:w="60" w:type="dxa"/>
              <w:right w:w="60" w:type="dxa"/>
            </w:tcMar>
            <w:vAlign w:val="center"/>
          </w:tcPr>
          <w:p>
            <w:pPr>
              <w:pStyle w:val="DMETW36768BIPSPL"/>
              <w:jc w:val="right"/>
              <w:rPr>
                <w:rFonts w:ascii="Verdana" w:eastAsia="Verdana" w:hAnsi="Verdana" w:cs="Verdana"/>
                <w:b/>
                <w:noProof/>
                <w:color w:val="FFFFFF"/>
                <w:sz w:val="18"/>
              </w:rPr>
            </w:pPr>
            <w:r>
              <w:rPr>
                <w:rFonts w:ascii="Verdana" w:hAnsi="Verdana"/>
                <w:b/>
                <w:noProof/>
                <w:color w:val="FFFFFF"/>
                <w:sz w:val="18"/>
              </w:rPr>
              <w:t>2024</w:t>
            </w:r>
          </w:p>
        </w:tc>
      </w:tr>
      <w:tr>
        <w:trPr>
          <w:trHeight w:val="255"/>
        </w:trPr>
        <w:tc>
          <w:tcPr>
            <w:tcW w:w="4888" w:type="dxa"/>
            <w:tcBorders>
              <w:top w:val="nil"/>
              <w:left w:val="nil"/>
              <w:bottom w:val="nil"/>
              <w:right w:val="nil"/>
              <w:tl2br w:val="nil"/>
              <w:tr2bl w:val="nil"/>
            </w:tcBorders>
            <w:tcMar>
              <w:left w:w="60" w:type="dxa"/>
              <w:right w:w="60" w:type="dxa"/>
            </w:tcMar>
            <w:vAlign w:val="center"/>
          </w:tcPr>
          <w:p>
            <w:pPr>
              <w:pStyle w:val="DMETW36768BIPSPL"/>
              <w:rPr>
                <w:rFonts w:ascii="Verdana" w:eastAsia="Verdana" w:hAnsi="Verdana" w:cs="Verdana"/>
                <w:b/>
                <w:noProof/>
                <w:color w:val="000000"/>
                <w:sz w:val="18"/>
              </w:rPr>
            </w:pPr>
            <w:r>
              <w:rPr>
                <w:rFonts w:ascii="Verdana" w:hAnsi="Verdana"/>
                <w:b/>
                <w:noProof/>
                <w:color w:val="000000"/>
                <w:sz w:val="18"/>
              </w:rPr>
              <w:t>Régime de pension des fonctionnaires européens</w:t>
            </w:r>
          </w:p>
        </w:tc>
        <w:tc>
          <w:tcPr>
            <w:tcW w:w="2435" w:type="dxa"/>
            <w:tcBorders>
              <w:top w:val="nil"/>
              <w:left w:val="nil"/>
              <w:bottom w:val="nil"/>
              <w:right w:val="nil"/>
              <w:tl2br w:val="nil"/>
              <w:tr2bl w:val="nil"/>
            </w:tcBorders>
            <w:tcMar>
              <w:left w:w="60" w:type="dxa"/>
              <w:right w:w="60" w:type="dxa"/>
            </w:tcMar>
            <w:vAlign w:val="center"/>
          </w:tcPr>
          <w:p>
            <w:pPr>
              <w:pStyle w:val="DMETW36768BIPSPL"/>
              <w:jc w:val="right"/>
              <w:rPr>
                <w:rFonts w:ascii="Verdana" w:eastAsia="Verdana" w:hAnsi="Verdana" w:cs="Verdana"/>
                <w:b/>
                <w:noProof/>
                <w:color w:val="000000"/>
                <w:sz w:val="18"/>
              </w:rPr>
            </w:pPr>
          </w:p>
        </w:tc>
        <w:tc>
          <w:tcPr>
            <w:tcW w:w="2435" w:type="dxa"/>
            <w:tcBorders>
              <w:top w:val="nil"/>
              <w:left w:val="nil"/>
              <w:bottom w:val="nil"/>
              <w:right w:val="nil"/>
              <w:tl2br w:val="nil"/>
              <w:tr2bl w:val="nil"/>
            </w:tcBorders>
            <w:tcMar>
              <w:left w:w="60" w:type="dxa"/>
              <w:right w:w="60" w:type="dxa"/>
            </w:tcMar>
            <w:vAlign w:val="bottom"/>
          </w:tcPr>
          <w:p>
            <w:pPr>
              <w:pStyle w:val="DMETW36768BIPSPL"/>
              <w:jc w:val="right"/>
              <w:rPr>
                <w:rFonts w:ascii="Verdana" w:eastAsia="Verdana" w:hAnsi="Verdana" w:cs="Verdana"/>
                <w:noProof/>
                <w:color w:val="000000"/>
                <w:sz w:val="18"/>
                <w:lang w:bidi="en-GB"/>
              </w:rPr>
            </w:pPr>
          </w:p>
        </w:tc>
      </w:tr>
      <w:tr>
        <w:trPr>
          <w:trHeight w:val="255"/>
        </w:trPr>
        <w:tc>
          <w:tcPr>
            <w:tcW w:w="4888" w:type="dxa"/>
            <w:tcBorders>
              <w:top w:val="nil"/>
              <w:left w:val="nil"/>
              <w:bottom w:val="nil"/>
              <w:right w:val="nil"/>
              <w:tl2br w:val="nil"/>
              <w:tr2bl w:val="nil"/>
            </w:tcBorders>
            <w:tcMar>
              <w:left w:w="60" w:type="dxa"/>
              <w:right w:w="60" w:type="dxa"/>
            </w:tcMar>
            <w:vAlign w:val="center"/>
          </w:tcPr>
          <w:p>
            <w:pPr>
              <w:pStyle w:val="DMETW36768BIPSPL"/>
              <w:rPr>
                <w:rFonts w:ascii="Verdana" w:eastAsia="Verdana" w:hAnsi="Verdana" w:cs="Verdana"/>
                <w:i/>
                <w:noProof/>
                <w:color w:val="000000"/>
                <w:sz w:val="18"/>
              </w:rPr>
            </w:pPr>
            <w:r>
              <w:rPr>
                <w:rFonts w:ascii="Verdana" w:hAnsi="Verdana"/>
                <w:i/>
                <w:noProof/>
                <w:color w:val="000000"/>
                <w:sz w:val="18"/>
              </w:rPr>
              <w:t xml:space="preserve">Taux d’actualisation nominal </w:t>
            </w:r>
          </w:p>
        </w:tc>
        <w:tc>
          <w:tcPr>
            <w:tcW w:w="2435" w:type="dxa"/>
            <w:tcBorders>
              <w:top w:val="nil"/>
              <w:left w:val="nil"/>
              <w:bottom w:val="nil"/>
              <w:right w:val="nil"/>
              <w:tl2br w:val="nil"/>
              <w:tr2bl w:val="nil"/>
            </w:tcBorders>
            <w:tcMar>
              <w:left w:w="60" w:type="dxa"/>
              <w:right w:w="60" w:type="dxa"/>
            </w:tcMar>
            <w:vAlign w:val="center"/>
          </w:tcPr>
          <w:p>
            <w:pPr>
              <w:pStyle w:val="DMETW36768BIPSPL"/>
              <w:jc w:val="right"/>
              <w:rPr>
                <w:rFonts w:ascii="Verdana" w:eastAsia="Verdana" w:hAnsi="Verdana" w:cs="Verdana"/>
                <w:i/>
                <w:noProof/>
                <w:color w:val="000000"/>
                <w:sz w:val="18"/>
              </w:rPr>
            </w:pPr>
            <w:r>
              <w:rPr>
                <w:rFonts w:ascii="Verdana" w:hAnsi="Verdana"/>
                <w:i/>
                <w:noProof/>
                <w:color w:val="000000"/>
                <w:sz w:val="18"/>
              </w:rPr>
              <w:t>3,8 %</w:t>
            </w:r>
          </w:p>
        </w:tc>
        <w:tc>
          <w:tcPr>
            <w:tcW w:w="2435" w:type="dxa"/>
            <w:tcBorders>
              <w:top w:val="nil"/>
              <w:left w:val="nil"/>
              <w:bottom w:val="nil"/>
              <w:right w:val="nil"/>
              <w:tl2br w:val="nil"/>
              <w:tr2bl w:val="nil"/>
            </w:tcBorders>
            <w:tcMar>
              <w:left w:w="60" w:type="dxa"/>
              <w:right w:w="60" w:type="dxa"/>
            </w:tcMar>
            <w:vAlign w:val="center"/>
          </w:tcPr>
          <w:p>
            <w:pPr>
              <w:pStyle w:val="DMETW36768BIPSPL"/>
              <w:jc w:val="right"/>
              <w:rPr>
                <w:rFonts w:ascii="Verdana" w:eastAsia="Verdana" w:hAnsi="Verdana" w:cs="Verdana"/>
                <w:i/>
                <w:noProof/>
                <w:color w:val="000000"/>
                <w:sz w:val="18"/>
              </w:rPr>
            </w:pPr>
            <w:r>
              <w:rPr>
                <w:rFonts w:ascii="Verdana" w:hAnsi="Verdana"/>
                <w:i/>
                <w:noProof/>
                <w:color w:val="000000"/>
                <w:sz w:val="18"/>
              </w:rPr>
              <w:t>3,3 %</w:t>
            </w:r>
          </w:p>
        </w:tc>
      </w:tr>
      <w:tr>
        <w:trPr>
          <w:trHeight w:val="255"/>
        </w:trPr>
        <w:tc>
          <w:tcPr>
            <w:tcW w:w="4888" w:type="dxa"/>
            <w:tcBorders>
              <w:top w:val="nil"/>
              <w:left w:val="nil"/>
              <w:bottom w:val="nil"/>
              <w:right w:val="nil"/>
              <w:tl2br w:val="nil"/>
              <w:tr2bl w:val="nil"/>
            </w:tcBorders>
            <w:tcMar>
              <w:left w:w="60" w:type="dxa"/>
              <w:right w:w="60" w:type="dxa"/>
            </w:tcMar>
            <w:vAlign w:val="center"/>
          </w:tcPr>
          <w:p>
            <w:pPr>
              <w:pStyle w:val="DMETW36768BIPSPL"/>
              <w:rPr>
                <w:rFonts w:ascii="Verdana" w:eastAsia="Verdana" w:hAnsi="Verdana" w:cs="Verdana"/>
                <w:i/>
                <w:noProof/>
                <w:color w:val="000000"/>
                <w:sz w:val="18"/>
              </w:rPr>
            </w:pPr>
            <w:r>
              <w:rPr>
                <w:rFonts w:ascii="Verdana" w:hAnsi="Verdana"/>
                <w:i/>
                <w:noProof/>
                <w:color w:val="000000"/>
                <w:sz w:val="18"/>
              </w:rPr>
              <w:t xml:space="preserve">Taux d’inflation anticipé </w:t>
            </w:r>
          </w:p>
        </w:tc>
        <w:tc>
          <w:tcPr>
            <w:tcW w:w="2435" w:type="dxa"/>
            <w:tcBorders>
              <w:top w:val="nil"/>
              <w:left w:val="nil"/>
              <w:bottom w:val="nil"/>
              <w:right w:val="nil"/>
              <w:tl2br w:val="nil"/>
              <w:tr2bl w:val="nil"/>
            </w:tcBorders>
            <w:tcMar>
              <w:left w:w="60" w:type="dxa"/>
              <w:right w:w="60" w:type="dxa"/>
            </w:tcMar>
            <w:vAlign w:val="center"/>
          </w:tcPr>
          <w:p>
            <w:pPr>
              <w:pStyle w:val="DMETW36768BIPSPL"/>
              <w:jc w:val="right"/>
              <w:rPr>
                <w:rFonts w:ascii="Verdana" w:eastAsia="Verdana" w:hAnsi="Verdana" w:cs="Verdana"/>
                <w:i/>
                <w:noProof/>
                <w:color w:val="000000"/>
                <w:sz w:val="18"/>
              </w:rPr>
            </w:pPr>
            <w:r>
              <w:rPr>
                <w:rFonts w:ascii="Verdana" w:hAnsi="Verdana"/>
                <w:i/>
                <w:noProof/>
                <w:color w:val="000000"/>
                <w:sz w:val="18"/>
              </w:rPr>
              <w:t>2,0 %</w:t>
            </w:r>
          </w:p>
        </w:tc>
        <w:tc>
          <w:tcPr>
            <w:tcW w:w="2435" w:type="dxa"/>
            <w:tcBorders>
              <w:top w:val="nil"/>
              <w:left w:val="nil"/>
              <w:bottom w:val="nil"/>
              <w:right w:val="nil"/>
              <w:tl2br w:val="nil"/>
              <w:tr2bl w:val="nil"/>
            </w:tcBorders>
            <w:tcMar>
              <w:left w:w="60" w:type="dxa"/>
              <w:right w:w="60" w:type="dxa"/>
            </w:tcMar>
            <w:vAlign w:val="center"/>
          </w:tcPr>
          <w:p>
            <w:pPr>
              <w:pStyle w:val="DMETW36768BIPSPL"/>
              <w:jc w:val="right"/>
              <w:rPr>
                <w:rFonts w:ascii="Verdana" w:eastAsia="Verdana" w:hAnsi="Verdana" w:cs="Verdana"/>
                <w:i/>
                <w:noProof/>
                <w:color w:val="000000"/>
                <w:sz w:val="18"/>
              </w:rPr>
            </w:pPr>
            <w:r>
              <w:rPr>
                <w:rFonts w:ascii="Verdana" w:hAnsi="Verdana"/>
                <w:i/>
                <w:noProof/>
                <w:color w:val="000000"/>
                <w:sz w:val="18"/>
              </w:rPr>
              <w:t>2,0 %</w:t>
            </w:r>
          </w:p>
        </w:tc>
      </w:tr>
      <w:tr>
        <w:trPr>
          <w:trHeight w:val="255"/>
        </w:trPr>
        <w:tc>
          <w:tcPr>
            <w:tcW w:w="4888" w:type="dxa"/>
            <w:tcBorders>
              <w:top w:val="nil"/>
              <w:left w:val="nil"/>
              <w:bottom w:val="nil"/>
              <w:right w:val="nil"/>
              <w:tl2br w:val="nil"/>
              <w:tr2bl w:val="nil"/>
            </w:tcBorders>
            <w:tcMar>
              <w:left w:w="60" w:type="dxa"/>
              <w:right w:w="60" w:type="dxa"/>
            </w:tcMar>
            <w:vAlign w:val="center"/>
          </w:tcPr>
          <w:p>
            <w:pPr>
              <w:pStyle w:val="DMETW36768BIPSPL"/>
              <w:rPr>
                <w:rFonts w:ascii="Verdana" w:eastAsia="Verdana" w:hAnsi="Verdana" w:cs="Verdana"/>
                <w:i/>
                <w:noProof/>
                <w:color w:val="000000"/>
                <w:sz w:val="18"/>
              </w:rPr>
            </w:pPr>
            <w:r>
              <w:rPr>
                <w:rFonts w:ascii="Verdana" w:hAnsi="Verdana"/>
                <w:i/>
                <w:noProof/>
                <w:color w:val="000000"/>
                <w:sz w:val="18"/>
              </w:rPr>
              <w:t>Taux d’actualisation réel</w:t>
            </w:r>
          </w:p>
        </w:tc>
        <w:tc>
          <w:tcPr>
            <w:tcW w:w="2435" w:type="dxa"/>
            <w:tcBorders>
              <w:top w:val="nil"/>
              <w:left w:val="nil"/>
              <w:bottom w:val="nil"/>
              <w:right w:val="nil"/>
              <w:tl2br w:val="nil"/>
              <w:tr2bl w:val="nil"/>
            </w:tcBorders>
            <w:tcMar>
              <w:left w:w="60" w:type="dxa"/>
              <w:right w:w="60" w:type="dxa"/>
            </w:tcMar>
            <w:vAlign w:val="center"/>
          </w:tcPr>
          <w:p>
            <w:pPr>
              <w:pStyle w:val="DMETW36768BIPSPL"/>
              <w:jc w:val="right"/>
              <w:rPr>
                <w:rFonts w:ascii="Verdana" w:eastAsia="Verdana" w:hAnsi="Verdana" w:cs="Verdana"/>
                <w:i/>
                <w:noProof/>
                <w:color w:val="000000"/>
                <w:sz w:val="18"/>
              </w:rPr>
            </w:pPr>
            <w:r>
              <w:rPr>
                <w:rFonts w:ascii="Verdana" w:hAnsi="Verdana"/>
                <w:i/>
                <w:noProof/>
                <w:color w:val="000000"/>
                <w:sz w:val="18"/>
              </w:rPr>
              <w:t>1,8 %</w:t>
            </w:r>
          </w:p>
        </w:tc>
        <w:tc>
          <w:tcPr>
            <w:tcW w:w="2435" w:type="dxa"/>
            <w:tcBorders>
              <w:top w:val="nil"/>
              <w:left w:val="nil"/>
              <w:bottom w:val="nil"/>
              <w:right w:val="nil"/>
              <w:tl2br w:val="nil"/>
              <w:tr2bl w:val="nil"/>
            </w:tcBorders>
            <w:tcMar>
              <w:left w:w="60" w:type="dxa"/>
              <w:right w:w="60" w:type="dxa"/>
            </w:tcMar>
            <w:vAlign w:val="center"/>
          </w:tcPr>
          <w:p>
            <w:pPr>
              <w:pStyle w:val="DMETW36768BIPSPL"/>
              <w:jc w:val="right"/>
              <w:rPr>
                <w:rFonts w:ascii="Verdana" w:eastAsia="Verdana" w:hAnsi="Verdana" w:cs="Verdana"/>
                <w:i/>
                <w:noProof/>
                <w:color w:val="000000"/>
                <w:sz w:val="18"/>
              </w:rPr>
            </w:pPr>
            <w:r>
              <w:rPr>
                <w:rFonts w:ascii="Verdana" w:hAnsi="Verdana"/>
                <w:i/>
                <w:noProof/>
                <w:color w:val="000000"/>
                <w:sz w:val="18"/>
              </w:rPr>
              <w:t>1,3 %</w:t>
            </w:r>
          </w:p>
        </w:tc>
      </w:tr>
      <w:tr>
        <w:trPr>
          <w:trHeight w:val="255"/>
        </w:trPr>
        <w:tc>
          <w:tcPr>
            <w:tcW w:w="4888" w:type="dxa"/>
            <w:tcBorders>
              <w:top w:val="nil"/>
              <w:left w:val="nil"/>
              <w:bottom w:val="nil"/>
              <w:right w:val="nil"/>
              <w:tl2br w:val="nil"/>
              <w:tr2bl w:val="nil"/>
            </w:tcBorders>
            <w:tcMar>
              <w:left w:w="60" w:type="dxa"/>
              <w:right w:w="60" w:type="dxa"/>
            </w:tcMar>
            <w:vAlign w:val="center"/>
          </w:tcPr>
          <w:p>
            <w:pPr>
              <w:pStyle w:val="DMETW36768BIPSPL"/>
              <w:rPr>
                <w:rFonts w:ascii="Verdana" w:eastAsia="Verdana" w:hAnsi="Verdana" w:cs="Verdana"/>
                <w:i/>
                <w:noProof/>
                <w:color w:val="000000"/>
                <w:sz w:val="18"/>
              </w:rPr>
            </w:pPr>
            <w:r>
              <w:rPr>
                <w:rFonts w:ascii="Verdana" w:hAnsi="Verdana"/>
                <w:i/>
                <w:noProof/>
                <w:color w:val="000000"/>
                <w:sz w:val="18"/>
              </w:rPr>
              <w:t>Taux attendu des augmentations salariales futures</w:t>
            </w:r>
          </w:p>
        </w:tc>
        <w:tc>
          <w:tcPr>
            <w:tcW w:w="2435" w:type="dxa"/>
            <w:tcBorders>
              <w:top w:val="nil"/>
              <w:left w:val="nil"/>
              <w:bottom w:val="nil"/>
              <w:right w:val="nil"/>
              <w:tl2br w:val="nil"/>
              <w:tr2bl w:val="nil"/>
            </w:tcBorders>
            <w:tcMar>
              <w:left w:w="60" w:type="dxa"/>
              <w:right w:w="60" w:type="dxa"/>
            </w:tcMar>
            <w:vAlign w:val="center"/>
          </w:tcPr>
          <w:p>
            <w:pPr>
              <w:pStyle w:val="DMETW36768BIPSPL"/>
              <w:jc w:val="right"/>
              <w:rPr>
                <w:rFonts w:ascii="Verdana" w:eastAsia="Verdana" w:hAnsi="Verdana" w:cs="Verdana"/>
                <w:i/>
                <w:noProof/>
                <w:color w:val="000000"/>
                <w:sz w:val="18"/>
              </w:rPr>
            </w:pPr>
            <w:r>
              <w:rPr>
                <w:rFonts w:ascii="Verdana" w:hAnsi="Verdana"/>
                <w:i/>
                <w:noProof/>
                <w:color w:val="000000"/>
                <w:sz w:val="18"/>
              </w:rPr>
              <w:t>1,4 %</w:t>
            </w:r>
          </w:p>
        </w:tc>
        <w:tc>
          <w:tcPr>
            <w:tcW w:w="2435" w:type="dxa"/>
            <w:tcBorders>
              <w:top w:val="nil"/>
              <w:left w:val="nil"/>
              <w:bottom w:val="nil"/>
              <w:right w:val="nil"/>
              <w:tl2br w:val="nil"/>
              <w:tr2bl w:val="nil"/>
            </w:tcBorders>
            <w:tcMar>
              <w:left w:w="60" w:type="dxa"/>
              <w:right w:w="60" w:type="dxa"/>
            </w:tcMar>
            <w:vAlign w:val="center"/>
          </w:tcPr>
          <w:p>
            <w:pPr>
              <w:pStyle w:val="DMETW36768BIPSPL"/>
              <w:jc w:val="right"/>
              <w:rPr>
                <w:rFonts w:ascii="Verdana" w:eastAsia="Verdana" w:hAnsi="Verdana" w:cs="Verdana"/>
                <w:i/>
                <w:noProof/>
                <w:color w:val="000000"/>
                <w:sz w:val="18"/>
              </w:rPr>
            </w:pPr>
            <w:r>
              <w:rPr>
                <w:rFonts w:ascii="Verdana" w:hAnsi="Verdana"/>
                <w:i/>
                <w:noProof/>
                <w:color w:val="000000"/>
                <w:sz w:val="18"/>
              </w:rPr>
              <w:t>1,3 %</w:t>
            </w:r>
          </w:p>
        </w:tc>
      </w:tr>
      <w:tr>
        <w:trPr>
          <w:trHeight w:val="255"/>
        </w:trPr>
        <w:tc>
          <w:tcPr>
            <w:tcW w:w="4888" w:type="dxa"/>
            <w:tcBorders>
              <w:top w:val="nil"/>
              <w:left w:val="nil"/>
              <w:bottom w:val="single" w:sz="4" w:space="0" w:color="016794"/>
              <w:right w:val="nil"/>
              <w:tl2br w:val="nil"/>
              <w:tr2bl w:val="nil"/>
            </w:tcBorders>
            <w:tcMar>
              <w:left w:w="60" w:type="dxa"/>
              <w:right w:w="60" w:type="dxa"/>
            </w:tcMar>
            <w:vAlign w:val="center"/>
          </w:tcPr>
          <w:p>
            <w:pPr>
              <w:pStyle w:val="DMETW36768BIPSPL"/>
              <w:rPr>
                <w:rFonts w:ascii="Verdana" w:eastAsia="Verdana" w:hAnsi="Verdana" w:cs="Verdana"/>
                <w:i/>
                <w:noProof/>
                <w:color w:val="000000"/>
                <w:sz w:val="18"/>
              </w:rPr>
            </w:pPr>
            <w:r>
              <w:rPr>
                <w:rFonts w:ascii="Verdana" w:hAnsi="Verdana"/>
                <w:i/>
                <w:noProof/>
                <w:color w:val="000000"/>
                <w:sz w:val="18"/>
              </w:rPr>
              <w:t>Âge de la retraite</w:t>
            </w:r>
          </w:p>
        </w:tc>
        <w:tc>
          <w:tcPr>
            <w:tcW w:w="2435" w:type="dxa"/>
            <w:tcBorders>
              <w:top w:val="nil"/>
              <w:left w:val="nil"/>
              <w:bottom w:val="single" w:sz="4" w:space="0" w:color="016794"/>
              <w:right w:val="nil"/>
              <w:tl2br w:val="nil"/>
              <w:tr2bl w:val="nil"/>
            </w:tcBorders>
            <w:tcMar>
              <w:left w:w="60" w:type="dxa"/>
              <w:right w:w="60" w:type="dxa"/>
            </w:tcMar>
            <w:vAlign w:val="bottom"/>
          </w:tcPr>
          <w:p>
            <w:pPr>
              <w:pStyle w:val="DMETW36768BIPSPL"/>
              <w:jc w:val="right"/>
              <w:rPr>
                <w:rFonts w:ascii="Verdana" w:eastAsia="Verdana" w:hAnsi="Verdana" w:cs="Verdana"/>
                <w:i/>
                <w:noProof/>
                <w:color w:val="000000"/>
                <w:sz w:val="18"/>
              </w:rPr>
            </w:pPr>
            <w:r>
              <w:rPr>
                <w:rFonts w:ascii="Verdana" w:hAnsi="Verdana"/>
                <w:i/>
                <w:noProof/>
                <w:color w:val="000000"/>
                <w:sz w:val="18"/>
              </w:rPr>
              <w:t>63/64/66</w:t>
            </w:r>
          </w:p>
        </w:tc>
        <w:tc>
          <w:tcPr>
            <w:tcW w:w="2435" w:type="dxa"/>
            <w:tcBorders>
              <w:top w:val="nil"/>
              <w:left w:val="nil"/>
              <w:bottom w:val="single" w:sz="4" w:space="0" w:color="016794"/>
              <w:right w:val="nil"/>
              <w:tl2br w:val="nil"/>
              <w:tr2bl w:val="nil"/>
            </w:tcBorders>
            <w:tcMar>
              <w:left w:w="60" w:type="dxa"/>
              <w:right w:w="60" w:type="dxa"/>
            </w:tcMar>
            <w:vAlign w:val="bottom"/>
          </w:tcPr>
          <w:p>
            <w:pPr>
              <w:pStyle w:val="DMETW36768BIPSPL"/>
              <w:jc w:val="right"/>
              <w:rPr>
                <w:rFonts w:ascii="Verdana" w:eastAsia="Verdana" w:hAnsi="Verdana" w:cs="Verdana"/>
                <w:i/>
                <w:noProof/>
                <w:color w:val="000000"/>
                <w:sz w:val="18"/>
              </w:rPr>
            </w:pPr>
            <w:r>
              <w:rPr>
                <w:rFonts w:ascii="Verdana" w:hAnsi="Verdana"/>
                <w:i/>
                <w:noProof/>
                <w:color w:val="000000"/>
                <w:sz w:val="18"/>
              </w:rPr>
              <w:t>63/64/66</w:t>
            </w:r>
          </w:p>
        </w:tc>
      </w:tr>
      <w:tr>
        <w:trPr>
          <w:trHeight w:val="255"/>
        </w:trPr>
        <w:tc>
          <w:tcPr>
            <w:tcW w:w="4888" w:type="dxa"/>
            <w:tcBorders>
              <w:top w:val="single" w:sz="4" w:space="0" w:color="016794"/>
              <w:left w:val="nil"/>
              <w:bottom w:val="nil"/>
              <w:right w:val="nil"/>
              <w:tl2br w:val="nil"/>
              <w:tr2bl w:val="nil"/>
            </w:tcBorders>
            <w:tcMar>
              <w:left w:w="60" w:type="dxa"/>
              <w:right w:w="60" w:type="dxa"/>
            </w:tcMar>
            <w:vAlign w:val="center"/>
          </w:tcPr>
          <w:p>
            <w:pPr>
              <w:pStyle w:val="DMETW36768BIPSPL"/>
              <w:rPr>
                <w:rFonts w:ascii="Verdana" w:eastAsia="Verdana" w:hAnsi="Verdana" w:cs="Verdana"/>
                <w:b/>
                <w:noProof/>
                <w:color w:val="000000"/>
                <w:sz w:val="18"/>
              </w:rPr>
            </w:pPr>
            <w:r>
              <w:rPr>
                <w:rFonts w:ascii="Verdana" w:hAnsi="Verdana"/>
                <w:b/>
                <w:noProof/>
                <w:color w:val="000000"/>
                <w:sz w:val="18"/>
              </w:rPr>
              <w:t>Régime commun d’assurance maladie</w:t>
            </w:r>
          </w:p>
        </w:tc>
        <w:tc>
          <w:tcPr>
            <w:tcW w:w="2435" w:type="dxa"/>
            <w:tcBorders>
              <w:top w:val="single" w:sz="4" w:space="0" w:color="016794"/>
              <w:left w:val="nil"/>
              <w:bottom w:val="nil"/>
              <w:right w:val="nil"/>
              <w:tl2br w:val="nil"/>
              <w:tr2bl w:val="nil"/>
            </w:tcBorders>
            <w:tcMar>
              <w:left w:w="60" w:type="dxa"/>
              <w:right w:w="60" w:type="dxa"/>
            </w:tcMar>
            <w:vAlign w:val="center"/>
          </w:tcPr>
          <w:p>
            <w:pPr>
              <w:pStyle w:val="DMETW36768BIPSPL"/>
              <w:jc w:val="right"/>
              <w:rPr>
                <w:rFonts w:ascii="Verdana" w:eastAsia="Verdana" w:hAnsi="Verdana" w:cs="Verdana"/>
                <w:b/>
                <w:noProof/>
                <w:color w:val="000000"/>
                <w:sz w:val="18"/>
              </w:rPr>
            </w:pPr>
          </w:p>
        </w:tc>
        <w:tc>
          <w:tcPr>
            <w:tcW w:w="2435" w:type="dxa"/>
            <w:tcBorders>
              <w:top w:val="single" w:sz="4" w:space="0" w:color="016794"/>
              <w:left w:val="nil"/>
              <w:bottom w:val="nil"/>
              <w:right w:val="nil"/>
              <w:tl2br w:val="nil"/>
              <w:tr2bl w:val="nil"/>
            </w:tcBorders>
            <w:tcMar>
              <w:left w:w="60" w:type="dxa"/>
              <w:right w:w="60" w:type="dxa"/>
            </w:tcMar>
            <w:vAlign w:val="center"/>
          </w:tcPr>
          <w:p>
            <w:pPr>
              <w:pStyle w:val="DMETW36768BIPSPL"/>
              <w:jc w:val="right"/>
              <w:rPr>
                <w:rFonts w:ascii="Verdana" w:eastAsia="Verdana" w:hAnsi="Verdana" w:cs="Verdana"/>
                <w:b/>
                <w:noProof/>
                <w:color w:val="000000"/>
                <w:sz w:val="18"/>
                <w:lang w:bidi="en-GB"/>
              </w:rPr>
            </w:pPr>
          </w:p>
        </w:tc>
      </w:tr>
      <w:tr>
        <w:trPr>
          <w:trHeight w:val="255"/>
        </w:trPr>
        <w:tc>
          <w:tcPr>
            <w:tcW w:w="4888" w:type="dxa"/>
            <w:tcBorders>
              <w:top w:val="nil"/>
              <w:left w:val="nil"/>
              <w:bottom w:val="nil"/>
              <w:right w:val="nil"/>
              <w:tl2br w:val="nil"/>
              <w:tr2bl w:val="nil"/>
            </w:tcBorders>
            <w:tcMar>
              <w:left w:w="60" w:type="dxa"/>
              <w:right w:w="60" w:type="dxa"/>
            </w:tcMar>
            <w:vAlign w:val="center"/>
          </w:tcPr>
          <w:p>
            <w:pPr>
              <w:pStyle w:val="DMETW36768BIPSPL"/>
              <w:rPr>
                <w:rFonts w:ascii="Verdana" w:eastAsia="Verdana" w:hAnsi="Verdana" w:cs="Verdana"/>
                <w:i/>
                <w:noProof/>
                <w:color w:val="000000"/>
                <w:sz w:val="18"/>
              </w:rPr>
            </w:pPr>
            <w:r>
              <w:rPr>
                <w:rFonts w:ascii="Verdana" w:hAnsi="Verdana"/>
                <w:i/>
                <w:noProof/>
                <w:color w:val="000000"/>
                <w:sz w:val="18"/>
              </w:rPr>
              <w:t xml:space="preserve">Taux d’actualisation nominal </w:t>
            </w:r>
          </w:p>
        </w:tc>
        <w:tc>
          <w:tcPr>
            <w:tcW w:w="2435" w:type="dxa"/>
            <w:tcBorders>
              <w:top w:val="nil"/>
              <w:left w:val="nil"/>
              <w:bottom w:val="nil"/>
              <w:right w:val="nil"/>
              <w:tl2br w:val="nil"/>
              <w:tr2bl w:val="nil"/>
            </w:tcBorders>
            <w:tcMar>
              <w:left w:w="60" w:type="dxa"/>
              <w:right w:w="60" w:type="dxa"/>
            </w:tcMar>
            <w:vAlign w:val="center"/>
          </w:tcPr>
          <w:p>
            <w:pPr>
              <w:pStyle w:val="DMETW36768BIPSPL"/>
              <w:jc w:val="right"/>
              <w:rPr>
                <w:rFonts w:ascii="Verdana" w:eastAsia="Verdana" w:hAnsi="Verdana" w:cs="Verdana"/>
                <w:i/>
                <w:noProof/>
                <w:color w:val="000000"/>
                <w:sz w:val="18"/>
              </w:rPr>
            </w:pPr>
            <w:r>
              <w:rPr>
                <w:rFonts w:ascii="Verdana" w:hAnsi="Verdana"/>
                <w:i/>
                <w:noProof/>
                <w:color w:val="000000"/>
                <w:sz w:val="18"/>
              </w:rPr>
              <w:t>3,8 %</w:t>
            </w:r>
          </w:p>
        </w:tc>
        <w:tc>
          <w:tcPr>
            <w:tcW w:w="2435" w:type="dxa"/>
            <w:tcBorders>
              <w:top w:val="nil"/>
              <w:left w:val="nil"/>
              <w:bottom w:val="nil"/>
              <w:right w:val="nil"/>
              <w:tl2br w:val="nil"/>
              <w:tr2bl w:val="nil"/>
            </w:tcBorders>
            <w:tcMar>
              <w:left w:w="60" w:type="dxa"/>
              <w:right w:w="60" w:type="dxa"/>
            </w:tcMar>
            <w:vAlign w:val="center"/>
          </w:tcPr>
          <w:p>
            <w:pPr>
              <w:pStyle w:val="DMETW36768BIPSPL"/>
              <w:jc w:val="right"/>
              <w:rPr>
                <w:rFonts w:ascii="Verdana" w:eastAsia="Verdana" w:hAnsi="Verdana" w:cs="Verdana"/>
                <w:i/>
                <w:noProof/>
                <w:color w:val="000000"/>
                <w:sz w:val="18"/>
              </w:rPr>
            </w:pPr>
            <w:r>
              <w:rPr>
                <w:rFonts w:ascii="Verdana" w:hAnsi="Verdana"/>
                <w:i/>
                <w:noProof/>
                <w:color w:val="000000"/>
                <w:sz w:val="18"/>
              </w:rPr>
              <w:t>3,3 %</w:t>
            </w:r>
          </w:p>
        </w:tc>
      </w:tr>
      <w:tr>
        <w:trPr>
          <w:trHeight w:val="255"/>
        </w:trPr>
        <w:tc>
          <w:tcPr>
            <w:tcW w:w="4888" w:type="dxa"/>
            <w:tcBorders>
              <w:top w:val="nil"/>
              <w:left w:val="nil"/>
              <w:bottom w:val="nil"/>
              <w:right w:val="nil"/>
              <w:tl2br w:val="nil"/>
              <w:tr2bl w:val="nil"/>
            </w:tcBorders>
            <w:tcMar>
              <w:left w:w="60" w:type="dxa"/>
              <w:right w:w="60" w:type="dxa"/>
            </w:tcMar>
            <w:vAlign w:val="center"/>
          </w:tcPr>
          <w:p>
            <w:pPr>
              <w:pStyle w:val="DMETW36768BIPSPL"/>
              <w:rPr>
                <w:rFonts w:ascii="Verdana" w:eastAsia="Verdana" w:hAnsi="Verdana" w:cs="Verdana"/>
                <w:i/>
                <w:noProof/>
                <w:color w:val="000000"/>
                <w:sz w:val="18"/>
              </w:rPr>
            </w:pPr>
            <w:r>
              <w:rPr>
                <w:rFonts w:ascii="Verdana" w:hAnsi="Verdana"/>
                <w:i/>
                <w:noProof/>
                <w:color w:val="000000"/>
                <w:sz w:val="18"/>
              </w:rPr>
              <w:t xml:space="preserve">Taux d’inflation anticipé </w:t>
            </w:r>
          </w:p>
        </w:tc>
        <w:tc>
          <w:tcPr>
            <w:tcW w:w="2435" w:type="dxa"/>
            <w:tcBorders>
              <w:top w:val="nil"/>
              <w:left w:val="nil"/>
              <w:bottom w:val="nil"/>
              <w:right w:val="nil"/>
              <w:tl2br w:val="nil"/>
              <w:tr2bl w:val="nil"/>
            </w:tcBorders>
            <w:tcMar>
              <w:left w:w="60" w:type="dxa"/>
              <w:right w:w="60" w:type="dxa"/>
            </w:tcMar>
            <w:vAlign w:val="center"/>
          </w:tcPr>
          <w:p>
            <w:pPr>
              <w:pStyle w:val="DMETW36768BIPSPL"/>
              <w:jc w:val="right"/>
              <w:rPr>
                <w:rFonts w:ascii="Verdana" w:eastAsia="Verdana" w:hAnsi="Verdana" w:cs="Verdana"/>
                <w:i/>
                <w:noProof/>
                <w:color w:val="000000"/>
                <w:sz w:val="18"/>
              </w:rPr>
            </w:pPr>
            <w:r>
              <w:rPr>
                <w:rFonts w:ascii="Verdana" w:hAnsi="Verdana"/>
                <w:i/>
                <w:noProof/>
                <w:color w:val="000000"/>
                <w:sz w:val="18"/>
              </w:rPr>
              <w:t>2,0 %</w:t>
            </w:r>
          </w:p>
        </w:tc>
        <w:tc>
          <w:tcPr>
            <w:tcW w:w="2435" w:type="dxa"/>
            <w:tcBorders>
              <w:top w:val="nil"/>
              <w:left w:val="nil"/>
              <w:bottom w:val="nil"/>
              <w:right w:val="nil"/>
              <w:tl2br w:val="nil"/>
              <w:tr2bl w:val="nil"/>
            </w:tcBorders>
            <w:tcMar>
              <w:left w:w="60" w:type="dxa"/>
              <w:right w:w="60" w:type="dxa"/>
            </w:tcMar>
            <w:vAlign w:val="center"/>
          </w:tcPr>
          <w:p>
            <w:pPr>
              <w:pStyle w:val="DMETW36768BIPSPL"/>
              <w:jc w:val="right"/>
              <w:rPr>
                <w:rFonts w:ascii="Verdana" w:eastAsia="Verdana" w:hAnsi="Verdana" w:cs="Verdana"/>
                <w:i/>
                <w:noProof/>
                <w:color w:val="000000"/>
                <w:sz w:val="18"/>
              </w:rPr>
            </w:pPr>
            <w:r>
              <w:rPr>
                <w:rFonts w:ascii="Verdana" w:hAnsi="Verdana"/>
                <w:i/>
                <w:noProof/>
                <w:color w:val="000000"/>
                <w:sz w:val="18"/>
              </w:rPr>
              <w:t>2,0 %</w:t>
            </w:r>
          </w:p>
        </w:tc>
      </w:tr>
      <w:tr>
        <w:trPr>
          <w:trHeight w:val="255"/>
        </w:trPr>
        <w:tc>
          <w:tcPr>
            <w:tcW w:w="4888" w:type="dxa"/>
            <w:tcBorders>
              <w:top w:val="nil"/>
              <w:left w:val="nil"/>
              <w:bottom w:val="nil"/>
              <w:right w:val="nil"/>
              <w:tl2br w:val="nil"/>
              <w:tr2bl w:val="nil"/>
            </w:tcBorders>
            <w:tcMar>
              <w:left w:w="60" w:type="dxa"/>
              <w:right w:w="60" w:type="dxa"/>
            </w:tcMar>
            <w:vAlign w:val="center"/>
          </w:tcPr>
          <w:p>
            <w:pPr>
              <w:pStyle w:val="DMETW36768BIPSPL"/>
              <w:rPr>
                <w:rFonts w:ascii="Verdana" w:eastAsia="Verdana" w:hAnsi="Verdana" w:cs="Verdana"/>
                <w:i/>
                <w:noProof/>
                <w:color w:val="000000"/>
                <w:sz w:val="18"/>
              </w:rPr>
            </w:pPr>
            <w:r>
              <w:rPr>
                <w:rFonts w:ascii="Verdana" w:hAnsi="Verdana"/>
                <w:i/>
                <w:noProof/>
                <w:color w:val="000000"/>
                <w:sz w:val="18"/>
              </w:rPr>
              <w:t>Taux d’actualisation réel</w:t>
            </w:r>
          </w:p>
        </w:tc>
        <w:tc>
          <w:tcPr>
            <w:tcW w:w="2435" w:type="dxa"/>
            <w:tcBorders>
              <w:top w:val="nil"/>
              <w:left w:val="nil"/>
              <w:bottom w:val="nil"/>
              <w:right w:val="nil"/>
              <w:tl2br w:val="nil"/>
              <w:tr2bl w:val="nil"/>
            </w:tcBorders>
            <w:tcMar>
              <w:left w:w="60" w:type="dxa"/>
              <w:right w:w="60" w:type="dxa"/>
            </w:tcMar>
            <w:vAlign w:val="center"/>
          </w:tcPr>
          <w:p>
            <w:pPr>
              <w:pStyle w:val="DMETW36768BIPSPL"/>
              <w:jc w:val="right"/>
              <w:rPr>
                <w:rFonts w:ascii="Verdana" w:eastAsia="Verdana" w:hAnsi="Verdana" w:cs="Verdana"/>
                <w:i/>
                <w:noProof/>
                <w:color w:val="000000"/>
                <w:sz w:val="18"/>
              </w:rPr>
            </w:pPr>
            <w:r>
              <w:rPr>
                <w:rFonts w:ascii="Verdana" w:hAnsi="Verdana"/>
                <w:i/>
                <w:noProof/>
                <w:color w:val="000000"/>
                <w:sz w:val="18"/>
              </w:rPr>
              <w:t>1,8 %</w:t>
            </w:r>
          </w:p>
        </w:tc>
        <w:tc>
          <w:tcPr>
            <w:tcW w:w="2435" w:type="dxa"/>
            <w:tcBorders>
              <w:top w:val="nil"/>
              <w:left w:val="nil"/>
              <w:bottom w:val="nil"/>
              <w:right w:val="nil"/>
              <w:tl2br w:val="nil"/>
              <w:tr2bl w:val="nil"/>
            </w:tcBorders>
            <w:tcMar>
              <w:left w:w="60" w:type="dxa"/>
              <w:right w:w="60" w:type="dxa"/>
            </w:tcMar>
            <w:vAlign w:val="center"/>
          </w:tcPr>
          <w:p>
            <w:pPr>
              <w:pStyle w:val="DMETW36768BIPSPL"/>
              <w:jc w:val="right"/>
              <w:rPr>
                <w:rFonts w:ascii="Verdana" w:eastAsia="Verdana" w:hAnsi="Verdana" w:cs="Verdana"/>
                <w:i/>
                <w:noProof/>
                <w:color w:val="000000"/>
                <w:sz w:val="18"/>
              </w:rPr>
            </w:pPr>
            <w:r>
              <w:rPr>
                <w:rFonts w:ascii="Verdana" w:hAnsi="Verdana"/>
                <w:i/>
                <w:noProof/>
                <w:color w:val="000000"/>
                <w:sz w:val="18"/>
              </w:rPr>
              <w:t>1,3 %</w:t>
            </w:r>
          </w:p>
        </w:tc>
      </w:tr>
      <w:tr>
        <w:trPr>
          <w:trHeight w:val="255"/>
        </w:trPr>
        <w:tc>
          <w:tcPr>
            <w:tcW w:w="4888" w:type="dxa"/>
            <w:tcBorders>
              <w:top w:val="nil"/>
              <w:left w:val="nil"/>
              <w:bottom w:val="nil"/>
              <w:right w:val="nil"/>
              <w:tl2br w:val="nil"/>
              <w:tr2bl w:val="nil"/>
            </w:tcBorders>
            <w:tcMar>
              <w:left w:w="60" w:type="dxa"/>
              <w:right w:w="60" w:type="dxa"/>
            </w:tcMar>
            <w:vAlign w:val="center"/>
          </w:tcPr>
          <w:p>
            <w:pPr>
              <w:pStyle w:val="DMETW36768BIPSPL"/>
              <w:rPr>
                <w:rFonts w:ascii="Verdana" w:eastAsia="Verdana" w:hAnsi="Verdana" w:cs="Verdana"/>
                <w:i/>
                <w:noProof/>
                <w:color w:val="000000"/>
                <w:sz w:val="18"/>
              </w:rPr>
            </w:pPr>
            <w:r>
              <w:rPr>
                <w:rFonts w:ascii="Verdana" w:hAnsi="Verdana"/>
                <w:i/>
                <w:noProof/>
                <w:color w:val="000000"/>
                <w:sz w:val="18"/>
              </w:rPr>
              <w:t>Taux attendu des augmentations salariales futures</w:t>
            </w:r>
          </w:p>
        </w:tc>
        <w:tc>
          <w:tcPr>
            <w:tcW w:w="2435" w:type="dxa"/>
            <w:tcBorders>
              <w:top w:val="nil"/>
              <w:left w:val="nil"/>
              <w:bottom w:val="nil"/>
              <w:right w:val="nil"/>
              <w:tl2br w:val="nil"/>
              <w:tr2bl w:val="nil"/>
            </w:tcBorders>
            <w:tcMar>
              <w:left w:w="60" w:type="dxa"/>
              <w:right w:w="60" w:type="dxa"/>
            </w:tcMar>
            <w:vAlign w:val="center"/>
          </w:tcPr>
          <w:p>
            <w:pPr>
              <w:pStyle w:val="DMETW36768BIPSPL"/>
              <w:jc w:val="right"/>
              <w:rPr>
                <w:rFonts w:ascii="Verdana" w:eastAsia="Verdana" w:hAnsi="Verdana" w:cs="Verdana"/>
                <w:i/>
                <w:noProof/>
                <w:color w:val="000000"/>
                <w:sz w:val="18"/>
              </w:rPr>
            </w:pPr>
            <w:r>
              <w:rPr>
                <w:rFonts w:ascii="Verdana" w:hAnsi="Verdana"/>
                <w:i/>
                <w:noProof/>
                <w:color w:val="000000"/>
                <w:sz w:val="18"/>
              </w:rPr>
              <w:t>1,4 %</w:t>
            </w:r>
          </w:p>
        </w:tc>
        <w:tc>
          <w:tcPr>
            <w:tcW w:w="2435" w:type="dxa"/>
            <w:tcBorders>
              <w:top w:val="nil"/>
              <w:left w:val="nil"/>
              <w:bottom w:val="nil"/>
              <w:right w:val="nil"/>
              <w:tl2br w:val="nil"/>
              <w:tr2bl w:val="nil"/>
            </w:tcBorders>
            <w:tcMar>
              <w:left w:w="60" w:type="dxa"/>
              <w:right w:w="60" w:type="dxa"/>
            </w:tcMar>
            <w:vAlign w:val="center"/>
          </w:tcPr>
          <w:p>
            <w:pPr>
              <w:pStyle w:val="DMETW36768BIPSPL"/>
              <w:jc w:val="right"/>
              <w:rPr>
                <w:rFonts w:ascii="Verdana" w:eastAsia="Verdana" w:hAnsi="Verdana" w:cs="Verdana"/>
                <w:i/>
                <w:noProof/>
                <w:color w:val="000000"/>
                <w:sz w:val="18"/>
              </w:rPr>
            </w:pPr>
            <w:r>
              <w:rPr>
                <w:rFonts w:ascii="Verdana" w:hAnsi="Verdana"/>
                <w:i/>
                <w:noProof/>
                <w:color w:val="000000"/>
                <w:sz w:val="18"/>
              </w:rPr>
              <w:t>1,3 %</w:t>
            </w:r>
          </w:p>
        </w:tc>
      </w:tr>
      <w:tr>
        <w:trPr>
          <w:trHeight w:val="255"/>
        </w:trPr>
        <w:tc>
          <w:tcPr>
            <w:tcW w:w="4888" w:type="dxa"/>
            <w:tcBorders>
              <w:top w:val="nil"/>
              <w:left w:val="nil"/>
              <w:bottom w:val="nil"/>
              <w:right w:val="nil"/>
              <w:tl2br w:val="nil"/>
              <w:tr2bl w:val="nil"/>
            </w:tcBorders>
            <w:tcMar>
              <w:left w:w="60" w:type="dxa"/>
              <w:right w:w="60" w:type="dxa"/>
            </w:tcMar>
            <w:vAlign w:val="center"/>
          </w:tcPr>
          <w:p>
            <w:pPr>
              <w:pStyle w:val="DMETW36768BIPSPL"/>
              <w:rPr>
                <w:rFonts w:ascii="Verdana" w:eastAsia="Verdana" w:hAnsi="Verdana" w:cs="Verdana"/>
                <w:i/>
                <w:noProof/>
                <w:color w:val="000000"/>
                <w:sz w:val="18"/>
              </w:rPr>
            </w:pPr>
            <w:r>
              <w:rPr>
                <w:rFonts w:ascii="Verdana" w:hAnsi="Verdana"/>
                <w:i/>
                <w:noProof/>
                <w:color w:val="000000"/>
                <w:sz w:val="18"/>
              </w:rPr>
              <w:t>Taux d’évolution des coûts médicaux</w:t>
            </w:r>
          </w:p>
        </w:tc>
        <w:tc>
          <w:tcPr>
            <w:tcW w:w="2435" w:type="dxa"/>
            <w:tcBorders>
              <w:top w:val="nil"/>
              <w:left w:val="nil"/>
              <w:bottom w:val="nil"/>
              <w:right w:val="nil"/>
              <w:tl2br w:val="nil"/>
              <w:tr2bl w:val="nil"/>
            </w:tcBorders>
            <w:tcMar>
              <w:left w:w="60" w:type="dxa"/>
              <w:right w:w="60" w:type="dxa"/>
            </w:tcMar>
            <w:vAlign w:val="center"/>
          </w:tcPr>
          <w:p>
            <w:pPr>
              <w:pStyle w:val="DMETW36768BIPSPL"/>
              <w:jc w:val="right"/>
              <w:rPr>
                <w:rFonts w:ascii="Verdana" w:eastAsia="Verdana" w:hAnsi="Verdana" w:cs="Verdana"/>
                <w:i/>
                <w:noProof/>
                <w:color w:val="000000"/>
                <w:sz w:val="18"/>
              </w:rPr>
            </w:pPr>
            <w:r>
              <w:rPr>
                <w:rFonts w:ascii="Verdana" w:hAnsi="Verdana"/>
                <w:i/>
                <w:noProof/>
                <w:color w:val="000000"/>
                <w:sz w:val="18"/>
              </w:rPr>
              <w:t>0,9 %</w:t>
            </w:r>
          </w:p>
        </w:tc>
        <w:tc>
          <w:tcPr>
            <w:tcW w:w="2435" w:type="dxa"/>
            <w:tcBorders>
              <w:top w:val="nil"/>
              <w:left w:val="nil"/>
              <w:bottom w:val="nil"/>
              <w:right w:val="nil"/>
              <w:tl2br w:val="nil"/>
              <w:tr2bl w:val="nil"/>
            </w:tcBorders>
            <w:tcMar>
              <w:left w:w="60" w:type="dxa"/>
              <w:right w:w="60" w:type="dxa"/>
            </w:tcMar>
            <w:vAlign w:val="center"/>
          </w:tcPr>
          <w:p>
            <w:pPr>
              <w:pStyle w:val="DMETW36768BIPSPL"/>
              <w:jc w:val="right"/>
              <w:rPr>
                <w:rFonts w:ascii="Verdana" w:eastAsia="Verdana" w:hAnsi="Verdana" w:cs="Verdana"/>
                <w:i/>
                <w:noProof/>
                <w:color w:val="000000"/>
                <w:sz w:val="18"/>
              </w:rPr>
            </w:pPr>
            <w:r>
              <w:rPr>
                <w:rFonts w:ascii="Verdana" w:hAnsi="Verdana"/>
                <w:i/>
                <w:noProof/>
                <w:color w:val="000000"/>
                <w:sz w:val="18"/>
              </w:rPr>
              <w:t>1,6 %</w:t>
            </w:r>
          </w:p>
        </w:tc>
      </w:tr>
      <w:tr>
        <w:trPr>
          <w:trHeight w:val="255"/>
        </w:trPr>
        <w:tc>
          <w:tcPr>
            <w:tcW w:w="4888" w:type="dxa"/>
            <w:tcBorders>
              <w:top w:val="nil"/>
              <w:left w:val="nil"/>
              <w:bottom w:val="single" w:sz="4" w:space="0" w:color="016794"/>
              <w:right w:val="nil"/>
              <w:tl2br w:val="nil"/>
              <w:tr2bl w:val="nil"/>
            </w:tcBorders>
            <w:tcMar>
              <w:left w:w="60" w:type="dxa"/>
              <w:right w:w="60" w:type="dxa"/>
            </w:tcMar>
            <w:vAlign w:val="center"/>
          </w:tcPr>
          <w:p>
            <w:pPr>
              <w:pStyle w:val="DMETW36768BIPSPL"/>
              <w:rPr>
                <w:rFonts w:ascii="Verdana" w:eastAsia="Verdana" w:hAnsi="Verdana" w:cs="Verdana"/>
                <w:i/>
                <w:noProof/>
                <w:color w:val="000000"/>
                <w:sz w:val="18"/>
              </w:rPr>
            </w:pPr>
            <w:r>
              <w:rPr>
                <w:rFonts w:ascii="Verdana" w:hAnsi="Verdana"/>
                <w:i/>
                <w:noProof/>
                <w:color w:val="000000"/>
                <w:sz w:val="18"/>
              </w:rPr>
              <w:t>Âge de la retraite</w:t>
            </w:r>
          </w:p>
        </w:tc>
        <w:tc>
          <w:tcPr>
            <w:tcW w:w="2435" w:type="dxa"/>
            <w:tcBorders>
              <w:top w:val="nil"/>
              <w:left w:val="nil"/>
              <w:bottom w:val="single" w:sz="4" w:space="0" w:color="016794"/>
              <w:right w:val="nil"/>
              <w:tl2br w:val="nil"/>
              <w:tr2bl w:val="nil"/>
            </w:tcBorders>
            <w:tcMar>
              <w:left w:w="60" w:type="dxa"/>
              <w:right w:w="60" w:type="dxa"/>
            </w:tcMar>
            <w:vAlign w:val="bottom"/>
          </w:tcPr>
          <w:p>
            <w:pPr>
              <w:pStyle w:val="DMETW36768BIPSPL"/>
              <w:jc w:val="right"/>
              <w:rPr>
                <w:rFonts w:ascii="Verdana" w:eastAsia="Verdana" w:hAnsi="Verdana" w:cs="Verdana"/>
                <w:i/>
                <w:noProof/>
                <w:color w:val="000000"/>
                <w:sz w:val="18"/>
              </w:rPr>
            </w:pPr>
            <w:r>
              <w:rPr>
                <w:rFonts w:ascii="Verdana" w:hAnsi="Verdana"/>
                <w:i/>
                <w:noProof/>
                <w:color w:val="000000"/>
                <w:sz w:val="18"/>
              </w:rPr>
              <w:t>63/64/66</w:t>
            </w:r>
          </w:p>
        </w:tc>
        <w:tc>
          <w:tcPr>
            <w:tcW w:w="2435" w:type="dxa"/>
            <w:tcBorders>
              <w:top w:val="nil"/>
              <w:left w:val="nil"/>
              <w:bottom w:val="single" w:sz="4" w:space="0" w:color="016794"/>
              <w:right w:val="nil"/>
              <w:tl2br w:val="nil"/>
              <w:tr2bl w:val="nil"/>
            </w:tcBorders>
            <w:tcMar>
              <w:left w:w="60" w:type="dxa"/>
              <w:right w:w="60" w:type="dxa"/>
            </w:tcMar>
            <w:vAlign w:val="bottom"/>
          </w:tcPr>
          <w:p>
            <w:pPr>
              <w:pStyle w:val="DMETW36768BIPSPL"/>
              <w:jc w:val="right"/>
              <w:rPr>
                <w:rFonts w:ascii="Verdana" w:eastAsia="Verdana" w:hAnsi="Verdana" w:cs="Verdana"/>
                <w:i/>
                <w:noProof/>
                <w:color w:val="000000"/>
                <w:sz w:val="18"/>
              </w:rPr>
            </w:pPr>
            <w:r>
              <w:rPr>
                <w:rFonts w:ascii="Verdana" w:hAnsi="Verdana"/>
                <w:i/>
                <w:noProof/>
                <w:color w:val="000000"/>
                <w:sz w:val="18"/>
              </w:rPr>
              <w:t>63/64/66</w:t>
            </w:r>
          </w:p>
        </w:tc>
      </w:tr>
    </w:tbl>
    <w:p>
      <w:pPr>
        <w:pStyle w:val="DGTextstand-alone"/>
      </w:pPr>
      <w:r>
        <w:t>Les taux de mortalité pour 2025 sont fondés sur la table de mortalité des fonctionnaires européens (EULT 2023) mise à jour, intégrant une tendance dynamique au cours des 18 prochaines années.</w:t>
      </w:r>
    </w:p>
    <w:p>
      <w:pPr>
        <w:pStyle w:val="DGTextstand-alone"/>
      </w:pPr>
      <w:r>
        <w:t>Le taux d’actualisation nominal est déterminé comme étant la valeur du rendement des obligations à coupon zéro en euros (avec une échéance à 17 ans à partir de décembre 2025 pour le régime de pensions de l’UE, et à 17 ans pour le régime commun d’assurance maladie). Le taux d’inflation utilisé est le taux d’inflation anticipé sur la période équivalente: le point mort d’inflation est obtenu en comparant les rendements des obligations d’État indexées sur l’inflation et des obligations d’État ordinaires sur les principaux marchés financiers européens. Le taux d’actualisation réel est calculé à partir du taux d’actualisation nominal et du taux d’inflation anticipé à long terme.</w:t>
      </w:r>
    </w:p>
    <w:p>
      <w:pPr>
        <w:pStyle w:val="HEADER3NOTES"/>
        <w:numPr>
          <w:ilvl w:val="2"/>
          <w:numId w:val="15"/>
        </w:numPr>
        <w:rPr>
          <w:noProof/>
        </w:rPr>
      </w:pPr>
      <w:r>
        <w:rPr>
          <w:noProof/>
        </w:rPr>
        <w:lastRenderedPageBreak/>
        <w:t xml:space="preserve">Analyse de sensibilité </w:t>
      </w:r>
    </w:p>
    <w:p>
      <w:pPr>
        <w:pStyle w:val="DGTextstand-alone"/>
      </w:pPr>
      <w:r>
        <w:t>L’analyse de sensibilité repose sur des simulations qui modifient, toutes choses étant égales par ailleurs, la valeur des hypothèses concernées.</w:t>
      </w:r>
    </w:p>
    <w:p>
      <w:pPr>
        <w:pStyle w:val="DGTextstand-alone"/>
        <w:rPr>
          <w:color w:val="016794"/>
        </w:rPr>
      </w:pPr>
      <w:r>
        <w:rPr>
          <w:color w:val="016794"/>
        </w:rPr>
        <w:t>Sensibilité du régime de pension des fonctionnaires européens</w:t>
      </w:r>
    </w:p>
    <w:p>
      <w:pPr>
        <w:pStyle w:val="DGTextstand-alone"/>
      </w:pPr>
      <w:r>
        <w:t>Une variation de dix points de base (0,1 %) du taux d’actualisation réel présumé aurait les effets suivants:</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9"/>
        <w:gridCol w:w="1633"/>
        <w:gridCol w:w="1632"/>
        <w:gridCol w:w="1632"/>
        <w:gridCol w:w="1632"/>
      </w:tblGrid>
      <w:tr>
        <w:trPr>
          <w:trHeight w:val="255"/>
        </w:trPr>
        <w:tc>
          <w:tcPr>
            <w:tcW w:w="3229" w:type="dxa"/>
            <w:tcBorders>
              <w:top w:val="nil"/>
              <w:left w:val="nil"/>
              <w:bottom w:val="nil"/>
              <w:right w:val="nil"/>
              <w:tl2br w:val="nil"/>
              <w:tr2bl w:val="nil"/>
            </w:tcBorders>
            <w:tcMar>
              <w:left w:w="60" w:type="dxa"/>
              <w:right w:w="60" w:type="dxa"/>
            </w:tcMar>
            <w:vAlign w:val="bottom"/>
          </w:tcPr>
          <w:p>
            <w:pPr>
              <w:pStyle w:val="DMETW36768BIPPENS10"/>
              <w:rPr>
                <w:rFonts w:ascii="Arial" w:eastAsia="Arial" w:hAnsi="Arial" w:cs="Arial"/>
                <w:noProof/>
                <w:color w:val="000000"/>
              </w:rPr>
            </w:pPr>
            <w:bookmarkStart w:id="149" w:name="DOC_TBL00048_1_1"/>
            <w:bookmarkEnd w:id="149"/>
          </w:p>
        </w:tc>
        <w:tc>
          <w:tcPr>
            <w:tcW w:w="1633" w:type="dxa"/>
            <w:tcBorders>
              <w:top w:val="nil"/>
              <w:left w:val="nil"/>
              <w:bottom w:val="nil"/>
              <w:right w:val="nil"/>
              <w:tl2br w:val="nil"/>
              <w:tr2bl w:val="nil"/>
            </w:tcBorders>
            <w:tcMar>
              <w:left w:w="60" w:type="dxa"/>
              <w:right w:w="60" w:type="dxa"/>
            </w:tcMar>
            <w:vAlign w:val="bottom"/>
          </w:tcPr>
          <w:p>
            <w:pPr>
              <w:pStyle w:val="DMETW36768BIPPENS10"/>
              <w:rPr>
                <w:rFonts w:ascii="Arial" w:eastAsia="Arial" w:hAnsi="Arial" w:cs="Arial"/>
                <w:noProof/>
                <w:color w:val="000000"/>
              </w:rPr>
            </w:pPr>
          </w:p>
        </w:tc>
        <w:tc>
          <w:tcPr>
            <w:tcW w:w="1632" w:type="dxa"/>
            <w:tcBorders>
              <w:top w:val="nil"/>
              <w:left w:val="nil"/>
              <w:bottom w:val="nil"/>
              <w:right w:val="nil"/>
              <w:tl2br w:val="nil"/>
              <w:tr2bl w:val="nil"/>
            </w:tcBorders>
            <w:tcMar>
              <w:left w:w="60" w:type="dxa"/>
              <w:right w:w="60" w:type="dxa"/>
            </w:tcMar>
            <w:vAlign w:val="bottom"/>
          </w:tcPr>
          <w:p>
            <w:pPr>
              <w:pStyle w:val="DMETW36768BIPPENS10"/>
              <w:rPr>
                <w:rFonts w:ascii="Arial" w:eastAsia="Arial" w:hAnsi="Arial" w:cs="Arial"/>
                <w:noProof/>
                <w:color w:val="000000"/>
              </w:rPr>
            </w:pPr>
          </w:p>
        </w:tc>
        <w:tc>
          <w:tcPr>
            <w:tcW w:w="1632" w:type="dxa"/>
            <w:tcBorders>
              <w:top w:val="nil"/>
              <w:left w:val="nil"/>
              <w:bottom w:val="nil"/>
              <w:right w:val="nil"/>
              <w:tl2br w:val="nil"/>
              <w:tr2bl w:val="nil"/>
            </w:tcBorders>
            <w:tcMar>
              <w:left w:w="60" w:type="dxa"/>
              <w:right w:w="60" w:type="dxa"/>
            </w:tcMar>
            <w:vAlign w:val="bottom"/>
          </w:tcPr>
          <w:p>
            <w:pPr>
              <w:pStyle w:val="DMETW36768BIPPENS10"/>
              <w:rPr>
                <w:rFonts w:ascii="Arial" w:eastAsia="Arial" w:hAnsi="Arial" w:cs="Arial"/>
                <w:noProof/>
                <w:color w:val="000000"/>
              </w:rPr>
            </w:pPr>
          </w:p>
        </w:tc>
        <w:tc>
          <w:tcPr>
            <w:tcW w:w="1632" w:type="dxa"/>
            <w:tcBorders>
              <w:top w:val="nil"/>
              <w:left w:val="nil"/>
              <w:bottom w:val="nil"/>
              <w:right w:val="nil"/>
              <w:tl2br w:val="nil"/>
              <w:tr2bl w:val="nil"/>
            </w:tcBorders>
            <w:tcMar>
              <w:left w:w="60" w:type="dxa"/>
              <w:right w:w="60" w:type="dxa"/>
            </w:tcMar>
            <w:vAlign w:val="bottom"/>
          </w:tcPr>
          <w:p>
            <w:pPr>
              <w:pStyle w:val="DMETW36768BIPPENS10"/>
              <w:jc w:val="right"/>
              <w:rPr>
                <w:rFonts w:ascii="Verdana" w:eastAsia="Verdana" w:hAnsi="Verdana" w:cs="Verdana"/>
                <w:i/>
                <w:noProof/>
                <w:color w:val="000000"/>
                <w:sz w:val="16"/>
              </w:rPr>
            </w:pPr>
            <w:r>
              <w:rPr>
                <w:rFonts w:ascii="Verdana" w:hAnsi="Verdana"/>
                <w:i/>
                <w:noProof/>
                <w:color w:val="000000"/>
                <w:sz w:val="16"/>
              </w:rPr>
              <w:t>en Mio EUR</w:t>
            </w:r>
          </w:p>
        </w:tc>
      </w:tr>
      <w:tr>
        <w:trPr>
          <w:trHeight w:val="255"/>
        </w:trPr>
        <w:tc>
          <w:tcPr>
            <w:tcW w:w="3229" w:type="dxa"/>
            <w:tcBorders>
              <w:top w:val="nil"/>
              <w:left w:val="nil"/>
              <w:bottom w:val="nil"/>
              <w:right w:val="nil"/>
              <w:tl2br w:val="nil"/>
              <w:tr2bl w:val="nil"/>
            </w:tcBorders>
            <w:shd w:val="solid" w:color="016794" w:fill="FFFFFF"/>
            <w:tcMar>
              <w:left w:w="60" w:type="dxa"/>
              <w:right w:w="60" w:type="dxa"/>
            </w:tcMar>
            <w:vAlign w:val="center"/>
          </w:tcPr>
          <w:p>
            <w:pPr>
              <w:pStyle w:val="DMETW36768BIPPENS10"/>
              <w:jc w:val="right"/>
              <w:rPr>
                <w:rFonts w:ascii="Verdana" w:eastAsia="Verdana" w:hAnsi="Verdana" w:cs="Verdana"/>
                <w:noProof/>
                <w:color w:val="FFFFFF"/>
                <w:sz w:val="18"/>
              </w:rPr>
            </w:pPr>
          </w:p>
        </w:tc>
        <w:tc>
          <w:tcPr>
            <w:tcW w:w="1633" w:type="dxa"/>
            <w:gridSpan w:val="2"/>
            <w:tcBorders>
              <w:top w:val="nil"/>
              <w:left w:val="nil"/>
              <w:bottom w:val="nil"/>
              <w:right w:val="nil"/>
              <w:tl2br w:val="nil"/>
              <w:tr2bl w:val="nil"/>
            </w:tcBorders>
            <w:shd w:val="solid" w:color="016794" w:fill="FFFFFF"/>
            <w:tcMar>
              <w:left w:w="60" w:type="dxa"/>
              <w:right w:w="60" w:type="dxa"/>
            </w:tcMar>
            <w:vAlign w:val="center"/>
          </w:tcPr>
          <w:p>
            <w:pPr>
              <w:pStyle w:val="DMETW36768BIPPENS10"/>
              <w:jc w:val="center"/>
              <w:rPr>
                <w:rFonts w:ascii="Verdana" w:eastAsia="Verdana" w:hAnsi="Verdana" w:cs="Verdana"/>
                <w:noProof/>
                <w:color w:val="FFFFFF"/>
                <w:sz w:val="18"/>
              </w:rPr>
            </w:pPr>
            <w:r>
              <w:rPr>
                <w:rFonts w:ascii="Verdana" w:hAnsi="Verdana"/>
                <w:noProof/>
                <w:color w:val="FFFFFF"/>
                <w:sz w:val="18"/>
              </w:rPr>
              <w:t>2025</w:t>
            </w:r>
          </w:p>
        </w:tc>
        <w:tc>
          <w:tcPr>
            <w:tcW w:w="1632" w:type="dxa"/>
            <w:gridSpan w:val="2"/>
            <w:tcBorders>
              <w:top w:val="nil"/>
              <w:left w:val="nil"/>
              <w:bottom w:val="nil"/>
              <w:right w:val="nil"/>
              <w:tl2br w:val="nil"/>
              <w:tr2bl w:val="nil"/>
            </w:tcBorders>
            <w:shd w:val="solid" w:color="016794" w:fill="FFFFFF"/>
            <w:tcMar>
              <w:left w:w="60" w:type="dxa"/>
              <w:right w:w="60" w:type="dxa"/>
            </w:tcMar>
            <w:vAlign w:val="center"/>
          </w:tcPr>
          <w:p>
            <w:pPr>
              <w:pStyle w:val="DMETW36768BIPPENS10"/>
              <w:jc w:val="center"/>
              <w:rPr>
                <w:rFonts w:ascii="Verdana" w:eastAsia="Verdana" w:hAnsi="Verdana" w:cs="Verdana"/>
                <w:noProof/>
                <w:color w:val="FFFFFF"/>
                <w:sz w:val="18"/>
              </w:rPr>
            </w:pPr>
            <w:r>
              <w:rPr>
                <w:rFonts w:ascii="Verdana" w:hAnsi="Verdana"/>
                <w:noProof/>
                <w:color w:val="FFFFFF"/>
                <w:sz w:val="18"/>
              </w:rPr>
              <w:t>2024</w:t>
            </w:r>
          </w:p>
        </w:tc>
      </w:tr>
      <w:tr>
        <w:trPr>
          <w:trHeight w:val="255"/>
        </w:trPr>
        <w:tc>
          <w:tcPr>
            <w:tcW w:w="3229" w:type="dxa"/>
            <w:tcBorders>
              <w:top w:val="nil"/>
              <w:left w:val="nil"/>
              <w:bottom w:val="nil"/>
              <w:right w:val="nil"/>
              <w:tl2br w:val="nil"/>
              <w:tr2bl w:val="nil"/>
            </w:tcBorders>
            <w:shd w:val="solid" w:color="016794" w:fill="FFFFFF"/>
            <w:tcMar>
              <w:left w:w="60" w:type="dxa"/>
              <w:right w:w="60" w:type="dxa"/>
            </w:tcMar>
            <w:vAlign w:val="center"/>
          </w:tcPr>
          <w:p>
            <w:pPr>
              <w:pStyle w:val="DMETW36768BIPPENS10"/>
              <w:jc w:val="right"/>
              <w:rPr>
                <w:rFonts w:ascii="Verdana" w:eastAsia="Verdana" w:hAnsi="Verdana" w:cs="Verdana"/>
                <w:noProof/>
                <w:color w:val="FFFFFF"/>
                <w:sz w:val="18"/>
              </w:rPr>
            </w:pPr>
          </w:p>
        </w:tc>
        <w:tc>
          <w:tcPr>
            <w:tcW w:w="1633" w:type="dxa"/>
            <w:tcBorders>
              <w:top w:val="nil"/>
              <w:left w:val="nil"/>
              <w:bottom w:val="nil"/>
              <w:right w:val="nil"/>
              <w:tl2br w:val="nil"/>
              <w:tr2bl w:val="nil"/>
            </w:tcBorders>
            <w:shd w:val="solid" w:color="016794" w:fill="FFFFFF"/>
            <w:tcMar>
              <w:left w:w="60" w:type="dxa"/>
              <w:right w:w="60" w:type="dxa"/>
            </w:tcMar>
            <w:vAlign w:val="center"/>
          </w:tcPr>
          <w:p>
            <w:pPr>
              <w:pStyle w:val="DMETW36768BIPPENS10"/>
              <w:jc w:val="right"/>
              <w:rPr>
                <w:rFonts w:ascii="Verdana" w:eastAsia="Verdana" w:hAnsi="Verdana" w:cs="Verdana"/>
                <w:noProof/>
                <w:color w:val="FFFFFF"/>
                <w:sz w:val="18"/>
              </w:rPr>
            </w:pPr>
            <w:r>
              <w:rPr>
                <w:rFonts w:ascii="Verdana" w:hAnsi="Verdana"/>
                <w:noProof/>
                <w:color w:val="FFFFFF"/>
                <w:sz w:val="18"/>
              </w:rPr>
              <w:t>Hausse de 0,1 %</w:t>
            </w:r>
          </w:p>
        </w:tc>
        <w:tc>
          <w:tcPr>
            <w:tcW w:w="1632" w:type="dxa"/>
            <w:tcBorders>
              <w:top w:val="nil"/>
              <w:left w:val="nil"/>
              <w:bottom w:val="nil"/>
              <w:right w:val="nil"/>
              <w:tl2br w:val="nil"/>
              <w:tr2bl w:val="nil"/>
            </w:tcBorders>
            <w:shd w:val="solid" w:color="016794" w:fill="FFFFFF"/>
            <w:tcMar>
              <w:left w:w="60" w:type="dxa"/>
              <w:right w:w="60" w:type="dxa"/>
            </w:tcMar>
            <w:vAlign w:val="center"/>
          </w:tcPr>
          <w:p>
            <w:pPr>
              <w:pStyle w:val="DMETW36768BIPPENS10"/>
              <w:jc w:val="right"/>
              <w:rPr>
                <w:rFonts w:ascii="Verdana" w:eastAsia="Verdana" w:hAnsi="Verdana" w:cs="Verdana"/>
                <w:noProof/>
                <w:color w:val="FFFFFF"/>
                <w:sz w:val="18"/>
              </w:rPr>
            </w:pPr>
            <w:r>
              <w:rPr>
                <w:rFonts w:ascii="Verdana" w:hAnsi="Verdana"/>
                <w:noProof/>
                <w:color w:val="FFFFFF"/>
                <w:sz w:val="18"/>
              </w:rPr>
              <w:t>Baisse de 0,1 %</w:t>
            </w:r>
          </w:p>
        </w:tc>
        <w:tc>
          <w:tcPr>
            <w:tcW w:w="1632" w:type="dxa"/>
            <w:tcBorders>
              <w:top w:val="nil"/>
              <w:left w:val="nil"/>
              <w:bottom w:val="nil"/>
              <w:right w:val="nil"/>
              <w:tl2br w:val="nil"/>
              <w:tr2bl w:val="nil"/>
            </w:tcBorders>
            <w:shd w:val="solid" w:color="016794" w:fill="FFFFFF"/>
            <w:tcMar>
              <w:left w:w="60" w:type="dxa"/>
              <w:right w:w="60" w:type="dxa"/>
            </w:tcMar>
            <w:vAlign w:val="center"/>
          </w:tcPr>
          <w:p>
            <w:pPr>
              <w:pStyle w:val="DMETW36768BIPPENS10"/>
              <w:jc w:val="right"/>
              <w:rPr>
                <w:rFonts w:ascii="Verdana" w:eastAsia="Verdana" w:hAnsi="Verdana" w:cs="Verdana"/>
                <w:noProof/>
                <w:color w:val="FFFFFF"/>
                <w:sz w:val="18"/>
              </w:rPr>
            </w:pPr>
            <w:r>
              <w:rPr>
                <w:rFonts w:ascii="Verdana" w:hAnsi="Verdana"/>
                <w:noProof/>
                <w:color w:val="FFFFFF"/>
                <w:sz w:val="18"/>
              </w:rPr>
              <w:t>Hausse de 0,1 %</w:t>
            </w:r>
          </w:p>
        </w:tc>
        <w:tc>
          <w:tcPr>
            <w:tcW w:w="1632" w:type="dxa"/>
            <w:tcBorders>
              <w:top w:val="nil"/>
              <w:left w:val="nil"/>
              <w:bottom w:val="nil"/>
              <w:right w:val="nil"/>
              <w:tl2br w:val="nil"/>
              <w:tr2bl w:val="nil"/>
            </w:tcBorders>
            <w:shd w:val="solid" w:color="016794" w:fill="FFFFFF"/>
            <w:tcMar>
              <w:left w:w="60" w:type="dxa"/>
              <w:right w:w="60" w:type="dxa"/>
            </w:tcMar>
            <w:vAlign w:val="center"/>
          </w:tcPr>
          <w:p>
            <w:pPr>
              <w:pStyle w:val="DMETW36768BIPPENS10"/>
              <w:jc w:val="right"/>
              <w:rPr>
                <w:rFonts w:ascii="Verdana" w:eastAsia="Verdana" w:hAnsi="Verdana" w:cs="Verdana"/>
                <w:noProof/>
                <w:color w:val="FFFFFF"/>
                <w:sz w:val="18"/>
              </w:rPr>
            </w:pPr>
            <w:r>
              <w:rPr>
                <w:rFonts w:ascii="Verdana" w:hAnsi="Verdana"/>
                <w:noProof/>
                <w:color w:val="FFFFFF"/>
                <w:sz w:val="18"/>
              </w:rPr>
              <w:t>Baisse de 0,1 %</w:t>
            </w:r>
          </w:p>
        </w:tc>
      </w:tr>
      <w:tr>
        <w:trPr>
          <w:trHeight w:val="255"/>
        </w:trPr>
        <w:tc>
          <w:tcPr>
            <w:tcW w:w="3229" w:type="dxa"/>
            <w:tcBorders>
              <w:top w:val="nil"/>
              <w:left w:val="nil"/>
              <w:bottom w:val="single" w:sz="4" w:space="0" w:color="016794"/>
              <w:right w:val="nil"/>
              <w:tl2br w:val="nil"/>
              <w:tr2bl w:val="nil"/>
            </w:tcBorders>
            <w:tcMar>
              <w:left w:w="60" w:type="dxa"/>
              <w:right w:w="60" w:type="dxa"/>
            </w:tcMar>
            <w:vAlign w:val="center"/>
          </w:tcPr>
          <w:p>
            <w:pPr>
              <w:pStyle w:val="DMETW36768BIPPENS10"/>
              <w:rPr>
                <w:rFonts w:ascii="Verdana" w:eastAsia="Verdana" w:hAnsi="Verdana" w:cs="Verdana"/>
                <w:i/>
                <w:noProof/>
                <w:color w:val="000000"/>
                <w:sz w:val="18"/>
              </w:rPr>
            </w:pPr>
            <w:r>
              <w:rPr>
                <w:rFonts w:ascii="Verdana" w:hAnsi="Verdana"/>
                <w:i/>
                <w:noProof/>
                <w:color w:val="000000"/>
                <w:sz w:val="18"/>
              </w:rPr>
              <w:t>Obligation au titre des prestations définies</w:t>
            </w:r>
          </w:p>
        </w:tc>
        <w:tc>
          <w:tcPr>
            <w:tcW w:w="1633" w:type="dxa"/>
            <w:tcBorders>
              <w:top w:val="nil"/>
              <w:left w:val="nil"/>
              <w:bottom w:val="single" w:sz="4" w:space="0" w:color="016794"/>
              <w:right w:val="nil"/>
              <w:tl2br w:val="nil"/>
              <w:tr2bl w:val="nil"/>
            </w:tcBorders>
            <w:tcMar>
              <w:left w:w="60" w:type="dxa"/>
              <w:right w:w="60" w:type="dxa"/>
            </w:tcMar>
            <w:vAlign w:val="center"/>
          </w:tcPr>
          <w:p>
            <w:pPr>
              <w:pStyle w:val="DMETW36768BIPPENS10"/>
              <w:jc w:val="right"/>
              <w:rPr>
                <w:rFonts w:ascii="Verdana" w:eastAsia="Verdana" w:hAnsi="Verdana" w:cs="Verdana"/>
                <w:i/>
                <w:noProof/>
                <w:color w:val="000000"/>
                <w:sz w:val="18"/>
              </w:rPr>
            </w:pPr>
            <w:r>
              <w:rPr>
                <w:rFonts w:ascii="Verdana" w:hAnsi="Verdana"/>
                <w:i/>
                <w:noProof/>
                <w:color w:val="000000"/>
                <w:sz w:val="18"/>
              </w:rPr>
              <w:t>(1 436)</w:t>
            </w:r>
          </w:p>
        </w:tc>
        <w:tc>
          <w:tcPr>
            <w:tcW w:w="1632" w:type="dxa"/>
            <w:tcBorders>
              <w:top w:val="nil"/>
              <w:left w:val="nil"/>
              <w:bottom w:val="single" w:sz="4" w:space="0" w:color="016794"/>
              <w:right w:val="nil"/>
              <w:tl2br w:val="nil"/>
              <w:tr2bl w:val="nil"/>
            </w:tcBorders>
            <w:tcMar>
              <w:left w:w="60" w:type="dxa"/>
              <w:right w:w="60" w:type="dxa"/>
            </w:tcMar>
            <w:vAlign w:val="center"/>
          </w:tcPr>
          <w:p>
            <w:pPr>
              <w:pStyle w:val="DMETW36768BIPPENS10"/>
              <w:jc w:val="right"/>
              <w:rPr>
                <w:rFonts w:ascii="Verdana" w:eastAsia="Verdana" w:hAnsi="Verdana" w:cs="Verdana"/>
                <w:i/>
                <w:noProof/>
                <w:color w:val="000000"/>
                <w:sz w:val="18"/>
              </w:rPr>
            </w:pPr>
            <w:r>
              <w:rPr>
                <w:rFonts w:ascii="Verdana" w:hAnsi="Verdana"/>
                <w:i/>
                <w:noProof/>
                <w:color w:val="000000"/>
                <w:sz w:val="18"/>
              </w:rPr>
              <w:t>1 474</w:t>
            </w:r>
          </w:p>
        </w:tc>
        <w:tc>
          <w:tcPr>
            <w:tcW w:w="1632" w:type="dxa"/>
            <w:tcBorders>
              <w:top w:val="nil"/>
              <w:left w:val="nil"/>
              <w:bottom w:val="single" w:sz="4" w:space="0" w:color="016794"/>
              <w:right w:val="nil"/>
              <w:tl2br w:val="nil"/>
              <w:tr2bl w:val="nil"/>
            </w:tcBorders>
            <w:tcMar>
              <w:left w:w="60" w:type="dxa"/>
              <w:right w:w="60" w:type="dxa"/>
            </w:tcMar>
            <w:vAlign w:val="center"/>
          </w:tcPr>
          <w:p>
            <w:pPr>
              <w:pStyle w:val="DMETW36768BIPPENS10"/>
              <w:jc w:val="right"/>
              <w:rPr>
                <w:rFonts w:ascii="Verdana" w:eastAsia="Verdana" w:hAnsi="Verdana" w:cs="Verdana"/>
                <w:i/>
                <w:noProof/>
                <w:color w:val="000000"/>
                <w:sz w:val="18"/>
              </w:rPr>
            </w:pPr>
            <w:r>
              <w:rPr>
                <w:rFonts w:ascii="Verdana" w:hAnsi="Verdana"/>
                <w:i/>
                <w:noProof/>
                <w:color w:val="000000"/>
                <w:sz w:val="18"/>
              </w:rPr>
              <w:t>(1 516)</w:t>
            </w:r>
          </w:p>
        </w:tc>
        <w:tc>
          <w:tcPr>
            <w:tcW w:w="1632" w:type="dxa"/>
            <w:tcBorders>
              <w:top w:val="nil"/>
              <w:left w:val="nil"/>
              <w:bottom w:val="single" w:sz="4" w:space="0" w:color="016794"/>
              <w:right w:val="nil"/>
              <w:tl2br w:val="nil"/>
              <w:tr2bl w:val="nil"/>
            </w:tcBorders>
            <w:tcMar>
              <w:left w:w="60" w:type="dxa"/>
              <w:right w:w="60" w:type="dxa"/>
            </w:tcMar>
            <w:vAlign w:val="center"/>
          </w:tcPr>
          <w:p>
            <w:pPr>
              <w:pStyle w:val="DMETW36768BIPPENS10"/>
              <w:jc w:val="right"/>
              <w:rPr>
                <w:rFonts w:ascii="Verdana" w:eastAsia="Verdana" w:hAnsi="Verdana" w:cs="Verdana"/>
                <w:i/>
                <w:noProof/>
                <w:color w:val="000000"/>
                <w:sz w:val="18"/>
              </w:rPr>
            </w:pPr>
            <w:r>
              <w:rPr>
                <w:rFonts w:ascii="Verdana" w:hAnsi="Verdana"/>
                <w:i/>
                <w:noProof/>
                <w:color w:val="000000"/>
                <w:sz w:val="18"/>
              </w:rPr>
              <w:t>1 558</w:t>
            </w:r>
          </w:p>
        </w:tc>
      </w:tr>
    </w:tbl>
    <w:p>
      <w:pPr>
        <w:pStyle w:val="DGTextstand-alone"/>
        <w:rPr>
          <w:lang w:bidi="en-GB"/>
        </w:rPr>
      </w:pPr>
    </w:p>
    <w:p>
      <w:pPr>
        <w:pStyle w:val="DGTextstand-alone"/>
      </w:pPr>
      <w:r>
        <w:t>Une variation de 10 points de base (0,1 %) des augmentations salariales prévues aurait les effets suivants: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9"/>
        <w:gridCol w:w="1633"/>
        <w:gridCol w:w="1632"/>
        <w:gridCol w:w="1632"/>
        <w:gridCol w:w="1632"/>
      </w:tblGrid>
      <w:tr>
        <w:trPr>
          <w:trHeight w:val="255"/>
        </w:trPr>
        <w:tc>
          <w:tcPr>
            <w:tcW w:w="3229" w:type="dxa"/>
            <w:tcBorders>
              <w:top w:val="nil"/>
              <w:left w:val="nil"/>
              <w:bottom w:val="nil"/>
              <w:right w:val="nil"/>
              <w:tl2br w:val="nil"/>
              <w:tr2bl w:val="nil"/>
            </w:tcBorders>
            <w:tcMar>
              <w:left w:w="60" w:type="dxa"/>
              <w:right w:w="60" w:type="dxa"/>
            </w:tcMar>
            <w:vAlign w:val="bottom"/>
          </w:tcPr>
          <w:p>
            <w:pPr>
              <w:pStyle w:val="DMETW36768BIPPENS11"/>
              <w:rPr>
                <w:rFonts w:ascii="Arial" w:eastAsia="Arial" w:hAnsi="Arial" w:cs="Arial"/>
                <w:noProof/>
                <w:color w:val="000000"/>
              </w:rPr>
            </w:pPr>
            <w:bookmarkStart w:id="150" w:name="DOC_TBL00049_1_1"/>
            <w:bookmarkEnd w:id="150"/>
          </w:p>
        </w:tc>
        <w:tc>
          <w:tcPr>
            <w:tcW w:w="1633" w:type="dxa"/>
            <w:tcBorders>
              <w:top w:val="nil"/>
              <w:left w:val="nil"/>
              <w:bottom w:val="nil"/>
              <w:right w:val="nil"/>
              <w:tl2br w:val="nil"/>
              <w:tr2bl w:val="nil"/>
            </w:tcBorders>
            <w:tcMar>
              <w:left w:w="60" w:type="dxa"/>
              <w:right w:w="60" w:type="dxa"/>
            </w:tcMar>
            <w:vAlign w:val="bottom"/>
          </w:tcPr>
          <w:p>
            <w:pPr>
              <w:pStyle w:val="DMETW36768BIPPENS11"/>
              <w:rPr>
                <w:rFonts w:ascii="Arial" w:eastAsia="Arial" w:hAnsi="Arial" w:cs="Arial"/>
                <w:noProof/>
                <w:color w:val="000000"/>
              </w:rPr>
            </w:pPr>
          </w:p>
        </w:tc>
        <w:tc>
          <w:tcPr>
            <w:tcW w:w="1632" w:type="dxa"/>
            <w:tcBorders>
              <w:top w:val="nil"/>
              <w:left w:val="nil"/>
              <w:bottom w:val="nil"/>
              <w:right w:val="nil"/>
              <w:tl2br w:val="nil"/>
              <w:tr2bl w:val="nil"/>
            </w:tcBorders>
            <w:tcMar>
              <w:left w:w="60" w:type="dxa"/>
              <w:right w:w="60" w:type="dxa"/>
            </w:tcMar>
            <w:vAlign w:val="bottom"/>
          </w:tcPr>
          <w:p>
            <w:pPr>
              <w:pStyle w:val="DMETW36768BIPPENS11"/>
              <w:rPr>
                <w:rFonts w:ascii="Arial" w:eastAsia="Arial" w:hAnsi="Arial" w:cs="Arial"/>
                <w:noProof/>
                <w:color w:val="000000"/>
              </w:rPr>
            </w:pPr>
          </w:p>
        </w:tc>
        <w:tc>
          <w:tcPr>
            <w:tcW w:w="1632" w:type="dxa"/>
            <w:tcBorders>
              <w:top w:val="nil"/>
              <w:left w:val="nil"/>
              <w:bottom w:val="nil"/>
              <w:right w:val="nil"/>
              <w:tl2br w:val="nil"/>
              <w:tr2bl w:val="nil"/>
            </w:tcBorders>
            <w:tcMar>
              <w:left w:w="60" w:type="dxa"/>
              <w:right w:w="60" w:type="dxa"/>
            </w:tcMar>
            <w:vAlign w:val="bottom"/>
          </w:tcPr>
          <w:p>
            <w:pPr>
              <w:pStyle w:val="DMETW36768BIPPENS11"/>
              <w:rPr>
                <w:rFonts w:ascii="Arial" w:eastAsia="Arial" w:hAnsi="Arial" w:cs="Arial"/>
                <w:noProof/>
                <w:color w:val="000000"/>
              </w:rPr>
            </w:pPr>
          </w:p>
        </w:tc>
        <w:tc>
          <w:tcPr>
            <w:tcW w:w="1632" w:type="dxa"/>
            <w:tcBorders>
              <w:top w:val="nil"/>
              <w:left w:val="nil"/>
              <w:bottom w:val="nil"/>
              <w:right w:val="nil"/>
              <w:tl2br w:val="nil"/>
              <w:tr2bl w:val="nil"/>
            </w:tcBorders>
            <w:tcMar>
              <w:left w:w="60" w:type="dxa"/>
              <w:right w:w="60" w:type="dxa"/>
            </w:tcMar>
            <w:vAlign w:val="bottom"/>
          </w:tcPr>
          <w:p>
            <w:pPr>
              <w:pStyle w:val="DMETW36768BIPPENS11"/>
              <w:jc w:val="right"/>
              <w:rPr>
                <w:rFonts w:ascii="Verdana" w:eastAsia="Verdana" w:hAnsi="Verdana" w:cs="Verdana"/>
                <w:i/>
                <w:noProof/>
                <w:color w:val="000000"/>
                <w:sz w:val="16"/>
              </w:rPr>
            </w:pPr>
            <w:r>
              <w:rPr>
                <w:rFonts w:ascii="Verdana" w:hAnsi="Verdana"/>
                <w:i/>
                <w:noProof/>
                <w:color w:val="000000"/>
                <w:sz w:val="16"/>
              </w:rPr>
              <w:t>en Mio EUR</w:t>
            </w:r>
          </w:p>
        </w:tc>
      </w:tr>
      <w:tr>
        <w:trPr>
          <w:trHeight w:val="255"/>
        </w:trPr>
        <w:tc>
          <w:tcPr>
            <w:tcW w:w="3229" w:type="dxa"/>
            <w:tcBorders>
              <w:top w:val="nil"/>
              <w:left w:val="nil"/>
              <w:bottom w:val="nil"/>
              <w:right w:val="nil"/>
              <w:tl2br w:val="nil"/>
              <w:tr2bl w:val="nil"/>
            </w:tcBorders>
            <w:shd w:val="solid" w:color="016794" w:fill="FFFFFF"/>
            <w:tcMar>
              <w:left w:w="60" w:type="dxa"/>
              <w:right w:w="60" w:type="dxa"/>
            </w:tcMar>
            <w:vAlign w:val="center"/>
          </w:tcPr>
          <w:p>
            <w:pPr>
              <w:pStyle w:val="DMETW36768BIPPENS11"/>
              <w:jc w:val="right"/>
              <w:rPr>
                <w:rFonts w:ascii="Verdana" w:eastAsia="Verdana" w:hAnsi="Verdana" w:cs="Verdana"/>
                <w:noProof/>
                <w:color w:val="FFFFFF"/>
                <w:sz w:val="18"/>
              </w:rPr>
            </w:pPr>
          </w:p>
        </w:tc>
        <w:tc>
          <w:tcPr>
            <w:tcW w:w="1633" w:type="dxa"/>
            <w:gridSpan w:val="2"/>
            <w:tcBorders>
              <w:top w:val="nil"/>
              <w:left w:val="nil"/>
              <w:bottom w:val="nil"/>
              <w:right w:val="nil"/>
              <w:tl2br w:val="nil"/>
              <w:tr2bl w:val="nil"/>
            </w:tcBorders>
            <w:shd w:val="solid" w:color="016794" w:fill="FFFFFF"/>
            <w:tcMar>
              <w:left w:w="60" w:type="dxa"/>
              <w:right w:w="60" w:type="dxa"/>
            </w:tcMar>
            <w:vAlign w:val="center"/>
          </w:tcPr>
          <w:p>
            <w:pPr>
              <w:pStyle w:val="DMETW36768BIPPENS11"/>
              <w:jc w:val="center"/>
              <w:rPr>
                <w:rFonts w:ascii="Verdana" w:eastAsia="Verdana" w:hAnsi="Verdana" w:cs="Verdana"/>
                <w:noProof/>
                <w:color w:val="FFFFFF"/>
                <w:sz w:val="18"/>
              </w:rPr>
            </w:pPr>
            <w:r>
              <w:rPr>
                <w:rFonts w:ascii="Verdana" w:hAnsi="Verdana"/>
                <w:noProof/>
                <w:color w:val="FFFFFF"/>
                <w:sz w:val="18"/>
              </w:rPr>
              <w:t>2025</w:t>
            </w:r>
          </w:p>
        </w:tc>
        <w:tc>
          <w:tcPr>
            <w:tcW w:w="1632" w:type="dxa"/>
            <w:gridSpan w:val="2"/>
            <w:tcBorders>
              <w:top w:val="nil"/>
              <w:left w:val="nil"/>
              <w:bottom w:val="nil"/>
              <w:right w:val="nil"/>
              <w:tl2br w:val="nil"/>
              <w:tr2bl w:val="nil"/>
            </w:tcBorders>
            <w:shd w:val="solid" w:color="016794" w:fill="FFFFFF"/>
            <w:tcMar>
              <w:left w:w="60" w:type="dxa"/>
              <w:right w:w="60" w:type="dxa"/>
            </w:tcMar>
            <w:vAlign w:val="center"/>
          </w:tcPr>
          <w:p>
            <w:pPr>
              <w:pStyle w:val="DMETW36768BIPPENS11"/>
              <w:jc w:val="center"/>
              <w:rPr>
                <w:rFonts w:ascii="Verdana" w:eastAsia="Verdana" w:hAnsi="Verdana" w:cs="Verdana"/>
                <w:noProof/>
                <w:color w:val="FFFFFF"/>
                <w:sz w:val="18"/>
              </w:rPr>
            </w:pPr>
            <w:r>
              <w:rPr>
                <w:rFonts w:ascii="Verdana" w:hAnsi="Verdana"/>
                <w:noProof/>
                <w:color w:val="FFFFFF"/>
                <w:sz w:val="18"/>
              </w:rPr>
              <w:t>2024</w:t>
            </w:r>
          </w:p>
        </w:tc>
      </w:tr>
      <w:tr>
        <w:trPr>
          <w:trHeight w:val="255"/>
        </w:trPr>
        <w:tc>
          <w:tcPr>
            <w:tcW w:w="3229" w:type="dxa"/>
            <w:tcBorders>
              <w:top w:val="nil"/>
              <w:left w:val="nil"/>
              <w:bottom w:val="nil"/>
              <w:right w:val="nil"/>
              <w:tl2br w:val="nil"/>
              <w:tr2bl w:val="nil"/>
            </w:tcBorders>
            <w:shd w:val="solid" w:color="016794" w:fill="FFFFFF"/>
            <w:tcMar>
              <w:left w:w="60" w:type="dxa"/>
              <w:right w:w="60" w:type="dxa"/>
            </w:tcMar>
            <w:vAlign w:val="center"/>
          </w:tcPr>
          <w:p>
            <w:pPr>
              <w:pStyle w:val="DMETW36768BIPPENS11"/>
              <w:jc w:val="right"/>
              <w:rPr>
                <w:rFonts w:ascii="Verdana" w:eastAsia="Verdana" w:hAnsi="Verdana" w:cs="Verdana"/>
                <w:noProof/>
                <w:color w:val="FFFFFF"/>
                <w:sz w:val="18"/>
              </w:rPr>
            </w:pPr>
          </w:p>
        </w:tc>
        <w:tc>
          <w:tcPr>
            <w:tcW w:w="1633" w:type="dxa"/>
            <w:tcBorders>
              <w:top w:val="nil"/>
              <w:left w:val="nil"/>
              <w:bottom w:val="nil"/>
              <w:right w:val="nil"/>
              <w:tl2br w:val="nil"/>
              <w:tr2bl w:val="nil"/>
            </w:tcBorders>
            <w:shd w:val="solid" w:color="016794" w:fill="FFFFFF"/>
            <w:tcMar>
              <w:left w:w="60" w:type="dxa"/>
              <w:right w:w="60" w:type="dxa"/>
            </w:tcMar>
            <w:vAlign w:val="center"/>
          </w:tcPr>
          <w:p>
            <w:pPr>
              <w:pStyle w:val="DMETW36768BIPPENS11"/>
              <w:jc w:val="right"/>
              <w:rPr>
                <w:rFonts w:ascii="Verdana" w:eastAsia="Verdana" w:hAnsi="Verdana" w:cs="Verdana"/>
                <w:noProof/>
                <w:color w:val="FFFFFF"/>
                <w:sz w:val="18"/>
              </w:rPr>
            </w:pPr>
            <w:r>
              <w:rPr>
                <w:rFonts w:ascii="Verdana" w:hAnsi="Verdana"/>
                <w:noProof/>
                <w:color w:val="FFFFFF"/>
                <w:sz w:val="18"/>
              </w:rPr>
              <w:t>Hausse de 0,1 %</w:t>
            </w:r>
          </w:p>
        </w:tc>
        <w:tc>
          <w:tcPr>
            <w:tcW w:w="1632" w:type="dxa"/>
            <w:tcBorders>
              <w:top w:val="nil"/>
              <w:left w:val="nil"/>
              <w:bottom w:val="nil"/>
              <w:right w:val="nil"/>
              <w:tl2br w:val="nil"/>
              <w:tr2bl w:val="nil"/>
            </w:tcBorders>
            <w:shd w:val="solid" w:color="016794" w:fill="FFFFFF"/>
            <w:tcMar>
              <w:left w:w="60" w:type="dxa"/>
              <w:right w:w="60" w:type="dxa"/>
            </w:tcMar>
            <w:vAlign w:val="center"/>
          </w:tcPr>
          <w:p>
            <w:pPr>
              <w:pStyle w:val="DMETW36768BIPPENS11"/>
              <w:jc w:val="right"/>
              <w:rPr>
                <w:rFonts w:ascii="Verdana" w:eastAsia="Verdana" w:hAnsi="Verdana" w:cs="Verdana"/>
                <w:noProof/>
                <w:color w:val="FFFFFF"/>
                <w:sz w:val="18"/>
              </w:rPr>
            </w:pPr>
            <w:r>
              <w:rPr>
                <w:rFonts w:ascii="Verdana" w:hAnsi="Verdana"/>
                <w:noProof/>
                <w:color w:val="FFFFFF"/>
                <w:sz w:val="18"/>
              </w:rPr>
              <w:t>Baisse de 0,1 %</w:t>
            </w:r>
          </w:p>
        </w:tc>
        <w:tc>
          <w:tcPr>
            <w:tcW w:w="1632" w:type="dxa"/>
            <w:tcBorders>
              <w:top w:val="nil"/>
              <w:left w:val="nil"/>
              <w:bottom w:val="nil"/>
              <w:right w:val="nil"/>
              <w:tl2br w:val="nil"/>
              <w:tr2bl w:val="nil"/>
            </w:tcBorders>
            <w:shd w:val="solid" w:color="016794" w:fill="FFFFFF"/>
            <w:tcMar>
              <w:left w:w="60" w:type="dxa"/>
              <w:right w:w="60" w:type="dxa"/>
            </w:tcMar>
            <w:vAlign w:val="center"/>
          </w:tcPr>
          <w:p>
            <w:pPr>
              <w:pStyle w:val="DMETW36768BIPPENS11"/>
              <w:jc w:val="right"/>
              <w:rPr>
                <w:rFonts w:ascii="Verdana" w:eastAsia="Verdana" w:hAnsi="Verdana" w:cs="Verdana"/>
                <w:noProof/>
                <w:color w:val="FFFFFF"/>
                <w:sz w:val="18"/>
              </w:rPr>
            </w:pPr>
            <w:r>
              <w:rPr>
                <w:rFonts w:ascii="Verdana" w:hAnsi="Verdana"/>
                <w:noProof/>
                <w:color w:val="FFFFFF"/>
                <w:sz w:val="18"/>
              </w:rPr>
              <w:t>Hausse de 0,1 %</w:t>
            </w:r>
          </w:p>
        </w:tc>
        <w:tc>
          <w:tcPr>
            <w:tcW w:w="1632" w:type="dxa"/>
            <w:tcBorders>
              <w:top w:val="nil"/>
              <w:left w:val="nil"/>
              <w:bottom w:val="nil"/>
              <w:right w:val="nil"/>
              <w:tl2br w:val="nil"/>
              <w:tr2bl w:val="nil"/>
            </w:tcBorders>
            <w:shd w:val="solid" w:color="016794" w:fill="FFFFFF"/>
            <w:tcMar>
              <w:left w:w="60" w:type="dxa"/>
              <w:right w:w="60" w:type="dxa"/>
            </w:tcMar>
            <w:vAlign w:val="center"/>
          </w:tcPr>
          <w:p>
            <w:pPr>
              <w:pStyle w:val="DMETW36768BIPPENS11"/>
              <w:jc w:val="right"/>
              <w:rPr>
                <w:rFonts w:ascii="Verdana" w:eastAsia="Verdana" w:hAnsi="Verdana" w:cs="Verdana"/>
                <w:noProof/>
                <w:color w:val="FFFFFF"/>
                <w:sz w:val="18"/>
              </w:rPr>
            </w:pPr>
            <w:r>
              <w:rPr>
                <w:rFonts w:ascii="Verdana" w:hAnsi="Verdana"/>
                <w:noProof/>
                <w:color w:val="FFFFFF"/>
                <w:sz w:val="18"/>
              </w:rPr>
              <w:t>Baisse de 0,1 %</w:t>
            </w:r>
          </w:p>
        </w:tc>
      </w:tr>
      <w:tr>
        <w:trPr>
          <w:trHeight w:val="255"/>
        </w:trPr>
        <w:tc>
          <w:tcPr>
            <w:tcW w:w="3229" w:type="dxa"/>
            <w:tcBorders>
              <w:top w:val="nil"/>
              <w:left w:val="nil"/>
              <w:bottom w:val="single" w:sz="4" w:space="0" w:color="016794"/>
              <w:right w:val="nil"/>
              <w:tl2br w:val="nil"/>
              <w:tr2bl w:val="nil"/>
            </w:tcBorders>
            <w:tcMar>
              <w:left w:w="60" w:type="dxa"/>
              <w:right w:w="60" w:type="dxa"/>
            </w:tcMar>
            <w:vAlign w:val="center"/>
          </w:tcPr>
          <w:p>
            <w:pPr>
              <w:pStyle w:val="DMETW36768BIPPENS11"/>
              <w:rPr>
                <w:rFonts w:ascii="Verdana" w:eastAsia="Verdana" w:hAnsi="Verdana" w:cs="Verdana"/>
                <w:i/>
                <w:noProof/>
                <w:color w:val="000000"/>
                <w:sz w:val="18"/>
              </w:rPr>
            </w:pPr>
            <w:r>
              <w:rPr>
                <w:rFonts w:ascii="Verdana" w:hAnsi="Verdana"/>
                <w:i/>
                <w:noProof/>
                <w:color w:val="000000"/>
                <w:sz w:val="18"/>
              </w:rPr>
              <w:t>Obligation au titre des prestations définies</w:t>
            </w:r>
          </w:p>
        </w:tc>
        <w:tc>
          <w:tcPr>
            <w:tcW w:w="1633" w:type="dxa"/>
            <w:tcBorders>
              <w:top w:val="nil"/>
              <w:left w:val="nil"/>
              <w:bottom w:val="single" w:sz="4" w:space="0" w:color="016794"/>
              <w:right w:val="nil"/>
              <w:tl2br w:val="nil"/>
              <w:tr2bl w:val="nil"/>
            </w:tcBorders>
            <w:tcMar>
              <w:left w:w="60" w:type="dxa"/>
              <w:right w:w="60" w:type="dxa"/>
            </w:tcMar>
            <w:vAlign w:val="center"/>
          </w:tcPr>
          <w:p>
            <w:pPr>
              <w:pStyle w:val="DMETW36768BIPPENS11"/>
              <w:jc w:val="right"/>
              <w:rPr>
                <w:rFonts w:ascii="Verdana" w:eastAsia="Verdana" w:hAnsi="Verdana" w:cs="Verdana"/>
                <w:i/>
                <w:noProof/>
                <w:color w:val="000000"/>
                <w:sz w:val="18"/>
              </w:rPr>
            </w:pPr>
            <w:r>
              <w:rPr>
                <w:rFonts w:ascii="Verdana" w:hAnsi="Verdana"/>
                <w:i/>
                <w:noProof/>
                <w:color w:val="000000"/>
                <w:sz w:val="18"/>
              </w:rPr>
              <w:t>1 439</w:t>
            </w:r>
          </w:p>
        </w:tc>
        <w:tc>
          <w:tcPr>
            <w:tcW w:w="1632" w:type="dxa"/>
            <w:tcBorders>
              <w:top w:val="nil"/>
              <w:left w:val="nil"/>
              <w:bottom w:val="single" w:sz="4" w:space="0" w:color="016794"/>
              <w:right w:val="nil"/>
              <w:tl2br w:val="nil"/>
              <w:tr2bl w:val="nil"/>
            </w:tcBorders>
            <w:tcMar>
              <w:left w:w="60" w:type="dxa"/>
              <w:right w:w="60" w:type="dxa"/>
            </w:tcMar>
            <w:vAlign w:val="center"/>
          </w:tcPr>
          <w:p>
            <w:pPr>
              <w:pStyle w:val="DMETW36768BIPPENS11"/>
              <w:jc w:val="right"/>
              <w:rPr>
                <w:rFonts w:ascii="Verdana" w:eastAsia="Verdana" w:hAnsi="Verdana" w:cs="Verdana"/>
                <w:i/>
                <w:noProof/>
                <w:color w:val="000000"/>
                <w:sz w:val="18"/>
              </w:rPr>
            </w:pPr>
            <w:r>
              <w:rPr>
                <w:rFonts w:ascii="Verdana" w:hAnsi="Verdana"/>
                <w:i/>
                <w:noProof/>
                <w:color w:val="000000"/>
                <w:sz w:val="18"/>
              </w:rPr>
              <w:t>(1 404)</w:t>
            </w:r>
          </w:p>
        </w:tc>
        <w:tc>
          <w:tcPr>
            <w:tcW w:w="1632" w:type="dxa"/>
            <w:tcBorders>
              <w:top w:val="nil"/>
              <w:left w:val="nil"/>
              <w:bottom w:val="single" w:sz="4" w:space="0" w:color="016794"/>
              <w:right w:val="nil"/>
              <w:tl2br w:val="nil"/>
              <w:tr2bl w:val="nil"/>
            </w:tcBorders>
            <w:tcMar>
              <w:left w:w="60" w:type="dxa"/>
              <w:right w:w="60" w:type="dxa"/>
            </w:tcMar>
            <w:vAlign w:val="center"/>
          </w:tcPr>
          <w:p>
            <w:pPr>
              <w:pStyle w:val="DMETW36768BIPPENS11"/>
              <w:jc w:val="right"/>
              <w:rPr>
                <w:rFonts w:ascii="Verdana" w:eastAsia="Verdana" w:hAnsi="Verdana" w:cs="Verdana"/>
                <w:i/>
                <w:noProof/>
                <w:color w:val="000000"/>
                <w:sz w:val="18"/>
              </w:rPr>
            </w:pPr>
            <w:r>
              <w:rPr>
                <w:rFonts w:ascii="Verdana" w:hAnsi="Verdana"/>
                <w:i/>
                <w:noProof/>
                <w:color w:val="000000"/>
                <w:sz w:val="18"/>
              </w:rPr>
              <w:t>1 514</w:t>
            </w:r>
          </w:p>
        </w:tc>
        <w:tc>
          <w:tcPr>
            <w:tcW w:w="1632" w:type="dxa"/>
            <w:tcBorders>
              <w:top w:val="nil"/>
              <w:left w:val="nil"/>
              <w:bottom w:val="single" w:sz="4" w:space="0" w:color="016794"/>
              <w:right w:val="nil"/>
              <w:tl2br w:val="nil"/>
              <w:tr2bl w:val="nil"/>
            </w:tcBorders>
            <w:tcMar>
              <w:left w:w="60" w:type="dxa"/>
              <w:right w:w="60" w:type="dxa"/>
            </w:tcMar>
            <w:vAlign w:val="center"/>
          </w:tcPr>
          <w:p>
            <w:pPr>
              <w:pStyle w:val="DMETW36768BIPPENS11"/>
              <w:jc w:val="right"/>
              <w:rPr>
                <w:rFonts w:ascii="Verdana" w:eastAsia="Verdana" w:hAnsi="Verdana" w:cs="Verdana"/>
                <w:i/>
                <w:noProof/>
                <w:color w:val="000000"/>
                <w:sz w:val="18"/>
              </w:rPr>
            </w:pPr>
            <w:r>
              <w:rPr>
                <w:rFonts w:ascii="Verdana" w:hAnsi="Verdana"/>
                <w:i/>
                <w:noProof/>
                <w:color w:val="000000"/>
                <w:sz w:val="18"/>
              </w:rPr>
              <w:t>(1 476)</w:t>
            </w:r>
          </w:p>
        </w:tc>
      </w:tr>
    </w:tbl>
    <w:p>
      <w:pPr>
        <w:pStyle w:val="DGTextstand-alone"/>
      </w:pPr>
      <w:r>
        <w:t>Une variation d’une année de l’âge présumé de départ à la retraite aurait les effets suivants: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81"/>
        <w:gridCol w:w="1820"/>
        <w:gridCol w:w="1819"/>
        <w:gridCol w:w="1819"/>
        <w:gridCol w:w="1819"/>
      </w:tblGrid>
      <w:tr>
        <w:trPr>
          <w:trHeight w:val="255"/>
        </w:trPr>
        <w:tc>
          <w:tcPr>
            <w:tcW w:w="2481" w:type="dxa"/>
            <w:tcBorders>
              <w:top w:val="nil"/>
              <w:left w:val="nil"/>
              <w:bottom w:val="nil"/>
              <w:right w:val="nil"/>
              <w:tl2br w:val="nil"/>
              <w:tr2bl w:val="nil"/>
            </w:tcBorders>
            <w:tcMar>
              <w:left w:w="60" w:type="dxa"/>
              <w:right w:w="60" w:type="dxa"/>
            </w:tcMar>
            <w:vAlign w:val="bottom"/>
          </w:tcPr>
          <w:p>
            <w:pPr>
              <w:pStyle w:val="DMETW36768BIPPENS12"/>
              <w:rPr>
                <w:rFonts w:ascii="Arial" w:eastAsia="Arial" w:hAnsi="Arial" w:cs="Arial"/>
                <w:noProof/>
                <w:color w:val="000000"/>
              </w:rPr>
            </w:pPr>
            <w:bookmarkStart w:id="151" w:name="DOC_TBL00050_1_1"/>
            <w:bookmarkEnd w:id="151"/>
          </w:p>
        </w:tc>
        <w:tc>
          <w:tcPr>
            <w:tcW w:w="1820" w:type="dxa"/>
            <w:tcBorders>
              <w:top w:val="nil"/>
              <w:left w:val="nil"/>
              <w:bottom w:val="nil"/>
              <w:right w:val="nil"/>
              <w:tl2br w:val="nil"/>
              <w:tr2bl w:val="nil"/>
            </w:tcBorders>
            <w:tcMar>
              <w:left w:w="60" w:type="dxa"/>
              <w:right w:w="60" w:type="dxa"/>
            </w:tcMar>
            <w:vAlign w:val="bottom"/>
          </w:tcPr>
          <w:p>
            <w:pPr>
              <w:pStyle w:val="DMETW36768BIPPENS12"/>
              <w:rPr>
                <w:rFonts w:ascii="Arial" w:eastAsia="Arial" w:hAnsi="Arial" w:cs="Arial"/>
                <w:noProof/>
                <w:color w:val="000000"/>
              </w:rPr>
            </w:pPr>
          </w:p>
        </w:tc>
        <w:tc>
          <w:tcPr>
            <w:tcW w:w="1819" w:type="dxa"/>
            <w:tcBorders>
              <w:top w:val="nil"/>
              <w:left w:val="nil"/>
              <w:bottom w:val="nil"/>
              <w:right w:val="nil"/>
              <w:tl2br w:val="nil"/>
              <w:tr2bl w:val="nil"/>
            </w:tcBorders>
            <w:tcMar>
              <w:left w:w="60" w:type="dxa"/>
              <w:right w:w="60" w:type="dxa"/>
            </w:tcMar>
            <w:vAlign w:val="bottom"/>
          </w:tcPr>
          <w:p>
            <w:pPr>
              <w:pStyle w:val="DMETW36768BIPPENS12"/>
              <w:rPr>
                <w:rFonts w:ascii="Arial" w:eastAsia="Arial" w:hAnsi="Arial" w:cs="Arial"/>
                <w:noProof/>
                <w:color w:val="000000"/>
              </w:rPr>
            </w:pPr>
          </w:p>
        </w:tc>
        <w:tc>
          <w:tcPr>
            <w:tcW w:w="1819" w:type="dxa"/>
            <w:tcBorders>
              <w:top w:val="nil"/>
              <w:left w:val="nil"/>
              <w:bottom w:val="nil"/>
              <w:right w:val="nil"/>
              <w:tl2br w:val="nil"/>
              <w:tr2bl w:val="nil"/>
            </w:tcBorders>
            <w:tcMar>
              <w:left w:w="60" w:type="dxa"/>
              <w:right w:w="60" w:type="dxa"/>
            </w:tcMar>
            <w:vAlign w:val="bottom"/>
          </w:tcPr>
          <w:p>
            <w:pPr>
              <w:pStyle w:val="DMETW36768BIPPENS12"/>
              <w:rPr>
                <w:rFonts w:ascii="Arial" w:eastAsia="Arial" w:hAnsi="Arial" w:cs="Arial"/>
                <w:noProof/>
                <w:color w:val="000000"/>
              </w:rPr>
            </w:pPr>
          </w:p>
        </w:tc>
        <w:tc>
          <w:tcPr>
            <w:tcW w:w="1819" w:type="dxa"/>
            <w:tcBorders>
              <w:top w:val="nil"/>
              <w:left w:val="nil"/>
              <w:bottom w:val="nil"/>
              <w:right w:val="nil"/>
              <w:tl2br w:val="nil"/>
              <w:tr2bl w:val="nil"/>
            </w:tcBorders>
            <w:tcMar>
              <w:left w:w="60" w:type="dxa"/>
              <w:right w:w="60" w:type="dxa"/>
            </w:tcMar>
            <w:vAlign w:val="bottom"/>
          </w:tcPr>
          <w:p>
            <w:pPr>
              <w:pStyle w:val="DMETW36768BIPPENS12"/>
              <w:jc w:val="right"/>
              <w:rPr>
                <w:rFonts w:ascii="Verdana" w:eastAsia="Verdana" w:hAnsi="Verdana" w:cs="Verdana"/>
                <w:i/>
                <w:noProof/>
                <w:color w:val="000000"/>
                <w:sz w:val="16"/>
              </w:rPr>
            </w:pPr>
            <w:r>
              <w:rPr>
                <w:rFonts w:ascii="Verdana" w:hAnsi="Verdana"/>
                <w:i/>
                <w:noProof/>
                <w:color w:val="000000"/>
                <w:sz w:val="16"/>
              </w:rPr>
              <w:t>en Mio EUR</w:t>
            </w:r>
          </w:p>
        </w:tc>
      </w:tr>
      <w:tr>
        <w:trPr>
          <w:trHeight w:val="255"/>
        </w:trPr>
        <w:tc>
          <w:tcPr>
            <w:tcW w:w="2481" w:type="dxa"/>
            <w:tcBorders>
              <w:top w:val="nil"/>
              <w:left w:val="nil"/>
              <w:bottom w:val="nil"/>
              <w:right w:val="nil"/>
              <w:tl2br w:val="nil"/>
              <w:tr2bl w:val="nil"/>
            </w:tcBorders>
            <w:shd w:val="solid" w:color="016794" w:fill="FFFFFF"/>
            <w:tcMar>
              <w:left w:w="60" w:type="dxa"/>
              <w:right w:w="60" w:type="dxa"/>
            </w:tcMar>
            <w:vAlign w:val="center"/>
          </w:tcPr>
          <w:p>
            <w:pPr>
              <w:pStyle w:val="DMETW36768BIPPENS12"/>
              <w:jc w:val="right"/>
              <w:rPr>
                <w:rFonts w:ascii="Verdana" w:eastAsia="Verdana" w:hAnsi="Verdana" w:cs="Verdana"/>
                <w:noProof/>
                <w:color w:val="FFFFFF"/>
                <w:sz w:val="18"/>
              </w:rPr>
            </w:pPr>
          </w:p>
        </w:tc>
        <w:tc>
          <w:tcPr>
            <w:tcW w:w="1820" w:type="dxa"/>
            <w:gridSpan w:val="2"/>
            <w:tcBorders>
              <w:top w:val="nil"/>
              <w:left w:val="nil"/>
              <w:bottom w:val="nil"/>
              <w:right w:val="nil"/>
              <w:tl2br w:val="nil"/>
              <w:tr2bl w:val="nil"/>
            </w:tcBorders>
            <w:shd w:val="solid" w:color="016794" w:fill="FFFFFF"/>
            <w:tcMar>
              <w:left w:w="60" w:type="dxa"/>
              <w:right w:w="60" w:type="dxa"/>
            </w:tcMar>
            <w:vAlign w:val="center"/>
          </w:tcPr>
          <w:p>
            <w:pPr>
              <w:pStyle w:val="DMETW36768BIPPENS12"/>
              <w:jc w:val="center"/>
              <w:rPr>
                <w:rFonts w:ascii="Verdana" w:eastAsia="Verdana" w:hAnsi="Verdana" w:cs="Verdana"/>
                <w:noProof/>
                <w:color w:val="FFFFFF"/>
                <w:sz w:val="18"/>
              </w:rPr>
            </w:pPr>
            <w:r>
              <w:rPr>
                <w:rFonts w:ascii="Verdana" w:hAnsi="Verdana"/>
                <w:noProof/>
                <w:color w:val="FFFFFF"/>
                <w:sz w:val="18"/>
              </w:rPr>
              <w:t>2025</w:t>
            </w:r>
          </w:p>
        </w:tc>
        <w:tc>
          <w:tcPr>
            <w:tcW w:w="1819" w:type="dxa"/>
            <w:gridSpan w:val="2"/>
            <w:tcBorders>
              <w:top w:val="nil"/>
              <w:left w:val="nil"/>
              <w:bottom w:val="nil"/>
              <w:right w:val="nil"/>
              <w:tl2br w:val="nil"/>
              <w:tr2bl w:val="nil"/>
            </w:tcBorders>
            <w:shd w:val="solid" w:color="016794" w:fill="FFFFFF"/>
            <w:tcMar>
              <w:left w:w="60" w:type="dxa"/>
              <w:right w:w="60" w:type="dxa"/>
            </w:tcMar>
            <w:vAlign w:val="center"/>
          </w:tcPr>
          <w:p>
            <w:pPr>
              <w:pStyle w:val="DMETW36768BIPPENS12"/>
              <w:jc w:val="center"/>
              <w:rPr>
                <w:rFonts w:ascii="Verdana" w:eastAsia="Verdana" w:hAnsi="Verdana" w:cs="Verdana"/>
                <w:noProof/>
                <w:color w:val="FFFFFF"/>
                <w:sz w:val="18"/>
              </w:rPr>
            </w:pPr>
            <w:r>
              <w:rPr>
                <w:rFonts w:ascii="Verdana" w:hAnsi="Verdana"/>
                <w:noProof/>
                <w:color w:val="FFFFFF"/>
                <w:sz w:val="18"/>
              </w:rPr>
              <w:t>2024</w:t>
            </w:r>
          </w:p>
        </w:tc>
      </w:tr>
      <w:tr>
        <w:trPr>
          <w:trHeight w:val="255"/>
        </w:trPr>
        <w:tc>
          <w:tcPr>
            <w:tcW w:w="2481" w:type="dxa"/>
            <w:tcBorders>
              <w:top w:val="nil"/>
              <w:left w:val="nil"/>
              <w:bottom w:val="nil"/>
              <w:right w:val="nil"/>
              <w:tl2br w:val="nil"/>
              <w:tr2bl w:val="nil"/>
            </w:tcBorders>
            <w:shd w:val="solid" w:color="016794" w:fill="FFFFFF"/>
            <w:tcMar>
              <w:left w:w="60" w:type="dxa"/>
              <w:right w:w="60" w:type="dxa"/>
            </w:tcMar>
            <w:vAlign w:val="center"/>
          </w:tcPr>
          <w:p>
            <w:pPr>
              <w:pStyle w:val="DMETW36768BIPPENS12"/>
              <w:jc w:val="right"/>
              <w:rPr>
                <w:rFonts w:ascii="Verdana" w:eastAsia="Verdana" w:hAnsi="Verdana" w:cs="Verdana"/>
                <w:noProof/>
                <w:color w:val="FFFFFF"/>
                <w:sz w:val="18"/>
              </w:rPr>
            </w:pPr>
          </w:p>
        </w:tc>
        <w:tc>
          <w:tcPr>
            <w:tcW w:w="1820" w:type="dxa"/>
            <w:tcBorders>
              <w:top w:val="nil"/>
              <w:left w:val="nil"/>
              <w:bottom w:val="nil"/>
              <w:right w:val="nil"/>
              <w:tl2br w:val="nil"/>
              <w:tr2bl w:val="nil"/>
            </w:tcBorders>
            <w:shd w:val="solid" w:color="016794" w:fill="FFFFFF"/>
            <w:tcMar>
              <w:left w:w="60" w:type="dxa"/>
              <w:right w:w="60" w:type="dxa"/>
            </w:tcMar>
            <w:vAlign w:val="center"/>
          </w:tcPr>
          <w:p>
            <w:pPr>
              <w:pStyle w:val="DMETW36768BIPPENS12"/>
              <w:jc w:val="right"/>
              <w:rPr>
                <w:rFonts w:ascii="Verdana" w:eastAsia="Verdana" w:hAnsi="Verdana" w:cs="Verdana"/>
                <w:noProof/>
                <w:color w:val="FFFFFF"/>
                <w:sz w:val="18"/>
              </w:rPr>
            </w:pPr>
            <w:r>
              <w:rPr>
                <w:rFonts w:ascii="Verdana" w:hAnsi="Verdana"/>
                <w:noProof/>
                <w:color w:val="FFFFFF"/>
                <w:sz w:val="18"/>
              </w:rPr>
              <w:t>Augmentation d’une année</w:t>
            </w:r>
          </w:p>
        </w:tc>
        <w:tc>
          <w:tcPr>
            <w:tcW w:w="1819" w:type="dxa"/>
            <w:tcBorders>
              <w:top w:val="nil"/>
              <w:left w:val="nil"/>
              <w:bottom w:val="nil"/>
              <w:right w:val="nil"/>
              <w:tl2br w:val="nil"/>
              <w:tr2bl w:val="nil"/>
            </w:tcBorders>
            <w:shd w:val="solid" w:color="016794" w:fill="FFFFFF"/>
            <w:tcMar>
              <w:left w:w="60" w:type="dxa"/>
              <w:right w:w="60" w:type="dxa"/>
            </w:tcMar>
            <w:vAlign w:val="center"/>
          </w:tcPr>
          <w:p>
            <w:pPr>
              <w:pStyle w:val="DMETW36768BIPPENS12"/>
              <w:jc w:val="right"/>
              <w:rPr>
                <w:rFonts w:ascii="Verdana" w:eastAsia="Verdana" w:hAnsi="Verdana" w:cs="Verdana"/>
                <w:noProof/>
                <w:color w:val="FFFFFF"/>
                <w:sz w:val="18"/>
              </w:rPr>
            </w:pPr>
            <w:r>
              <w:rPr>
                <w:rFonts w:ascii="Verdana" w:hAnsi="Verdana"/>
                <w:noProof/>
                <w:color w:val="FFFFFF"/>
                <w:sz w:val="18"/>
              </w:rPr>
              <w:t>Diminution d’une année</w:t>
            </w:r>
          </w:p>
        </w:tc>
        <w:tc>
          <w:tcPr>
            <w:tcW w:w="1819" w:type="dxa"/>
            <w:tcBorders>
              <w:top w:val="nil"/>
              <w:left w:val="nil"/>
              <w:bottom w:val="nil"/>
              <w:right w:val="nil"/>
              <w:tl2br w:val="nil"/>
              <w:tr2bl w:val="nil"/>
            </w:tcBorders>
            <w:shd w:val="solid" w:color="016794" w:fill="FFFFFF"/>
            <w:tcMar>
              <w:left w:w="60" w:type="dxa"/>
              <w:right w:w="60" w:type="dxa"/>
            </w:tcMar>
            <w:vAlign w:val="center"/>
          </w:tcPr>
          <w:p>
            <w:pPr>
              <w:pStyle w:val="DMETW36768BIPPENS12"/>
              <w:jc w:val="right"/>
              <w:rPr>
                <w:rFonts w:ascii="Verdana" w:eastAsia="Verdana" w:hAnsi="Verdana" w:cs="Verdana"/>
                <w:noProof/>
                <w:color w:val="FFFFFF"/>
                <w:sz w:val="18"/>
              </w:rPr>
            </w:pPr>
            <w:r>
              <w:rPr>
                <w:rFonts w:ascii="Verdana" w:hAnsi="Verdana"/>
                <w:noProof/>
                <w:color w:val="FFFFFF"/>
                <w:sz w:val="18"/>
              </w:rPr>
              <w:t>Augmentation d’une année</w:t>
            </w:r>
          </w:p>
        </w:tc>
        <w:tc>
          <w:tcPr>
            <w:tcW w:w="1819" w:type="dxa"/>
            <w:tcBorders>
              <w:top w:val="nil"/>
              <w:left w:val="nil"/>
              <w:bottom w:val="nil"/>
              <w:right w:val="nil"/>
              <w:tl2br w:val="nil"/>
              <w:tr2bl w:val="nil"/>
            </w:tcBorders>
            <w:shd w:val="solid" w:color="016794" w:fill="FFFFFF"/>
            <w:tcMar>
              <w:left w:w="60" w:type="dxa"/>
              <w:right w:w="60" w:type="dxa"/>
            </w:tcMar>
            <w:vAlign w:val="center"/>
          </w:tcPr>
          <w:p>
            <w:pPr>
              <w:pStyle w:val="DMETW36768BIPPENS12"/>
              <w:jc w:val="right"/>
              <w:rPr>
                <w:rFonts w:ascii="Verdana" w:eastAsia="Verdana" w:hAnsi="Verdana" w:cs="Verdana"/>
                <w:noProof/>
                <w:color w:val="FFFFFF"/>
                <w:sz w:val="18"/>
              </w:rPr>
            </w:pPr>
            <w:r>
              <w:rPr>
                <w:rFonts w:ascii="Verdana" w:hAnsi="Verdana"/>
                <w:noProof/>
                <w:color w:val="FFFFFF"/>
                <w:sz w:val="18"/>
              </w:rPr>
              <w:t>Diminution d’une année</w:t>
            </w:r>
          </w:p>
        </w:tc>
      </w:tr>
      <w:tr>
        <w:trPr>
          <w:trHeight w:val="255"/>
        </w:trPr>
        <w:tc>
          <w:tcPr>
            <w:tcW w:w="2481" w:type="dxa"/>
            <w:tcBorders>
              <w:top w:val="nil"/>
              <w:left w:val="nil"/>
              <w:bottom w:val="single" w:sz="4" w:space="0" w:color="016794"/>
              <w:right w:val="nil"/>
              <w:tl2br w:val="nil"/>
              <w:tr2bl w:val="nil"/>
            </w:tcBorders>
            <w:tcMar>
              <w:left w:w="60" w:type="dxa"/>
              <w:right w:w="60" w:type="dxa"/>
            </w:tcMar>
            <w:vAlign w:val="center"/>
          </w:tcPr>
          <w:p>
            <w:pPr>
              <w:pStyle w:val="DMETW36768BIPPENS12"/>
              <w:rPr>
                <w:rFonts w:ascii="Verdana" w:eastAsia="Verdana" w:hAnsi="Verdana" w:cs="Verdana"/>
                <w:i/>
                <w:noProof/>
                <w:color w:val="000000"/>
                <w:sz w:val="18"/>
              </w:rPr>
            </w:pPr>
            <w:r>
              <w:rPr>
                <w:rFonts w:ascii="Verdana" w:hAnsi="Verdana"/>
                <w:i/>
                <w:noProof/>
                <w:color w:val="000000"/>
                <w:sz w:val="18"/>
              </w:rPr>
              <w:t>Obligation au titre des prestations définies</w:t>
            </w:r>
          </w:p>
        </w:tc>
        <w:tc>
          <w:tcPr>
            <w:tcW w:w="1820" w:type="dxa"/>
            <w:tcBorders>
              <w:top w:val="nil"/>
              <w:left w:val="nil"/>
              <w:bottom w:val="single" w:sz="4" w:space="0" w:color="016794"/>
              <w:right w:val="nil"/>
              <w:tl2br w:val="nil"/>
              <w:tr2bl w:val="nil"/>
            </w:tcBorders>
            <w:tcMar>
              <w:left w:w="60" w:type="dxa"/>
              <w:right w:w="60" w:type="dxa"/>
            </w:tcMar>
            <w:vAlign w:val="center"/>
          </w:tcPr>
          <w:p>
            <w:pPr>
              <w:pStyle w:val="DMETW36768BIPPENS12"/>
              <w:jc w:val="right"/>
              <w:rPr>
                <w:rFonts w:ascii="Verdana" w:eastAsia="Verdana" w:hAnsi="Verdana" w:cs="Verdana"/>
                <w:i/>
                <w:noProof/>
                <w:color w:val="000000"/>
                <w:sz w:val="18"/>
              </w:rPr>
            </w:pPr>
            <w:r>
              <w:rPr>
                <w:rFonts w:ascii="Verdana" w:hAnsi="Verdana"/>
                <w:i/>
                <w:noProof/>
                <w:color w:val="000000"/>
                <w:sz w:val="18"/>
              </w:rPr>
              <w:t xml:space="preserve"> (751)</w:t>
            </w:r>
          </w:p>
        </w:tc>
        <w:tc>
          <w:tcPr>
            <w:tcW w:w="1819" w:type="dxa"/>
            <w:tcBorders>
              <w:top w:val="nil"/>
              <w:left w:val="nil"/>
              <w:bottom w:val="single" w:sz="4" w:space="0" w:color="016794"/>
              <w:right w:val="nil"/>
              <w:tl2br w:val="nil"/>
              <w:tr2bl w:val="nil"/>
            </w:tcBorders>
            <w:tcMar>
              <w:left w:w="60" w:type="dxa"/>
              <w:right w:w="60" w:type="dxa"/>
            </w:tcMar>
            <w:vAlign w:val="center"/>
          </w:tcPr>
          <w:p>
            <w:pPr>
              <w:pStyle w:val="DMETW36768BIPPENS12"/>
              <w:jc w:val="right"/>
              <w:rPr>
                <w:rFonts w:ascii="Verdana" w:eastAsia="Verdana" w:hAnsi="Verdana" w:cs="Verdana"/>
                <w:i/>
                <w:noProof/>
                <w:color w:val="000000"/>
                <w:sz w:val="18"/>
              </w:rPr>
            </w:pPr>
            <w:r>
              <w:rPr>
                <w:rFonts w:ascii="Verdana" w:hAnsi="Verdana"/>
                <w:i/>
                <w:noProof/>
                <w:color w:val="000000"/>
                <w:sz w:val="18"/>
              </w:rPr>
              <w:t>1 078</w:t>
            </w:r>
          </w:p>
        </w:tc>
        <w:tc>
          <w:tcPr>
            <w:tcW w:w="1819" w:type="dxa"/>
            <w:tcBorders>
              <w:top w:val="nil"/>
              <w:left w:val="nil"/>
              <w:bottom w:val="single" w:sz="4" w:space="0" w:color="016794"/>
              <w:right w:val="nil"/>
              <w:tl2br w:val="nil"/>
              <w:tr2bl w:val="nil"/>
            </w:tcBorders>
            <w:tcMar>
              <w:left w:w="60" w:type="dxa"/>
              <w:right w:w="60" w:type="dxa"/>
            </w:tcMar>
            <w:vAlign w:val="center"/>
          </w:tcPr>
          <w:p>
            <w:pPr>
              <w:pStyle w:val="DMETW36768BIPPENS12"/>
              <w:jc w:val="right"/>
              <w:rPr>
                <w:rFonts w:ascii="Verdana" w:eastAsia="Verdana" w:hAnsi="Verdana" w:cs="Verdana"/>
                <w:i/>
                <w:noProof/>
                <w:color w:val="000000"/>
                <w:sz w:val="18"/>
              </w:rPr>
            </w:pPr>
            <w:r>
              <w:rPr>
                <w:rFonts w:ascii="Verdana" w:hAnsi="Verdana"/>
                <w:i/>
                <w:noProof/>
                <w:color w:val="000000"/>
                <w:sz w:val="18"/>
              </w:rPr>
              <w:t xml:space="preserve"> (799)</w:t>
            </w:r>
          </w:p>
        </w:tc>
        <w:tc>
          <w:tcPr>
            <w:tcW w:w="1819" w:type="dxa"/>
            <w:tcBorders>
              <w:top w:val="nil"/>
              <w:left w:val="nil"/>
              <w:bottom w:val="single" w:sz="4" w:space="0" w:color="016794"/>
              <w:right w:val="nil"/>
              <w:tl2br w:val="nil"/>
              <w:tr2bl w:val="nil"/>
            </w:tcBorders>
            <w:tcMar>
              <w:left w:w="60" w:type="dxa"/>
              <w:right w:w="60" w:type="dxa"/>
            </w:tcMar>
            <w:vAlign w:val="center"/>
          </w:tcPr>
          <w:p>
            <w:pPr>
              <w:pStyle w:val="DMETW36768BIPPENS12"/>
              <w:jc w:val="right"/>
              <w:rPr>
                <w:rFonts w:ascii="Verdana" w:eastAsia="Verdana" w:hAnsi="Verdana" w:cs="Verdana"/>
                <w:i/>
                <w:noProof/>
                <w:color w:val="000000"/>
                <w:sz w:val="18"/>
              </w:rPr>
            </w:pPr>
            <w:r>
              <w:rPr>
                <w:rFonts w:ascii="Verdana" w:hAnsi="Verdana"/>
                <w:i/>
                <w:noProof/>
                <w:color w:val="000000"/>
                <w:sz w:val="18"/>
              </w:rPr>
              <w:t>1 109</w:t>
            </w:r>
          </w:p>
        </w:tc>
      </w:tr>
    </w:tbl>
    <w:p>
      <w:pPr>
        <w:pStyle w:val="DGTextstand-alone"/>
        <w:rPr>
          <w:color w:val="016794"/>
        </w:rPr>
      </w:pPr>
      <w:r>
        <w:rPr>
          <w:color w:val="016794"/>
        </w:rPr>
        <w:t>Sensibilité du régime commun d’assurance maladie</w:t>
      </w:r>
    </w:p>
    <w:p>
      <w:pPr>
        <w:pStyle w:val="DGTextstand-alone"/>
      </w:pPr>
      <w:r>
        <w:t>Une variation de dix points de base des taux d’évolution des coûts médicaux présumés aurait les effets suivants: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9"/>
        <w:gridCol w:w="1633"/>
        <w:gridCol w:w="1632"/>
        <w:gridCol w:w="1632"/>
        <w:gridCol w:w="1632"/>
      </w:tblGrid>
      <w:tr>
        <w:trPr>
          <w:trHeight w:val="255"/>
        </w:trPr>
        <w:tc>
          <w:tcPr>
            <w:tcW w:w="3229" w:type="dxa"/>
            <w:tcBorders>
              <w:top w:val="nil"/>
              <w:left w:val="nil"/>
              <w:bottom w:val="nil"/>
              <w:right w:val="nil"/>
              <w:tl2br w:val="nil"/>
              <w:tr2bl w:val="nil"/>
            </w:tcBorders>
            <w:tcMar>
              <w:left w:w="60" w:type="dxa"/>
              <w:right w:w="60" w:type="dxa"/>
            </w:tcMar>
            <w:vAlign w:val="bottom"/>
          </w:tcPr>
          <w:p>
            <w:pPr>
              <w:pStyle w:val="DMETW36768BIPPENS6"/>
              <w:rPr>
                <w:rFonts w:ascii="Arial" w:eastAsia="Arial" w:hAnsi="Arial" w:cs="Arial"/>
                <w:noProof/>
                <w:color w:val="000000"/>
              </w:rPr>
            </w:pPr>
            <w:bookmarkStart w:id="152" w:name="DOC_TBL00051_1_1"/>
            <w:bookmarkEnd w:id="152"/>
          </w:p>
        </w:tc>
        <w:tc>
          <w:tcPr>
            <w:tcW w:w="1633" w:type="dxa"/>
            <w:tcBorders>
              <w:top w:val="nil"/>
              <w:left w:val="nil"/>
              <w:bottom w:val="nil"/>
              <w:right w:val="nil"/>
              <w:tl2br w:val="nil"/>
              <w:tr2bl w:val="nil"/>
            </w:tcBorders>
            <w:tcMar>
              <w:left w:w="60" w:type="dxa"/>
              <w:right w:w="60" w:type="dxa"/>
            </w:tcMar>
            <w:vAlign w:val="bottom"/>
          </w:tcPr>
          <w:p>
            <w:pPr>
              <w:pStyle w:val="DMETW36768BIPPENS6"/>
              <w:rPr>
                <w:rFonts w:ascii="Arial" w:eastAsia="Arial" w:hAnsi="Arial" w:cs="Arial"/>
                <w:noProof/>
                <w:color w:val="000000"/>
              </w:rPr>
            </w:pPr>
          </w:p>
        </w:tc>
        <w:tc>
          <w:tcPr>
            <w:tcW w:w="1632" w:type="dxa"/>
            <w:tcBorders>
              <w:top w:val="nil"/>
              <w:left w:val="nil"/>
              <w:bottom w:val="nil"/>
              <w:right w:val="nil"/>
              <w:tl2br w:val="nil"/>
              <w:tr2bl w:val="nil"/>
            </w:tcBorders>
            <w:tcMar>
              <w:left w:w="60" w:type="dxa"/>
              <w:right w:w="60" w:type="dxa"/>
            </w:tcMar>
            <w:vAlign w:val="bottom"/>
          </w:tcPr>
          <w:p>
            <w:pPr>
              <w:pStyle w:val="DMETW36768BIPPENS6"/>
              <w:rPr>
                <w:rFonts w:ascii="Arial" w:eastAsia="Arial" w:hAnsi="Arial" w:cs="Arial"/>
                <w:noProof/>
                <w:color w:val="000000"/>
              </w:rPr>
            </w:pPr>
          </w:p>
        </w:tc>
        <w:tc>
          <w:tcPr>
            <w:tcW w:w="1632" w:type="dxa"/>
            <w:tcBorders>
              <w:top w:val="nil"/>
              <w:left w:val="nil"/>
              <w:bottom w:val="nil"/>
              <w:right w:val="nil"/>
              <w:tl2br w:val="nil"/>
              <w:tr2bl w:val="nil"/>
            </w:tcBorders>
            <w:tcMar>
              <w:left w:w="60" w:type="dxa"/>
              <w:right w:w="60" w:type="dxa"/>
            </w:tcMar>
            <w:vAlign w:val="bottom"/>
          </w:tcPr>
          <w:p>
            <w:pPr>
              <w:pStyle w:val="DMETW36768BIPPENS6"/>
              <w:rPr>
                <w:rFonts w:ascii="Arial" w:eastAsia="Arial" w:hAnsi="Arial" w:cs="Arial"/>
                <w:noProof/>
                <w:color w:val="000000"/>
              </w:rPr>
            </w:pPr>
          </w:p>
        </w:tc>
        <w:tc>
          <w:tcPr>
            <w:tcW w:w="1632" w:type="dxa"/>
            <w:tcBorders>
              <w:top w:val="nil"/>
              <w:left w:val="nil"/>
              <w:bottom w:val="nil"/>
              <w:right w:val="nil"/>
              <w:tl2br w:val="nil"/>
              <w:tr2bl w:val="nil"/>
            </w:tcBorders>
            <w:tcMar>
              <w:left w:w="60" w:type="dxa"/>
              <w:right w:w="60" w:type="dxa"/>
            </w:tcMar>
            <w:vAlign w:val="bottom"/>
          </w:tcPr>
          <w:p>
            <w:pPr>
              <w:pStyle w:val="DMETW36768BIPPENS6"/>
              <w:jc w:val="right"/>
              <w:rPr>
                <w:rFonts w:ascii="Verdana" w:eastAsia="Verdana" w:hAnsi="Verdana" w:cs="Verdana"/>
                <w:i/>
                <w:noProof/>
                <w:color w:val="000000"/>
                <w:sz w:val="16"/>
              </w:rPr>
            </w:pPr>
            <w:r>
              <w:rPr>
                <w:rFonts w:ascii="Verdana" w:hAnsi="Verdana"/>
                <w:i/>
                <w:noProof/>
                <w:color w:val="000000"/>
                <w:sz w:val="16"/>
              </w:rPr>
              <w:t>en Mio EUR</w:t>
            </w:r>
          </w:p>
        </w:tc>
      </w:tr>
      <w:tr>
        <w:trPr>
          <w:trHeight w:val="255"/>
        </w:trPr>
        <w:tc>
          <w:tcPr>
            <w:tcW w:w="3229" w:type="dxa"/>
            <w:tcBorders>
              <w:top w:val="nil"/>
              <w:left w:val="nil"/>
              <w:bottom w:val="nil"/>
              <w:right w:val="nil"/>
              <w:tl2br w:val="nil"/>
              <w:tr2bl w:val="nil"/>
            </w:tcBorders>
            <w:shd w:val="solid" w:color="016794" w:fill="FFFFFF"/>
            <w:tcMar>
              <w:left w:w="60" w:type="dxa"/>
              <w:right w:w="60" w:type="dxa"/>
            </w:tcMar>
            <w:vAlign w:val="center"/>
          </w:tcPr>
          <w:p>
            <w:pPr>
              <w:pStyle w:val="DMETW36768BIPPENS6"/>
              <w:jc w:val="right"/>
              <w:rPr>
                <w:rFonts w:ascii="Verdana" w:eastAsia="Verdana" w:hAnsi="Verdana" w:cs="Verdana"/>
                <w:noProof/>
                <w:color w:val="FFFFFF"/>
                <w:sz w:val="18"/>
              </w:rPr>
            </w:pPr>
          </w:p>
        </w:tc>
        <w:tc>
          <w:tcPr>
            <w:tcW w:w="1633" w:type="dxa"/>
            <w:gridSpan w:val="2"/>
            <w:tcBorders>
              <w:top w:val="nil"/>
              <w:left w:val="nil"/>
              <w:bottom w:val="nil"/>
              <w:right w:val="nil"/>
              <w:tl2br w:val="nil"/>
              <w:tr2bl w:val="nil"/>
            </w:tcBorders>
            <w:shd w:val="solid" w:color="016794" w:fill="FFFFFF"/>
            <w:tcMar>
              <w:left w:w="60" w:type="dxa"/>
              <w:right w:w="60" w:type="dxa"/>
            </w:tcMar>
            <w:vAlign w:val="center"/>
          </w:tcPr>
          <w:p>
            <w:pPr>
              <w:pStyle w:val="DMETW36768BIPPENS6"/>
              <w:jc w:val="center"/>
              <w:rPr>
                <w:rFonts w:ascii="Verdana" w:eastAsia="Verdana" w:hAnsi="Verdana" w:cs="Verdana"/>
                <w:noProof/>
                <w:color w:val="FFFFFF"/>
                <w:sz w:val="18"/>
              </w:rPr>
            </w:pPr>
            <w:r>
              <w:rPr>
                <w:rFonts w:ascii="Verdana" w:hAnsi="Verdana"/>
                <w:noProof/>
                <w:color w:val="FFFFFF"/>
                <w:sz w:val="18"/>
              </w:rPr>
              <w:t>2025</w:t>
            </w:r>
          </w:p>
        </w:tc>
        <w:tc>
          <w:tcPr>
            <w:tcW w:w="1632" w:type="dxa"/>
            <w:gridSpan w:val="2"/>
            <w:tcBorders>
              <w:top w:val="nil"/>
              <w:left w:val="nil"/>
              <w:bottom w:val="nil"/>
              <w:right w:val="nil"/>
              <w:tl2br w:val="nil"/>
              <w:tr2bl w:val="nil"/>
            </w:tcBorders>
            <w:shd w:val="solid" w:color="016794" w:fill="FFFFFF"/>
            <w:tcMar>
              <w:left w:w="60" w:type="dxa"/>
              <w:right w:w="60" w:type="dxa"/>
            </w:tcMar>
            <w:vAlign w:val="center"/>
          </w:tcPr>
          <w:p>
            <w:pPr>
              <w:pStyle w:val="DMETW36768BIPPENS6"/>
              <w:jc w:val="center"/>
              <w:rPr>
                <w:rFonts w:ascii="Verdana" w:eastAsia="Verdana" w:hAnsi="Verdana" w:cs="Verdana"/>
                <w:noProof/>
                <w:color w:val="FFFFFF"/>
                <w:sz w:val="18"/>
              </w:rPr>
            </w:pPr>
            <w:r>
              <w:rPr>
                <w:rFonts w:ascii="Verdana" w:hAnsi="Verdana"/>
                <w:noProof/>
                <w:color w:val="FFFFFF"/>
                <w:sz w:val="18"/>
              </w:rPr>
              <w:t>2024</w:t>
            </w:r>
          </w:p>
        </w:tc>
      </w:tr>
      <w:tr>
        <w:trPr>
          <w:trHeight w:val="255"/>
        </w:trPr>
        <w:tc>
          <w:tcPr>
            <w:tcW w:w="3229" w:type="dxa"/>
            <w:tcBorders>
              <w:top w:val="nil"/>
              <w:left w:val="nil"/>
              <w:bottom w:val="nil"/>
              <w:right w:val="nil"/>
              <w:tl2br w:val="nil"/>
              <w:tr2bl w:val="nil"/>
            </w:tcBorders>
            <w:shd w:val="solid" w:color="016794" w:fill="FFFFFF"/>
            <w:tcMar>
              <w:left w:w="60" w:type="dxa"/>
              <w:right w:w="60" w:type="dxa"/>
            </w:tcMar>
            <w:vAlign w:val="center"/>
          </w:tcPr>
          <w:p>
            <w:pPr>
              <w:pStyle w:val="DMETW36768BIPPENS6"/>
              <w:jc w:val="right"/>
              <w:rPr>
                <w:rFonts w:ascii="Verdana" w:eastAsia="Verdana" w:hAnsi="Verdana" w:cs="Verdana"/>
                <w:noProof/>
                <w:color w:val="FFFFFF"/>
                <w:sz w:val="18"/>
              </w:rPr>
            </w:pPr>
          </w:p>
        </w:tc>
        <w:tc>
          <w:tcPr>
            <w:tcW w:w="1633" w:type="dxa"/>
            <w:tcBorders>
              <w:top w:val="nil"/>
              <w:left w:val="nil"/>
              <w:bottom w:val="nil"/>
              <w:right w:val="nil"/>
              <w:tl2br w:val="nil"/>
              <w:tr2bl w:val="nil"/>
            </w:tcBorders>
            <w:shd w:val="solid" w:color="016794" w:fill="FFFFFF"/>
            <w:tcMar>
              <w:left w:w="60" w:type="dxa"/>
              <w:right w:w="60" w:type="dxa"/>
            </w:tcMar>
            <w:vAlign w:val="center"/>
          </w:tcPr>
          <w:p>
            <w:pPr>
              <w:pStyle w:val="DMETW36768BIPPENS6"/>
              <w:jc w:val="right"/>
              <w:rPr>
                <w:rFonts w:ascii="Verdana" w:eastAsia="Verdana" w:hAnsi="Verdana" w:cs="Verdana"/>
                <w:noProof/>
                <w:color w:val="FFFFFF"/>
                <w:sz w:val="18"/>
              </w:rPr>
            </w:pPr>
            <w:r>
              <w:rPr>
                <w:rFonts w:ascii="Verdana" w:hAnsi="Verdana"/>
                <w:noProof/>
                <w:color w:val="FFFFFF"/>
                <w:sz w:val="18"/>
              </w:rPr>
              <w:t>Hausse de 0,1 %</w:t>
            </w:r>
          </w:p>
        </w:tc>
        <w:tc>
          <w:tcPr>
            <w:tcW w:w="1632" w:type="dxa"/>
            <w:tcBorders>
              <w:top w:val="nil"/>
              <w:left w:val="nil"/>
              <w:bottom w:val="nil"/>
              <w:right w:val="nil"/>
              <w:tl2br w:val="nil"/>
              <w:tr2bl w:val="nil"/>
            </w:tcBorders>
            <w:shd w:val="solid" w:color="016794" w:fill="FFFFFF"/>
            <w:tcMar>
              <w:left w:w="60" w:type="dxa"/>
              <w:right w:w="60" w:type="dxa"/>
            </w:tcMar>
            <w:vAlign w:val="center"/>
          </w:tcPr>
          <w:p>
            <w:pPr>
              <w:pStyle w:val="DMETW36768BIPPENS6"/>
              <w:jc w:val="right"/>
              <w:rPr>
                <w:rFonts w:ascii="Verdana" w:eastAsia="Verdana" w:hAnsi="Verdana" w:cs="Verdana"/>
                <w:noProof/>
                <w:color w:val="FFFFFF"/>
                <w:sz w:val="18"/>
              </w:rPr>
            </w:pPr>
            <w:r>
              <w:rPr>
                <w:rFonts w:ascii="Verdana" w:hAnsi="Verdana"/>
                <w:noProof/>
                <w:color w:val="FFFFFF"/>
                <w:sz w:val="18"/>
              </w:rPr>
              <w:t>Baisse de 0,1 %</w:t>
            </w:r>
          </w:p>
        </w:tc>
        <w:tc>
          <w:tcPr>
            <w:tcW w:w="1632" w:type="dxa"/>
            <w:tcBorders>
              <w:top w:val="nil"/>
              <w:left w:val="nil"/>
              <w:bottom w:val="nil"/>
              <w:right w:val="nil"/>
              <w:tl2br w:val="nil"/>
              <w:tr2bl w:val="nil"/>
            </w:tcBorders>
            <w:shd w:val="solid" w:color="016794" w:fill="FFFFFF"/>
            <w:tcMar>
              <w:left w:w="60" w:type="dxa"/>
              <w:right w:w="60" w:type="dxa"/>
            </w:tcMar>
            <w:vAlign w:val="center"/>
          </w:tcPr>
          <w:p>
            <w:pPr>
              <w:pStyle w:val="DMETW36768BIPPENS6"/>
              <w:jc w:val="right"/>
              <w:rPr>
                <w:rFonts w:ascii="Verdana" w:eastAsia="Verdana" w:hAnsi="Verdana" w:cs="Verdana"/>
                <w:noProof/>
                <w:color w:val="FFFFFF"/>
                <w:sz w:val="18"/>
              </w:rPr>
            </w:pPr>
            <w:r>
              <w:rPr>
                <w:rFonts w:ascii="Verdana" w:hAnsi="Verdana"/>
                <w:noProof/>
                <w:color w:val="FFFFFF"/>
                <w:sz w:val="18"/>
              </w:rPr>
              <w:t>Hausse de 0,1 %</w:t>
            </w:r>
          </w:p>
        </w:tc>
        <w:tc>
          <w:tcPr>
            <w:tcW w:w="1632" w:type="dxa"/>
            <w:tcBorders>
              <w:top w:val="nil"/>
              <w:left w:val="nil"/>
              <w:bottom w:val="nil"/>
              <w:right w:val="nil"/>
              <w:tl2br w:val="nil"/>
              <w:tr2bl w:val="nil"/>
            </w:tcBorders>
            <w:shd w:val="solid" w:color="016794" w:fill="FFFFFF"/>
            <w:tcMar>
              <w:left w:w="60" w:type="dxa"/>
              <w:right w:w="60" w:type="dxa"/>
            </w:tcMar>
            <w:vAlign w:val="center"/>
          </w:tcPr>
          <w:p>
            <w:pPr>
              <w:pStyle w:val="DMETW36768BIPPENS6"/>
              <w:jc w:val="right"/>
              <w:rPr>
                <w:rFonts w:ascii="Verdana" w:eastAsia="Verdana" w:hAnsi="Verdana" w:cs="Verdana"/>
                <w:noProof/>
                <w:color w:val="FFFFFF"/>
                <w:sz w:val="18"/>
              </w:rPr>
            </w:pPr>
            <w:r>
              <w:rPr>
                <w:rFonts w:ascii="Verdana" w:hAnsi="Verdana"/>
                <w:noProof/>
                <w:color w:val="FFFFFF"/>
                <w:sz w:val="18"/>
              </w:rPr>
              <w:t>Baisse de 0,1 %</w:t>
            </w:r>
          </w:p>
        </w:tc>
      </w:tr>
      <w:tr>
        <w:trPr>
          <w:trHeight w:val="255"/>
        </w:trPr>
        <w:tc>
          <w:tcPr>
            <w:tcW w:w="3229" w:type="dxa"/>
            <w:tcBorders>
              <w:top w:val="nil"/>
              <w:left w:val="nil"/>
              <w:bottom w:val="nil"/>
              <w:right w:val="nil"/>
              <w:tl2br w:val="nil"/>
              <w:tr2bl w:val="nil"/>
            </w:tcBorders>
            <w:tcMar>
              <w:left w:w="60" w:type="dxa"/>
              <w:right w:w="60" w:type="dxa"/>
            </w:tcMar>
            <w:vAlign w:val="center"/>
          </w:tcPr>
          <w:p>
            <w:pPr>
              <w:pStyle w:val="DMETW36768BIPPENS6"/>
              <w:rPr>
                <w:rFonts w:ascii="Verdana" w:eastAsia="Verdana" w:hAnsi="Verdana" w:cs="Verdana"/>
                <w:i/>
                <w:noProof/>
                <w:color w:val="000000"/>
                <w:sz w:val="18"/>
              </w:rPr>
            </w:pPr>
            <w:r>
              <w:rPr>
                <w:rFonts w:ascii="Verdana" w:hAnsi="Verdana"/>
                <w:i/>
                <w:noProof/>
                <w:color w:val="000000"/>
                <w:sz w:val="18"/>
              </w:rPr>
              <w:t>Total du coût des services rendus au cours de la période et du coût financier inclus dans la charge au titre des avantages médicaux postérieurs à l’emploi</w:t>
            </w:r>
          </w:p>
        </w:tc>
        <w:tc>
          <w:tcPr>
            <w:tcW w:w="1633" w:type="dxa"/>
            <w:tcBorders>
              <w:top w:val="nil"/>
              <w:left w:val="nil"/>
              <w:bottom w:val="nil"/>
              <w:right w:val="nil"/>
              <w:tl2br w:val="nil"/>
              <w:tr2bl w:val="nil"/>
            </w:tcBorders>
            <w:tcMar>
              <w:left w:w="60" w:type="dxa"/>
              <w:right w:w="60" w:type="dxa"/>
            </w:tcMar>
            <w:vAlign w:val="center"/>
          </w:tcPr>
          <w:p>
            <w:pPr>
              <w:pStyle w:val="DMETW36768BIPPENS6"/>
              <w:jc w:val="right"/>
              <w:rPr>
                <w:rFonts w:ascii="Verdana" w:eastAsia="Verdana" w:hAnsi="Verdana" w:cs="Verdana"/>
                <w:i/>
                <w:noProof/>
                <w:color w:val="000000"/>
                <w:sz w:val="18"/>
              </w:rPr>
            </w:pPr>
            <w:r>
              <w:rPr>
                <w:rFonts w:ascii="Verdana" w:hAnsi="Verdana"/>
                <w:i/>
                <w:noProof/>
                <w:color w:val="000000"/>
                <w:sz w:val="18"/>
              </w:rPr>
              <w:t xml:space="preserve"> 11</w:t>
            </w:r>
          </w:p>
        </w:tc>
        <w:tc>
          <w:tcPr>
            <w:tcW w:w="1632" w:type="dxa"/>
            <w:tcBorders>
              <w:top w:val="nil"/>
              <w:left w:val="nil"/>
              <w:bottom w:val="nil"/>
              <w:right w:val="nil"/>
              <w:tl2br w:val="nil"/>
              <w:tr2bl w:val="nil"/>
            </w:tcBorders>
            <w:tcMar>
              <w:left w:w="60" w:type="dxa"/>
              <w:right w:w="60" w:type="dxa"/>
            </w:tcMar>
            <w:vAlign w:val="center"/>
          </w:tcPr>
          <w:p>
            <w:pPr>
              <w:pStyle w:val="DMETW36768BIPPENS6"/>
              <w:jc w:val="right"/>
              <w:rPr>
                <w:rFonts w:ascii="Verdana" w:eastAsia="Verdana" w:hAnsi="Verdana" w:cs="Verdana"/>
                <w:i/>
                <w:noProof/>
                <w:color w:val="000000"/>
                <w:sz w:val="18"/>
              </w:rPr>
            </w:pPr>
            <w:r>
              <w:rPr>
                <w:rFonts w:ascii="Verdana" w:hAnsi="Verdana"/>
                <w:i/>
                <w:noProof/>
                <w:color w:val="000000"/>
                <w:sz w:val="18"/>
              </w:rPr>
              <w:t xml:space="preserve"> (10)</w:t>
            </w:r>
          </w:p>
        </w:tc>
        <w:tc>
          <w:tcPr>
            <w:tcW w:w="1632" w:type="dxa"/>
            <w:tcBorders>
              <w:top w:val="nil"/>
              <w:left w:val="nil"/>
              <w:bottom w:val="nil"/>
              <w:right w:val="nil"/>
              <w:tl2br w:val="nil"/>
              <w:tr2bl w:val="nil"/>
            </w:tcBorders>
            <w:tcMar>
              <w:left w:w="60" w:type="dxa"/>
              <w:right w:w="60" w:type="dxa"/>
            </w:tcMar>
            <w:vAlign w:val="center"/>
          </w:tcPr>
          <w:p>
            <w:pPr>
              <w:pStyle w:val="DMETW36768BIPPENS6"/>
              <w:jc w:val="right"/>
              <w:rPr>
                <w:rFonts w:ascii="Verdana" w:eastAsia="Verdana" w:hAnsi="Verdana" w:cs="Verdana"/>
                <w:i/>
                <w:noProof/>
                <w:color w:val="000000"/>
                <w:sz w:val="18"/>
              </w:rPr>
            </w:pPr>
            <w:r>
              <w:rPr>
                <w:rFonts w:ascii="Verdana" w:hAnsi="Verdana"/>
                <w:i/>
                <w:noProof/>
                <w:color w:val="000000"/>
                <w:sz w:val="18"/>
              </w:rPr>
              <w:t xml:space="preserve"> 11</w:t>
            </w:r>
          </w:p>
        </w:tc>
        <w:tc>
          <w:tcPr>
            <w:tcW w:w="1632" w:type="dxa"/>
            <w:tcBorders>
              <w:top w:val="nil"/>
              <w:left w:val="nil"/>
              <w:bottom w:val="nil"/>
              <w:right w:val="nil"/>
              <w:tl2br w:val="nil"/>
              <w:tr2bl w:val="nil"/>
            </w:tcBorders>
            <w:tcMar>
              <w:left w:w="60" w:type="dxa"/>
              <w:right w:w="60" w:type="dxa"/>
            </w:tcMar>
            <w:vAlign w:val="center"/>
          </w:tcPr>
          <w:p>
            <w:pPr>
              <w:pStyle w:val="DMETW36768BIPPENS6"/>
              <w:jc w:val="right"/>
              <w:rPr>
                <w:rFonts w:ascii="Verdana" w:eastAsia="Verdana" w:hAnsi="Verdana" w:cs="Verdana"/>
                <w:i/>
                <w:noProof/>
                <w:color w:val="000000"/>
                <w:sz w:val="18"/>
              </w:rPr>
            </w:pPr>
            <w:r>
              <w:rPr>
                <w:rFonts w:ascii="Verdana" w:hAnsi="Verdana"/>
                <w:i/>
                <w:noProof/>
                <w:color w:val="000000"/>
                <w:sz w:val="18"/>
              </w:rPr>
              <w:t xml:space="preserve"> (11)</w:t>
            </w:r>
          </w:p>
        </w:tc>
      </w:tr>
      <w:tr>
        <w:trPr>
          <w:trHeight w:val="255"/>
        </w:trPr>
        <w:tc>
          <w:tcPr>
            <w:tcW w:w="3229" w:type="dxa"/>
            <w:tcBorders>
              <w:top w:val="nil"/>
              <w:left w:val="nil"/>
              <w:bottom w:val="single" w:sz="4" w:space="0" w:color="016794"/>
              <w:right w:val="nil"/>
              <w:tl2br w:val="nil"/>
              <w:tr2bl w:val="nil"/>
            </w:tcBorders>
            <w:tcMar>
              <w:left w:w="60" w:type="dxa"/>
              <w:right w:w="60" w:type="dxa"/>
            </w:tcMar>
            <w:vAlign w:val="center"/>
          </w:tcPr>
          <w:p>
            <w:pPr>
              <w:pStyle w:val="DMETW36768BIPPENS6"/>
              <w:rPr>
                <w:rFonts w:ascii="Verdana" w:eastAsia="Verdana" w:hAnsi="Verdana" w:cs="Verdana"/>
                <w:i/>
                <w:noProof/>
                <w:color w:val="000000"/>
                <w:sz w:val="18"/>
              </w:rPr>
            </w:pPr>
            <w:r>
              <w:rPr>
                <w:rFonts w:ascii="Verdana" w:hAnsi="Verdana"/>
                <w:i/>
                <w:noProof/>
                <w:color w:val="000000"/>
                <w:sz w:val="18"/>
              </w:rPr>
              <w:t>Obligation au titre des prestations définies</w:t>
            </w:r>
          </w:p>
        </w:tc>
        <w:tc>
          <w:tcPr>
            <w:tcW w:w="1633" w:type="dxa"/>
            <w:tcBorders>
              <w:top w:val="nil"/>
              <w:left w:val="nil"/>
              <w:bottom w:val="single" w:sz="4" w:space="0" w:color="016794"/>
              <w:right w:val="nil"/>
              <w:tl2br w:val="nil"/>
              <w:tr2bl w:val="nil"/>
            </w:tcBorders>
            <w:tcMar>
              <w:left w:w="60" w:type="dxa"/>
              <w:right w:w="60" w:type="dxa"/>
            </w:tcMar>
            <w:vAlign w:val="center"/>
          </w:tcPr>
          <w:p>
            <w:pPr>
              <w:pStyle w:val="DMETW36768BIPPENS6"/>
              <w:jc w:val="right"/>
              <w:rPr>
                <w:rFonts w:ascii="Verdana" w:eastAsia="Verdana" w:hAnsi="Verdana" w:cs="Verdana"/>
                <w:i/>
                <w:noProof/>
                <w:color w:val="000000"/>
                <w:sz w:val="18"/>
              </w:rPr>
            </w:pPr>
            <w:r>
              <w:rPr>
                <w:rFonts w:ascii="Verdana" w:hAnsi="Verdana"/>
                <w:i/>
                <w:noProof/>
                <w:color w:val="000000"/>
                <w:sz w:val="18"/>
              </w:rPr>
              <w:t xml:space="preserve"> 131</w:t>
            </w:r>
          </w:p>
        </w:tc>
        <w:tc>
          <w:tcPr>
            <w:tcW w:w="1632" w:type="dxa"/>
            <w:tcBorders>
              <w:top w:val="nil"/>
              <w:left w:val="nil"/>
              <w:bottom w:val="single" w:sz="4" w:space="0" w:color="016794"/>
              <w:right w:val="nil"/>
              <w:tl2br w:val="nil"/>
              <w:tr2bl w:val="nil"/>
            </w:tcBorders>
            <w:tcMar>
              <w:left w:w="60" w:type="dxa"/>
              <w:right w:w="60" w:type="dxa"/>
            </w:tcMar>
            <w:vAlign w:val="center"/>
          </w:tcPr>
          <w:p>
            <w:pPr>
              <w:pStyle w:val="DMETW36768BIPPENS6"/>
              <w:jc w:val="right"/>
              <w:rPr>
                <w:rFonts w:ascii="Verdana" w:eastAsia="Verdana" w:hAnsi="Verdana" w:cs="Verdana"/>
                <w:i/>
                <w:noProof/>
                <w:color w:val="000000"/>
                <w:sz w:val="18"/>
              </w:rPr>
            </w:pPr>
            <w:r>
              <w:rPr>
                <w:rFonts w:ascii="Verdana" w:hAnsi="Verdana"/>
                <w:i/>
                <w:noProof/>
                <w:color w:val="000000"/>
                <w:sz w:val="18"/>
              </w:rPr>
              <w:t xml:space="preserve"> (127)</w:t>
            </w:r>
          </w:p>
        </w:tc>
        <w:tc>
          <w:tcPr>
            <w:tcW w:w="1632" w:type="dxa"/>
            <w:tcBorders>
              <w:top w:val="nil"/>
              <w:left w:val="nil"/>
              <w:bottom w:val="single" w:sz="4" w:space="0" w:color="016794"/>
              <w:right w:val="nil"/>
              <w:tl2br w:val="nil"/>
              <w:tr2bl w:val="nil"/>
            </w:tcBorders>
            <w:tcMar>
              <w:left w:w="60" w:type="dxa"/>
              <w:right w:w="60" w:type="dxa"/>
            </w:tcMar>
            <w:vAlign w:val="center"/>
          </w:tcPr>
          <w:p>
            <w:pPr>
              <w:pStyle w:val="DMETW36768BIPPENS6"/>
              <w:jc w:val="right"/>
              <w:rPr>
                <w:rFonts w:ascii="Verdana" w:eastAsia="Verdana" w:hAnsi="Verdana" w:cs="Verdana"/>
                <w:i/>
                <w:noProof/>
                <w:color w:val="000000"/>
                <w:sz w:val="18"/>
              </w:rPr>
            </w:pPr>
            <w:r>
              <w:rPr>
                <w:rFonts w:ascii="Verdana" w:hAnsi="Verdana"/>
                <w:i/>
                <w:noProof/>
                <w:color w:val="000000"/>
                <w:sz w:val="18"/>
              </w:rPr>
              <w:t xml:space="preserve"> 166</w:t>
            </w:r>
          </w:p>
        </w:tc>
        <w:tc>
          <w:tcPr>
            <w:tcW w:w="1632" w:type="dxa"/>
            <w:tcBorders>
              <w:top w:val="nil"/>
              <w:left w:val="nil"/>
              <w:bottom w:val="single" w:sz="4" w:space="0" w:color="016794"/>
              <w:right w:val="nil"/>
              <w:tl2br w:val="nil"/>
              <w:tr2bl w:val="nil"/>
            </w:tcBorders>
            <w:tcMar>
              <w:left w:w="60" w:type="dxa"/>
              <w:right w:w="60" w:type="dxa"/>
            </w:tcMar>
            <w:vAlign w:val="center"/>
          </w:tcPr>
          <w:p>
            <w:pPr>
              <w:pStyle w:val="DMETW36768BIPPENS6"/>
              <w:jc w:val="right"/>
              <w:rPr>
                <w:rFonts w:ascii="Verdana" w:eastAsia="Verdana" w:hAnsi="Verdana" w:cs="Verdana"/>
                <w:i/>
                <w:noProof/>
                <w:color w:val="000000"/>
                <w:sz w:val="18"/>
              </w:rPr>
            </w:pPr>
            <w:r>
              <w:rPr>
                <w:rFonts w:ascii="Verdana" w:hAnsi="Verdana"/>
                <w:i/>
                <w:noProof/>
                <w:color w:val="000000"/>
                <w:sz w:val="18"/>
              </w:rPr>
              <w:t xml:space="preserve"> (162)</w:t>
            </w:r>
          </w:p>
        </w:tc>
      </w:tr>
    </w:tbl>
    <w:p>
      <w:pPr>
        <w:pStyle w:val="DGTextstand-alone"/>
      </w:pPr>
      <w:r>
        <w:t>Une variation de dix points de base (0,1 %) du taux d’actualisation nominal présumé aurait les effets suivants: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9"/>
        <w:gridCol w:w="1633"/>
        <w:gridCol w:w="1632"/>
        <w:gridCol w:w="1632"/>
        <w:gridCol w:w="1632"/>
      </w:tblGrid>
      <w:tr>
        <w:trPr>
          <w:trHeight w:val="255"/>
        </w:trPr>
        <w:tc>
          <w:tcPr>
            <w:tcW w:w="3229" w:type="dxa"/>
            <w:tcBorders>
              <w:top w:val="nil"/>
              <w:left w:val="nil"/>
              <w:bottom w:val="nil"/>
              <w:right w:val="nil"/>
              <w:tl2br w:val="nil"/>
              <w:tr2bl w:val="nil"/>
            </w:tcBorders>
            <w:tcMar>
              <w:left w:w="60" w:type="dxa"/>
              <w:right w:w="60" w:type="dxa"/>
            </w:tcMar>
            <w:vAlign w:val="bottom"/>
          </w:tcPr>
          <w:p>
            <w:pPr>
              <w:pStyle w:val="DMETW36768BIPPENS7"/>
              <w:rPr>
                <w:rFonts w:ascii="Arial" w:eastAsia="Arial" w:hAnsi="Arial" w:cs="Arial"/>
                <w:noProof/>
                <w:color w:val="000000"/>
              </w:rPr>
            </w:pPr>
            <w:bookmarkStart w:id="153" w:name="DOC_TBL00052_1_1"/>
            <w:bookmarkEnd w:id="153"/>
          </w:p>
        </w:tc>
        <w:tc>
          <w:tcPr>
            <w:tcW w:w="1633" w:type="dxa"/>
            <w:tcBorders>
              <w:top w:val="nil"/>
              <w:left w:val="nil"/>
              <w:bottom w:val="nil"/>
              <w:right w:val="nil"/>
              <w:tl2br w:val="nil"/>
              <w:tr2bl w:val="nil"/>
            </w:tcBorders>
            <w:tcMar>
              <w:left w:w="60" w:type="dxa"/>
              <w:right w:w="60" w:type="dxa"/>
            </w:tcMar>
            <w:vAlign w:val="bottom"/>
          </w:tcPr>
          <w:p>
            <w:pPr>
              <w:pStyle w:val="DMETW36768BIPPENS7"/>
              <w:rPr>
                <w:rFonts w:ascii="Arial" w:eastAsia="Arial" w:hAnsi="Arial" w:cs="Arial"/>
                <w:noProof/>
                <w:color w:val="000000"/>
              </w:rPr>
            </w:pPr>
          </w:p>
        </w:tc>
        <w:tc>
          <w:tcPr>
            <w:tcW w:w="1632" w:type="dxa"/>
            <w:tcBorders>
              <w:top w:val="nil"/>
              <w:left w:val="nil"/>
              <w:bottom w:val="nil"/>
              <w:right w:val="nil"/>
              <w:tl2br w:val="nil"/>
              <w:tr2bl w:val="nil"/>
            </w:tcBorders>
            <w:tcMar>
              <w:left w:w="60" w:type="dxa"/>
              <w:right w:w="60" w:type="dxa"/>
            </w:tcMar>
            <w:vAlign w:val="bottom"/>
          </w:tcPr>
          <w:p>
            <w:pPr>
              <w:pStyle w:val="DMETW36768BIPPENS7"/>
              <w:rPr>
                <w:rFonts w:ascii="Arial" w:eastAsia="Arial" w:hAnsi="Arial" w:cs="Arial"/>
                <w:noProof/>
                <w:color w:val="000000"/>
              </w:rPr>
            </w:pPr>
          </w:p>
        </w:tc>
        <w:tc>
          <w:tcPr>
            <w:tcW w:w="1632" w:type="dxa"/>
            <w:tcBorders>
              <w:top w:val="nil"/>
              <w:left w:val="nil"/>
              <w:bottom w:val="nil"/>
              <w:right w:val="nil"/>
              <w:tl2br w:val="nil"/>
              <w:tr2bl w:val="nil"/>
            </w:tcBorders>
            <w:tcMar>
              <w:left w:w="60" w:type="dxa"/>
              <w:right w:w="60" w:type="dxa"/>
            </w:tcMar>
            <w:vAlign w:val="bottom"/>
          </w:tcPr>
          <w:p>
            <w:pPr>
              <w:pStyle w:val="DMETW36768BIPPENS7"/>
              <w:rPr>
                <w:rFonts w:ascii="Arial" w:eastAsia="Arial" w:hAnsi="Arial" w:cs="Arial"/>
                <w:noProof/>
                <w:color w:val="000000"/>
              </w:rPr>
            </w:pPr>
          </w:p>
        </w:tc>
        <w:tc>
          <w:tcPr>
            <w:tcW w:w="1632" w:type="dxa"/>
            <w:tcBorders>
              <w:top w:val="nil"/>
              <w:left w:val="nil"/>
              <w:bottom w:val="nil"/>
              <w:right w:val="nil"/>
              <w:tl2br w:val="nil"/>
              <w:tr2bl w:val="nil"/>
            </w:tcBorders>
            <w:tcMar>
              <w:left w:w="60" w:type="dxa"/>
              <w:right w:w="60" w:type="dxa"/>
            </w:tcMar>
            <w:vAlign w:val="bottom"/>
          </w:tcPr>
          <w:p>
            <w:pPr>
              <w:pStyle w:val="DMETW36768BIPPENS7"/>
              <w:jc w:val="right"/>
              <w:rPr>
                <w:rFonts w:ascii="Verdana" w:eastAsia="Verdana" w:hAnsi="Verdana" w:cs="Verdana"/>
                <w:i/>
                <w:noProof/>
                <w:color w:val="000000"/>
                <w:sz w:val="16"/>
              </w:rPr>
            </w:pPr>
            <w:r>
              <w:rPr>
                <w:rFonts w:ascii="Verdana" w:hAnsi="Verdana"/>
                <w:i/>
                <w:noProof/>
                <w:color w:val="000000"/>
                <w:sz w:val="16"/>
              </w:rPr>
              <w:t>en Mio EUR</w:t>
            </w:r>
          </w:p>
        </w:tc>
      </w:tr>
      <w:tr>
        <w:trPr>
          <w:trHeight w:val="255"/>
        </w:trPr>
        <w:tc>
          <w:tcPr>
            <w:tcW w:w="3229" w:type="dxa"/>
            <w:tcBorders>
              <w:top w:val="nil"/>
              <w:left w:val="nil"/>
              <w:bottom w:val="nil"/>
              <w:right w:val="nil"/>
              <w:tl2br w:val="nil"/>
              <w:tr2bl w:val="nil"/>
            </w:tcBorders>
            <w:shd w:val="solid" w:color="016794" w:fill="FFFFFF"/>
            <w:tcMar>
              <w:left w:w="60" w:type="dxa"/>
              <w:right w:w="60" w:type="dxa"/>
            </w:tcMar>
            <w:vAlign w:val="center"/>
          </w:tcPr>
          <w:p>
            <w:pPr>
              <w:pStyle w:val="DMETW36768BIPPENS7"/>
              <w:jc w:val="right"/>
              <w:rPr>
                <w:rFonts w:ascii="Verdana" w:eastAsia="Verdana" w:hAnsi="Verdana" w:cs="Verdana"/>
                <w:noProof/>
                <w:color w:val="FFFFFF"/>
                <w:sz w:val="18"/>
              </w:rPr>
            </w:pPr>
          </w:p>
        </w:tc>
        <w:tc>
          <w:tcPr>
            <w:tcW w:w="1633" w:type="dxa"/>
            <w:gridSpan w:val="2"/>
            <w:tcBorders>
              <w:top w:val="nil"/>
              <w:left w:val="nil"/>
              <w:bottom w:val="nil"/>
              <w:right w:val="nil"/>
              <w:tl2br w:val="nil"/>
              <w:tr2bl w:val="nil"/>
            </w:tcBorders>
            <w:shd w:val="solid" w:color="016794" w:fill="FFFFFF"/>
            <w:tcMar>
              <w:left w:w="60" w:type="dxa"/>
              <w:right w:w="60" w:type="dxa"/>
            </w:tcMar>
            <w:vAlign w:val="center"/>
          </w:tcPr>
          <w:p>
            <w:pPr>
              <w:pStyle w:val="DMETW36768BIPPENS7"/>
              <w:jc w:val="center"/>
              <w:rPr>
                <w:rFonts w:ascii="Verdana" w:eastAsia="Verdana" w:hAnsi="Verdana" w:cs="Verdana"/>
                <w:noProof/>
                <w:color w:val="FFFFFF"/>
                <w:sz w:val="18"/>
              </w:rPr>
            </w:pPr>
            <w:r>
              <w:rPr>
                <w:rFonts w:ascii="Verdana" w:hAnsi="Verdana"/>
                <w:noProof/>
                <w:color w:val="FFFFFF"/>
                <w:sz w:val="18"/>
              </w:rPr>
              <w:t>2025</w:t>
            </w:r>
          </w:p>
        </w:tc>
        <w:tc>
          <w:tcPr>
            <w:tcW w:w="1632" w:type="dxa"/>
            <w:gridSpan w:val="2"/>
            <w:tcBorders>
              <w:top w:val="nil"/>
              <w:left w:val="nil"/>
              <w:bottom w:val="nil"/>
              <w:right w:val="nil"/>
              <w:tl2br w:val="nil"/>
              <w:tr2bl w:val="nil"/>
            </w:tcBorders>
            <w:shd w:val="solid" w:color="016794" w:fill="FFFFFF"/>
            <w:tcMar>
              <w:left w:w="60" w:type="dxa"/>
              <w:right w:w="60" w:type="dxa"/>
            </w:tcMar>
            <w:vAlign w:val="center"/>
          </w:tcPr>
          <w:p>
            <w:pPr>
              <w:pStyle w:val="DMETW36768BIPPENS7"/>
              <w:jc w:val="center"/>
              <w:rPr>
                <w:rFonts w:ascii="Verdana" w:eastAsia="Verdana" w:hAnsi="Verdana" w:cs="Verdana"/>
                <w:noProof/>
                <w:color w:val="FFFFFF"/>
                <w:sz w:val="18"/>
              </w:rPr>
            </w:pPr>
            <w:r>
              <w:rPr>
                <w:rFonts w:ascii="Verdana" w:hAnsi="Verdana"/>
                <w:noProof/>
                <w:color w:val="FFFFFF"/>
                <w:sz w:val="18"/>
              </w:rPr>
              <w:t>2024</w:t>
            </w:r>
          </w:p>
        </w:tc>
      </w:tr>
      <w:tr>
        <w:trPr>
          <w:trHeight w:val="255"/>
        </w:trPr>
        <w:tc>
          <w:tcPr>
            <w:tcW w:w="3229" w:type="dxa"/>
            <w:tcBorders>
              <w:top w:val="nil"/>
              <w:left w:val="nil"/>
              <w:bottom w:val="nil"/>
              <w:right w:val="nil"/>
              <w:tl2br w:val="nil"/>
              <w:tr2bl w:val="nil"/>
            </w:tcBorders>
            <w:shd w:val="solid" w:color="016794" w:fill="FFFFFF"/>
            <w:tcMar>
              <w:left w:w="60" w:type="dxa"/>
              <w:right w:w="60" w:type="dxa"/>
            </w:tcMar>
            <w:vAlign w:val="center"/>
          </w:tcPr>
          <w:p>
            <w:pPr>
              <w:pStyle w:val="DMETW36768BIPPENS7"/>
              <w:jc w:val="right"/>
              <w:rPr>
                <w:rFonts w:ascii="Verdana" w:eastAsia="Verdana" w:hAnsi="Verdana" w:cs="Verdana"/>
                <w:noProof/>
                <w:color w:val="FFFFFF"/>
                <w:sz w:val="18"/>
              </w:rPr>
            </w:pPr>
          </w:p>
        </w:tc>
        <w:tc>
          <w:tcPr>
            <w:tcW w:w="1633" w:type="dxa"/>
            <w:tcBorders>
              <w:top w:val="nil"/>
              <w:left w:val="nil"/>
              <w:bottom w:val="nil"/>
              <w:right w:val="nil"/>
              <w:tl2br w:val="nil"/>
              <w:tr2bl w:val="nil"/>
            </w:tcBorders>
            <w:shd w:val="solid" w:color="016794" w:fill="FFFFFF"/>
            <w:tcMar>
              <w:left w:w="60" w:type="dxa"/>
              <w:right w:w="60" w:type="dxa"/>
            </w:tcMar>
            <w:vAlign w:val="center"/>
          </w:tcPr>
          <w:p>
            <w:pPr>
              <w:pStyle w:val="DMETW36768BIPPENS7"/>
              <w:jc w:val="right"/>
              <w:rPr>
                <w:rFonts w:ascii="Verdana" w:eastAsia="Verdana" w:hAnsi="Verdana" w:cs="Verdana"/>
                <w:noProof/>
                <w:color w:val="FFFFFF"/>
                <w:sz w:val="18"/>
              </w:rPr>
            </w:pPr>
            <w:r>
              <w:rPr>
                <w:rFonts w:ascii="Verdana" w:hAnsi="Verdana"/>
                <w:noProof/>
                <w:color w:val="FFFFFF"/>
                <w:sz w:val="18"/>
              </w:rPr>
              <w:t>Hausse de 0,1 %</w:t>
            </w:r>
          </w:p>
        </w:tc>
        <w:tc>
          <w:tcPr>
            <w:tcW w:w="1632" w:type="dxa"/>
            <w:tcBorders>
              <w:top w:val="nil"/>
              <w:left w:val="nil"/>
              <w:bottom w:val="nil"/>
              <w:right w:val="nil"/>
              <w:tl2br w:val="nil"/>
              <w:tr2bl w:val="nil"/>
            </w:tcBorders>
            <w:shd w:val="solid" w:color="016794" w:fill="FFFFFF"/>
            <w:tcMar>
              <w:left w:w="60" w:type="dxa"/>
              <w:right w:w="60" w:type="dxa"/>
            </w:tcMar>
            <w:vAlign w:val="center"/>
          </w:tcPr>
          <w:p>
            <w:pPr>
              <w:pStyle w:val="DMETW36768BIPPENS7"/>
              <w:jc w:val="right"/>
              <w:rPr>
                <w:rFonts w:ascii="Verdana" w:eastAsia="Verdana" w:hAnsi="Verdana" w:cs="Verdana"/>
                <w:noProof/>
                <w:color w:val="FFFFFF"/>
                <w:sz w:val="18"/>
              </w:rPr>
            </w:pPr>
            <w:r>
              <w:rPr>
                <w:rFonts w:ascii="Verdana" w:hAnsi="Verdana"/>
                <w:noProof/>
                <w:color w:val="FFFFFF"/>
                <w:sz w:val="18"/>
              </w:rPr>
              <w:t>Baisse de 0,1 %</w:t>
            </w:r>
          </w:p>
        </w:tc>
        <w:tc>
          <w:tcPr>
            <w:tcW w:w="1632" w:type="dxa"/>
            <w:tcBorders>
              <w:top w:val="nil"/>
              <w:left w:val="nil"/>
              <w:bottom w:val="nil"/>
              <w:right w:val="nil"/>
              <w:tl2br w:val="nil"/>
              <w:tr2bl w:val="nil"/>
            </w:tcBorders>
            <w:shd w:val="solid" w:color="016794" w:fill="FFFFFF"/>
            <w:tcMar>
              <w:left w:w="60" w:type="dxa"/>
              <w:right w:w="60" w:type="dxa"/>
            </w:tcMar>
            <w:vAlign w:val="center"/>
          </w:tcPr>
          <w:p>
            <w:pPr>
              <w:pStyle w:val="DMETW36768BIPPENS7"/>
              <w:jc w:val="right"/>
              <w:rPr>
                <w:rFonts w:ascii="Verdana" w:eastAsia="Verdana" w:hAnsi="Verdana" w:cs="Verdana"/>
                <w:noProof/>
                <w:color w:val="FFFFFF"/>
                <w:sz w:val="18"/>
              </w:rPr>
            </w:pPr>
            <w:r>
              <w:rPr>
                <w:rFonts w:ascii="Verdana" w:hAnsi="Verdana"/>
                <w:noProof/>
                <w:color w:val="FFFFFF"/>
                <w:sz w:val="18"/>
              </w:rPr>
              <w:t>Hausse de 0,1 %</w:t>
            </w:r>
          </w:p>
        </w:tc>
        <w:tc>
          <w:tcPr>
            <w:tcW w:w="1632" w:type="dxa"/>
            <w:tcBorders>
              <w:top w:val="nil"/>
              <w:left w:val="nil"/>
              <w:bottom w:val="nil"/>
              <w:right w:val="nil"/>
              <w:tl2br w:val="nil"/>
              <w:tr2bl w:val="nil"/>
            </w:tcBorders>
            <w:shd w:val="solid" w:color="016794" w:fill="FFFFFF"/>
            <w:tcMar>
              <w:left w:w="60" w:type="dxa"/>
              <w:right w:w="60" w:type="dxa"/>
            </w:tcMar>
            <w:vAlign w:val="center"/>
          </w:tcPr>
          <w:p>
            <w:pPr>
              <w:pStyle w:val="DMETW36768BIPPENS7"/>
              <w:jc w:val="right"/>
              <w:rPr>
                <w:rFonts w:ascii="Verdana" w:eastAsia="Verdana" w:hAnsi="Verdana" w:cs="Verdana"/>
                <w:noProof/>
                <w:color w:val="FFFFFF"/>
                <w:sz w:val="18"/>
              </w:rPr>
            </w:pPr>
            <w:r>
              <w:rPr>
                <w:rFonts w:ascii="Verdana" w:hAnsi="Verdana"/>
                <w:noProof/>
                <w:color w:val="FFFFFF"/>
                <w:sz w:val="18"/>
              </w:rPr>
              <w:t>Baisse de 0,1 %</w:t>
            </w:r>
          </w:p>
        </w:tc>
      </w:tr>
      <w:tr>
        <w:trPr>
          <w:trHeight w:val="255"/>
        </w:trPr>
        <w:tc>
          <w:tcPr>
            <w:tcW w:w="3229" w:type="dxa"/>
            <w:tcBorders>
              <w:top w:val="nil"/>
              <w:left w:val="nil"/>
              <w:bottom w:val="single" w:sz="4" w:space="0" w:color="016794"/>
              <w:right w:val="nil"/>
              <w:tl2br w:val="nil"/>
              <w:tr2bl w:val="nil"/>
            </w:tcBorders>
            <w:tcMar>
              <w:left w:w="60" w:type="dxa"/>
              <w:right w:w="60" w:type="dxa"/>
            </w:tcMar>
            <w:vAlign w:val="center"/>
          </w:tcPr>
          <w:p>
            <w:pPr>
              <w:pStyle w:val="DMETW36768BIPPENS7"/>
              <w:rPr>
                <w:rFonts w:ascii="Verdana" w:eastAsia="Verdana" w:hAnsi="Verdana" w:cs="Verdana"/>
                <w:i/>
                <w:noProof/>
                <w:color w:val="000000"/>
                <w:sz w:val="18"/>
              </w:rPr>
            </w:pPr>
            <w:r>
              <w:rPr>
                <w:rFonts w:ascii="Verdana" w:hAnsi="Verdana"/>
                <w:i/>
                <w:noProof/>
                <w:color w:val="000000"/>
                <w:sz w:val="18"/>
              </w:rPr>
              <w:lastRenderedPageBreak/>
              <w:t>Obligation au titre des prestations définies</w:t>
            </w:r>
          </w:p>
        </w:tc>
        <w:tc>
          <w:tcPr>
            <w:tcW w:w="1633" w:type="dxa"/>
            <w:tcBorders>
              <w:top w:val="nil"/>
              <w:left w:val="nil"/>
              <w:bottom w:val="single" w:sz="4" w:space="0" w:color="016794"/>
              <w:right w:val="nil"/>
              <w:tl2br w:val="nil"/>
              <w:tr2bl w:val="nil"/>
            </w:tcBorders>
            <w:tcMar>
              <w:left w:w="60" w:type="dxa"/>
              <w:right w:w="60" w:type="dxa"/>
            </w:tcMar>
            <w:vAlign w:val="center"/>
          </w:tcPr>
          <w:p>
            <w:pPr>
              <w:pStyle w:val="DMETW36768BIPPENS7"/>
              <w:jc w:val="right"/>
              <w:rPr>
                <w:rFonts w:ascii="Verdana" w:eastAsia="Verdana" w:hAnsi="Verdana" w:cs="Verdana"/>
                <w:i/>
                <w:noProof/>
                <w:color w:val="000000"/>
                <w:sz w:val="18"/>
              </w:rPr>
            </w:pPr>
            <w:r>
              <w:rPr>
                <w:rFonts w:ascii="Verdana" w:hAnsi="Verdana"/>
                <w:i/>
                <w:noProof/>
                <w:color w:val="000000"/>
                <w:sz w:val="18"/>
              </w:rPr>
              <w:t xml:space="preserve"> (96)</w:t>
            </w:r>
          </w:p>
        </w:tc>
        <w:tc>
          <w:tcPr>
            <w:tcW w:w="1632" w:type="dxa"/>
            <w:tcBorders>
              <w:top w:val="nil"/>
              <w:left w:val="nil"/>
              <w:bottom w:val="single" w:sz="4" w:space="0" w:color="016794"/>
              <w:right w:val="nil"/>
              <w:tl2br w:val="nil"/>
              <w:tr2bl w:val="nil"/>
            </w:tcBorders>
            <w:tcMar>
              <w:left w:w="60" w:type="dxa"/>
              <w:right w:w="60" w:type="dxa"/>
            </w:tcMar>
            <w:vAlign w:val="center"/>
          </w:tcPr>
          <w:p>
            <w:pPr>
              <w:pStyle w:val="DMETW36768BIPPENS7"/>
              <w:jc w:val="right"/>
              <w:rPr>
                <w:rFonts w:ascii="Verdana" w:eastAsia="Verdana" w:hAnsi="Verdana" w:cs="Verdana"/>
                <w:i/>
                <w:noProof/>
                <w:color w:val="000000"/>
                <w:sz w:val="18"/>
              </w:rPr>
            </w:pPr>
            <w:r>
              <w:rPr>
                <w:rFonts w:ascii="Verdana" w:hAnsi="Verdana"/>
                <w:i/>
                <w:noProof/>
                <w:color w:val="000000"/>
                <w:sz w:val="18"/>
              </w:rPr>
              <w:t xml:space="preserve"> 99</w:t>
            </w:r>
          </w:p>
        </w:tc>
        <w:tc>
          <w:tcPr>
            <w:tcW w:w="1632" w:type="dxa"/>
            <w:tcBorders>
              <w:top w:val="nil"/>
              <w:left w:val="nil"/>
              <w:bottom w:val="single" w:sz="4" w:space="0" w:color="016794"/>
              <w:right w:val="nil"/>
              <w:tl2br w:val="nil"/>
              <w:tr2bl w:val="nil"/>
            </w:tcBorders>
            <w:tcMar>
              <w:left w:w="60" w:type="dxa"/>
              <w:right w:w="60" w:type="dxa"/>
            </w:tcMar>
            <w:vAlign w:val="center"/>
          </w:tcPr>
          <w:p>
            <w:pPr>
              <w:pStyle w:val="DMETW36768BIPPENS7"/>
              <w:jc w:val="right"/>
              <w:rPr>
                <w:rFonts w:ascii="Verdana" w:eastAsia="Verdana" w:hAnsi="Verdana" w:cs="Verdana"/>
                <w:i/>
                <w:noProof/>
                <w:color w:val="000000"/>
                <w:sz w:val="18"/>
              </w:rPr>
            </w:pPr>
            <w:r>
              <w:rPr>
                <w:rFonts w:ascii="Verdana" w:hAnsi="Verdana"/>
                <w:i/>
                <w:noProof/>
                <w:color w:val="000000"/>
                <w:sz w:val="18"/>
              </w:rPr>
              <w:t xml:space="preserve"> (130)</w:t>
            </w:r>
          </w:p>
        </w:tc>
        <w:tc>
          <w:tcPr>
            <w:tcW w:w="1632" w:type="dxa"/>
            <w:tcBorders>
              <w:top w:val="nil"/>
              <w:left w:val="nil"/>
              <w:bottom w:val="single" w:sz="4" w:space="0" w:color="016794"/>
              <w:right w:val="nil"/>
              <w:tl2br w:val="nil"/>
              <w:tr2bl w:val="nil"/>
            </w:tcBorders>
            <w:tcMar>
              <w:left w:w="60" w:type="dxa"/>
              <w:right w:w="60" w:type="dxa"/>
            </w:tcMar>
            <w:vAlign w:val="center"/>
          </w:tcPr>
          <w:p>
            <w:pPr>
              <w:pStyle w:val="DMETW36768BIPPENS7"/>
              <w:jc w:val="right"/>
              <w:rPr>
                <w:rFonts w:ascii="Verdana" w:eastAsia="Verdana" w:hAnsi="Verdana" w:cs="Verdana"/>
                <w:i/>
                <w:noProof/>
                <w:color w:val="000000"/>
                <w:sz w:val="18"/>
              </w:rPr>
            </w:pPr>
            <w:r>
              <w:rPr>
                <w:rFonts w:ascii="Verdana" w:hAnsi="Verdana"/>
                <w:i/>
                <w:noProof/>
                <w:color w:val="000000"/>
                <w:sz w:val="18"/>
              </w:rPr>
              <w:t xml:space="preserve"> 133</w:t>
            </w:r>
          </w:p>
        </w:tc>
      </w:tr>
    </w:tbl>
    <w:p>
      <w:pPr>
        <w:pStyle w:val="DGTextstand-alone"/>
      </w:pPr>
      <w:r>
        <w:t>Une variation de 10 points de base (0,1 %) des augmentations salariales prévues aurait les effets suivants: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9"/>
        <w:gridCol w:w="1633"/>
        <w:gridCol w:w="1632"/>
        <w:gridCol w:w="1632"/>
        <w:gridCol w:w="1632"/>
      </w:tblGrid>
      <w:tr>
        <w:trPr>
          <w:trHeight w:val="255"/>
        </w:trPr>
        <w:tc>
          <w:tcPr>
            <w:tcW w:w="3229" w:type="dxa"/>
            <w:tcBorders>
              <w:top w:val="nil"/>
              <w:left w:val="nil"/>
              <w:bottom w:val="nil"/>
              <w:right w:val="nil"/>
              <w:tl2br w:val="nil"/>
              <w:tr2bl w:val="nil"/>
            </w:tcBorders>
            <w:tcMar>
              <w:left w:w="60" w:type="dxa"/>
              <w:right w:w="60" w:type="dxa"/>
            </w:tcMar>
            <w:vAlign w:val="bottom"/>
          </w:tcPr>
          <w:p>
            <w:pPr>
              <w:pStyle w:val="DMETW36768BIPPENS8"/>
              <w:rPr>
                <w:rFonts w:ascii="Arial" w:eastAsia="Arial" w:hAnsi="Arial" w:cs="Arial"/>
                <w:noProof/>
                <w:color w:val="000000"/>
              </w:rPr>
            </w:pPr>
            <w:bookmarkStart w:id="154" w:name="DOC_TBL00053_1_1"/>
            <w:bookmarkEnd w:id="154"/>
          </w:p>
        </w:tc>
        <w:tc>
          <w:tcPr>
            <w:tcW w:w="1633" w:type="dxa"/>
            <w:tcBorders>
              <w:top w:val="nil"/>
              <w:left w:val="nil"/>
              <w:bottom w:val="nil"/>
              <w:right w:val="nil"/>
              <w:tl2br w:val="nil"/>
              <w:tr2bl w:val="nil"/>
            </w:tcBorders>
            <w:tcMar>
              <w:left w:w="60" w:type="dxa"/>
              <w:right w:w="60" w:type="dxa"/>
            </w:tcMar>
            <w:vAlign w:val="bottom"/>
          </w:tcPr>
          <w:p>
            <w:pPr>
              <w:pStyle w:val="DMETW36768BIPPENS8"/>
              <w:rPr>
                <w:rFonts w:ascii="Arial" w:eastAsia="Arial" w:hAnsi="Arial" w:cs="Arial"/>
                <w:noProof/>
                <w:color w:val="000000"/>
              </w:rPr>
            </w:pPr>
          </w:p>
        </w:tc>
        <w:tc>
          <w:tcPr>
            <w:tcW w:w="1632" w:type="dxa"/>
            <w:tcBorders>
              <w:top w:val="nil"/>
              <w:left w:val="nil"/>
              <w:bottom w:val="nil"/>
              <w:right w:val="nil"/>
              <w:tl2br w:val="nil"/>
              <w:tr2bl w:val="nil"/>
            </w:tcBorders>
            <w:tcMar>
              <w:left w:w="60" w:type="dxa"/>
              <w:right w:w="60" w:type="dxa"/>
            </w:tcMar>
            <w:vAlign w:val="bottom"/>
          </w:tcPr>
          <w:p>
            <w:pPr>
              <w:pStyle w:val="DMETW36768BIPPENS8"/>
              <w:rPr>
                <w:rFonts w:ascii="Arial" w:eastAsia="Arial" w:hAnsi="Arial" w:cs="Arial"/>
                <w:noProof/>
                <w:color w:val="000000"/>
              </w:rPr>
            </w:pPr>
          </w:p>
        </w:tc>
        <w:tc>
          <w:tcPr>
            <w:tcW w:w="1632" w:type="dxa"/>
            <w:tcBorders>
              <w:top w:val="nil"/>
              <w:left w:val="nil"/>
              <w:bottom w:val="nil"/>
              <w:right w:val="nil"/>
              <w:tl2br w:val="nil"/>
              <w:tr2bl w:val="nil"/>
            </w:tcBorders>
            <w:tcMar>
              <w:left w:w="60" w:type="dxa"/>
              <w:right w:w="60" w:type="dxa"/>
            </w:tcMar>
            <w:vAlign w:val="bottom"/>
          </w:tcPr>
          <w:p>
            <w:pPr>
              <w:pStyle w:val="DMETW36768BIPPENS8"/>
              <w:rPr>
                <w:rFonts w:ascii="Arial" w:eastAsia="Arial" w:hAnsi="Arial" w:cs="Arial"/>
                <w:noProof/>
                <w:color w:val="000000"/>
              </w:rPr>
            </w:pPr>
          </w:p>
        </w:tc>
        <w:tc>
          <w:tcPr>
            <w:tcW w:w="1632" w:type="dxa"/>
            <w:tcBorders>
              <w:top w:val="nil"/>
              <w:left w:val="nil"/>
              <w:bottom w:val="nil"/>
              <w:right w:val="nil"/>
              <w:tl2br w:val="nil"/>
              <w:tr2bl w:val="nil"/>
            </w:tcBorders>
            <w:tcMar>
              <w:left w:w="60" w:type="dxa"/>
              <w:right w:w="60" w:type="dxa"/>
            </w:tcMar>
            <w:vAlign w:val="bottom"/>
          </w:tcPr>
          <w:p>
            <w:pPr>
              <w:pStyle w:val="DMETW36768BIPPENS8"/>
              <w:jc w:val="right"/>
              <w:rPr>
                <w:rFonts w:ascii="Verdana" w:eastAsia="Verdana" w:hAnsi="Verdana" w:cs="Verdana"/>
                <w:i/>
                <w:noProof/>
                <w:color w:val="000000"/>
                <w:sz w:val="16"/>
              </w:rPr>
            </w:pPr>
            <w:r>
              <w:rPr>
                <w:rFonts w:ascii="Verdana" w:hAnsi="Verdana"/>
                <w:i/>
                <w:noProof/>
                <w:color w:val="000000"/>
                <w:sz w:val="16"/>
              </w:rPr>
              <w:t>en Mio EUR</w:t>
            </w:r>
          </w:p>
        </w:tc>
      </w:tr>
      <w:tr>
        <w:trPr>
          <w:trHeight w:val="255"/>
        </w:trPr>
        <w:tc>
          <w:tcPr>
            <w:tcW w:w="3229" w:type="dxa"/>
            <w:tcBorders>
              <w:top w:val="nil"/>
              <w:left w:val="nil"/>
              <w:bottom w:val="nil"/>
              <w:right w:val="nil"/>
              <w:tl2br w:val="nil"/>
              <w:tr2bl w:val="nil"/>
            </w:tcBorders>
            <w:shd w:val="solid" w:color="016794" w:fill="FFFFFF"/>
            <w:tcMar>
              <w:left w:w="60" w:type="dxa"/>
              <w:right w:w="60" w:type="dxa"/>
            </w:tcMar>
            <w:vAlign w:val="center"/>
          </w:tcPr>
          <w:p>
            <w:pPr>
              <w:pStyle w:val="DMETW36768BIPPENS8"/>
              <w:jc w:val="right"/>
              <w:rPr>
                <w:rFonts w:ascii="Verdana" w:eastAsia="Verdana" w:hAnsi="Verdana" w:cs="Verdana"/>
                <w:noProof/>
                <w:color w:val="FFFFFF"/>
                <w:sz w:val="18"/>
              </w:rPr>
            </w:pPr>
          </w:p>
        </w:tc>
        <w:tc>
          <w:tcPr>
            <w:tcW w:w="1633" w:type="dxa"/>
            <w:gridSpan w:val="2"/>
            <w:tcBorders>
              <w:top w:val="nil"/>
              <w:left w:val="nil"/>
              <w:bottom w:val="nil"/>
              <w:right w:val="nil"/>
              <w:tl2br w:val="nil"/>
              <w:tr2bl w:val="nil"/>
            </w:tcBorders>
            <w:shd w:val="solid" w:color="016794" w:fill="FFFFFF"/>
            <w:tcMar>
              <w:left w:w="60" w:type="dxa"/>
              <w:right w:w="60" w:type="dxa"/>
            </w:tcMar>
            <w:vAlign w:val="center"/>
          </w:tcPr>
          <w:p>
            <w:pPr>
              <w:pStyle w:val="DMETW36768BIPPENS8"/>
              <w:jc w:val="center"/>
              <w:rPr>
                <w:rFonts w:ascii="Verdana" w:eastAsia="Verdana" w:hAnsi="Verdana" w:cs="Verdana"/>
                <w:noProof/>
                <w:color w:val="FFFFFF"/>
                <w:sz w:val="18"/>
              </w:rPr>
            </w:pPr>
            <w:r>
              <w:rPr>
                <w:rFonts w:ascii="Verdana" w:hAnsi="Verdana"/>
                <w:noProof/>
                <w:color w:val="FFFFFF"/>
                <w:sz w:val="18"/>
              </w:rPr>
              <w:t>2025</w:t>
            </w:r>
          </w:p>
        </w:tc>
        <w:tc>
          <w:tcPr>
            <w:tcW w:w="1632" w:type="dxa"/>
            <w:gridSpan w:val="2"/>
            <w:tcBorders>
              <w:top w:val="nil"/>
              <w:left w:val="nil"/>
              <w:bottom w:val="nil"/>
              <w:right w:val="nil"/>
              <w:tl2br w:val="nil"/>
              <w:tr2bl w:val="nil"/>
            </w:tcBorders>
            <w:shd w:val="solid" w:color="016794" w:fill="FFFFFF"/>
            <w:tcMar>
              <w:left w:w="60" w:type="dxa"/>
              <w:right w:w="60" w:type="dxa"/>
            </w:tcMar>
            <w:vAlign w:val="center"/>
          </w:tcPr>
          <w:p>
            <w:pPr>
              <w:pStyle w:val="DMETW36768BIPPENS8"/>
              <w:jc w:val="center"/>
              <w:rPr>
                <w:rFonts w:ascii="Verdana" w:eastAsia="Verdana" w:hAnsi="Verdana" w:cs="Verdana"/>
                <w:noProof/>
                <w:color w:val="FFFFFF"/>
                <w:sz w:val="18"/>
              </w:rPr>
            </w:pPr>
            <w:r>
              <w:rPr>
                <w:rFonts w:ascii="Verdana" w:hAnsi="Verdana"/>
                <w:noProof/>
                <w:color w:val="FFFFFF"/>
                <w:sz w:val="18"/>
              </w:rPr>
              <w:t>2024</w:t>
            </w:r>
          </w:p>
        </w:tc>
      </w:tr>
      <w:tr>
        <w:trPr>
          <w:trHeight w:val="255"/>
        </w:trPr>
        <w:tc>
          <w:tcPr>
            <w:tcW w:w="3229" w:type="dxa"/>
            <w:tcBorders>
              <w:top w:val="nil"/>
              <w:left w:val="nil"/>
              <w:bottom w:val="nil"/>
              <w:right w:val="nil"/>
              <w:tl2br w:val="nil"/>
              <w:tr2bl w:val="nil"/>
            </w:tcBorders>
            <w:shd w:val="solid" w:color="016794" w:fill="FFFFFF"/>
            <w:tcMar>
              <w:left w:w="60" w:type="dxa"/>
              <w:right w:w="60" w:type="dxa"/>
            </w:tcMar>
            <w:vAlign w:val="center"/>
          </w:tcPr>
          <w:p>
            <w:pPr>
              <w:pStyle w:val="DMETW36768BIPPENS8"/>
              <w:jc w:val="right"/>
              <w:rPr>
                <w:rFonts w:ascii="Verdana" w:eastAsia="Verdana" w:hAnsi="Verdana" w:cs="Verdana"/>
                <w:noProof/>
                <w:color w:val="FFFFFF"/>
                <w:sz w:val="18"/>
              </w:rPr>
            </w:pPr>
          </w:p>
        </w:tc>
        <w:tc>
          <w:tcPr>
            <w:tcW w:w="1633" w:type="dxa"/>
            <w:tcBorders>
              <w:top w:val="nil"/>
              <w:left w:val="nil"/>
              <w:bottom w:val="nil"/>
              <w:right w:val="nil"/>
              <w:tl2br w:val="nil"/>
              <w:tr2bl w:val="nil"/>
            </w:tcBorders>
            <w:shd w:val="solid" w:color="016794" w:fill="FFFFFF"/>
            <w:tcMar>
              <w:left w:w="60" w:type="dxa"/>
              <w:right w:w="60" w:type="dxa"/>
            </w:tcMar>
            <w:vAlign w:val="center"/>
          </w:tcPr>
          <w:p>
            <w:pPr>
              <w:pStyle w:val="DMETW36768BIPPENS8"/>
              <w:jc w:val="right"/>
              <w:rPr>
                <w:rFonts w:ascii="Verdana" w:eastAsia="Verdana" w:hAnsi="Verdana" w:cs="Verdana"/>
                <w:noProof/>
                <w:color w:val="FFFFFF"/>
                <w:sz w:val="18"/>
              </w:rPr>
            </w:pPr>
            <w:r>
              <w:rPr>
                <w:rFonts w:ascii="Verdana" w:hAnsi="Verdana"/>
                <w:noProof/>
                <w:color w:val="FFFFFF"/>
                <w:sz w:val="18"/>
              </w:rPr>
              <w:t>Hausse de 0,1 %</w:t>
            </w:r>
          </w:p>
        </w:tc>
        <w:tc>
          <w:tcPr>
            <w:tcW w:w="1632" w:type="dxa"/>
            <w:tcBorders>
              <w:top w:val="nil"/>
              <w:left w:val="nil"/>
              <w:bottom w:val="nil"/>
              <w:right w:val="nil"/>
              <w:tl2br w:val="nil"/>
              <w:tr2bl w:val="nil"/>
            </w:tcBorders>
            <w:shd w:val="solid" w:color="016794" w:fill="FFFFFF"/>
            <w:tcMar>
              <w:left w:w="60" w:type="dxa"/>
              <w:right w:w="60" w:type="dxa"/>
            </w:tcMar>
            <w:vAlign w:val="center"/>
          </w:tcPr>
          <w:p>
            <w:pPr>
              <w:pStyle w:val="DMETW36768BIPPENS8"/>
              <w:jc w:val="right"/>
              <w:rPr>
                <w:rFonts w:ascii="Verdana" w:eastAsia="Verdana" w:hAnsi="Verdana" w:cs="Verdana"/>
                <w:noProof/>
                <w:color w:val="FFFFFF"/>
                <w:sz w:val="18"/>
              </w:rPr>
            </w:pPr>
            <w:r>
              <w:rPr>
                <w:rFonts w:ascii="Verdana" w:hAnsi="Verdana"/>
                <w:noProof/>
                <w:color w:val="FFFFFF"/>
                <w:sz w:val="18"/>
              </w:rPr>
              <w:t>Baisse de 0,1 %</w:t>
            </w:r>
          </w:p>
        </w:tc>
        <w:tc>
          <w:tcPr>
            <w:tcW w:w="1632" w:type="dxa"/>
            <w:tcBorders>
              <w:top w:val="nil"/>
              <w:left w:val="nil"/>
              <w:bottom w:val="nil"/>
              <w:right w:val="nil"/>
              <w:tl2br w:val="nil"/>
              <w:tr2bl w:val="nil"/>
            </w:tcBorders>
            <w:shd w:val="solid" w:color="016794" w:fill="FFFFFF"/>
            <w:tcMar>
              <w:left w:w="60" w:type="dxa"/>
              <w:right w:w="60" w:type="dxa"/>
            </w:tcMar>
            <w:vAlign w:val="center"/>
          </w:tcPr>
          <w:p>
            <w:pPr>
              <w:pStyle w:val="DMETW36768BIPPENS8"/>
              <w:jc w:val="right"/>
              <w:rPr>
                <w:rFonts w:ascii="Verdana" w:eastAsia="Verdana" w:hAnsi="Verdana" w:cs="Verdana"/>
                <w:noProof/>
                <w:color w:val="FFFFFF"/>
                <w:sz w:val="18"/>
              </w:rPr>
            </w:pPr>
            <w:r>
              <w:rPr>
                <w:rFonts w:ascii="Verdana" w:hAnsi="Verdana"/>
                <w:noProof/>
                <w:color w:val="FFFFFF"/>
                <w:sz w:val="18"/>
              </w:rPr>
              <w:t>Hausse de 0,1 %</w:t>
            </w:r>
          </w:p>
        </w:tc>
        <w:tc>
          <w:tcPr>
            <w:tcW w:w="1632" w:type="dxa"/>
            <w:tcBorders>
              <w:top w:val="nil"/>
              <w:left w:val="nil"/>
              <w:bottom w:val="nil"/>
              <w:right w:val="nil"/>
              <w:tl2br w:val="nil"/>
              <w:tr2bl w:val="nil"/>
            </w:tcBorders>
            <w:shd w:val="solid" w:color="016794" w:fill="FFFFFF"/>
            <w:tcMar>
              <w:left w:w="60" w:type="dxa"/>
              <w:right w:w="60" w:type="dxa"/>
            </w:tcMar>
            <w:vAlign w:val="center"/>
          </w:tcPr>
          <w:p>
            <w:pPr>
              <w:pStyle w:val="DMETW36768BIPPENS8"/>
              <w:jc w:val="right"/>
              <w:rPr>
                <w:rFonts w:ascii="Verdana" w:eastAsia="Verdana" w:hAnsi="Verdana" w:cs="Verdana"/>
                <w:noProof/>
                <w:color w:val="FFFFFF"/>
                <w:sz w:val="18"/>
              </w:rPr>
            </w:pPr>
            <w:r>
              <w:rPr>
                <w:rFonts w:ascii="Verdana" w:hAnsi="Verdana"/>
                <w:noProof/>
                <w:color w:val="FFFFFF"/>
                <w:sz w:val="18"/>
              </w:rPr>
              <w:t>Baisse de 0,1 %</w:t>
            </w:r>
          </w:p>
        </w:tc>
      </w:tr>
      <w:tr>
        <w:trPr>
          <w:trHeight w:val="255"/>
        </w:trPr>
        <w:tc>
          <w:tcPr>
            <w:tcW w:w="3229" w:type="dxa"/>
            <w:tcBorders>
              <w:top w:val="nil"/>
              <w:left w:val="nil"/>
              <w:bottom w:val="single" w:sz="4" w:space="0" w:color="016794"/>
              <w:right w:val="nil"/>
              <w:tl2br w:val="nil"/>
              <w:tr2bl w:val="nil"/>
            </w:tcBorders>
            <w:tcMar>
              <w:left w:w="60" w:type="dxa"/>
              <w:right w:w="60" w:type="dxa"/>
            </w:tcMar>
            <w:vAlign w:val="center"/>
          </w:tcPr>
          <w:p>
            <w:pPr>
              <w:pStyle w:val="DMETW36768BIPPENS8"/>
              <w:rPr>
                <w:rFonts w:ascii="Verdana" w:eastAsia="Verdana" w:hAnsi="Verdana" w:cs="Verdana"/>
                <w:i/>
                <w:noProof/>
                <w:color w:val="000000"/>
                <w:sz w:val="18"/>
              </w:rPr>
            </w:pPr>
            <w:r>
              <w:rPr>
                <w:rFonts w:ascii="Verdana" w:hAnsi="Verdana"/>
                <w:i/>
                <w:noProof/>
                <w:color w:val="000000"/>
                <w:sz w:val="18"/>
              </w:rPr>
              <w:t>Obligation au titre des prestations définies</w:t>
            </w:r>
          </w:p>
        </w:tc>
        <w:tc>
          <w:tcPr>
            <w:tcW w:w="1633" w:type="dxa"/>
            <w:tcBorders>
              <w:top w:val="nil"/>
              <w:left w:val="nil"/>
              <w:bottom w:val="single" w:sz="4" w:space="0" w:color="016794"/>
              <w:right w:val="nil"/>
              <w:tl2br w:val="nil"/>
              <w:tr2bl w:val="nil"/>
            </w:tcBorders>
            <w:tcMar>
              <w:left w:w="60" w:type="dxa"/>
              <w:right w:w="60" w:type="dxa"/>
            </w:tcMar>
            <w:vAlign w:val="center"/>
          </w:tcPr>
          <w:p>
            <w:pPr>
              <w:pStyle w:val="DMETW36768BIPPENS8"/>
              <w:jc w:val="right"/>
              <w:rPr>
                <w:rFonts w:ascii="Verdana" w:eastAsia="Verdana" w:hAnsi="Verdana" w:cs="Verdana"/>
                <w:i/>
                <w:noProof/>
                <w:color w:val="000000"/>
                <w:sz w:val="18"/>
              </w:rPr>
            </w:pPr>
            <w:r>
              <w:rPr>
                <w:rFonts w:ascii="Verdana" w:hAnsi="Verdana"/>
                <w:i/>
                <w:noProof/>
                <w:color w:val="000000"/>
                <w:sz w:val="18"/>
              </w:rPr>
              <w:t xml:space="preserve"> (26)</w:t>
            </w:r>
          </w:p>
        </w:tc>
        <w:tc>
          <w:tcPr>
            <w:tcW w:w="1632" w:type="dxa"/>
            <w:tcBorders>
              <w:top w:val="nil"/>
              <w:left w:val="nil"/>
              <w:bottom w:val="single" w:sz="4" w:space="0" w:color="016794"/>
              <w:right w:val="nil"/>
              <w:tl2br w:val="nil"/>
              <w:tr2bl w:val="nil"/>
            </w:tcBorders>
            <w:tcMar>
              <w:left w:w="60" w:type="dxa"/>
              <w:right w:w="60" w:type="dxa"/>
            </w:tcMar>
            <w:vAlign w:val="center"/>
          </w:tcPr>
          <w:p>
            <w:pPr>
              <w:pStyle w:val="DMETW36768BIPPENS8"/>
              <w:jc w:val="right"/>
              <w:rPr>
                <w:rFonts w:ascii="Verdana" w:eastAsia="Verdana" w:hAnsi="Verdana" w:cs="Verdana"/>
                <w:i/>
                <w:noProof/>
                <w:color w:val="000000"/>
                <w:sz w:val="18"/>
              </w:rPr>
            </w:pPr>
            <w:r>
              <w:rPr>
                <w:rFonts w:ascii="Verdana" w:hAnsi="Verdana"/>
                <w:i/>
                <w:noProof/>
                <w:color w:val="000000"/>
                <w:sz w:val="18"/>
              </w:rPr>
              <w:t xml:space="preserve"> 25</w:t>
            </w:r>
          </w:p>
        </w:tc>
        <w:tc>
          <w:tcPr>
            <w:tcW w:w="1632" w:type="dxa"/>
            <w:tcBorders>
              <w:top w:val="nil"/>
              <w:left w:val="nil"/>
              <w:bottom w:val="single" w:sz="4" w:space="0" w:color="016794"/>
              <w:right w:val="nil"/>
              <w:tl2br w:val="nil"/>
              <w:tr2bl w:val="nil"/>
            </w:tcBorders>
            <w:tcMar>
              <w:left w:w="60" w:type="dxa"/>
              <w:right w:w="60" w:type="dxa"/>
            </w:tcMar>
            <w:vAlign w:val="center"/>
          </w:tcPr>
          <w:p>
            <w:pPr>
              <w:pStyle w:val="DMETW36768BIPPENS8"/>
              <w:jc w:val="right"/>
              <w:rPr>
                <w:rFonts w:ascii="Verdana" w:eastAsia="Verdana" w:hAnsi="Verdana" w:cs="Verdana"/>
                <w:i/>
                <w:noProof/>
                <w:color w:val="000000"/>
                <w:sz w:val="18"/>
              </w:rPr>
            </w:pPr>
            <w:r>
              <w:rPr>
                <w:rFonts w:ascii="Verdana" w:hAnsi="Verdana"/>
                <w:i/>
                <w:noProof/>
                <w:color w:val="000000"/>
                <w:sz w:val="18"/>
              </w:rPr>
              <w:t xml:space="preserve"> (27)</w:t>
            </w:r>
          </w:p>
        </w:tc>
        <w:tc>
          <w:tcPr>
            <w:tcW w:w="1632" w:type="dxa"/>
            <w:tcBorders>
              <w:top w:val="nil"/>
              <w:left w:val="nil"/>
              <w:bottom w:val="single" w:sz="4" w:space="0" w:color="016794"/>
              <w:right w:val="nil"/>
              <w:tl2br w:val="nil"/>
              <w:tr2bl w:val="nil"/>
            </w:tcBorders>
            <w:tcMar>
              <w:left w:w="60" w:type="dxa"/>
              <w:right w:w="60" w:type="dxa"/>
            </w:tcMar>
            <w:vAlign w:val="center"/>
          </w:tcPr>
          <w:p>
            <w:pPr>
              <w:pStyle w:val="DMETW36768BIPPENS8"/>
              <w:jc w:val="right"/>
              <w:rPr>
                <w:rFonts w:ascii="Verdana" w:eastAsia="Verdana" w:hAnsi="Verdana" w:cs="Verdana"/>
                <w:i/>
                <w:noProof/>
                <w:color w:val="000000"/>
                <w:sz w:val="18"/>
              </w:rPr>
            </w:pPr>
            <w:r>
              <w:rPr>
                <w:rFonts w:ascii="Verdana" w:hAnsi="Verdana"/>
                <w:i/>
                <w:noProof/>
                <w:color w:val="000000"/>
                <w:sz w:val="18"/>
              </w:rPr>
              <w:t xml:space="preserve"> 26</w:t>
            </w:r>
          </w:p>
        </w:tc>
      </w:tr>
    </w:tbl>
    <w:p>
      <w:pPr>
        <w:pStyle w:val="DGTextstand-alone"/>
      </w:pPr>
      <w:r>
        <w:t>Une variation d’une année de l’âge présumé de départ à la retraite aurait les effets suivants: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81"/>
        <w:gridCol w:w="1820"/>
        <w:gridCol w:w="1819"/>
        <w:gridCol w:w="1819"/>
        <w:gridCol w:w="1819"/>
      </w:tblGrid>
      <w:tr>
        <w:trPr>
          <w:trHeight w:val="255"/>
        </w:trPr>
        <w:tc>
          <w:tcPr>
            <w:tcW w:w="2481" w:type="dxa"/>
            <w:tcBorders>
              <w:top w:val="nil"/>
              <w:left w:val="nil"/>
              <w:bottom w:val="nil"/>
              <w:right w:val="nil"/>
              <w:tl2br w:val="nil"/>
              <w:tr2bl w:val="nil"/>
            </w:tcBorders>
            <w:tcMar>
              <w:left w:w="60" w:type="dxa"/>
              <w:right w:w="60" w:type="dxa"/>
            </w:tcMar>
            <w:vAlign w:val="bottom"/>
          </w:tcPr>
          <w:p>
            <w:pPr>
              <w:pStyle w:val="DMETW36768BIPPENS9"/>
              <w:rPr>
                <w:rFonts w:ascii="Arial" w:eastAsia="Arial" w:hAnsi="Arial" w:cs="Arial"/>
                <w:noProof/>
                <w:color w:val="000000"/>
              </w:rPr>
            </w:pPr>
            <w:bookmarkStart w:id="155" w:name="DOC_TBL00054_1_1"/>
            <w:bookmarkEnd w:id="155"/>
          </w:p>
        </w:tc>
        <w:tc>
          <w:tcPr>
            <w:tcW w:w="1820" w:type="dxa"/>
            <w:tcBorders>
              <w:top w:val="nil"/>
              <w:left w:val="nil"/>
              <w:bottom w:val="nil"/>
              <w:right w:val="nil"/>
              <w:tl2br w:val="nil"/>
              <w:tr2bl w:val="nil"/>
            </w:tcBorders>
            <w:tcMar>
              <w:left w:w="60" w:type="dxa"/>
              <w:right w:w="60" w:type="dxa"/>
            </w:tcMar>
            <w:vAlign w:val="bottom"/>
          </w:tcPr>
          <w:p>
            <w:pPr>
              <w:pStyle w:val="DMETW36768BIPPENS9"/>
              <w:rPr>
                <w:rFonts w:ascii="Arial" w:eastAsia="Arial" w:hAnsi="Arial" w:cs="Arial"/>
                <w:noProof/>
                <w:color w:val="000000"/>
              </w:rPr>
            </w:pPr>
          </w:p>
        </w:tc>
        <w:tc>
          <w:tcPr>
            <w:tcW w:w="1819" w:type="dxa"/>
            <w:tcBorders>
              <w:top w:val="nil"/>
              <w:left w:val="nil"/>
              <w:bottom w:val="nil"/>
              <w:right w:val="nil"/>
              <w:tl2br w:val="nil"/>
              <w:tr2bl w:val="nil"/>
            </w:tcBorders>
            <w:tcMar>
              <w:left w:w="60" w:type="dxa"/>
              <w:right w:w="60" w:type="dxa"/>
            </w:tcMar>
            <w:vAlign w:val="bottom"/>
          </w:tcPr>
          <w:p>
            <w:pPr>
              <w:pStyle w:val="DMETW36768BIPPENS9"/>
              <w:rPr>
                <w:rFonts w:ascii="Arial" w:eastAsia="Arial" w:hAnsi="Arial" w:cs="Arial"/>
                <w:noProof/>
                <w:color w:val="000000"/>
              </w:rPr>
            </w:pPr>
          </w:p>
        </w:tc>
        <w:tc>
          <w:tcPr>
            <w:tcW w:w="1819" w:type="dxa"/>
            <w:tcBorders>
              <w:top w:val="nil"/>
              <w:left w:val="nil"/>
              <w:bottom w:val="nil"/>
              <w:right w:val="nil"/>
              <w:tl2br w:val="nil"/>
              <w:tr2bl w:val="nil"/>
            </w:tcBorders>
            <w:tcMar>
              <w:left w:w="60" w:type="dxa"/>
              <w:right w:w="60" w:type="dxa"/>
            </w:tcMar>
            <w:vAlign w:val="bottom"/>
          </w:tcPr>
          <w:p>
            <w:pPr>
              <w:pStyle w:val="DMETW36768BIPPENS9"/>
              <w:rPr>
                <w:rFonts w:ascii="Arial" w:eastAsia="Arial" w:hAnsi="Arial" w:cs="Arial"/>
                <w:noProof/>
                <w:color w:val="000000"/>
              </w:rPr>
            </w:pPr>
          </w:p>
        </w:tc>
        <w:tc>
          <w:tcPr>
            <w:tcW w:w="1819" w:type="dxa"/>
            <w:tcBorders>
              <w:top w:val="nil"/>
              <w:left w:val="nil"/>
              <w:bottom w:val="nil"/>
              <w:right w:val="nil"/>
              <w:tl2br w:val="nil"/>
              <w:tr2bl w:val="nil"/>
            </w:tcBorders>
            <w:tcMar>
              <w:left w:w="60" w:type="dxa"/>
              <w:right w:w="60" w:type="dxa"/>
            </w:tcMar>
            <w:vAlign w:val="bottom"/>
          </w:tcPr>
          <w:p>
            <w:pPr>
              <w:pStyle w:val="DMETW36768BIPPENS9"/>
              <w:jc w:val="right"/>
              <w:rPr>
                <w:rFonts w:ascii="Verdana" w:eastAsia="Verdana" w:hAnsi="Verdana" w:cs="Verdana"/>
                <w:i/>
                <w:noProof/>
                <w:color w:val="000000"/>
                <w:sz w:val="16"/>
              </w:rPr>
            </w:pPr>
            <w:r>
              <w:rPr>
                <w:rFonts w:ascii="Verdana" w:hAnsi="Verdana"/>
                <w:i/>
                <w:noProof/>
                <w:color w:val="000000"/>
                <w:sz w:val="16"/>
              </w:rPr>
              <w:t>en Mio EUR</w:t>
            </w:r>
          </w:p>
        </w:tc>
      </w:tr>
      <w:tr>
        <w:trPr>
          <w:trHeight w:val="255"/>
        </w:trPr>
        <w:tc>
          <w:tcPr>
            <w:tcW w:w="2481" w:type="dxa"/>
            <w:tcBorders>
              <w:top w:val="nil"/>
              <w:left w:val="nil"/>
              <w:bottom w:val="nil"/>
              <w:right w:val="nil"/>
              <w:tl2br w:val="nil"/>
              <w:tr2bl w:val="nil"/>
            </w:tcBorders>
            <w:shd w:val="solid" w:color="016794" w:fill="FFFFFF"/>
            <w:tcMar>
              <w:left w:w="60" w:type="dxa"/>
              <w:right w:w="60" w:type="dxa"/>
            </w:tcMar>
            <w:vAlign w:val="center"/>
          </w:tcPr>
          <w:p>
            <w:pPr>
              <w:pStyle w:val="DMETW36768BIPPENS9"/>
              <w:jc w:val="right"/>
              <w:rPr>
                <w:rFonts w:ascii="Verdana" w:eastAsia="Verdana" w:hAnsi="Verdana" w:cs="Verdana"/>
                <w:noProof/>
                <w:color w:val="FFFFFF"/>
                <w:sz w:val="18"/>
              </w:rPr>
            </w:pPr>
          </w:p>
        </w:tc>
        <w:tc>
          <w:tcPr>
            <w:tcW w:w="1820" w:type="dxa"/>
            <w:gridSpan w:val="2"/>
            <w:tcBorders>
              <w:top w:val="nil"/>
              <w:left w:val="nil"/>
              <w:bottom w:val="nil"/>
              <w:right w:val="nil"/>
              <w:tl2br w:val="nil"/>
              <w:tr2bl w:val="nil"/>
            </w:tcBorders>
            <w:shd w:val="solid" w:color="016794" w:fill="FFFFFF"/>
            <w:tcMar>
              <w:left w:w="60" w:type="dxa"/>
              <w:right w:w="60" w:type="dxa"/>
            </w:tcMar>
            <w:vAlign w:val="center"/>
          </w:tcPr>
          <w:p>
            <w:pPr>
              <w:pStyle w:val="DMETW36768BIPPENS9"/>
              <w:jc w:val="center"/>
              <w:rPr>
                <w:rFonts w:ascii="Verdana" w:eastAsia="Verdana" w:hAnsi="Verdana" w:cs="Verdana"/>
                <w:noProof/>
                <w:color w:val="FFFFFF"/>
                <w:sz w:val="18"/>
              </w:rPr>
            </w:pPr>
            <w:r>
              <w:rPr>
                <w:rFonts w:ascii="Verdana" w:hAnsi="Verdana"/>
                <w:noProof/>
                <w:color w:val="FFFFFF"/>
                <w:sz w:val="18"/>
              </w:rPr>
              <w:t>2025</w:t>
            </w:r>
          </w:p>
        </w:tc>
        <w:tc>
          <w:tcPr>
            <w:tcW w:w="1819" w:type="dxa"/>
            <w:gridSpan w:val="2"/>
            <w:tcBorders>
              <w:top w:val="nil"/>
              <w:left w:val="nil"/>
              <w:bottom w:val="nil"/>
              <w:right w:val="nil"/>
              <w:tl2br w:val="nil"/>
              <w:tr2bl w:val="nil"/>
            </w:tcBorders>
            <w:shd w:val="solid" w:color="016794" w:fill="FFFFFF"/>
            <w:tcMar>
              <w:left w:w="60" w:type="dxa"/>
              <w:right w:w="60" w:type="dxa"/>
            </w:tcMar>
            <w:vAlign w:val="center"/>
          </w:tcPr>
          <w:p>
            <w:pPr>
              <w:pStyle w:val="DMETW36768BIPPENS9"/>
              <w:jc w:val="center"/>
              <w:rPr>
                <w:rFonts w:ascii="Verdana" w:eastAsia="Verdana" w:hAnsi="Verdana" w:cs="Verdana"/>
                <w:noProof/>
                <w:color w:val="FFFFFF"/>
                <w:sz w:val="18"/>
              </w:rPr>
            </w:pPr>
            <w:r>
              <w:rPr>
                <w:rFonts w:ascii="Verdana" w:hAnsi="Verdana"/>
                <w:noProof/>
                <w:color w:val="FFFFFF"/>
                <w:sz w:val="18"/>
              </w:rPr>
              <w:t>2024</w:t>
            </w:r>
          </w:p>
        </w:tc>
      </w:tr>
      <w:tr>
        <w:trPr>
          <w:trHeight w:val="255"/>
        </w:trPr>
        <w:tc>
          <w:tcPr>
            <w:tcW w:w="2481" w:type="dxa"/>
            <w:tcBorders>
              <w:top w:val="nil"/>
              <w:left w:val="nil"/>
              <w:bottom w:val="nil"/>
              <w:right w:val="nil"/>
              <w:tl2br w:val="nil"/>
              <w:tr2bl w:val="nil"/>
            </w:tcBorders>
            <w:shd w:val="solid" w:color="016794" w:fill="FFFFFF"/>
            <w:tcMar>
              <w:left w:w="60" w:type="dxa"/>
              <w:right w:w="60" w:type="dxa"/>
            </w:tcMar>
            <w:vAlign w:val="center"/>
          </w:tcPr>
          <w:p>
            <w:pPr>
              <w:pStyle w:val="DMETW36768BIPPENS9"/>
              <w:jc w:val="right"/>
              <w:rPr>
                <w:rFonts w:ascii="Verdana" w:eastAsia="Verdana" w:hAnsi="Verdana" w:cs="Verdana"/>
                <w:noProof/>
                <w:color w:val="FFFFFF"/>
                <w:sz w:val="18"/>
              </w:rPr>
            </w:pPr>
          </w:p>
        </w:tc>
        <w:tc>
          <w:tcPr>
            <w:tcW w:w="1820" w:type="dxa"/>
            <w:tcBorders>
              <w:top w:val="nil"/>
              <w:left w:val="nil"/>
              <w:bottom w:val="nil"/>
              <w:right w:val="nil"/>
              <w:tl2br w:val="nil"/>
              <w:tr2bl w:val="nil"/>
            </w:tcBorders>
            <w:shd w:val="solid" w:color="016794" w:fill="FFFFFF"/>
            <w:tcMar>
              <w:left w:w="60" w:type="dxa"/>
              <w:right w:w="60" w:type="dxa"/>
            </w:tcMar>
            <w:vAlign w:val="center"/>
          </w:tcPr>
          <w:p>
            <w:pPr>
              <w:pStyle w:val="DMETW36768BIPPENS9"/>
              <w:jc w:val="right"/>
              <w:rPr>
                <w:rFonts w:ascii="Verdana" w:eastAsia="Verdana" w:hAnsi="Verdana" w:cs="Verdana"/>
                <w:noProof/>
                <w:color w:val="FFFFFF"/>
                <w:sz w:val="18"/>
              </w:rPr>
            </w:pPr>
            <w:r>
              <w:rPr>
                <w:rFonts w:ascii="Verdana" w:hAnsi="Verdana"/>
                <w:noProof/>
                <w:color w:val="FFFFFF"/>
                <w:sz w:val="18"/>
              </w:rPr>
              <w:t>Augmentation d’une année</w:t>
            </w:r>
          </w:p>
        </w:tc>
        <w:tc>
          <w:tcPr>
            <w:tcW w:w="1819" w:type="dxa"/>
            <w:tcBorders>
              <w:top w:val="nil"/>
              <w:left w:val="nil"/>
              <w:bottom w:val="nil"/>
              <w:right w:val="nil"/>
              <w:tl2br w:val="nil"/>
              <w:tr2bl w:val="nil"/>
            </w:tcBorders>
            <w:shd w:val="solid" w:color="016794" w:fill="FFFFFF"/>
            <w:tcMar>
              <w:left w:w="60" w:type="dxa"/>
              <w:right w:w="60" w:type="dxa"/>
            </w:tcMar>
            <w:vAlign w:val="center"/>
          </w:tcPr>
          <w:p>
            <w:pPr>
              <w:pStyle w:val="DMETW36768BIPPENS9"/>
              <w:jc w:val="right"/>
              <w:rPr>
                <w:rFonts w:ascii="Verdana" w:eastAsia="Verdana" w:hAnsi="Verdana" w:cs="Verdana"/>
                <w:noProof/>
                <w:color w:val="FFFFFF"/>
                <w:sz w:val="18"/>
              </w:rPr>
            </w:pPr>
            <w:r>
              <w:rPr>
                <w:rFonts w:ascii="Verdana" w:hAnsi="Verdana"/>
                <w:noProof/>
                <w:color w:val="FFFFFF"/>
                <w:sz w:val="18"/>
              </w:rPr>
              <w:t>Diminution d’une année</w:t>
            </w:r>
          </w:p>
        </w:tc>
        <w:tc>
          <w:tcPr>
            <w:tcW w:w="1819" w:type="dxa"/>
            <w:tcBorders>
              <w:top w:val="nil"/>
              <w:left w:val="nil"/>
              <w:bottom w:val="nil"/>
              <w:right w:val="nil"/>
              <w:tl2br w:val="nil"/>
              <w:tr2bl w:val="nil"/>
            </w:tcBorders>
            <w:shd w:val="solid" w:color="016794" w:fill="FFFFFF"/>
            <w:tcMar>
              <w:left w:w="60" w:type="dxa"/>
              <w:right w:w="60" w:type="dxa"/>
            </w:tcMar>
            <w:vAlign w:val="center"/>
          </w:tcPr>
          <w:p>
            <w:pPr>
              <w:pStyle w:val="DMETW36768BIPPENS9"/>
              <w:jc w:val="right"/>
              <w:rPr>
                <w:rFonts w:ascii="Verdana" w:eastAsia="Verdana" w:hAnsi="Verdana" w:cs="Verdana"/>
                <w:noProof/>
                <w:color w:val="FFFFFF"/>
                <w:sz w:val="18"/>
              </w:rPr>
            </w:pPr>
            <w:r>
              <w:rPr>
                <w:rFonts w:ascii="Verdana" w:hAnsi="Verdana"/>
                <w:noProof/>
                <w:color w:val="FFFFFF"/>
                <w:sz w:val="18"/>
              </w:rPr>
              <w:t>Augmentation d’une année</w:t>
            </w:r>
          </w:p>
        </w:tc>
        <w:tc>
          <w:tcPr>
            <w:tcW w:w="1819" w:type="dxa"/>
            <w:tcBorders>
              <w:top w:val="nil"/>
              <w:left w:val="nil"/>
              <w:bottom w:val="nil"/>
              <w:right w:val="nil"/>
              <w:tl2br w:val="nil"/>
              <w:tr2bl w:val="nil"/>
            </w:tcBorders>
            <w:shd w:val="solid" w:color="016794" w:fill="FFFFFF"/>
            <w:tcMar>
              <w:left w:w="60" w:type="dxa"/>
              <w:right w:w="60" w:type="dxa"/>
            </w:tcMar>
            <w:vAlign w:val="center"/>
          </w:tcPr>
          <w:p>
            <w:pPr>
              <w:pStyle w:val="DMETW36768BIPPENS9"/>
              <w:jc w:val="right"/>
              <w:rPr>
                <w:rFonts w:ascii="Verdana" w:eastAsia="Verdana" w:hAnsi="Verdana" w:cs="Verdana"/>
                <w:noProof/>
                <w:color w:val="FFFFFF"/>
                <w:sz w:val="18"/>
              </w:rPr>
            </w:pPr>
            <w:r>
              <w:rPr>
                <w:rFonts w:ascii="Verdana" w:hAnsi="Verdana"/>
                <w:noProof/>
                <w:color w:val="FFFFFF"/>
                <w:sz w:val="18"/>
              </w:rPr>
              <w:t>Diminution d’une année</w:t>
            </w:r>
          </w:p>
        </w:tc>
      </w:tr>
      <w:tr>
        <w:trPr>
          <w:trHeight w:val="255"/>
        </w:trPr>
        <w:tc>
          <w:tcPr>
            <w:tcW w:w="2481" w:type="dxa"/>
            <w:tcBorders>
              <w:top w:val="nil"/>
              <w:left w:val="nil"/>
              <w:bottom w:val="single" w:sz="4" w:space="0" w:color="016794"/>
              <w:right w:val="nil"/>
              <w:tl2br w:val="nil"/>
              <w:tr2bl w:val="nil"/>
            </w:tcBorders>
            <w:tcMar>
              <w:left w:w="60" w:type="dxa"/>
              <w:right w:w="60" w:type="dxa"/>
            </w:tcMar>
            <w:vAlign w:val="center"/>
          </w:tcPr>
          <w:p>
            <w:pPr>
              <w:pStyle w:val="DMETW36768BIPPENS9"/>
              <w:rPr>
                <w:rFonts w:ascii="Verdana" w:eastAsia="Verdana" w:hAnsi="Verdana" w:cs="Verdana"/>
                <w:i/>
                <w:noProof/>
                <w:color w:val="000000"/>
                <w:sz w:val="18"/>
              </w:rPr>
            </w:pPr>
            <w:r>
              <w:rPr>
                <w:rFonts w:ascii="Verdana" w:hAnsi="Verdana"/>
                <w:i/>
                <w:noProof/>
                <w:color w:val="000000"/>
                <w:sz w:val="18"/>
              </w:rPr>
              <w:t>Obligation au titre des prestations définies</w:t>
            </w:r>
          </w:p>
        </w:tc>
        <w:tc>
          <w:tcPr>
            <w:tcW w:w="1820" w:type="dxa"/>
            <w:tcBorders>
              <w:top w:val="nil"/>
              <w:left w:val="nil"/>
              <w:bottom w:val="single" w:sz="4" w:space="0" w:color="016794"/>
              <w:right w:val="nil"/>
              <w:tl2br w:val="nil"/>
              <w:tr2bl w:val="nil"/>
            </w:tcBorders>
            <w:tcMar>
              <w:left w:w="60" w:type="dxa"/>
              <w:right w:w="60" w:type="dxa"/>
            </w:tcMar>
            <w:vAlign w:val="center"/>
          </w:tcPr>
          <w:p>
            <w:pPr>
              <w:pStyle w:val="DMETW36768BIPPENS9"/>
              <w:jc w:val="right"/>
              <w:rPr>
                <w:rFonts w:ascii="Verdana" w:eastAsia="Verdana" w:hAnsi="Verdana" w:cs="Verdana"/>
                <w:i/>
                <w:noProof/>
                <w:color w:val="000000"/>
                <w:sz w:val="18"/>
              </w:rPr>
            </w:pPr>
            <w:r>
              <w:rPr>
                <w:rFonts w:ascii="Verdana" w:hAnsi="Verdana"/>
                <w:i/>
                <w:noProof/>
                <w:color w:val="000000"/>
                <w:sz w:val="18"/>
              </w:rPr>
              <w:t xml:space="preserve"> (150)</w:t>
            </w:r>
          </w:p>
        </w:tc>
        <w:tc>
          <w:tcPr>
            <w:tcW w:w="1819" w:type="dxa"/>
            <w:tcBorders>
              <w:top w:val="nil"/>
              <w:left w:val="nil"/>
              <w:bottom w:val="single" w:sz="4" w:space="0" w:color="016794"/>
              <w:right w:val="nil"/>
              <w:tl2br w:val="nil"/>
              <w:tr2bl w:val="nil"/>
            </w:tcBorders>
            <w:tcMar>
              <w:left w:w="60" w:type="dxa"/>
              <w:right w:w="60" w:type="dxa"/>
            </w:tcMar>
            <w:vAlign w:val="center"/>
          </w:tcPr>
          <w:p>
            <w:pPr>
              <w:pStyle w:val="DMETW36768BIPPENS9"/>
              <w:jc w:val="right"/>
              <w:rPr>
                <w:rFonts w:ascii="Verdana" w:eastAsia="Verdana" w:hAnsi="Verdana" w:cs="Verdana"/>
                <w:i/>
                <w:noProof/>
                <w:color w:val="000000"/>
                <w:sz w:val="18"/>
              </w:rPr>
            </w:pPr>
            <w:r>
              <w:rPr>
                <w:rFonts w:ascii="Verdana" w:hAnsi="Verdana"/>
                <w:i/>
                <w:noProof/>
                <w:color w:val="000000"/>
                <w:sz w:val="18"/>
              </w:rPr>
              <w:t xml:space="preserve"> 161</w:t>
            </w:r>
          </w:p>
        </w:tc>
        <w:tc>
          <w:tcPr>
            <w:tcW w:w="1819" w:type="dxa"/>
            <w:tcBorders>
              <w:top w:val="nil"/>
              <w:left w:val="nil"/>
              <w:bottom w:val="single" w:sz="4" w:space="0" w:color="016794"/>
              <w:right w:val="nil"/>
              <w:tl2br w:val="nil"/>
              <w:tr2bl w:val="nil"/>
            </w:tcBorders>
            <w:tcMar>
              <w:left w:w="60" w:type="dxa"/>
              <w:right w:w="60" w:type="dxa"/>
            </w:tcMar>
            <w:vAlign w:val="center"/>
          </w:tcPr>
          <w:p>
            <w:pPr>
              <w:pStyle w:val="DMETW36768BIPPENS9"/>
              <w:jc w:val="right"/>
              <w:rPr>
                <w:rFonts w:ascii="Verdana" w:eastAsia="Verdana" w:hAnsi="Verdana" w:cs="Verdana"/>
                <w:i/>
                <w:noProof/>
                <w:color w:val="000000"/>
                <w:sz w:val="18"/>
              </w:rPr>
            </w:pPr>
            <w:r>
              <w:rPr>
                <w:rFonts w:ascii="Verdana" w:hAnsi="Verdana"/>
                <w:i/>
                <w:noProof/>
                <w:color w:val="000000"/>
                <w:sz w:val="18"/>
              </w:rPr>
              <w:t xml:space="preserve"> (185)</w:t>
            </w:r>
          </w:p>
        </w:tc>
        <w:tc>
          <w:tcPr>
            <w:tcW w:w="1819" w:type="dxa"/>
            <w:tcBorders>
              <w:top w:val="nil"/>
              <w:left w:val="nil"/>
              <w:bottom w:val="single" w:sz="4" w:space="0" w:color="016794"/>
              <w:right w:val="nil"/>
              <w:tl2br w:val="nil"/>
              <w:tr2bl w:val="nil"/>
            </w:tcBorders>
            <w:tcMar>
              <w:left w:w="60" w:type="dxa"/>
              <w:right w:w="60" w:type="dxa"/>
            </w:tcMar>
            <w:vAlign w:val="center"/>
          </w:tcPr>
          <w:p>
            <w:pPr>
              <w:pStyle w:val="DMETW36768BIPPENS9"/>
              <w:jc w:val="right"/>
              <w:rPr>
                <w:rFonts w:ascii="Verdana" w:eastAsia="Verdana" w:hAnsi="Verdana" w:cs="Verdana"/>
                <w:i/>
                <w:noProof/>
                <w:color w:val="000000"/>
                <w:sz w:val="18"/>
              </w:rPr>
            </w:pPr>
            <w:r>
              <w:rPr>
                <w:rFonts w:ascii="Verdana" w:hAnsi="Verdana"/>
                <w:i/>
                <w:noProof/>
                <w:color w:val="000000"/>
                <w:sz w:val="18"/>
              </w:rPr>
              <w:t xml:space="preserve"> 197</w:t>
            </w:r>
          </w:p>
        </w:tc>
      </w:tr>
      <w:bookmarkEnd w:id="143"/>
    </w:tbl>
    <w:p>
      <w:pPr>
        <w:pStyle w:val="DGTextstand-alone"/>
        <w:rPr>
          <w:lang w:bidi="en-GB"/>
        </w:rPr>
        <w:sectPr>
          <w:headerReference w:type="default" r:id="rId99"/>
          <w:footerReference w:type="default" r:id="rId100"/>
          <w:type w:val="continuous"/>
          <w:pgSz w:w="11906" w:h="16838"/>
          <w:pgMar w:top="1134" w:right="1134" w:bottom="1134" w:left="1134" w:header="709" w:footer="709" w:gutter="0"/>
          <w:cols w:space="708"/>
          <w:docGrid w:linePitch="360"/>
        </w:sectPr>
      </w:pPr>
    </w:p>
    <w:p>
      <w:pPr>
        <w:pStyle w:val="HEADER2NOTES"/>
        <w:numPr>
          <w:ilvl w:val="1"/>
          <w:numId w:val="15"/>
        </w:numPr>
        <w:rPr>
          <w:noProof/>
        </w:rPr>
      </w:pPr>
      <w:bookmarkStart w:id="156" w:name="_DMBM_36685"/>
      <w:r>
        <w:rPr>
          <w:noProof/>
        </w:rPr>
        <w:lastRenderedPageBreak/>
        <w:t>PROVISIONS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3"/>
        <w:gridCol w:w="1300"/>
        <w:gridCol w:w="1106"/>
        <w:gridCol w:w="1106"/>
        <w:gridCol w:w="1040"/>
        <w:gridCol w:w="1055"/>
        <w:gridCol w:w="1213"/>
        <w:gridCol w:w="1245"/>
      </w:tblGrid>
      <w:tr>
        <w:trPr>
          <w:trHeight w:val="255"/>
        </w:trPr>
        <w:tc>
          <w:tcPr>
            <w:tcW w:w="1693" w:type="dxa"/>
            <w:tcBorders>
              <w:top w:val="nil"/>
              <w:left w:val="nil"/>
              <w:bottom w:val="nil"/>
              <w:right w:val="nil"/>
              <w:tl2br w:val="nil"/>
              <w:tr2bl w:val="nil"/>
            </w:tcBorders>
            <w:tcMar>
              <w:left w:w="60" w:type="dxa"/>
              <w:right w:w="60" w:type="dxa"/>
            </w:tcMar>
            <w:vAlign w:val="bottom"/>
          </w:tcPr>
          <w:p>
            <w:pPr>
              <w:pStyle w:val="DMETW36769BIPPROV"/>
              <w:rPr>
                <w:rFonts w:ascii="Arial" w:eastAsia="Arial" w:hAnsi="Arial" w:cs="Arial"/>
                <w:noProof/>
                <w:color w:val="000000"/>
              </w:rPr>
            </w:pPr>
            <w:bookmarkStart w:id="157" w:name="DOC_TBL00055_1_1"/>
            <w:bookmarkEnd w:id="157"/>
          </w:p>
        </w:tc>
        <w:tc>
          <w:tcPr>
            <w:tcW w:w="1300" w:type="dxa"/>
            <w:tcBorders>
              <w:top w:val="nil"/>
              <w:left w:val="nil"/>
              <w:bottom w:val="nil"/>
              <w:right w:val="nil"/>
              <w:tl2br w:val="nil"/>
              <w:tr2bl w:val="nil"/>
            </w:tcBorders>
            <w:tcMar>
              <w:left w:w="60" w:type="dxa"/>
              <w:right w:w="60" w:type="dxa"/>
            </w:tcMar>
            <w:vAlign w:val="bottom"/>
          </w:tcPr>
          <w:p>
            <w:pPr>
              <w:pStyle w:val="DMETW36769BIPPROV"/>
              <w:rPr>
                <w:rFonts w:ascii="Arial" w:eastAsia="Arial" w:hAnsi="Arial" w:cs="Arial"/>
                <w:noProof/>
                <w:color w:val="000000"/>
              </w:rPr>
            </w:pPr>
          </w:p>
        </w:tc>
        <w:tc>
          <w:tcPr>
            <w:tcW w:w="1106" w:type="dxa"/>
            <w:tcBorders>
              <w:top w:val="nil"/>
              <w:left w:val="nil"/>
              <w:bottom w:val="nil"/>
              <w:right w:val="nil"/>
              <w:tl2br w:val="nil"/>
              <w:tr2bl w:val="nil"/>
            </w:tcBorders>
            <w:tcMar>
              <w:left w:w="60" w:type="dxa"/>
              <w:right w:w="60" w:type="dxa"/>
            </w:tcMar>
            <w:vAlign w:val="bottom"/>
          </w:tcPr>
          <w:p>
            <w:pPr>
              <w:pStyle w:val="DMETW36769BIPPROV"/>
              <w:rPr>
                <w:rFonts w:ascii="Arial" w:eastAsia="Arial" w:hAnsi="Arial" w:cs="Arial"/>
                <w:noProof/>
                <w:color w:val="000000"/>
              </w:rPr>
            </w:pPr>
          </w:p>
        </w:tc>
        <w:tc>
          <w:tcPr>
            <w:tcW w:w="1106" w:type="dxa"/>
            <w:tcBorders>
              <w:top w:val="nil"/>
              <w:left w:val="nil"/>
              <w:bottom w:val="nil"/>
              <w:right w:val="nil"/>
              <w:tl2br w:val="nil"/>
              <w:tr2bl w:val="nil"/>
            </w:tcBorders>
            <w:tcMar>
              <w:left w:w="60" w:type="dxa"/>
              <w:right w:w="60" w:type="dxa"/>
            </w:tcMar>
            <w:vAlign w:val="bottom"/>
          </w:tcPr>
          <w:p>
            <w:pPr>
              <w:pStyle w:val="DMETW36769BIPPROV"/>
              <w:rPr>
                <w:rFonts w:ascii="Arial" w:eastAsia="Arial" w:hAnsi="Arial" w:cs="Arial"/>
                <w:noProof/>
                <w:color w:val="000000"/>
              </w:rPr>
            </w:pPr>
          </w:p>
        </w:tc>
        <w:tc>
          <w:tcPr>
            <w:tcW w:w="1040" w:type="dxa"/>
            <w:tcBorders>
              <w:top w:val="nil"/>
              <w:left w:val="nil"/>
              <w:bottom w:val="nil"/>
              <w:right w:val="nil"/>
              <w:tl2br w:val="nil"/>
              <w:tr2bl w:val="nil"/>
            </w:tcBorders>
            <w:tcMar>
              <w:left w:w="60" w:type="dxa"/>
              <w:right w:w="60" w:type="dxa"/>
            </w:tcMar>
            <w:vAlign w:val="bottom"/>
          </w:tcPr>
          <w:p>
            <w:pPr>
              <w:pStyle w:val="DMETW36769BIPPROV"/>
              <w:rPr>
                <w:rFonts w:ascii="Arial" w:eastAsia="Arial" w:hAnsi="Arial" w:cs="Arial"/>
                <w:noProof/>
                <w:color w:val="000000"/>
              </w:rPr>
            </w:pPr>
          </w:p>
        </w:tc>
        <w:tc>
          <w:tcPr>
            <w:tcW w:w="1055" w:type="dxa"/>
            <w:tcBorders>
              <w:top w:val="nil"/>
              <w:left w:val="nil"/>
              <w:bottom w:val="nil"/>
              <w:right w:val="nil"/>
              <w:tl2br w:val="nil"/>
              <w:tr2bl w:val="nil"/>
            </w:tcBorders>
            <w:tcMar>
              <w:left w:w="60" w:type="dxa"/>
              <w:right w:w="60" w:type="dxa"/>
            </w:tcMar>
            <w:vAlign w:val="bottom"/>
          </w:tcPr>
          <w:p>
            <w:pPr>
              <w:pStyle w:val="DMETW36769BIPPROV"/>
              <w:rPr>
                <w:rFonts w:ascii="Arial" w:eastAsia="Arial" w:hAnsi="Arial" w:cs="Arial"/>
                <w:noProof/>
                <w:color w:val="000000"/>
              </w:rPr>
            </w:pPr>
          </w:p>
        </w:tc>
        <w:tc>
          <w:tcPr>
            <w:tcW w:w="1213" w:type="dxa"/>
            <w:tcBorders>
              <w:top w:val="nil"/>
              <w:left w:val="nil"/>
              <w:bottom w:val="nil"/>
              <w:right w:val="nil"/>
              <w:tl2br w:val="nil"/>
              <w:tr2bl w:val="nil"/>
            </w:tcBorders>
            <w:tcMar>
              <w:left w:w="60" w:type="dxa"/>
              <w:right w:w="60" w:type="dxa"/>
            </w:tcMar>
            <w:vAlign w:val="bottom"/>
          </w:tcPr>
          <w:p>
            <w:pPr>
              <w:pStyle w:val="DMETW36769BIPPROV"/>
              <w:rPr>
                <w:rFonts w:ascii="Arial" w:eastAsia="Arial" w:hAnsi="Arial" w:cs="Arial"/>
                <w:noProof/>
                <w:color w:val="000000"/>
              </w:rPr>
            </w:pPr>
          </w:p>
        </w:tc>
        <w:tc>
          <w:tcPr>
            <w:tcW w:w="1245" w:type="dxa"/>
            <w:tcBorders>
              <w:top w:val="nil"/>
              <w:left w:val="nil"/>
              <w:bottom w:val="nil"/>
              <w:right w:val="nil"/>
              <w:tl2br w:val="nil"/>
              <w:tr2bl w:val="nil"/>
            </w:tcBorders>
            <w:tcMar>
              <w:left w:w="60" w:type="dxa"/>
              <w:right w:w="60" w:type="dxa"/>
            </w:tcMar>
            <w:vAlign w:val="bottom"/>
          </w:tcPr>
          <w:p>
            <w:pPr>
              <w:pStyle w:val="DMETW36769BIPPROV"/>
              <w:jc w:val="right"/>
              <w:rPr>
                <w:rFonts w:ascii="Verdana" w:eastAsia="Verdana" w:hAnsi="Verdana" w:cs="Verdana"/>
                <w:i/>
                <w:noProof/>
                <w:color w:val="000000"/>
                <w:sz w:val="16"/>
              </w:rPr>
            </w:pPr>
            <w:r>
              <w:rPr>
                <w:rFonts w:ascii="Verdana" w:hAnsi="Verdana"/>
                <w:i/>
                <w:noProof/>
                <w:color w:val="000000"/>
                <w:sz w:val="16"/>
              </w:rPr>
              <w:t>en Mio EUR</w:t>
            </w:r>
          </w:p>
        </w:tc>
      </w:tr>
      <w:tr>
        <w:trPr>
          <w:trHeight w:val="255"/>
        </w:trPr>
        <w:tc>
          <w:tcPr>
            <w:tcW w:w="1693" w:type="dxa"/>
            <w:tcBorders>
              <w:top w:val="nil"/>
              <w:left w:val="nil"/>
              <w:bottom w:val="nil"/>
              <w:right w:val="nil"/>
              <w:tl2br w:val="nil"/>
              <w:tr2bl w:val="nil"/>
            </w:tcBorders>
            <w:shd w:val="solid" w:color="016794" w:fill="FFFFFF"/>
            <w:tcMar>
              <w:left w:w="60" w:type="dxa"/>
              <w:right w:w="60" w:type="dxa"/>
            </w:tcMar>
            <w:vAlign w:val="center"/>
          </w:tcPr>
          <w:p>
            <w:pPr>
              <w:pStyle w:val="DMETW36769BIPPROV"/>
              <w:jc w:val="right"/>
              <w:rPr>
                <w:rFonts w:ascii="Verdana" w:eastAsia="Verdana" w:hAnsi="Verdana" w:cs="Verdana"/>
                <w:noProof/>
                <w:color w:val="FFFFFF"/>
                <w:sz w:val="18"/>
              </w:rPr>
            </w:pPr>
          </w:p>
        </w:tc>
        <w:tc>
          <w:tcPr>
            <w:tcW w:w="1300" w:type="dxa"/>
            <w:tcBorders>
              <w:top w:val="nil"/>
              <w:left w:val="nil"/>
              <w:bottom w:val="nil"/>
              <w:right w:val="nil"/>
              <w:tl2br w:val="nil"/>
              <w:tr2bl w:val="nil"/>
            </w:tcBorders>
            <w:shd w:val="solid" w:color="016794" w:fill="FFFFFF"/>
            <w:tcMar>
              <w:left w:w="60" w:type="dxa"/>
              <w:right w:w="60" w:type="dxa"/>
            </w:tcMar>
          </w:tcPr>
          <w:p>
            <w:pPr>
              <w:pStyle w:val="DMETW36769BIPPROV"/>
              <w:jc w:val="right"/>
              <w:rPr>
                <w:rFonts w:ascii="Verdana" w:eastAsia="Verdana" w:hAnsi="Verdana" w:cs="Verdana"/>
                <w:noProof/>
                <w:color w:val="FFFFFF"/>
                <w:sz w:val="18"/>
              </w:rPr>
            </w:pPr>
            <w:r>
              <w:rPr>
                <w:rFonts w:ascii="Verdana" w:hAnsi="Verdana"/>
                <w:noProof/>
                <w:color w:val="FFFFFF"/>
                <w:sz w:val="18"/>
              </w:rPr>
              <w:t>Montant au 31.12.2024</w:t>
            </w:r>
          </w:p>
        </w:tc>
        <w:tc>
          <w:tcPr>
            <w:tcW w:w="1106" w:type="dxa"/>
            <w:tcBorders>
              <w:top w:val="nil"/>
              <w:left w:val="nil"/>
              <w:bottom w:val="nil"/>
              <w:right w:val="nil"/>
              <w:tl2br w:val="nil"/>
              <w:tr2bl w:val="nil"/>
            </w:tcBorders>
            <w:shd w:val="solid" w:color="016794" w:fill="FFFFFF"/>
            <w:tcMar>
              <w:left w:w="60" w:type="dxa"/>
              <w:right w:w="60" w:type="dxa"/>
            </w:tcMar>
          </w:tcPr>
          <w:p>
            <w:pPr>
              <w:pStyle w:val="DMETW36769BIPPROV"/>
              <w:jc w:val="right"/>
              <w:rPr>
                <w:rFonts w:ascii="Verdana" w:eastAsia="Verdana" w:hAnsi="Verdana" w:cs="Verdana"/>
                <w:noProof/>
                <w:color w:val="FFFFFF"/>
                <w:sz w:val="18"/>
              </w:rPr>
            </w:pPr>
            <w:r>
              <w:rPr>
                <w:rFonts w:ascii="Verdana" w:hAnsi="Verdana"/>
                <w:noProof/>
                <w:color w:val="FFFFFF"/>
                <w:sz w:val="18"/>
              </w:rPr>
              <w:t>Provisions supplémentaires</w:t>
            </w:r>
          </w:p>
        </w:tc>
        <w:tc>
          <w:tcPr>
            <w:tcW w:w="1106" w:type="dxa"/>
            <w:tcBorders>
              <w:top w:val="nil"/>
              <w:left w:val="nil"/>
              <w:bottom w:val="nil"/>
              <w:right w:val="nil"/>
              <w:tl2br w:val="nil"/>
              <w:tr2bl w:val="nil"/>
            </w:tcBorders>
            <w:shd w:val="solid" w:color="016794" w:fill="FFFFFF"/>
            <w:tcMar>
              <w:left w:w="60" w:type="dxa"/>
              <w:right w:w="60" w:type="dxa"/>
            </w:tcMar>
          </w:tcPr>
          <w:p>
            <w:pPr>
              <w:pStyle w:val="DMETW36769BIPPROV"/>
              <w:jc w:val="right"/>
              <w:rPr>
                <w:rFonts w:ascii="Verdana" w:eastAsia="Verdana" w:hAnsi="Verdana" w:cs="Verdana"/>
                <w:noProof/>
                <w:color w:val="FFFFFF"/>
                <w:sz w:val="18"/>
              </w:rPr>
            </w:pPr>
            <w:r>
              <w:rPr>
                <w:rFonts w:ascii="Verdana" w:hAnsi="Verdana"/>
                <w:noProof/>
                <w:color w:val="FFFFFF"/>
                <w:sz w:val="18"/>
              </w:rPr>
              <w:t>Montants inutilisés reversés</w:t>
            </w:r>
          </w:p>
        </w:tc>
        <w:tc>
          <w:tcPr>
            <w:tcW w:w="1040" w:type="dxa"/>
            <w:tcBorders>
              <w:top w:val="nil"/>
              <w:left w:val="nil"/>
              <w:bottom w:val="nil"/>
              <w:right w:val="nil"/>
              <w:tl2br w:val="nil"/>
              <w:tr2bl w:val="nil"/>
            </w:tcBorders>
            <w:shd w:val="solid" w:color="016794" w:fill="FFFFFF"/>
            <w:tcMar>
              <w:left w:w="60" w:type="dxa"/>
              <w:right w:w="60" w:type="dxa"/>
            </w:tcMar>
          </w:tcPr>
          <w:p>
            <w:pPr>
              <w:pStyle w:val="DMETW36769BIPPROV"/>
              <w:jc w:val="right"/>
              <w:rPr>
                <w:rFonts w:ascii="Verdana" w:eastAsia="Verdana" w:hAnsi="Verdana" w:cs="Verdana"/>
                <w:noProof/>
                <w:color w:val="FFFFFF"/>
                <w:sz w:val="18"/>
              </w:rPr>
            </w:pPr>
            <w:r>
              <w:rPr>
                <w:rFonts w:ascii="Verdana" w:hAnsi="Verdana"/>
                <w:noProof/>
                <w:color w:val="FFFFFF"/>
                <w:sz w:val="18"/>
              </w:rPr>
              <w:t>Montants utilisés</w:t>
            </w:r>
          </w:p>
        </w:tc>
        <w:tc>
          <w:tcPr>
            <w:tcW w:w="1055" w:type="dxa"/>
            <w:tcBorders>
              <w:top w:val="nil"/>
              <w:left w:val="nil"/>
              <w:bottom w:val="nil"/>
              <w:right w:val="nil"/>
              <w:tl2br w:val="nil"/>
              <w:tr2bl w:val="nil"/>
            </w:tcBorders>
            <w:shd w:val="solid" w:color="016794" w:fill="FFFFFF"/>
            <w:tcMar>
              <w:left w:w="60" w:type="dxa"/>
              <w:right w:w="60" w:type="dxa"/>
            </w:tcMar>
          </w:tcPr>
          <w:p>
            <w:pPr>
              <w:pStyle w:val="DMETW36769BIPPROV"/>
              <w:jc w:val="right"/>
              <w:rPr>
                <w:rFonts w:ascii="Verdana" w:eastAsia="Verdana" w:hAnsi="Verdana" w:cs="Verdana"/>
                <w:noProof/>
                <w:color w:val="FFFFFF"/>
                <w:sz w:val="18"/>
              </w:rPr>
            </w:pPr>
            <w:r>
              <w:rPr>
                <w:rFonts w:ascii="Verdana" w:hAnsi="Verdana"/>
                <w:noProof/>
                <w:color w:val="FFFFFF"/>
                <w:sz w:val="18"/>
              </w:rPr>
              <w:t>Transferts entre catégories</w:t>
            </w:r>
          </w:p>
        </w:tc>
        <w:tc>
          <w:tcPr>
            <w:tcW w:w="1213" w:type="dxa"/>
            <w:tcBorders>
              <w:top w:val="nil"/>
              <w:left w:val="nil"/>
              <w:bottom w:val="nil"/>
              <w:right w:val="nil"/>
              <w:tl2br w:val="nil"/>
              <w:tr2bl w:val="nil"/>
            </w:tcBorders>
            <w:shd w:val="solid" w:color="016794" w:fill="FFFFFF"/>
            <w:tcMar>
              <w:left w:w="60" w:type="dxa"/>
              <w:right w:w="60" w:type="dxa"/>
            </w:tcMar>
          </w:tcPr>
          <w:p>
            <w:pPr>
              <w:pStyle w:val="DMETW36769BIPPROV"/>
              <w:jc w:val="right"/>
              <w:rPr>
                <w:rFonts w:ascii="Verdana" w:eastAsia="Verdana" w:hAnsi="Verdana" w:cs="Verdana"/>
                <w:noProof/>
                <w:color w:val="FFFFFF"/>
                <w:sz w:val="18"/>
              </w:rPr>
            </w:pPr>
            <w:r>
              <w:rPr>
                <w:rFonts w:ascii="Verdana" w:hAnsi="Verdana"/>
                <w:noProof/>
                <w:color w:val="FFFFFF"/>
                <w:sz w:val="18"/>
              </w:rPr>
              <w:t>Variations de l’estimation</w:t>
            </w:r>
          </w:p>
        </w:tc>
        <w:tc>
          <w:tcPr>
            <w:tcW w:w="1245" w:type="dxa"/>
            <w:tcBorders>
              <w:top w:val="nil"/>
              <w:left w:val="nil"/>
              <w:bottom w:val="nil"/>
              <w:right w:val="nil"/>
              <w:tl2br w:val="nil"/>
              <w:tr2bl w:val="nil"/>
            </w:tcBorders>
            <w:shd w:val="solid" w:color="016794" w:fill="FFFFFF"/>
            <w:tcMar>
              <w:left w:w="60" w:type="dxa"/>
              <w:right w:w="60" w:type="dxa"/>
            </w:tcMar>
          </w:tcPr>
          <w:p>
            <w:pPr>
              <w:pStyle w:val="DMETW36769BIPPROV"/>
              <w:jc w:val="right"/>
              <w:rPr>
                <w:rFonts w:ascii="Verdana" w:eastAsia="Verdana" w:hAnsi="Verdana" w:cs="Verdana"/>
                <w:noProof/>
                <w:color w:val="FFFFFF"/>
                <w:sz w:val="18"/>
              </w:rPr>
            </w:pPr>
            <w:r>
              <w:rPr>
                <w:rFonts w:ascii="Verdana" w:hAnsi="Verdana"/>
                <w:noProof/>
                <w:color w:val="FFFFFF"/>
                <w:sz w:val="18"/>
              </w:rPr>
              <w:t>Montant au 31.12.2025</w:t>
            </w:r>
          </w:p>
        </w:tc>
      </w:tr>
      <w:tr>
        <w:trPr>
          <w:trHeight w:val="255"/>
        </w:trPr>
        <w:tc>
          <w:tcPr>
            <w:tcW w:w="1693" w:type="dxa"/>
            <w:tcBorders>
              <w:top w:val="nil"/>
              <w:left w:val="nil"/>
              <w:bottom w:val="nil"/>
              <w:right w:val="nil"/>
              <w:tl2br w:val="nil"/>
              <w:tr2bl w:val="nil"/>
            </w:tcBorders>
            <w:tcMar>
              <w:left w:w="60" w:type="dxa"/>
              <w:right w:w="60" w:type="dxa"/>
            </w:tcMar>
            <w:vAlign w:val="center"/>
          </w:tcPr>
          <w:p>
            <w:pPr>
              <w:pStyle w:val="DMETW36769BIPPROV"/>
              <w:rPr>
                <w:rFonts w:ascii="Verdana" w:eastAsia="Verdana" w:hAnsi="Verdana" w:cs="Verdana"/>
                <w:i/>
                <w:noProof/>
                <w:color w:val="000000"/>
                <w:sz w:val="18"/>
              </w:rPr>
            </w:pPr>
            <w:r>
              <w:rPr>
                <w:rFonts w:ascii="Verdana" w:hAnsi="Verdana"/>
                <w:i/>
                <w:noProof/>
                <w:color w:val="000000"/>
                <w:sz w:val="18"/>
              </w:rPr>
              <w:t>Contentieux:</w:t>
            </w:r>
          </w:p>
        </w:tc>
        <w:tc>
          <w:tcPr>
            <w:tcW w:w="1300"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b/>
                <w:noProof/>
                <w:color w:val="000000"/>
                <w:sz w:val="18"/>
              </w:rPr>
            </w:pPr>
          </w:p>
        </w:tc>
        <w:tc>
          <w:tcPr>
            <w:tcW w:w="1106"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b/>
                <w:noProof/>
                <w:color w:val="000000"/>
                <w:sz w:val="18"/>
              </w:rPr>
            </w:pPr>
          </w:p>
        </w:tc>
        <w:tc>
          <w:tcPr>
            <w:tcW w:w="1106"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b/>
                <w:noProof/>
                <w:color w:val="000000"/>
                <w:sz w:val="18"/>
              </w:rPr>
            </w:pPr>
          </w:p>
        </w:tc>
        <w:tc>
          <w:tcPr>
            <w:tcW w:w="1040"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b/>
                <w:noProof/>
                <w:color w:val="000000"/>
                <w:sz w:val="18"/>
              </w:rPr>
            </w:pPr>
          </w:p>
        </w:tc>
        <w:tc>
          <w:tcPr>
            <w:tcW w:w="1055"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b/>
                <w:noProof/>
                <w:color w:val="000000"/>
                <w:sz w:val="18"/>
              </w:rPr>
            </w:pPr>
          </w:p>
        </w:tc>
        <w:tc>
          <w:tcPr>
            <w:tcW w:w="1213"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b/>
                <w:noProof/>
                <w:color w:val="000000"/>
                <w:sz w:val="18"/>
              </w:rPr>
            </w:pPr>
          </w:p>
        </w:tc>
        <w:tc>
          <w:tcPr>
            <w:tcW w:w="1245"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b/>
                <w:noProof/>
                <w:color w:val="000000"/>
                <w:sz w:val="18"/>
                <w:lang w:bidi="en-GB"/>
              </w:rPr>
            </w:pPr>
          </w:p>
        </w:tc>
      </w:tr>
      <w:tr>
        <w:trPr>
          <w:trHeight w:val="255"/>
        </w:trPr>
        <w:tc>
          <w:tcPr>
            <w:tcW w:w="1693" w:type="dxa"/>
            <w:tcBorders>
              <w:top w:val="nil"/>
              <w:left w:val="nil"/>
              <w:bottom w:val="nil"/>
              <w:right w:val="nil"/>
              <w:tl2br w:val="nil"/>
              <w:tr2bl w:val="nil"/>
            </w:tcBorders>
            <w:tcMar>
              <w:left w:w="60" w:type="dxa"/>
              <w:right w:w="60" w:type="dxa"/>
            </w:tcMar>
            <w:vAlign w:val="center"/>
          </w:tcPr>
          <w:p>
            <w:pPr>
              <w:pStyle w:val="DMETW36769BIPPROV"/>
              <w:rPr>
                <w:rFonts w:ascii="Verdana" w:eastAsia="Verdana" w:hAnsi="Verdana" w:cs="Verdana"/>
                <w:i/>
                <w:noProof/>
                <w:color w:val="000000"/>
                <w:sz w:val="18"/>
              </w:rPr>
            </w:pPr>
            <w:r>
              <w:rPr>
                <w:rFonts w:ascii="Verdana" w:hAnsi="Verdana"/>
                <w:i/>
                <w:noProof/>
                <w:color w:val="000000"/>
                <w:sz w:val="18"/>
              </w:rPr>
              <w:t xml:space="preserve">     Agriculture</w:t>
            </w:r>
          </w:p>
        </w:tc>
        <w:tc>
          <w:tcPr>
            <w:tcW w:w="1300"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i/>
                <w:noProof/>
                <w:color w:val="000000"/>
                <w:sz w:val="18"/>
              </w:rPr>
            </w:pPr>
            <w:r>
              <w:rPr>
                <w:rFonts w:ascii="Verdana" w:hAnsi="Verdana"/>
                <w:i/>
                <w:noProof/>
                <w:color w:val="000000"/>
                <w:sz w:val="18"/>
              </w:rPr>
              <w:t xml:space="preserve"> 204</w:t>
            </w:r>
          </w:p>
        </w:tc>
        <w:tc>
          <w:tcPr>
            <w:tcW w:w="1106"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i/>
                <w:noProof/>
                <w:color w:val="000000"/>
                <w:sz w:val="18"/>
              </w:rPr>
            </w:pPr>
            <w:r>
              <w:rPr>
                <w:rFonts w:ascii="Verdana" w:hAnsi="Verdana"/>
                <w:i/>
                <w:noProof/>
                <w:color w:val="000000"/>
                <w:sz w:val="18"/>
              </w:rPr>
              <w:t xml:space="preserve"> 9</w:t>
            </w:r>
          </w:p>
        </w:tc>
        <w:tc>
          <w:tcPr>
            <w:tcW w:w="1106"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i/>
                <w:noProof/>
                <w:color w:val="000000"/>
                <w:sz w:val="18"/>
              </w:rPr>
            </w:pPr>
            <w:r>
              <w:rPr>
                <w:rFonts w:ascii="Verdana" w:hAnsi="Verdana"/>
                <w:i/>
                <w:noProof/>
                <w:color w:val="000000"/>
                <w:sz w:val="18"/>
              </w:rPr>
              <w:t xml:space="preserve"> (178)</w:t>
            </w:r>
          </w:p>
        </w:tc>
        <w:tc>
          <w:tcPr>
            <w:tcW w:w="1040"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i/>
                <w:noProof/>
                <w:color w:val="000000"/>
                <w:sz w:val="18"/>
              </w:rPr>
            </w:pPr>
            <w:r>
              <w:rPr>
                <w:rFonts w:ascii="Verdana" w:hAnsi="Verdana"/>
                <w:i/>
                <w:noProof/>
                <w:color w:val="000000"/>
                <w:sz w:val="18"/>
              </w:rPr>
              <w:t>–</w:t>
            </w:r>
          </w:p>
        </w:tc>
        <w:tc>
          <w:tcPr>
            <w:tcW w:w="1055"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i/>
                <w:noProof/>
                <w:color w:val="000000"/>
                <w:sz w:val="18"/>
              </w:rPr>
            </w:pPr>
            <w:r>
              <w:rPr>
                <w:rFonts w:ascii="Verdana" w:hAnsi="Verdana"/>
                <w:i/>
                <w:noProof/>
                <w:color w:val="000000"/>
                <w:sz w:val="18"/>
              </w:rPr>
              <w:t>–</w:t>
            </w:r>
          </w:p>
        </w:tc>
        <w:tc>
          <w:tcPr>
            <w:tcW w:w="1213"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i/>
                <w:noProof/>
                <w:color w:val="000000"/>
                <w:sz w:val="18"/>
              </w:rPr>
            </w:pPr>
            <w:r>
              <w:rPr>
                <w:rFonts w:ascii="Verdana" w:hAnsi="Verdana"/>
                <w:i/>
                <w:noProof/>
                <w:color w:val="000000"/>
                <w:sz w:val="18"/>
              </w:rPr>
              <w:t>–</w:t>
            </w:r>
          </w:p>
        </w:tc>
        <w:tc>
          <w:tcPr>
            <w:tcW w:w="1245"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i/>
                <w:noProof/>
                <w:color w:val="000000"/>
                <w:sz w:val="18"/>
              </w:rPr>
            </w:pPr>
            <w:r>
              <w:rPr>
                <w:rFonts w:ascii="Verdana" w:hAnsi="Verdana"/>
                <w:i/>
                <w:noProof/>
                <w:color w:val="000000"/>
                <w:sz w:val="18"/>
              </w:rPr>
              <w:t xml:space="preserve"> 35</w:t>
            </w:r>
          </w:p>
        </w:tc>
      </w:tr>
      <w:tr>
        <w:trPr>
          <w:trHeight w:val="255"/>
        </w:trPr>
        <w:tc>
          <w:tcPr>
            <w:tcW w:w="1693" w:type="dxa"/>
            <w:tcBorders>
              <w:top w:val="nil"/>
              <w:left w:val="nil"/>
              <w:bottom w:val="nil"/>
              <w:right w:val="nil"/>
              <w:tl2br w:val="nil"/>
              <w:tr2bl w:val="nil"/>
            </w:tcBorders>
            <w:tcMar>
              <w:left w:w="60" w:type="dxa"/>
              <w:right w:w="60" w:type="dxa"/>
            </w:tcMar>
            <w:vAlign w:val="center"/>
          </w:tcPr>
          <w:p>
            <w:pPr>
              <w:pStyle w:val="DMETW36769BIPPROV"/>
              <w:rPr>
                <w:rFonts w:ascii="Verdana" w:eastAsia="Verdana" w:hAnsi="Verdana" w:cs="Verdana"/>
                <w:i/>
                <w:noProof/>
                <w:color w:val="000000"/>
                <w:sz w:val="18"/>
              </w:rPr>
            </w:pPr>
            <w:r>
              <w:rPr>
                <w:rFonts w:ascii="Verdana" w:hAnsi="Verdana"/>
                <w:i/>
                <w:noProof/>
                <w:color w:val="000000"/>
                <w:sz w:val="18"/>
              </w:rPr>
              <w:t xml:space="preserve">     Autres</w:t>
            </w:r>
          </w:p>
        </w:tc>
        <w:tc>
          <w:tcPr>
            <w:tcW w:w="1300"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i/>
                <w:noProof/>
                <w:color w:val="000000"/>
                <w:sz w:val="18"/>
              </w:rPr>
            </w:pPr>
            <w:r>
              <w:rPr>
                <w:rFonts w:ascii="Verdana" w:hAnsi="Verdana"/>
                <w:i/>
                <w:noProof/>
                <w:color w:val="000000"/>
                <w:sz w:val="18"/>
              </w:rPr>
              <w:t xml:space="preserve"> 100</w:t>
            </w:r>
          </w:p>
        </w:tc>
        <w:tc>
          <w:tcPr>
            <w:tcW w:w="1106"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i/>
                <w:noProof/>
                <w:color w:val="000000"/>
                <w:sz w:val="18"/>
              </w:rPr>
            </w:pPr>
            <w:r>
              <w:rPr>
                <w:rFonts w:ascii="Verdana" w:hAnsi="Verdana"/>
                <w:i/>
                <w:noProof/>
                <w:color w:val="000000"/>
                <w:sz w:val="18"/>
              </w:rPr>
              <w:t xml:space="preserve"> 149</w:t>
            </w:r>
          </w:p>
        </w:tc>
        <w:tc>
          <w:tcPr>
            <w:tcW w:w="1106"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i/>
                <w:noProof/>
                <w:color w:val="000000"/>
                <w:sz w:val="18"/>
              </w:rPr>
            </w:pPr>
            <w:r>
              <w:rPr>
                <w:rFonts w:ascii="Verdana" w:hAnsi="Verdana"/>
                <w:i/>
                <w:noProof/>
                <w:color w:val="000000"/>
                <w:sz w:val="18"/>
              </w:rPr>
              <w:t xml:space="preserve"> (8)</w:t>
            </w:r>
          </w:p>
        </w:tc>
        <w:tc>
          <w:tcPr>
            <w:tcW w:w="1040"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i/>
                <w:noProof/>
                <w:color w:val="000000"/>
                <w:sz w:val="18"/>
              </w:rPr>
            </w:pPr>
            <w:r>
              <w:rPr>
                <w:rFonts w:ascii="Verdana" w:hAnsi="Verdana"/>
                <w:i/>
                <w:noProof/>
                <w:color w:val="000000"/>
                <w:sz w:val="18"/>
              </w:rPr>
              <w:t xml:space="preserve"> (59)</w:t>
            </w:r>
          </w:p>
        </w:tc>
        <w:tc>
          <w:tcPr>
            <w:tcW w:w="1055"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i/>
                <w:noProof/>
                <w:color w:val="000000"/>
                <w:sz w:val="18"/>
              </w:rPr>
            </w:pPr>
            <w:r>
              <w:rPr>
                <w:rFonts w:ascii="Verdana" w:hAnsi="Verdana"/>
                <w:i/>
                <w:noProof/>
                <w:color w:val="000000"/>
                <w:sz w:val="18"/>
              </w:rPr>
              <w:t>–</w:t>
            </w:r>
          </w:p>
        </w:tc>
        <w:tc>
          <w:tcPr>
            <w:tcW w:w="1213"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i/>
                <w:noProof/>
                <w:color w:val="000000"/>
                <w:sz w:val="18"/>
              </w:rPr>
            </w:pPr>
            <w:r>
              <w:rPr>
                <w:rFonts w:ascii="Verdana" w:hAnsi="Verdana"/>
                <w:i/>
                <w:noProof/>
                <w:color w:val="000000"/>
                <w:sz w:val="18"/>
              </w:rPr>
              <w:t xml:space="preserve"> 0</w:t>
            </w:r>
          </w:p>
        </w:tc>
        <w:tc>
          <w:tcPr>
            <w:tcW w:w="1245"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i/>
                <w:noProof/>
                <w:color w:val="000000"/>
                <w:sz w:val="18"/>
              </w:rPr>
            </w:pPr>
            <w:r>
              <w:rPr>
                <w:rFonts w:ascii="Verdana" w:hAnsi="Verdana"/>
                <w:i/>
                <w:noProof/>
                <w:color w:val="000000"/>
                <w:sz w:val="18"/>
              </w:rPr>
              <w:t xml:space="preserve"> 182</w:t>
            </w:r>
          </w:p>
        </w:tc>
      </w:tr>
      <w:tr>
        <w:trPr>
          <w:trHeight w:val="255"/>
        </w:trPr>
        <w:tc>
          <w:tcPr>
            <w:tcW w:w="1693" w:type="dxa"/>
            <w:tcBorders>
              <w:top w:val="nil"/>
              <w:left w:val="nil"/>
              <w:bottom w:val="nil"/>
              <w:right w:val="nil"/>
              <w:tl2br w:val="nil"/>
              <w:tr2bl w:val="nil"/>
            </w:tcBorders>
            <w:tcMar>
              <w:left w:w="60" w:type="dxa"/>
              <w:right w:w="60" w:type="dxa"/>
            </w:tcMar>
            <w:vAlign w:val="center"/>
          </w:tcPr>
          <w:p>
            <w:pPr>
              <w:pStyle w:val="DMETW36769BIPPROV"/>
              <w:rPr>
                <w:rFonts w:ascii="Verdana" w:eastAsia="Verdana" w:hAnsi="Verdana" w:cs="Verdana"/>
                <w:i/>
                <w:noProof/>
                <w:color w:val="000000"/>
                <w:sz w:val="18"/>
              </w:rPr>
            </w:pPr>
            <w:r>
              <w:rPr>
                <w:rFonts w:ascii="Verdana" w:hAnsi="Verdana"/>
                <w:i/>
                <w:noProof/>
                <w:color w:val="000000"/>
                <w:sz w:val="18"/>
              </w:rPr>
              <w:t>Démantèlement de sites nucléaires</w:t>
            </w:r>
          </w:p>
        </w:tc>
        <w:tc>
          <w:tcPr>
            <w:tcW w:w="1300"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i/>
                <w:noProof/>
                <w:color w:val="000000"/>
                <w:sz w:val="18"/>
              </w:rPr>
            </w:pPr>
            <w:r>
              <w:rPr>
                <w:rFonts w:ascii="Verdana" w:hAnsi="Verdana"/>
                <w:i/>
                <w:noProof/>
                <w:color w:val="000000"/>
                <w:sz w:val="18"/>
              </w:rPr>
              <w:t>1 796</w:t>
            </w:r>
          </w:p>
        </w:tc>
        <w:tc>
          <w:tcPr>
            <w:tcW w:w="1106"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i/>
                <w:noProof/>
                <w:color w:val="000000"/>
                <w:sz w:val="18"/>
              </w:rPr>
            </w:pPr>
            <w:r>
              <w:rPr>
                <w:rFonts w:ascii="Verdana" w:hAnsi="Verdana"/>
                <w:i/>
                <w:noProof/>
                <w:color w:val="000000"/>
                <w:sz w:val="18"/>
              </w:rPr>
              <w:t>–</w:t>
            </w:r>
          </w:p>
        </w:tc>
        <w:tc>
          <w:tcPr>
            <w:tcW w:w="1106"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i/>
                <w:noProof/>
                <w:color w:val="000000"/>
                <w:sz w:val="18"/>
              </w:rPr>
            </w:pPr>
            <w:r>
              <w:rPr>
                <w:rFonts w:ascii="Verdana" w:hAnsi="Verdana"/>
                <w:i/>
                <w:noProof/>
                <w:color w:val="000000"/>
                <w:sz w:val="18"/>
              </w:rPr>
              <w:t>–</w:t>
            </w:r>
          </w:p>
        </w:tc>
        <w:tc>
          <w:tcPr>
            <w:tcW w:w="1040"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i/>
                <w:noProof/>
                <w:color w:val="000000"/>
                <w:sz w:val="18"/>
              </w:rPr>
            </w:pPr>
            <w:r>
              <w:rPr>
                <w:rFonts w:ascii="Verdana" w:hAnsi="Verdana"/>
                <w:i/>
                <w:noProof/>
                <w:color w:val="000000"/>
                <w:sz w:val="18"/>
              </w:rPr>
              <w:t xml:space="preserve"> (53)</w:t>
            </w:r>
          </w:p>
        </w:tc>
        <w:tc>
          <w:tcPr>
            <w:tcW w:w="1055"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i/>
                <w:noProof/>
                <w:color w:val="000000"/>
                <w:sz w:val="18"/>
              </w:rPr>
            </w:pPr>
            <w:r>
              <w:rPr>
                <w:rFonts w:ascii="Verdana" w:hAnsi="Verdana"/>
                <w:i/>
                <w:noProof/>
                <w:color w:val="000000"/>
                <w:sz w:val="18"/>
              </w:rPr>
              <w:t>–</w:t>
            </w:r>
          </w:p>
        </w:tc>
        <w:tc>
          <w:tcPr>
            <w:tcW w:w="1213"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i/>
                <w:noProof/>
                <w:color w:val="000000"/>
                <w:sz w:val="18"/>
              </w:rPr>
            </w:pPr>
            <w:r>
              <w:rPr>
                <w:rFonts w:ascii="Verdana" w:hAnsi="Verdana"/>
                <w:i/>
                <w:noProof/>
                <w:color w:val="000000"/>
                <w:sz w:val="18"/>
              </w:rPr>
              <w:t xml:space="preserve"> 137</w:t>
            </w:r>
          </w:p>
        </w:tc>
        <w:tc>
          <w:tcPr>
            <w:tcW w:w="1245"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i/>
                <w:noProof/>
                <w:color w:val="000000"/>
                <w:sz w:val="18"/>
              </w:rPr>
            </w:pPr>
            <w:r>
              <w:rPr>
                <w:rFonts w:ascii="Verdana" w:hAnsi="Verdana"/>
                <w:i/>
                <w:noProof/>
                <w:color w:val="000000"/>
                <w:sz w:val="18"/>
              </w:rPr>
              <w:t>1 880</w:t>
            </w:r>
          </w:p>
        </w:tc>
      </w:tr>
      <w:tr>
        <w:trPr>
          <w:trHeight w:val="255"/>
        </w:trPr>
        <w:tc>
          <w:tcPr>
            <w:tcW w:w="1693" w:type="dxa"/>
            <w:tcBorders>
              <w:top w:val="nil"/>
              <w:left w:val="nil"/>
              <w:bottom w:val="nil"/>
              <w:right w:val="nil"/>
              <w:tl2br w:val="nil"/>
              <w:tr2bl w:val="nil"/>
            </w:tcBorders>
            <w:tcMar>
              <w:left w:w="60" w:type="dxa"/>
              <w:right w:w="60" w:type="dxa"/>
            </w:tcMar>
            <w:vAlign w:val="center"/>
          </w:tcPr>
          <w:p>
            <w:pPr>
              <w:pStyle w:val="DMETW36769BIPPROV"/>
              <w:rPr>
                <w:rFonts w:ascii="Verdana" w:eastAsia="Verdana" w:hAnsi="Verdana" w:cs="Verdana"/>
                <w:i/>
                <w:noProof/>
                <w:color w:val="000000"/>
                <w:sz w:val="18"/>
              </w:rPr>
            </w:pPr>
            <w:r>
              <w:rPr>
                <w:rFonts w:ascii="Verdana" w:hAnsi="Verdana"/>
                <w:i/>
                <w:noProof/>
                <w:color w:val="000000"/>
                <w:sz w:val="18"/>
              </w:rPr>
              <w:t>Financières</w:t>
            </w:r>
          </w:p>
        </w:tc>
        <w:tc>
          <w:tcPr>
            <w:tcW w:w="1300"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i/>
                <w:noProof/>
                <w:color w:val="000000"/>
                <w:sz w:val="18"/>
              </w:rPr>
            </w:pPr>
            <w:r>
              <w:rPr>
                <w:rFonts w:ascii="Verdana" w:hAnsi="Verdana"/>
                <w:i/>
                <w:noProof/>
                <w:color w:val="000000"/>
                <w:sz w:val="18"/>
              </w:rPr>
              <w:t>7 082</w:t>
            </w:r>
          </w:p>
        </w:tc>
        <w:tc>
          <w:tcPr>
            <w:tcW w:w="1106"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i/>
                <w:noProof/>
                <w:color w:val="000000"/>
                <w:sz w:val="18"/>
              </w:rPr>
            </w:pPr>
            <w:r>
              <w:rPr>
                <w:rFonts w:ascii="Verdana" w:hAnsi="Verdana"/>
                <w:i/>
                <w:noProof/>
                <w:color w:val="000000"/>
                <w:sz w:val="18"/>
              </w:rPr>
              <w:t xml:space="preserve"> 1</w:t>
            </w:r>
          </w:p>
        </w:tc>
        <w:tc>
          <w:tcPr>
            <w:tcW w:w="1106"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i/>
                <w:noProof/>
                <w:color w:val="000000"/>
                <w:sz w:val="18"/>
              </w:rPr>
            </w:pPr>
            <w:r>
              <w:rPr>
                <w:rFonts w:ascii="Verdana" w:hAnsi="Verdana"/>
                <w:i/>
                <w:noProof/>
                <w:color w:val="000000"/>
                <w:sz w:val="18"/>
              </w:rPr>
              <w:t>(7 081)</w:t>
            </w:r>
          </w:p>
        </w:tc>
        <w:tc>
          <w:tcPr>
            <w:tcW w:w="1040"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i/>
                <w:noProof/>
                <w:color w:val="000000"/>
                <w:sz w:val="18"/>
              </w:rPr>
            </w:pPr>
            <w:r>
              <w:rPr>
                <w:rFonts w:ascii="Verdana" w:hAnsi="Verdana"/>
                <w:i/>
                <w:noProof/>
                <w:color w:val="000000"/>
                <w:sz w:val="18"/>
              </w:rPr>
              <w:t xml:space="preserve"> (0)</w:t>
            </w:r>
          </w:p>
        </w:tc>
        <w:tc>
          <w:tcPr>
            <w:tcW w:w="1055"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i/>
                <w:noProof/>
                <w:color w:val="000000"/>
                <w:sz w:val="18"/>
              </w:rPr>
            </w:pPr>
            <w:r>
              <w:rPr>
                <w:rFonts w:ascii="Verdana" w:hAnsi="Verdana"/>
                <w:i/>
                <w:noProof/>
                <w:color w:val="000000"/>
                <w:sz w:val="18"/>
              </w:rPr>
              <w:t>–</w:t>
            </w:r>
          </w:p>
        </w:tc>
        <w:tc>
          <w:tcPr>
            <w:tcW w:w="1213"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i/>
                <w:noProof/>
                <w:color w:val="000000"/>
                <w:sz w:val="18"/>
              </w:rPr>
            </w:pPr>
            <w:r>
              <w:rPr>
                <w:rFonts w:ascii="Verdana" w:hAnsi="Verdana"/>
                <w:i/>
                <w:noProof/>
                <w:color w:val="000000"/>
                <w:sz w:val="18"/>
              </w:rPr>
              <w:t>–</w:t>
            </w:r>
          </w:p>
        </w:tc>
        <w:tc>
          <w:tcPr>
            <w:tcW w:w="1245"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i/>
                <w:noProof/>
                <w:color w:val="000000"/>
                <w:sz w:val="18"/>
              </w:rPr>
            </w:pPr>
            <w:r>
              <w:rPr>
                <w:rFonts w:ascii="Verdana" w:hAnsi="Verdana"/>
                <w:i/>
                <w:noProof/>
                <w:color w:val="000000"/>
                <w:sz w:val="18"/>
              </w:rPr>
              <w:t xml:space="preserve"> 3</w:t>
            </w:r>
          </w:p>
        </w:tc>
      </w:tr>
      <w:tr>
        <w:trPr>
          <w:trHeight w:val="255"/>
        </w:trPr>
        <w:tc>
          <w:tcPr>
            <w:tcW w:w="1693" w:type="dxa"/>
            <w:tcBorders>
              <w:top w:val="nil"/>
              <w:left w:val="nil"/>
              <w:bottom w:val="single" w:sz="4" w:space="0" w:color="016794"/>
              <w:right w:val="nil"/>
              <w:tl2br w:val="nil"/>
              <w:tr2bl w:val="nil"/>
            </w:tcBorders>
            <w:tcMar>
              <w:left w:w="60" w:type="dxa"/>
              <w:right w:w="60" w:type="dxa"/>
            </w:tcMar>
            <w:vAlign w:val="center"/>
          </w:tcPr>
          <w:p>
            <w:pPr>
              <w:pStyle w:val="DMETW36769BIPPROV"/>
              <w:rPr>
                <w:rFonts w:ascii="Verdana" w:eastAsia="Verdana" w:hAnsi="Verdana" w:cs="Verdana"/>
                <w:i/>
                <w:noProof/>
                <w:color w:val="000000"/>
                <w:sz w:val="18"/>
              </w:rPr>
            </w:pPr>
            <w:r>
              <w:rPr>
                <w:rFonts w:ascii="Verdana" w:hAnsi="Verdana"/>
                <w:i/>
                <w:noProof/>
                <w:color w:val="000000"/>
                <w:sz w:val="18"/>
              </w:rPr>
              <w:t>Autres</w:t>
            </w:r>
          </w:p>
        </w:tc>
        <w:tc>
          <w:tcPr>
            <w:tcW w:w="1300" w:type="dxa"/>
            <w:tcBorders>
              <w:top w:val="nil"/>
              <w:left w:val="nil"/>
              <w:bottom w:val="single" w:sz="4" w:space="0" w:color="016794"/>
              <w:right w:val="nil"/>
              <w:tl2br w:val="nil"/>
              <w:tr2bl w:val="nil"/>
            </w:tcBorders>
            <w:tcMar>
              <w:left w:w="60" w:type="dxa"/>
              <w:right w:w="60" w:type="dxa"/>
            </w:tcMar>
            <w:vAlign w:val="center"/>
          </w:tcPr>
          <w:p>
            <w:pPr>
              <w:pStyle w:val="DMETW36769BIPPROV"/>
              <w:jc w:val="right"/>
              <w:rPr>
                <w:rFonts w:ascii="Verdana" w:eastAsia="Verdana" w:hAnsi="Verdana" w:cs="Verdana"/>
                <w:i/>
                <w:noProof/>
                <w:color w:val="000000"/>
                <w:sz w:val="18"/>
              </w:rPr>
            </w:pPr>
            <w:r>
              <w:rPr>
                <w:rFonts w:ascii="Verdana" w:hAnsi="Verdana"/>
                <w:i/>
                <w:noProof/>
                <w:color w:val="000000"/>
                <w:sz w:val="18"/>
              </w:rPr>
              <w:t xml:space="preserve"> 633</w:t>
            </w:r>
          </w:p>
        </w:tc>
        <w:tc>
          <w:tcPr>
            <w:tcW w:w="1106" w:type="dxa"/>
            <w:tcBorders>
              <w:top w:val="nil"/>
              <w:left w:val="nil"/>
              <w:bottom w:val="single" w:sz="4" w:space="0" w:color="016794"/>
              <w:right w:val="nil"/>
              <w:tl2br w:val="nil"/>
              <w:tr2bl w:val="nil"/>
            </w:tcBorders>
            <w:tcMar>
              <w:left w:w="60" w:type="dxa"/>
              <w:right w:w="60" w:type="dxa"/>
            </w:tcMar>
            <w:vAlign w:val="center"/>
          </w:tcPr>
          <w:p>
            <w:pPr>
              <w:pStyle w:val="DMETW36769BIPPROV"/>
              <w:jc w:val="right"/>
              <w:rPr>
                <w:rFonts w:ascii="Verdana" w:eastAsia="Verdana" w:hAnsi="Verdana" w:cs="Verdana"/>
                <w:i/>
                <w:noProof/>
                <w:color w:val="000000"/>
                <w:sz w:val="18"/>
              </w:rPr>
            </w:pPr>
            <w:r>
              <w:rPr>
                <w:rFonts w:ascii="Verdana" w:hAnsi="Verdana"/>
                <w:i/>
                <w:noProof/>
                <w:color w:val="000000"/>
                <w:sz w:val="18"/>
              </w:rPr>
              <w:t xml:space="preserve"> 164</w:t>
            </w:r>
          </w:p>
        </w:tc>
        <w:tc>
          <w:tcPr>
            <w:tcW w:w="1106" w:type="dxa"/>
            <w:tcBorders>
              <w:top w:val="nil"/>
              <w:left w:val="nil"/>
              <w:bottom w:val="single" w:sz="4" w:space="0" w:color="016794"/>
              <w:right w:val="nil"/>
              <w:tl2br w:val="nil"/>
              <w:tr2bl w:val="nil"/>
            </w:tcBorders>
            <w:tcMar>
              <w:left w:w="60" w:type="dxa"/>
              <w:right w:w="60" w:type="dxa"/>
            </w:tcMar>
            <w:vAlign w:val="center"/>
          </w:tcPr>
          <w:p>
            <w:pPr>
              <w:pStyle w:val="DMETW36769BIPPROV"/>
              <w:jc w:val="right"/>
              <w:rPr>
                <w:rFonts w:ascii="Verdana" w:eastAsia="Verdana" w:hAnsi="Verdana" w:cs="Verdana"/>
                <w:i/>
                <w:noProof/>
                <w:color w:val="000000"/>
                <w:sz w:val="18"/>
              </w:rPr>
            </w:pPr>
            <w:r>
              <w:rPr>
                <w:rFonts w:ascii="Verdana" w:hAnsi="Verdana"/>
                <w:i/>
                <w:noProof/>
                <w:color w:val="000000"/>
                <w:sz w:val="18"/>
              </w:rPr>
              <w:t xml:space="preserve"> (206)</w:t>
            </w:r>
          </w:p>
        </w:tc>
        <w:tc>
          <w:tcPr>
            <w:tcW w:w="1040" w:type="dxa"/>
            <w:tcBorders>
              <w:top w:val="nil"/>
              <w:left w:val="nil"/>
              <w:bottom w:val="single" w:sz="4" w:space="0" w:color="016794"/>
              <w:right w:val="nil"/>
              <w:tl2br w:val="nil"/>
              <w:tr2bl w:val="nil"/>
            </w:tcBorders>
            <w:tcMar>
              <w:left w:w="60" w:type="dxa"/>
              <w:right w:w="60" w:type="dxa"/>
            </w:tcMar>
            <w:vAlign w:val="center"/>
          </w:tcPr>
          <w:p>
            <w:pPr>
              <w:pStyle w:val="DMETW36769BIPPROV"/>
              <w:jc w:val="right"/>
              <w:rPr>
                <w:rFonts w:ascii="Verdana" w:eastAsia="Verdana" w:hAnsi="Verdana" w:cs="Verdana"/>
                <w:i/>
                <w:noProof/>
                <w:color w:val="000000"/>
                <w:sz w:val="18"/>
              </w:rPr>
            </w:pPr>
            <w:r>
              <w:rPr>
                <w:rFonts w:ascii="Verdana" w:hAnsi="Verdana"/>
                <w:i/>
                <w:noProof/>
                <w:color w:val="000000"/>
                <w:sz w:val="18"/>
              </w:rPr>
              <w:t xml:space="preserve"> (17)</w:t>
            </w:r>
          </w:p>
        </w:tc>
        <w:tc>
          <w:tcPr>
            <w:tcW w:w="1055" w:type="dxa"/>
            <w:tcBorders>
              <w:top w:val="nil"/>
              <w:left w:val="nil"/>
              <w:bottom w:val="single" w:sz="4" w:space="0" w:color="016794"/>
              <w:right w:val="nil"/>
              <w:tl2br w:val="nil"/>
              <w:tr2bl w:val="nil"/>
            </w:tcBorders>
            <w:tcMar>
              <w:left w:w="60" w:type="dxa"/>
              <w:right w:w="60" w:type="dxa"/>
            </w:tcMar>
            <w:vAlign w:val="center"/>
          </w:tcPr>
          <w:p>
            <w:pPr>
              <w:pStyle w:val="DMETW36769BIPPROV"/>
              <w:jc w:val="right"/>
              <w:rPr>
                <w:rFonts w:ascii="Verdana" w:eastAsia="Verdana" w:hAnsi="Verdana" w:cs="Verdana"/>
                <w:i/>
                <w:noProof/>
                <w:color w:val="000000"/>
                <w:sz w:val="18"/>
              </w:rPr>
            </w:pPr>
            <w:r>
              <w:rPr>
                <w:rFonts w:ascii="Verdana" w:hAnsi="Verdana"/>
                <w:i/>
                <w:noProof/>
                <w:color w:val="000000"/>
                <w:sz w:val="18"/>
              </w:rPr>
              <w:t>–</w:t>
            </w:r>
          </w:p>
        </w:tc>
        <w:tc>
          <w:tcPr>
            <w:tcW w:w="1213" w:type="dxa"/>
            <w:tcBorders>
              <w:top w:val="nil"/>
              <w:left w:val="nil"/>
              <w:bottom w:val="single" w:sz="4" w:space="0" w:color="016794"/>
              <w:right w:val="nil"/>
              <w:tl2br w:val="nil"/>
              <w:tr2bl w:val="nil"/>
            </w:tcBorders>
            <w:tcMar>
              <w:left w:w="60" w:type="dxa"/>
              <w:right w:w="60" w:type="dxa"/>
            </w:tcMar>
            <w:vAlign w:val="center"/>
          </w:tcPr>
          <w:p>
            <w:pPr>
              <w:pStyle w:val="DMETW36769BIPPROV"/>
              <w:jc w:val="right"/>
              <w:rPr>
                <w:rFonts w:ascii="Verdana" w:eastAsia="Verdana" w:hAnsi="Verdana" w:cs="Verdana"/>
                <w:i/>
                <w:noProof/>
                <w:color w:val="000000"/>
                <w:sz w:val="18"/>
              </w:rPr>
            </w:pPr>
            <w:r>
              <w:rPr>
                <w:rFonts w:ascii="Verdana" w:hAnsi="Verdana"/>
                <w:i/>
                <w:noProof/>
                <w:color w:val="000000"/>
                <w:sz w:val="18"/>
              </w:rPr>
              <w:t xml:space="preserve"> (61)</w:t>
            </w:r>
          </w:p>
        </w:tc>
        <w:tc>
          <w:tcPr>
            <w:tcW w:w="1245" w:type="dxa"/>
            <w:tcBorders>
              <w:top w:val="nil"/>
              <w:left w:val="nil"/>
              <w:bottom w:val="single" w:sz="4" w:space="0" w:color="016794"/>
              <w:right w:val="nil"/>
              <w:tl2br w:val="nil"/>
              <w:tr2bl w:val="nil"/>
            </w:tcBorders>
            <w:tcMar>
              <w:left w:w="60" w:type="dxa"/>
              <w:right w:w="60" w:type="dxa"/>
            </w:tcMar>
            <w:vAlign w:val="center"/>
          </w:tcPr>
          <w:p>
            <w:pPr>
              <w:pStyle w:val="DMETW36769BIPPROV"/>
              <w:jc w:val="right"/>
              <w:rPr>
                <w:rFonts w:ascii="Verdana" w:eastAsia="Verdana" w:hAnsi="Verdana" w:cs="Verdana"/>
                <w:i/>
                <w:noProof/>
                <w:color w:val="000000"/>
                <w:sz w:val="18"/>
              </w:rPr>
            </w:pPr>
            <w:r>
              <w:rPr>
                <w:rFonts w:ascii="Verdana" w:hAnsi="Verdana"/>
                <w:i/>
                <w:noProof/>
                <w:color w:val="000000"/>
                <w:sz w:val="18"/>
              </w:rPr>
              <w:t xml:space="preserve"> 514</w:t>
            </w:r>
          </w:p>
        </w:tc>
      </w:tr>
      <w:tr>
        <w:trPr>
          <w:trHeight w:val="255"/>
        </w:trPr>
        <w:tc>
          <w:tcPr>
            <w:tcW w:w="1693" w:type="dxa"/>
            <w:tcBorders>
              <w:top w:val="single" w:sz="4" w:space="0" w:color="016794"/>
              <w:left w:val="nil"/>
              <w:bottom w:val="nil"/>
              <w:right w:val="nil"/>
              <w:tl2br w:val="nil"/>
              <w:tr2bl w:val="nil"/>
            </w:tcBorders>
            <w:tcMar>
              <w:left w:w="60" w:type="dxa"/>
              <w:right w:w="60" w:type="dxa"/>
            </w:tcMar>
            <w:vAlign w:val="center"/>
          </w:tcPr>
          <w:p>
            <w:pPr>
              <w:pStyle w:val="DMETW36769BIPPROV"/>
              <w:rPr>
                <w:rFonts w:ascii="Verdana" w:eastAsia="Verdana" w:hAnsi="Verdana" w:cs="Verdana"/>
                <w:b/>
                <w:noProof/>
                <w:color w:val="000000"/>
                <w:sz w:val="18"/>
              </w:rPr>
            </w:pPr>
            <w:r>
              <w:rPr>
                <w:rFonts w:ascii="Verdana" w:hAnsi="Verdana"/>
                <w:b/>
                <w:noProof/>
                <w:color w:val="000000"/>
                <w:sz w:val="18"/>
              </w:rPr>
              <w:t>Total</w:t>
            </w:r>
          </w:p>
        </w:tc>
        <w:tc>
          <w:tcPr>
            <w:tcW w:w="1300" w:type="dxa"/>
            <w:tcBorders>
              <w:top w:val="single" w:sz="4" w:space="0" w:color="016794"/>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b/>
                <w:noProof/>
                <w:color w:val="000000"/>
                <w:sz w:val="18"/>
              </w:rPr>
            </w:pPr>
            <w:r>
              <w:rPr>
                <w:rFonts w:ascii="Verdana" w:hAnsi="Verdana"/>
                <w:b/>
                <w:noProof/>
                <w:color w:val="000000"/>
                <w:sz w:val="18"/>
              </w:rPr>
              <w:t>9 816</w:t>
            </w:r>
          </w:p>
        </w:tc>
        <w:tc>
          <w:tcPr>
            <w:tcW w:w="1106" w:type="dxa"/>
            <w:tcBorders>
              <w:top w:val="single" w:sz="4" w:space="0" w:color="016794"/>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b/>
                <w:noProof/>
                <w:color w:val="000000"/>
                <w:sz w:val="18"/>
              </w:rPr>
            </w:pPr>
            <w:r>
              <w:rPr>
                <w:rFonts w:ascii="Verdana" w:hAnsi="Verdana"/>
                <w:b/>
                <w:noProof/>
                <w:color w:val="000000"/>
                <w:sz w:val="18"/>
              </w:rPr>
              <w:t xml:space="preserve"> 323</w:t>
            </w:r>
          </w:p>
        </w:tc>
        <w:tc>
          <w:tcPr>
            <w:tcW w:w="1106" w:type="dxa"/>
            <w:tcBorders>
              <w:top w:val="single" w:sz="4" w:space="0" w:color="016794"/>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b/>
                <w:noProof/>
                <w:color w:val="000000"/>
                <w:sz w:val="18"/>
              </w:rPr>
            </w:pPr>
            <w:r>
              <w:rPr>
                <w:rFonts w:ascii="Verdana" w:hAnsi="Verdana"/>
                <w:b/>
                <w:noProof/>
                <w:color w:val="000000"/>
                <w:sz w:val="18"/>
              </w:rPr>
              <w:t>(7 473)</w:t>
            </w:r>
          </w:p>
        </w:tc>
        <w:tc>
          <w:tcPr>
            <w:tcW w:w="1040" w:type="dxa"/>
            <w:tcBorders>
              <w:top w:val="single" w:sz="4" w:space="0" w:color="016794"/>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b/>
                <w:noProof/>
                <w:color w:val="000000"/>
                <w:sz w:val="18"/>
              </w:rPr>
            </w:pPr>
            <w:r>
              <w:rPr>
                <w:rFonts w:ascii="Verdana" w:hAnsi="Verdana"/>
                <w:b/>
                <w:noProof/>
                <w:color w:val="000000"/>
                <w:sz w:val="18"/>
              </w:rPr>
              <w:t xml:space="preserve"> (129)</w:t>
            </w:r>
          </w:p>
        </w:tc>
        <w:tc>
          <w:tcPr>
            <w:tcW w:w="1055" w:type="dxa"/>
            <w:tcBorders>
              <w:top w:val="single" w:sz="4" w:space="0" w:color="016794"/>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b/>
                <w:noProof/>
                <w:color w:val="000000"/>
                <w:sz w:val="18"/>
              </w:rPr>
            </w:pPr>
            <w:r>
              <w:rPr>
                <w:rFonts w:ascii="Verdana" w:hAnsi="Verdana"/>
                <w:b/>
                <w:noProof/>
                <w:color w:val="000000"/>
                <w:sz w:val="18"/>
              </w:rPr>
              <w:t>–</w:t>
            </w:r>
          </w:p>
        </w:tc>
        <w:tc>
          <w:tcPr>
            <w:tcW w:w="1213" w:type="dxa"/>
            <w:tcBorders>
              <w:top w:val="single" w:sz="4" w:space="0" w:color="016794"/>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b/>
                <w:noProof/>
                <w:color w:val="000000"/>
                <w:sz w:val="18"/>
              </w:rPr>
            </w:pPr>
            <w:r>
              <w:rPr>
                <w:rFonts w:ascii="Verdana" w:hAnsi="Verdana"/>
                <w:b/>
                <w:noProof/>
                <w:color w:val="000000"/>
                <w:sz w:val="18"/>
              </w:rPr>
              <w:t xml:space="preserve"> 76</w:t>
            </w:r>
          </w:p>
        </w:tc>
        <w:tc>
          <w:tcPr>
            <w:tcW w:w="1245" w:type="dxa"/>
            <w:tcBorders>
              <w:top w:val="single" w:sz="4" w:space="0" w:color="016794"/>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b/>
                <w:noProof/>
                <w:color w:val="000000"/>
                <w:sz w:val="18"/>
              </w:rPr>
            </w:pPr>
            <w:r>
              <w:rPr>
                <w:rFonts w:ascii="Verdana" w:hAnsi="Verdana"/>
                <w:b/>
                <w:noProof/>
                <w:color w:val="000000"/>
                <w:sz w:val="18"/>
              </w:rPr>
              <w:t>2 613</w:t>
            </w:r>
          </w:p>
        </w:tc>
      </w:tr>
      <w:tr>
        <w:trPr>
          <w:trHeight w:val="255"/>
        </w:trPr>
        <w:tc>
          <w:tcPr>
            <w:tcW w:w="1693" w:type="dxa"/>
            <w:tcBorders>
              <w:top w:val="nil"/>
              <w:left w:val="nil"/>
              <w:bottom w:val="nil"/>
              <w:right w:val="nil"/>
              <w:tl2br w:val="nil"/>
              <w:tr2bl w:val="nil"/>
            </w:tcBorders>
            <w:shd w:val="solid" w:color="CCE1EA" w:fill="FFFFFF"/>
            <w:tcMar>
              <w:left w:w="60" w:type="dxa"/>
              <w:right w:w="60" w:type="dxa"/>
            </w:tcMar>
            <w:vAlign w:val="center"/>
          </w:tcPr>
          <w:p>
            <w:pPr>
              <w:pStyle w:val="DMETW36769BIPPROV"/>
              <w:rPr>
                <w:rFonts w:ascii="Verdana" w:eastAsia="Verdana" w:hAnsi="Verdana" w:cs="Verdana"/>
                <w:b/>
                <w:noProof/>
                <w:color w:val="000000"/>
                <w:sz w:val="18"/>
              </w:rPr>
            </w:pPr>
            <w:r>
              <w:rPr>
                <w:rFonts w:ascii="Verdana" w:hAnsi="Verdana"/>
                <w:b/>
                <w:noProof/>
                <w:color w:val="000000"/>
                <w:sz w:val="18"/>
              </w:rPr>
              <w:t>Non courantes</w:t>
            </w:r>
          </w:p>
        </w:tc>
        <w:tc>
          <w:tcPr>
            <w:tcW w:w="1300" w:type="dxa"/>
            <w:tcBorders>
              <w:top w:val="nil"/>
              <w:left w:val="nil"/>
              <w:bottom w:val="nil"/>
              <w:right w:val="nil"/>
              <w:tl2br w:val="nil"/>
              <w:tr2bl w:val="nil"/>
            </w:tcBorders>
            <w:shd w:val="solid" w:color="CCE1EA" w:fill="FFFFFF"/>
            <w:tcMar>
              <w:left w:w="60" w:type="dxa"/>
              <w:right w:w="60" w:type="dxa"/>
            </w:tcMar>
            <w:vAlign w:val="center"/>
          </w:tcPr>
          <w:p>
            <w:pPr>
              <w:pStyle w:val="DMETW36769BIPPROV"/>
              <w:jc w:val="right"/>
              <w:rPr>
                <w:rFonts w:ascii="Verdana" w:eastAsia="Verdana" w:hAnsi="Verdana" w:cs="Verdana"/>
                <w:b/>
                <w:noProof/>
                <w:color w:val="000000"/>
                <w:sz w:val="18"/>
              </w:rPr>
            </w:pPr>
            <w:r>
              <w:rPr>
                <w:rFonts w:ascii="Verdana" w:hAnsi="Verdana"/>
                <w:b/>
                <w:noProof/>
                <w:color w:val="000000"/>
                <w:sz w:val="18"/>
              </w:rPr>
              <w:t>2 280</w:t>
            </w:r>
          </w:p>
        </w:tc>
        <w:tc>
          <w:tcPr>
            <w:tcW w:w="1106" w:type="dxa"/>
            <w:tcBorders>
              <w:top w:val="nil"/>
              <w:left w:val="nil"/>
              <w:bottom w:val="nil"/>
              <w:right w:val="nil"/>
              <w:tl2br w:val="nil"/>
              <w:tr2bl w:val="nil"/>
            </w:tcBorders>
            <w:shd w:val="solid" w:color="CCE1EA" w:fill="FFFFFF"/>
            <w:tcMar>
              <w:left w:w="60" w:type="dxa"/>
              <w:right w:w="60" w:type="dxa"/>
            </w:tcMar>
            <w:vAlign w:val="center"/>
          </w:tcPr>
          <w:p>
            <w:pPr>
              <w:pStyle w:val="DMETW36769BIPPROV"/>
              <w:jc w:val="right"/>
              <w:rPr>
                <w:rFonts w:ascii="Verdana" w:eastAsia="Verdana" w:hAnsi="Verdana" w:cs="Verdana"/>
                <w:b/>
                <w:noProof/>
                <w:color w:val="000000"/>
                <w:sz w:val="18"/>
              </w:rPr>
            </w:pPr>
            <w:r>
              <w:rPr>
                <w:rFonts w:ascii="Verdana" w:hAnsi="Verdana"/>
                <w:b/>
                <w:noProof/>
                <w:color w:val="000000"/>
                <w:sz w:val="18"/>
              </w:rPr>
              <w:t xml:space="preserve"> 58</w:t>
            </w:r>
          </w:p>
        </w:tc>
        <w:tc>
          <w:tcPr>
            <w:tcW w:w="1106" w:type="dxa"/>
            <w:tcBorders>
              <w:top w:val="nil"/>
              <w:left w:val="nil"/>
              <w:bottom w:val="nil"/>
              <w:right w:val="nil"/>
              <w:tl2br w:val="nil"/>
              <w:tr2bl w:val="nil"/>
            </w:tcBorders>
            <w:shd w:val="solid" w:color="CCE1EA" w:fill="FFFFFF"/>
            <w:tcMar>
              <w:left w:w="60" w:type="dxa"/>
              <w:right w:w="60" w:type="dxa"/>
            </w:tcMar>
            <w:vAlign w:val="center"/>
          </w:tcPr>
          <w:p>
            <w:pPr>
              <w:pStyle w:val="DMETW36769BIPPROV"/>
              <w:jc w:val="right"/>
              <w:rPr>
                <w:rFonts w:ascii="Verdana" w:eastAsia="Verdana" w:hAnsi="Verdana" w:cs="Verdana"/>
                <w:b/>
                <w:noProof/>
                <w:color w:val="000000"/>
                <w:sz w:val="18"/>
              </w:rPr>
            </w:pPr>
            <w:r>
              <w:rPr>
                <w:rFonts w:ascii="Verdana" w:hAnsi="Verdana"/>
                <w:b/>
                <w:noProof/>
                <w:color w:val="000000"/>
                <w:sz w:val="18"/>
              </w:rPr>
              <w:t xml:space="preserve"> (181)</w:t>
            </w:r>
          </w:p>
        </w:tc>
        <w:tc>
          <w:tcPr>
            <w:tcW w:w="1040" w:type="dxa"/>
            <w:tcBorders>
              <w:top w:val="nil"/>
              <w:left w:val="nil"/>
              <w:bottom w:val="nil"/>
              <w:right w:val="nil"/>
              <w:tl2br w:val="nil"/>
              <w:tr2bl w:val="nil"/>
            </w:tcBorders>
            <w:shd w:val="solid" w:color="CCE1EA" w:fill="FFFFFF"/>
            <w:tcMar>
              <w:left w:w="60" w:type="dxa"/>
              <w:right w:w="60" w:type="dxa"/>
            </w:tcMar>
            <w:vAlign w:val="center"/>
          </w:tcPr>
          <w:p>
            <w:pPr>
              <w:pStyle w:val="DMETW36769BIPPROV"/>
              <w:jc w:val="right"/>
              <w:rPr>
                <w:rFonts w:ascii="Verdana" w:eastAsia="Verdana" w:hAnsi="Verdana" w:cs="Verdana"/>
                <w:b/>
                <w:noProof/>
                <w:color w:val="000000"/>
                <w:sz w:val="18"/>
              </w:rPr>
            </w:pPr>
            <w:r>
              <w:rPr>
                <w:rFonts w:ascii="Verdana" w:hAnsi="Verdana"/>
                <w:b/>
                <w:noProof/>
                <w:color w:val="000000"/>
                <w:sz w:val="18"/>
              </w:rPr>
              <w:t xml:space="preserve"> (22)</w:t>
            </w:r>
          </w:p>
        </w:tc>
        <w:tc>
          <w:tcPr>
            <w:tcW w:w="1055" w:type="dxa"/>
            <w:tcBorders>
              <w:top w:val="nil"/>
              <w:left w:val="nil"/>
              <w:bottom w:val="nil"/>
              <w:right w:val="nil"/>
              <w:tl2br w:val="nil"/>
              <w:tr2bl w:val="nil"/>
            </w:tcBorders>
            <w:shd w:val="solid" w:color="CCE1EA" w:fill="FFFFFF"/>
            <w:tcMar>
              <w:left w:w="60" w:type="dxa"/>
              <w:right w:w="60" w:type="dxa"/>
            </w:tcMar>
            <w:vAlign w:val="center"/>
          </w:tcPr>
          <w:p>
            <w:pPr>
              <w:pStyle w:val="DMETW36769BIPPROV"/>
              <w:jc w:val="right"/>
              <w:rPr>
                <w:rFonts w:ascii="Verdana" w:eastAsia="Verdana" w:hAnsi="Verdana" w:cs="Verdana"/>
                <w:b/>
                <w:noProof/>
                <w:color w:val="000000"/>
                <w:sz w:val="18"/>
              </w:rPr>
            </w:pPr>
            <w:r>
              <w:rPr>
                <w:rFonts w:ascii="Verdana" w:hAnsi="Verdana"/>
                <w:b/>
                <w:noProof/>
                <w:color w:val="000000"/>
                <w:sz w:val="18"/>
              </w:rPr>
              <w:t xml:space="preserve"> (63)</w:t>
            </w:r>
          </w:p>
        </w:tc>
        <w:tc>
          <w:tcPr>
            <w:tcW w:w="1213" w:type="dxa"/>
            <w:tcBorders>
              <w:top w:val="nil"/>
              <w:left w:val="nil"/>
              <w:bottom w:val="nil"/>
              <w:right w:val="nil"/>
              <w:tl2br w:val="nil"/>
              <w:tr2bl w:val="nil"/>
            </w:tcBorders>
            <w:shd w:val="solid" w:color="CCE1EA" w:fill="FFFFFF"/>
            <w:tcMar>
              <w:left w:w="60" w:type="dxa"/>
              <w:right w:w="60" w:type="dxa"/>
            </w:tcMar>
            <w:vAlign w:val="center"/>
          </w:tcPr>
          <w:p>
            <w:pPr>
              <w:pStyle w:val="DMETW36769BIPPROV"/>
              <w:jc w:val="right"/>
              <w:rPr>
                <w:rFonts w:ascii="Verdana" w:eastAsia="Verdana" w:hAnsi="Verdana" w:cs="Verdana"/>
                <w:b/>
                <w:noProof/>
                <w:color w:val="000000"/>
                <w:sz w:val="18"/>
              </w:rPr>
            </w:pPr>
            <w:r>
              <w:rPr>
                <w:rFonts w:ascii="Verdana" w:hAnsi="Verdana"/>
                <w:b/>
                <w:noProof/>
                <w:color w:val="000000"/>
                <w:sz w:val="18"/>
              </w:rPr>
              <w:t xml:space="preserve"> 76</w:t>
            </w:r>
          </w:p>
        </w:tc>
        <w:tc>
          <w:tcPr>
            <w:tcW w:w="1245" w:type="dxa"/>
            <w:tcBorders>
              <w:top w:val="nil"/>
              <w:left w:val="nil"/>
              <w:bottom w:val="nil"/>
              <w:right w:val="nil"/>
              <w:tl2br w:val="nil"/>
              <w:tr2bl w:val="nil"/>
            </w:tcBorders>
            <w:shd w:val="solid" w:color="CCE1EA" w:fill="FFFFFF"/>
            <w:tcMar>
              <w:left w:w="60" w:type="dxa"/>
              <w:right w:w="60" w:type="dxa"/>
            </w:tcMar>
            <w:vAlign w:val="center"/>
          </w:tcPr>
          <w:p>
            <w:pPr>
              <w:pStyle w:val="DMETW36769BIPPROV"/>
              <w:jc w:val="right"/>
              <w:rPr>
                <w:rFonts w:ascii="Verdana" w:eastAsia="Verdana" w:hAnsi="Verdana" w:cs="Verdana"/>
                <w:b/>
                <w:noProof/>
                <w:color w:val="000000"/>
                <w:sz w:val="18"/>
              </w:rPr>
            </w:pPr>
            <w:r>
              <w:rPr>
                <w:rFonts w:ascii="Verdana" w:hAnsi="Verdana"/>
                <w:b/>
                <w:noProof/>
                <w:color w:val="000000"/>
                <w:sz w:val="18"/>
              </w:rPr>
              <w:t>2 149</w:t>
            </w:r>
          </w:p>
        </w:tc>
      </w:tr>
      <w:tr>
        <w:trPr>
          <w:trHeight w:val="255"/>
        </w:trPr>
        <w:tc>
          <w:tcPr>
            <w:tcW w:w="1693" w:type="dxa"/>
            <w:tcBorders>
              <w:top w:val="nil"/>
              <w:left w:val="nil"/>
              <w:bottom w:val="nil"/>
              <w:right w:val="nil"/>
              <w:tl2br w:val="nil"/>
              <w:tr2bl w:val="nil"/>
            </w:tcBorders>
            <w:tcMar>
              <w:left w:w="60" w:type="dxa"/>
              <w:right w:w="60" w:type="dxa"/>
            </w:tcMar>
            <w:vAlign w:val="center"/>
          </w:tcPr>
          <w:p>
            <w:pPr>
              <w:pStyle w:val="DMETW36769BIPPROV"/>
              <w:rPr>
                <w:rFonts w:ascii="Verdana" w:eastAsia="Verdana" w:hAnsi="Verdana" w:cs="Verdana"/>
                <w:b/>
                <w:noProof/>
                <w:color w:val="000000"/>
                <w:sz w:val="18"/>
              </w:rPr>
            </w:pPr>
          </w:p>
        </w:tc>
        <w:tc>
          <w:tcPr>
            <w:tcW w:w="1300"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b/>
                <w:noProof/>
                <w:color w:val="000000"/>
                <w:sz w:val="18"/>
              </w:rPr>
            </w:pPr>
          </w:p>
        </w:tc>
        <w:tc>
          <w:tcPr>
            <w:tcW w:w="1106"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b/>
                <w:noProof/>
                <w:color w:val="000000"/>
                <w:sz w:val="18"/>
              </w:rPr>
            </w:pPr>
          </w:p>
        </w:tc>
        <w:tc>
          <w:tcPr>
            <w:tcW w:w="1106"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b/>
                <w:noProof/>
                <w:color w:val="000000"/>
                <w:sz w:val="18"/>
              </w:rPr>
            </w:pPr>
          </w:p>
        </w:tc>
        <w:tc>
          <w:tcPr>
            <w:tcW w:w="1040"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b/>
                <w:noProof/>
                <w:color w:val="000000"/>
                <w:sz w:val="18"/>
              </w:rPr>
            </w:pPr>
          </w:p>
        </w:tc>
        <w:tc>
          <w:tcPr>
            <w:tcW w:w="1055"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b/>
                <w:noProof/>
                <w:color w:val="000000"/>
                <w:sz w:val="18"/>
              </w:rPr>
            </w:pPr>
          </w:p>
        </w:tc>
        <w:tc>
          <w:tcPr>
            <w:tcW w:w="1213"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b/>
                <w:noProof/>
                <w:color w:val="000000"/>
                <w:sz w:val="18"/>
              </w:rPr>
            </w:pPr>
          </w:p>
        </w:tc>
        <w:tc>
          <w:tcPr>
            <w:tcW w:w="1245"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b/>
                <w:noProof/>
                <w:color w:val="000000"/>
                <w:sz w:val="18"/>
                <w:lang w:bidi="en-GB"/>
              </w:rPr>
            </w:pPr>
          </w:p>
        </w:tc>
      </w:tr>
      <w:tr>
        <w:trPr>
          <w:trHeight w:val="255"/>
        </w:trPr>
        <w:tc>
          <w:tcPr>
            <w:tcW w:w="1693" w:type="dxa"/>
            <w:tcBorders>
              <w:top w:val="nil"/>
              <w:left w:val="nil"/>
              <w:bottom w:val="nil"/>
              <w:right w:val="nil"/>
              <w:tl2br w:val="nil"/>
              <w:tr2bl w:val="nil"/>
            </w:tcBorders>
            <w:shd w:val="solid" w:color="CCE1EA" w:fill="FFFFFF"/>
            <w:tcMar>
              <w:left w:w="60" w:type="dxa"/>
              <w:right w:w="60" w:type="dxa"/>
            </w:tcMar>
            <w:vAlign w:val="center"/>
          </w:tcPr>
          <w:p>
            <w:pPr>
              <w:pStyle w:val="DMETW36769BIPPROV"/>
              <w:rPr>
                <w:rFonts w:ascii="Verdana" w:eastAsia="Verdana" w:hAnsi="Verdana" w:cs="Verdana"/>
                <w:b/>
                <w:noProof/>
                <w:color w:val="000000"/>
                <w:sz w:val="18"/>
              </w:rPr>
            </w:pPr>
            <w:r>
              <w:rPr>
                <w:rFonts w:ascii="Verdana" w:hAnsi="Verdana"/>
                <w:b/>
                <w:noProof/>
                <w:color w:val="000000"/>
                <w:sz w:val="18"/>
              </w:rPr>
              <w:t>Courantes</w:t>
            </w:r>
          </w:p>
        </w:tc>
        <w:tc>
          <w:tcPr>
            <w:tcW w:w="1300" w:type="dxa"/>
            <w:tcBorders>
              <w:top w:val="nil"/>
              <w:left w:val="nil"/>
              <w:bottom w:val="nil"/>
              <w:right w:val="nil"/>
              <w:tl2br w:val="nil"/>
              <w:tr2bl w:val="nil"/>
            </w:tcBorders>
            <w:shd w:val="solid" w:color="CCE1EA" w:fill="FFFFFF"/>
            <w:tcMar>
              <w:left w:w="60" w:type="dxa"/>
              <w:right w:w="60" w:type="dxa"/>
            </w:tcMar>
            <w:vAlign w:val="center"/>
          </w:tcPr>
          <w:p>
            <w:pPr>
              <w:pStyle w:val="DMETW36769BIPPROV"/>
              <w:jc w:val="right"/>
              <w:rPr>
                <w:rFonts w:ascii="Verdana" w:eastAsia="Verdana" w:hAnsi="Verdana" w:cs="Verdana"/>
                <w:b/>
                <w:noProof/>
                <w:color w:val="000000"/>
                <w:sz w:val="18"/>
              </w:rPr>
            </w:pPr>
            <w:r>
              <w:rPr>
                <w:rFonts w:ascii="Verdana" w:hAnsi="Verdana"/>
                <w:b/>
                <w:noProof/>
                <w:color w:val="000000"/>
                <w:sz w:val="18"/>
              </w:rPr>
              <w:t>7 536</w:t>
            </w:r>
          </w:p>
        </w:tc>
        <w:tc>
          <w:tcPr>
            <w:tcW w:w="1106" w:type="dxa"/>
            <w:tcBorders>
              <w:top w:val="nil"/>
              <w:left w:val="nil"/>
              <w:bottom w:val="nil"/>
              <w:right w:val="nil"/>
              <w:tl2br w:val="nil"/>
              <w:tr2bl w:val="nil"/>
            </w:tcBorders>
            <w:shd w:val="solid" w:color="CCE1EA" w:fill="FFFFFF"/>
            <w:tcMar>
              <w:left w:w="60" w:type="dxa"/>
              <w:right w:w="60" w:type="dxa"/>
            </w:tcMar>
            <w:vAlign w:val="center"/>
          </w:tcPr>
          <w:p>
            <w:pPr>
              <w:pStyle w:val="DMETW36769BIPPROV"/>
              <w:jc w:val="right"/>
              <w:rPr>
                <w:rFonts w:ascii="Verdana" w:eastAsia="Verdana" w:hAnsi="Verdana" w:cs="Verdana"/>
                <w:b/>
                <w:noProof/>
                <w:color w:val="000000"/>
                <w:sz w:val="18"/>
              </w:rPr>
            </w:pPr>
            <w:r>
              <w:rPr>
                <w:rFonts w:ascii="Verdana" w:hAnsi="Verdana"/>
                <w:b/>
                <w:noProof/>
                <w:color w:val="000000"/>
                <w:sz w:val="18"/>
              </w:rPr>
              <w:t xml:space="preserve"> 265</w:t>
            </w:r>
          </w:p>
        </w:tc>
        <w:tc>
          <w:tcPr>
            <w:tcW w:w="1106" w:type="dxa"/>
            <w:tcBorders>
              <w:top w:val="nil"/>
              <w:left w:val="nil"/>
              <w:bottom w:val="nil"/>
              <w:right w:val="nil"/>
              <w:tl2br w:val="nil"/>
              <w:tr2bl w:val="nil"/>
            </w:tcBorders>
            <w:shd w:val="solid" w:color="CCE1EA" w:fill="FFFFFF"/>
            <w:tcMar>
              <w:left w:w="60" w:type="dxa"/>
              <w:right w:w="60" w:type="dxa"/>
            </w:tcMar>
            <w:vAlign w:val="center"/>
          </w:tcPr>
          <w:p>
            <w:pPr>
              <w:pStyle w:val="DMETW36769BIPPROV"/>
              <w:jc w:val="right"/>
              <w:rPr>
                <w:rFonts w:ascii="Verdana" w:eastAsia="Verdana" w:hAnsi="Verdana" w:cs="Verdana"/>
                <w:b/>
                <w:noProof/>
                <w:color w:val="000000"/>
                <w:sz w:val="18"/>
              </w:rPr>
            </w:pPr>
            <w:r>
              <w:rPr>
                <w:rFonts w:ascii="Verdana" w:hAnsi="Verdana"/>
                <w:b/>
                <w:noProof/>
                <w:color w:val="000000"/>
                <w:sz w:val="18"/>
              </w:rPr>
              <w:t>(7 292)</w:t>
            </w:r>
          </w:p>
        </w:tc>
        <w:tc>
          <w:tcPr>
            <w:tcW w:w="1040" w:type="dxa"/>
            <w:tcBorders>
              <w:top w:val="nil"/>
              <w:left w:val="nil"/>
              <w:bottom w:val="nil"/>
              <w:right w:val="nil"/>
              <w:tl2br w:val="nil"/>
              <w:tr2bl w:val="nil"/>
            </w:tcBorders>
            <w:shd w:val="solid" w:color="CCE1EA" w:fill="FFFFFF"/>
            <w:tcMar>
              <w:left w:w="60" w:type="dxa"/>
              <w:right w:w="60" w:type="dxa"/>
            </w:tcMar>
            <w:vAlign w:val="center"/>
          </w:tcPr>
          <w:p>
            <w:pPr>
              <w:pStyle w:val="DMETW36769BIPPROV"/>
              <w:jc w:val="right"/>
              <w:rPr>
                <w:rFonts w:ascii="Verdana" w:eastAsia="Verdana" w:hAnsi="Verdana" w:cs="Verdana"/>
                <w:b/>
                <w:noProof/>
                <w:color w:val="000000"/>
                <w:sz w:val="18"/>
              </w:rPr>
            </w:pPr>
            <w:r>
              <w:rPr>
                <w:rFonts w:ascii="Verdana" w:hAnsi="Verdana"/>
                <w:b/>
                <w:noProof/>
                <w:color w:val="000000"/>
                <w:sz w:val="18"/>
              </w:rPr>
              <w:t xml:space="preserve"> (107)</w:t>
            </w:r>
          </w:p>
        </w:tc>
        <w:tc>
          <w:tcPr>
            <w:tcW w:w="1055" w:type="dxa"/>
            <w:tcBorders>
              <w:top w:val="nil"/>
              <w:left w:val="nil"/>
              <w:bottom w:val="nil"/>
              <w:right w:val="nil"/>
              <w:tl2br w:val="nil"/>
              <w:tr2bl w:val="nil"/>
            </w:tcBorders>
            <w:shd w:val="solid" w:color="CCE1EA" w:fill="FFFFFF"/>
            <w:tcMar>
              <w:left w:w="60" w:type="dxa"/>
              <w:right w:w="60" w:type="dxa"/>
            </w:tcMar>
            <w:vAlign w:val="center"/>
          </w:tcPr>
          <w:p>
            <w:pPr>
              <w:pStyle w:val="DMETW36769BIPPROV"/>
              <w:jc w:val="right"/>
              <w:rPr>
                <w:rFonts w:ascii="Verdana" w:eastAsia="Verdana" w:hAnsi="Verdana" w:cs="Verdana"/>
                <w:b/>
                <w:noProof/>
                <w:color w:val="000000"/>
                <w:sz w:val="18"/>
              </w:rPr>
            </w:pPr>
            <w:r>
              <w:rPr>
                <w:rFonts w:ascii="Verdana" w:hAnsi="Verdana"/>
                <w:b/>
                <w:noProof/>
                <w:color w:val="000000"/>
                <w:sz w:val="18"/>
              </w:rPr>
              <w:t xml:space="preserve"> 63</w:t>
            </w:r>
          </w:p>
        </w:tc>
        <w:tc>
          <w:tcPr>
            <w:tcW w:w="1213" w:type="dxa"/>
            <w:tcBorders>
              <w:top w:val="nil"/>
              <w:left w:val="nil"/>
              <w:bottom w:val="nil"/>
              <w:right w:val="nil"/>
              <w:tl2br w:val="nil"/>
              <w:tr2bl w:val="nil"/>
            </w:tcBorders>
            <w:shd w:val="solid" w:color="CCE1EA" w:fill="FFFFFF"/>
            <w:tcMar>
              <w:left w:w="60" w:type="dxa"/>
              <w:right w:w="60" w:type="dxa"/>
            </w:tcMar>
            <w:vAlign w:val="center"/>
          </w:tcPr>
          <w:p>
            <w:pPr>
              <w:pStyle w:val="DMETW36769BIPPROV"/>
              <w:jc w:val="right"/>
              <w:rPr>
                <w:rFonts w:ascii="Verdana" w:eastAsia="Verdana" w:hAnsi="Verdana" w:cs="Verdana"/>
                <w:b/>
                <w:noProof/>
                <w:color w:val="000000"/>
                <w:sz w:val="18"/>
              </w:rPr>
            </w:pPr>
            <w:r>
              <w:rPr>
                <w:rFonts w:ascii="Verdana" w:hAnsi="Verdana"/>
                <w:b/>
                <w:noProof/>
                <w:color w:val="000000"/>
                <w:sz w:val="18"/>
              </w:rPr>
              <w:t>–</w:t>
            </w:r>
          </w:p>
        </w:tc>
        <w:tc>
          <w:tcPr>
            <w:tcW w:w="1245" w:type="dxa"/>
            <w:tcBorders>
              <w:top w:val="nil"/>
              <w:left w:val="nil"/>
              <w:bottom w:val="nil"/>
              <w:right w:val="nil"/>
              <w:tl2br w:val="nil"/>
              <w:tr2bl w:val="nil"/>
            </w:tcBorders>
            <w:shd w:val="solid" w:color="CCE1EA" w:fill="FFFFFF"/>
            <w:tcMar>
              <w:left w:w="60" w:type="dxa"/>
              <w:right w:w="60" w:type="dxa"/>
            </w:tcMar>
            <w:vAlign w:val="center"/>
          </w:tcPr>
          <w:p>
            <w:pPr>
              <w:pStyle w:val="DMETW36769BIPPROV"/>
              <w:jc w:val="right"/>
              <w:rPr>
                <w:rFonts w:ascii="Verdana" w:eastAsia="Verdana" w:hAnsi="Verdana" w:cs="Verdana"/>
                <w:b/>
                <w:noProof/>
                <w:color w:val="000000"/>
                <w:sz w:val="18"/>
              </w:rPr>
            </w:pPr>
            <w:r>
              <w:rPr>
                <w:rFonts w:ascii="Verdana" w:hAnsi="Verdana"/>
                <w:b/>
                <w:noProof/>
                <w:color w:val="000000"/>
                <w:sz w:val="18"/>
              </w:rPr>
              <w:t xml:space="preserve"> 464</w:t>
            </w:r>
          </w:p>
        </w:tc>
      </w:tr>
    </w:tbl>
    <w:p>
      <w:pPr>
        <w:pStyle w:val="DGTextstand-alone"/>
      </w:pPr>
      <w:r>
        <w:t>Les provisions sont des montants estimés de façon fiable, résultant d’événements passés, qui devront probablement être payés sur le budget de l’UE à l'avenir.</w:t>
      </w:r>
    </w:p>
    <w:p>
      <w:pPr>
        <w:pStyle w:val="HEADER5"/>
        <w:spacing w:before="240" w:after="240"/>
        <w:rPr>
          <w:noProof/>
        </w:rPr>
      </w:pPr>
      <w:r>
        <w:rPr>
          <w:noProof/>
        </w:rPr>
        <w:t>Dispositions financières</w:t>
      </w:r>
    </w:p>
    <w:p>
      <w:pPr>
        <w:pStyle w:val="HEADER5"/>
        <w:jc w:val="both"/>
        <w:rPr>
          <w:rFonts w:eastAsia="Calibri"/>
          <w:noProof/>
          <w:color w:val="auto"/>
        </w:rPr>
      </w:pPr>
      <w:r>
        <w:rPr>
          <w:noProof/>
          <w:color w:val="auto"/>
        </w:rPr>
        <w:t>En 2024, l’UE a comptabilisé 7,1 milliards d’EUR de provisions pour les PCA sur l’engagement de prêt irrévocable relatif au prêt AMF MCPU. Le prêt a été intégralement versé à l’Ukraine en 2025, de sorte que la provision a été reprise et qu’une provision pour dépréciation a été comptabilisée au 31 décembre 2025 — voir note </w:t>
      </w:r>
      <w:r>
        <w:rPr>
          <w:b/>
          <w:bCs/>
          <w:noProof/>
          <w:color w:val="auto"/>
        </w:rPr>
        <w:t>2.4.1.1</w:t>
      </w:r>
      <w:r>
        <w:rPr>
          <w:noProof/>
          <w:color w:val="auto"/>
        </w:rPr>
        <w:t xml:space="preserve">. </w:t>
      </w:r>
    </w:p>
    <w:p>
      <w:pPr>
        <w:pStyle w:val="HEADER5"/>
        <w:spacing w:before="240"/>
        <w:rPr>
          <w:noProof/>
        </w:rPr>
      </w:pPr>
      <w:r>
        <w:rPr>
          <w:noProof/>
        </w:rPr>
        <w:t>Contentieux</w:t>
      </w:r>
    </w:p>
    <w:p>
      <w:pPr>
        <w:pStyle w:val="DGTextstand-alone"/>
      </w:pPr>
      <w:r>
        <w:t xml:space="preserve">Il s’agit de l’estimation des montants susceptibles d’être payés après la fin de l’exercice en ce qui concerne un certain nombre de contentieux en cours. Les montants relatifs à l’agriculture concernent les actions en justice intentées par les États membres contre les décisions d’apurement de conformité pour le FEAGA et le Feader. </w:t>
      </w:r>
    </w:p>
    <w:p>
      <w:pPr>
        <w:pStyle w:val="HEADER5"/>
        <w:spacing w:before="240"/>
        <w:rPr>
          <w:b/>
          <w:noProof/>
        </w:rPr>
      </w:pPr>
      <w:r>
        <w:rPr>
          <w:noProof/>
        </w:rPr>
        <w:t>Démantèlement de sites nucléaires</w:t>
      </w:r>
    </w:p>
    <w:p>
      <w:pPr>
        <w:pStyle w:val="DGTextstand-alone"/>
      </w:pPr>
      <w:r>
        <w:t>En 2017, la base de la provision a été mise à jour conformément à la révision 2017 de la stratégie de démantèlement et de gestion des déchets du JRC (</w:t>
      </w:r>
      <w:r>
        <w:rPr>
          <w:i/>
        </w:rPr>
        <w:t>Decommissioning and Waste Management</w:t>
      </w:r>
      <w:r>
        <w:t xml:space="preserve"> – D&amp;WM). La révision de la stratégie, ainsi que du budget nécessaire et des besoins en personnel, a été menée avec le groupe d’experts indépendant D&amp;WM. Il s’agit de la meilleure estimation possible du budget et du personnel nécessaires pour mener à son terme le démantèlement des sites du JRC à Geel, Karlsruhe et Petten. Pour le site d’Ispra, une estimation révisée des coûts des activités de démantèlement a été élaborée en 2025 et est prise en compte dans la provision.</w:t>
      </w:r>
    </w:p>
    <w:p>
      <w:pPr>
        <w:pStyle w:val="DGTextstand-alone"/>
      </w:pPr>
      <w:r>
        <w:t xml:space="preserve">Conformément aux règles comptables de l’UE, cette provision est indexée de manière à tenir compte de l’inflation puis actualisée pour obtenir sa valeur actuelle nette (sur la base de la courbe des swaps en euros). Au 31 décembre 2025, il en a résulté une provision de 1,880 milliard d’EUR, scindée entre les montants qui devraient être utilisés en 2026 (45 millions d’EUR) et ultérieurement (1,834 milliard d’EUR). </w:t>
      </w:r>
    </w:p>
    <w:p>
      <w:pPr>
        <w:pStyle w:val="DGTextstand-alone"/>
      </w:pPr>
      <w:r>
        <w:t>Il est à noter que de grandes incertitudes liées à la planification à long terme du démantèlement nucléaire pourraient influencer cette estimation et la pousser fortement à la hausse dans un avenir proche. Ces incertitudes sont principalement liées à l’état final du site démantelé, aux matières nucléaires, à certains aspects de la gestion et de l’élimination des déchets, à une définition incomplète ou inexistante des cadres réglementaires nationaux, à des procédures d’autorisation complexes et coûteuses en temps et à la direction que prendra le marché industriel du démantèlement.</w:t>
      </w:r>
    </w:p>
    <w:bookmarkEnd w:id="156"/>
    <w:p>
      <w:pPr>
        <w:pStyle w:val="DGTextstand-alone"/>
        <w:sectPr>
          <w:headerReference w:type="default" r:id="rId101"/>
          <w:footerReference w:type="default" r:id="rId102"/>
          <w:pgSz w:w="11906" w:h="16838"/>
          <w:pgMar w:top="1134" w:right="1134" w:bottom="1134" w:left="1134" w:header="709" w:footer="709" w:gutter="0"/>
          <w:cols w:space="708"/>
          <w:docGrid w:linePitch="360"/>
        </w:sectPr>
      </w:pPr>
    </w:p>
    <w:p>
      <w:pPr>
        <w:pStyle w:val="HEADER2NOTES"/>
        <w:numPr>
          <w:ilvl w:val="1"/>
          <w:numId w:val="15"/>
        </w:numPr>
        <w:rPr>
          <w:noProof/>
        </w:rPr>
      </w:pPr>
      <w:bookmarkStart w:id="158" w:name="_DMBM_36681"/>
      <w:r>
        <w:rPr>
          <w:noProof/>
        </w:rPr>
        <w:lastRenderedPageBreak/>
        <w:t>PASSIFS FINANCIERS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5"/>
        <w:gridCol w:w="1180"/>
        <w:gridCol w:w="1743"/>
        <w:gridCol w:w="1530"/>
      </w:tblGrid>
      <w:tr>
        <w:trPr>
          <w:trHeight w:val="255"/>
        </w:trPr>
        <w:tc>
          <w:tcPr>
            <w:tcW w:w="5305" w:type="dxa"/>
            <w:tcBorders>
              <w:top w:val="nil"/>
              <w:left w:val="nil"/>
              <w:bottom w:val="nil"/>
              <w:right w:val="nil"/>
              <w:tl2br w:val="nil"/>
              <w:tr2bl w:val="nil"/>
            </w:tcBorders>
            <w:tcMar>
              <w:left w:w="60" w:type="dxa"/>
              <w:right w:w="60" w:type="dxa"/>
            </w:tcMar>
            <w:vAlign w:val="center"/>
          </w:tcPr>
          <w:p>
            <w:pPr>
              <w:pStyle w:val="DMETW36770BIPFINL"/>
              <w:rPr>
                <w:rFonts w:ascii="Verdana" w:eastAsia="Verdana" w:hAnsi="Verdana" w:cs="Verdana"/>
                <w:i/>
                <w:noProof/>
                <w:color w:val="FFFFFF"/>
                <w:sz w:val="18"/>
              </w:rPr>
            </w:pPr>
            <w:bookmarkStart w:id="159" w:name="DOC_TBL00056_1_1"/>
            <w:bookmarkEnd w:id="159"/>
          </w:p>
        </w:tc>
        <w:tc>
          <w:tcPr>
            <w:tcW w:w="1180" w:type="dxa"/>
            <w:tcBorders>
              <w:top w:val="nil"/>
              <w:left w:val="nil"/>
              <w:bottom w:val="nil"/>
              <w:right w:val="nil"/>
              <w:tl2br w:val="nil"/>
              <w:tr2bl w:val="nil"/>
            </w:tcBorders>
            <w:tcMar>
              <w:left w:w="60" w:type="dxa"/>
              <w:right w:w="60" w:type="dxa"/>
            </w:tcMar>
            <w:vAlign w:val="center"/>
          </w:tcPr>
          <w:p>
            <w:pPr>
              <w:pStyle w:val="DMETW36770BIPFINL"/>
              <w:rPr>
                <w:rFonts w:ascii="Verdana" w:eastAsia="Verdana" w:hAnsi="Verdana" w:cs="Verdana"/>
                <w:noProof/>
                <w:color w:val="000000"/>
                <w:sz w:val="18"/>
              </w:rPr>
            </w:pPr>
          </w:p>
        </w:tc>
        <w:tc>
          <w:tcPr>
            <w:tcW w:w="1743" w:type="dxa"/>
            <w:tcBorders>
              <w:top w:val="nil"/>
              <w:left w:val="nil"/>
              <w:bottom w:val="nil"/>
              <w:right w:val="nil"/>
              <w:tl2br w:val="nil"/>
              <w:tr2bl w:val="nil"/>
            </w:tcBorders>
            <w:tcMar>
              <w:left w:w="60" w:type="dxa"/>
              <w:right w:w="60" w:type="dxa"/>
            </w:tcMar>
            <w:vAlign w:val="center"/>
          </w:tcPr>
          <w:p>
            <w:pPr>
              <w:pStyle w:val="DMETW36770BIPFINL"/>
              <w:rPr>
                <w:rFonts w:ascii="Verdana" w:eastAsia="Verdana" w:hAnsi="Verdana" w:cs="Verdana"/>
                <w:noProof/>
                <w:color w:val="000000"/>
                <w:sz w:val="18"/>
              </w:rPr>
            </w:pPr>
          </w:p>
        </w:tc>
        <w:tc>
          <w:tcPr>
            <w:tcW w:w="1530" w:type="dxa"/>
            <w:tcBorders>
              <w:top w:val="nil"/>
              <w:left w:val="nil"/>
              <w:bottom w:val="nil"/>
              <w:right w:val="nil"/>
              <w:tl2br w:val="nil"/>
              <w:tr2bl w:val="nil"/>
            </w:tcBorders>
            <w:tcMar>
              <w:left w:w="60" w:type="dxa"/>
              <w:right w:w="60" w:type="dxa"/>
            </w:tcMar>
            <w:vAlign w:val="center"/>
          </w:tcPr>
          <w:p>
            <w:pPr>
              <w:pStyle w:val="DMETW36770BIPFINL"/>
              <w:jc w:val="right"/>
              <w:rPr>
                <w:rFonts w:ascii="Verdana" w:eastAsia="Verdana" w:hAnsi="Verdana" w:cs="Verdana"/>
                <w:i/>
                <w:noProof/>
                <w:color w:val="000000"/>
                <w:sz w:val="18"/>
              </w:rPr>
            </w:pPr>
            <w:r>
              <w:rPr>
                <w:rFonts w:ascii="Verdana" w:hAnsi="Verdana"/>
                <w:i/>
                <w:noProof/>
                <w:color w:val="000000"/>
                <w:sz w:val="18"/>
              </w:rPr>
              <w:t>en Mio EUR</w:t>
            </w:r>
          </w:p>
        </w:tc>
      </w:tr>
      <w:tr>
        <w:trPr>
          <w:trHeight w:val="255"/>
        </w:trPr>
        <w:tc>
          <w:tcPr>
            <w:tcW w:w="5305" w:type="dxa"/>
            <w:tcBorders>
              <w:top w:val="nil"/>
              <w:left w:val="nil"/>
              <w:bottom w:val="nil"/>
              <w:right w:val="nil"/>
              <w:tl2br w:val="nil"/>
              <w:tr2bl w:val="nil"/>
            </w:tcBorders>
            <w:shd w:val="solid" w:color="016794" w:fill="FFFFFF"/>
            <w:tcMar>
              <w:left w:w="60" w:type="dxa"/>
              <w:right w:w="60" w:type="dxa"/>
            </w:tcMar>
            <w:vAlign w:val="center"/>
          </w:tcPr>
          <w:p>
            <w:pPr>
              <w:pStyle w:val="DMETW36770BIPFINL"/>
              <w:rPr>
                <w:rFonts w:ascii="Verdana" w:eastAsia="Verdana" w:hAnsi="Verdana" w:cs="Verdana"/>
                <w:noProof/>
                <w:color w:val="FFFFFF"/>
                <w:sz w:val="18"/>
              </w:rPr>
            </w:pPr>
          </w:p>
        </w:tc>
        <w:tc>
          <w:tcPr>
            <w:tcW w:w="1180" w:type="dxa"/>
            <w:tcBorders>
              <w:top w:val="nil"/>
              <w:left w:val="nil"/>
              <w:bottom w:val="nil"/>
              <w:right w:val="nil"/>
              <w:tl2br w:val="nil"/>
              <w:tr2bl w:val="nil"/>
            </w:tcBorders>
            <w:shd w:val="solid" w:color="016794" w:fill="FFFFFF"/>
            <w:tcMar>
              <w:left w:w="60" w:type="dxa"/>
              <w:right w:w="60" w:type="dxa"/>
            </w:tcMar>
            <w:vAlign w:val="center"/>
          </w:tcPr>
          <w:p>
            <w:pPr>
              <w:pStyle w:val="DMETW36770BIPFINL"/>
              <w:jc w:val="center"/>
              <w:rPr>
                <w:rFonts w:ascii="Verdana" w:eastAsia="Verdana" w:hAnsi="Verdana" w:cs="Verdana"/>
                <w:noProof/>
                <w:color w:val="FFFFFF"/>
                <w:sz w:val="18"/>
              </w:rPr>
            </w:pPr>
            <w:r>
              <w:rPr>
                <w:rFonts w:ascii="Verdana" w:hAnsi="Verdana"/>
                <w:noProof/>
                <w:color w:val="FFFFFF"/>
                <w:sz w:val="18"/>
              </w:rPr>
              <w:t>Note</w:t>
            </w:r>
          </w:p>
        </w:tc>
        <w:tc>
          <w:tcPr>
            <w:tcW w:w="1743" w:type="dxa"/>
            <w:tcBorders>
              <w:top w:val="nil"/>
              <w:left w:val="nil"/>
              <w:bottom w:val="nil"/>
              <w:right w:val="nil"/>
              <w:tl2br w:val="nil"/>
              <w:tr2bl w:val="nil"/>
            </w:tcBorders>
            <w:shd w:val="solid" w:color="016794" w:fill="FFFFFF"/>
            <w:tcMar>
              <w:left w:w="60" w:type="dxa"/>
              <w:right w:w="60" w:type="dxa"/>
            </w:tcMar>
            <w:vAlign w:val="center"/>
          </w:tcPr>
          <w:p>
            <w:pPr>
              <w:pStyle w:val="DMETW36770BIPFINL"/>
              <w:jc w:val="right"/>
              <w:rPr>
                <w:rFonts w:ascii="Verdana" w:eastAsia="Verdana" w:hAnsi="Verdana" w:cs="Verdana"/>
                <w:noProof/>
                <w:color w:val="FFFFFF"/>
                <w:sz w:val="18"/>
              </w:rPr>
            </w:pPr>
            <w:r>
              <w:rPr>
                <w:rFonts w:ascii="Verdana" w:hAnsi="Verdana"/>
                <w:noProof/>
                <w:color w:val="FFFFFF"/>
                <w:sz w:val="18"/>
              </w:rPr>
              <w:t>31.12.2025</w:t>
            </w:r>
          </w:p>
        </w:tc>
        <w:tc>
          <w:tcPr>
            <w:tcW w:w="1530" w:type="dxa"/>
            <w:tcBorders>
              <w:top w:val="nil"/>
              <w:left w:val="nil"/>
              <w:bottom w:val="nil"/>
              <w:right w:val="nil"/>
              <w:tl2br w:val="nil"/>
              <w:tr2bl w:val="nil"/>
            </w:tcBorders>
            <w:shd w:val="solid" w:color="016794" w:fill="FFFFFF"/>
            <w:tcMar>
              <w:left w:w="60" w:type="dxa"/>
              <w:right w:w="60" w:type="dxa"/>
            </w:tcMar>
            <w:vAlign w:val="center"/>
          </w:tcPr>
          <w:p>
            <w:pPr>
              <w:pStyle w:val="DMETW36770BIPFINL"/>
              <w:jc w:val="right"/>
              <w:rPr>
                <w:rFonts w:ascii="Verdana" w:eastAsia="Verdana" w:hAnsi="Verdana" w:cs="Verdana"/>
                <w:noProof/>
                <w:color w:val="FFFFFF"/>
                <w:sz w:val="18"/>
              </w:rPr>
            </w:pPr>
            <w:r>
              <w:rPr>
                <w:rFonts w:ascii="Verdana" w:hAnsi="Verdana"/>
                <w:noProof/>
                <w:color w:val="FFFFFF"/>
                <w:sz w:val="18"/>
              </w:rPr>
              <w:t>31.12.2024</w:t>
            </w:r>
          </w:p>
        </w:tc>
      </w:tr>
      <w:tr>
        <w:trPr>
          <w:trHeight w:val="255"/>
        </w:trPr>
        <w:tc>
          <w:tcPr>
            <w:tcW w:w="5305" w:type="dxa"/>
            <w:tcBorders>
              <w:top w:val="nil"/>
              <w:left w:val="nil"/>
              <w:bottom w:val="nil"/>
              <w:right w:val="nil"/>
              <w:tl2br w:val="nil"/>
              <w:tr2bl w:val="nil"/>
            </w:tcBorders>
            <w:tcMar>
              <w:left w:w="60" w:type="dxa"/>
              <w:right w:w="60" w:type="dxa"/>
            </w:tcMar>
            <w:vAlign w:val="center"/>
          </w:tcPr>
          <w:p>
            <w:pPr>
              <w:pStyle w:val="DMETW36770BIPFINL"/>
              <w:rPr>
                <w:rFonts w:ascii="Verdana" w:eastAsia="Verdana" w:hAnsi="Verdana" w:cs="Verdana"/>
                <w:b/>
                <w:noProof/>
                <w:color w:val="000000"/>
                <w:sz w:val="18"/>
              </w:rPr>
            </w:pPr>
            <w:r>
              <w:rPr>
                <w:rFonts w:ascii="Verdana" w:hAnsi="Verdana"/>
                <w:b/>
                <w:noProof/>
                <w:color w:val="000000"/>
                <w:sz w:val="18"/>
              </w:rPr>
              <w:t>Non courants</w:t>
            </w:r>
          </w:p>
        </w:tc>
        <w:tc>
          <w:tcPr>
            <w:tcW w:w="1180" w:type="dxa"/>
            <w:tcBorders>
              <w:top w:val="nil"/>
              <w:left w:val="nil"/>
              <w:bottom w:val="nil"/>
              <w:right w:val="nil"/>
              <w:tl2br w:val="nil"/>
              <w:tr2bl w:val="nil"/>
            </w:tcBorders>
            <w:tcMar>
              <w:left w:w="60" w:type="dxa"/>
              <w:right w:w="60" w:type="dxa"/>
            </w:tcMar>
            <w:vAlign w:val="center"/>
          </w:tcPr>
          <w:p>
            <w:pPr>
              <w:pStyle w:val="DMETW36770BIPFINL"/>
              <w:jc w:val="center"/>
              <w:rPr>
                <w:rFonts w:ascii="Verdana" w:eastAsia="Verdana" w:hAnsi="Verdana" w:cs="Verdana"/>
                <w:b/>
                <w:noProof/>
                <w:color w:val="000000"/>
                <w:sz w:val="18"/>
              </w:rPr>
            </w:pPr>
          </w:p>
        </w:tc>
        <w:tc>
          <w:tcPr>
            <w:tcW w:w="1743" w:type="dxa"/>
            <w:tcBorders>
              <w:top w:val="nil"/>
              <w:left w:val="nil"/>
              <w:bottom w:val="nil"/>
              <w:right w:val="nil"/>
              <w:tl2br w:val="nil"/>
              <w:tr2bl w:val="nil"/>
            </w:tcBorders>
            <w:tcMar>
              <w:left w:w="60" w:type="dxa"/>
              <w:right w:w="60" w:type="dxa"/>
            </w:tcMar>
            <w:vAlign w:val="center"/>
          </w:tcPr>
          <w:p>
            <w:pPr>
              <w:pStyle w:val="DMETW36770BIPFINL"/>
              <w:rPr>
                <w:rFonts w:ascii="Verdana" w:eastAsia="Verdana" w:hAnsi="Verdana" w:cs="Verdana"/>
                <w:noProof/>
                <w:color w:val="000000"/>
                <w:sz w:val="18"/>
              </w:rPr>
            </w:pPr>
          </w:p>
        </w:tc>
        <w:tc>
          <w:tcPr>
            <w:tcW w:w="1530" w:type="dxa"/>
            <w:tcBorders>
              <w:top w:val="nil"/>
              <w:left w:val="nil"/>
              <w:bottom w:val="nil"/>
              <w:right w:val="nil"/>
              <w:tl2br w:val="nil"/>
              <w:tr2bl w:val="nil"/>
            </w:tcBorders>
            <w:tcMar>
              <w:left w:w="60" w:type="dxa"/>
              <w:right w:w="60" w:type="dxa"/>
            </w:tcMar>
            <w:vAlign w:val="center"/>
          </w:tcPr>
          <w:p>
            <w:pPr>
              <w:pStyle w:val="DMETW36770BIPFINL"/>
              <w:rPr>
                <w:rFonts w:ascii="Verdana" w:eastAsia="Verdana" w:hAnsi="Verdana" w:cs="Verdana"/>
                <w:noProof/>
                <w:color w:val="000000"/>
                <w:sz w:val="18"/>
                <w:lang w:bidi="en-GB"/>
              </w:rPr>
            </w:pPr>
          </w:p>
        </w:tc>
      </w:tr>
      <w:tr>
        <w:trPr>
          <w:trHeight w:val="255"/>
        </w:trPr>
        <w:tc>
          <w:tcPr>
            <w:tcW w:w="5305" w:type="dxa"/>
            <w:tcBorders>
              <w:top w:val="nil"/>
              <w:left w:val="nil"/>
              <w:bottom w:val="nil"/>
              <w:right w:val="nil"/>
              <w:tl2br w:val="nil"/>
              <w:tr2bl w:val="nil"/>
            </w:tcBorders>
            <w:tcMar>
              <w:left w:w="60" w:type="dxa"/>
              <w:right w:w="60" w:type="dxa"/>
            </w:tcMar>
            <w:vAlign w:val="center"/>
          </w:tcPr>
          <w:p>
            <w:pPr>
              <w:pStyle w:val="DMETW36770BIPFINL"/>
              <w:rPr>
                <w:rFonts w:ascii="Verdana" w:eastAsia="Verdana" w:hAnsi="Verdana" w:cs="Verdana"/>
                <w:i/>
                <w:noProof/>
                <w:color w:val="000000"/>
                <w:sz w:val="18"/>
              </w:rPr>
            </w:pPr>
            <w:r>
              <w:rPr>
                <w:rFonts w:ascii="Verdana" w:hAnsi="Verdana"/>
                <w:i/>
                <w:noProof/>
                <w:color w:val="000000"/>
                <w:sz w:val="18"/>
              </w:rPr>
              <w:t>Passifs financiers au coût amorti</w:t>
            </w:r>
          </w:p>
        </w:tc>
        <w:tc>
          <w:tcPr>
            <w:tcW w:w="1180" w:type="dxa"/>
            <w:tcBorders>
              <w:top w:val="nil"/>
              <w:left w:val="nil"/>
              <w:bottom w:val="nil"/>
              <w:right w:val="nil"/>
              <w:tl2br w:val="nil"/>
              <w:tr2bl w:val="nil"/>
            </w:tcBorders>
            <w:tcMar>
              <w:left w:w="60" w:type="dxa"/>
              <w:right w:w="60" w:type="dxa"/>
            </w:tcMar>
            <w:vAlign w:val="center"/>
          </w:tcPr>
          <w:p>
            <w:pPr>
              <w:pStyle w:val="DMETW36770BIPFINL"/>
              <w:jc w:val="center"/>
              <w:rPr>
                <w:rFonts w:ascii="Verdana" w:eastAsia="Verdana" w:hAnsi="Verdana" w:cs="Verdana"/>
                <w:i/>
                <w:noProof/>
                <w:color w:val="000000"/>
                <w:sz w:val="18"/>
              </w:rPr>
            </w:pPr>
            <w:r>
              <w:rPr>
                <w:rFonts w:ascii="Verdana" w:hAnsi="Verdana"/>
                <w:i/>
                <w:noProof/>
                <w:color w:val="000000"/>
                <w:sz w:val="18"/>
              </w:rPr>
              <w:t>2.11.1</w:t>
            </w:r>
          </w:p>
        </w:tc>
        <w:tc>
          <w:tcPr>
            <w:tcW w:w="1743" w:type="dxa"/>
            <w:tcBorders>
              <w:top w:val="nil"/>
              <w:left w:val="nil"/>
              <w:bottom w:val="nil"/>
              <w:right w:val="nil"/>
              <w:tl2br w:val="nil"/>
              <w:tr2bl w:val="nil"/>
            </w:tcBorders>
            <w:tcMar>
              <w:left w:w="60" w:type="dxa"/>
              <w:right w:w="60" w:type="dxa"/>
            </w:tcMar>
            <w:vAlign w:val="center"/>
          </w:tcPr>
          <w:p>
            <w:pPr>
              <w:pStyle w:val="DMETW36770BIPFINL"/>
              <w:jc w:val="right"/>
              <w:rPr>
                <w:rFonts w:ascii="Verdana" w:eastAsia="Verdana" w:hAnsi="Verdana" w:cs="Verdana"/>
                <w:i/>
                <w:noProof/>
                <w:color w:val="000000"/>
                <w:sz w:val="18"/>
              </w:rPr>
            </w:pPr>
            <w:r>
              <w:rPr>
                <w:rFonts w:ascii="Verdana" w:hAnsi="Verdana"/>
                <w:i/>
                <w:noProof/>
                <w:color w:val="000000"/>
                <w:sz w:val="18"/>
              </w:rPr>
              <w:t>643 928</w:t>
            </w:r>
          </w:p>
        </w:tc>
        <w:tc>
          <w:tcPr>
            <w:tcW w:w="1530" w:type="dxa"/>
            <w:tcBorders>
              <w:top w:val="nil"/>
              <w:left w:val="nil"/>
              <w:bottom w:val="nil"/>
              <w:right w:val="nil"/>
              <w:tl2br w:val="nil"/>
              <w:tr2bl w:val="nil"/>
            </w:tcBorders>
            <w:tcMar>
              <w:left w:w="60" w:type="dxa"/>
              <w:right w:w="60" w:type="dxa"/>
            </w:tcMar>
            <w:vAlign w:val="center"/>
          </w:tcPr>
          <w:p>
            <w:pPr>
              <w:pStyle w:val="DMETW36770BIPFINL"/>
              <w:jc w:val="right"/>
              <w:rPr>
                <w:rFonts w:ascii="Verdana" w:eastAsia="Verdana" w:hAnsi="Verdana" w:cs="Verdana"/>
                <w:i/>
                <w:noProof/>
                <w:color w:val="000000"/>
                <w:sz w:val="18"/>
              </w:rPr>
            </w:pPr>
            <w:r>
              <w:rPr>
                <w:rFonts w:ascii="Verdana" w:hAnsi="Verdana"/>
                <w:i/>
                <w:noProof/>
                <w:color w:val="000000"/>
                <w:sz w:val="18"/>
              </w:rPr>
              <w:t>539 522</w:t>
            </w:r>
          </w:p>
        </w:tc>
      </w:tr>
      <w:tr>
        <w:trPr>
          <w:trHeight w:val="255"/>
        </w:trPr>
        <w:tc>
          <w:tcPr>
            <w:tcW w:w="5305" w:type="dxa"/>
            <w:tcBorders>
              <w:top w:val="nil"/>
              <w:left w:val="nil"/>
              <w:bottom w:val="nil"/>
              <w:right w:val="nil"/>
              <w:tl2br w:val="nil"/>
              <w:tr2bl w:val="nil"/>
            </w:tcBorders>
            <w:tcMar>
              <w:left w:w="60" w:type="dxa"/>
              <w:right w:w="60" w:type="dxa"/>
            </w:tcMar>
            <w:vAlign w:val="center"/>
          </w:tcPr>
          <w:p>
            <w:pPr>
              <w:pStyle w:val="DMETW36770BIPFINL"/>
              <w:rPr>
                <w:rFonts w:ascii="Verdana" w:eastAsia="Verdana" w:hAnsi="Verdana" w:cs="Verdana"/>
                <w:i/>
                <w:noProof/>
                <w:color w:val="000000"/>
                <w:sz w:val="18"/>
              </w:rPr>
            </w:pPr>
            <w:r>
              <w:rPr>
                <w:rFonts w:ascii="Verdana" w:hAnsi="Verdana"/>
                <w:i/>
                <w:noProof/>
                <w:color w:val="000000"/>
                <w:sz w:val="18"/>
              </w:rPr>
              <w:t>Actifs financiers à la juste valeur par le biais du compte de résultat</w:t>
            </w:r>
          </w:p>
        </w:tc>
        <w:tc>
          <w:tcPr>
            <w:tcW w:w="1180" w:type="dxa"/>
            <w:tcBorders>
              <w:top w:val="nil"/>
              <w:left w:val="nil"/>
              <w:bottom w:val="nil"/>
              <w:right w:val="nil"/>
              <w:tl2br w:val="nil"/>
              <w:tr2bl w:val="nil"/>
            </w:tcBorders>
            <w:tcMar>
              <w:left w:w="60" w:type="dxa"/>
              <w:right w:w="60" w:type="dxa"/>
            </w:tcMar>
            <w:vAlign w:val="center"/>
          </w:tcPr>
          <w:p>
            <w:pPr>
              <w:pStyle w:val="DMETW36770BIPFINL"/>
              <w:jc w:val="center"/>
              <w:rPr>
                <w:rFonts w:ascii="Verdana" w:eastAsia="Verdana" w:hAnsi="Verdana" w:cs="Verdana"/>
                <w:i/>
                <w:noProof/>
                <w:color w:val="000000"/>
                <w:sz w:val="18"/>
              </w:rPr>
            </w:pPr>
            <w:r>
              <w:rPr>
                <w:rFonts w:ascii="Verdana" w:hAnsi="Verdana"/>
                <w:i/>
                <w:noProof/>
                <w:color w:val="000000"/>
                <w:sz w:val="18"/>
              </w:rPr>
              <w:t>2.4.2.2</w:t>
            </w:r>
          </w:p>
        </w:tc>
        <w:tc>
          <w:tcPr>
            <w:tcW w:w="1743" w:type="dxa"/>
            <w:tcBorders>
              <w:top w:val="nil"/>
              <w:left w:val="nil"/>
              <w:bottom w:val="nil"/>
              <w:right w:val="nil"/>
              <w:tl2br w:val="nil"/>
              <w:tr2bl w:val="nil"/>
            </w:tcBorders>
            <w:tcMar>
              <w:left w:w="60" w:type="dxa"/>
              <w:right w:w="60" w:type="dxa"/>
            </w:tcMar>
            <w:vAlign w:val="center"/>
          </w:tcPr>
          <w:p>
            <w:pPr>
              <w:pStyle w:val="DMETW36770BIPFINL"/>
              <w:jc w:val="right"/>
              <w:rPr>
                <w:rFonts w:ascii="Verdana" w:eastAsia="Verdana" w:hAnsi="Verdana" w:cs="Verdana"/>
                <w:i/>
                <w:noProof/>
                <w:color w:val="000000"/>
                <w:sz w:val="18"/>
              </w:rPr>
            </w:pPr>
            <w:r>
              <w:rPr>
                <w:rFonts w:ascii="Verdana" w:hAnsi="Verdana"/>
                <w:i/>
                <w:noProof/>
                <w:color w:val="000000"/>
                <w:sz w:val="18"/>
              </w:rPr>
              <w:t xml:space="preserve"> 9</w:t>
            </w:r>
          </w:p>
        </w:tc>
        <w:tc>
          <w:tcPr>
            <w:tcW w:w="1530" w:type="dxa"/>
            <w:tcBorders>
              <w:top w:val="nil"/>
              <w:left w:val="nil"/>
              <w:bottom w:val="nil"/>
              <w:right w:val="nil"/>
              <w:tl2br w:val="nil"/>
              <w:tr2bl w:val="nil"/>
            </w:tcBorders>
            <w:tcMar>
              <w:left w:w="60" w:type="dxa"/>
              <w:right w:w="60" w:type="dxa"/>
            </w:tcMar>
            <w:vAlign w:val="center"/>
          </w:tcPr>
          <w:p>
            <w:pPr>
              <w:pStyle w:val="DMETW36770BIPFINL"/>
              <w:jc w:val="right"/>
              <w:rPr>
                <w:rFonts w:ascii="Verdana" w:eastAsia="Verdana" w:hAnsi="Verdana" w:cs="Verdana"/>
                <w:i/>
                <w:noProof/>
                <w:color w:val="000000"/>
                <w:sz w:val="18"/>
              </w:rPr>
            </w:pPr>
            <w:r>
              <w:rPr>
                <w:rFonts w:ascii="Verdana" w:hAnsi="Verdana"/>
                <w:i/>
                <w:noProof/>
                <w:color w:val="000000"/>
                <w:sz w:val="18"/>
              </w:rPr>
              <w:t xml:space="preserve"> 13</w:t>
            </w:r>
          </w:p>
        </w:tc>
      </w:tr>
      <w:tr>
        <w:trPr>
          <w:trHeight w:val="255"/>
        </w:trPr>
        <w:tc>
          <w:tcPr>
            <w:tcW w:w="5305" w:type="dxa"/>
            <w:tcBorders>
              <w:top w:val="nil"/>
              <w:left w:val="nil"/>
              <w:bottom w:val="nil"/>
              <w:right w:val="nil"/>
              <w:tl2br w:val="nil"/>
              <w:tr2bl w:val="nil"/>
            </w:tcBorders>
            <w:tcMar>
              <w:left w:w="60" w:type="dxa"/>
              <w:right w:w="60" w:type="dxa"/>
            </w:tcMar>
            <w:vAlign w:val="center"/>
          </w:tcPr>
          <w:p>
            <w:pPr>
              <w:pStyle w:val="DMETW36770BIPFINL"/>
              <w:rPr>
                <w:rFonts w:ascii="Verdana" w:eastAsia="Verdana" w:hAnsi="Verdana" w:cs="Verdana"/>
                <w:i/>
                <w:noProof/>
                <w:color w:val="000000"/>
                <w:sz w:val="18"/>
              </w:rPr>
            </w:pPr>
            <w:r>
              <w:rPr>
                <w:rFonts w:ascii="Verdana" w:hAnsi="Verdana"/>
                <w:i/>
                <w:noProof/>
                <w:color w:val="000000"/>
                <w:sz w:val="18"/>
              </w:rPr>
              <w:t>Passifs liés à la garantie financière</w:t>
            </w:r>
          </w:p>
        </w:tc>
        <w:tc>
          <w:tcPr>
            <w:tcW w:w="1180" w:type="dxa"/>
            <w:tcBorders>
              <w:top w:val="nil"/>
              <w:left w:val="nil"/>
              <w:bottom w:val="nil"/>
              <w:right w:val="nil"/>
              <w:tl2br w:val="nil"/>
              <w:tr2bl w:val="nil"/>
            </w:tcBorders>
            <w:tcMar>
              <w:left w:w="60" w:type="dxa"/>
              <w:right w:w="60" w:type="dxa"/>
            </w:tcMar>
            <w:vAlign w:val="center"/>
          </w:tcPr>
          <w:p>
            <w:pPr>
              <w:pStyle w:val="DMETW36770BIPFINL"/>
              <w:jc w:val="center"/>
              <w:rPr>
                <w:rFonts w:ascii="Verdana" w:eastAsia="Verdana" w:hAnsi="Verdana" w:cs="Verdana"/>
                <w:i/>
                <w:noProof/>
                <w:color w:val="000000"/>
                <w:sz w:val="18"/>
              </w:rPr>
            </w:pPr>
            <w:r>
              <w:rPr>
                <w:rFonts w:ascii="Verdana" w:hAnsi="Verdana"/>
                <w:i/>
                <w:noProof/>
                <w:color w:val="000000"/>
                <w:sz w:val="18"/>
              </w:rPr>
              <w:t>2.11.2</w:t>
            </w:r>
          </w:p>
        </w:tc>
        <w:tc>
          <w:tcPr>
            <w:tcW w:w="1743" w:type="dxa"/>
            <w:tcBorders>
              <w:top w:val="nil"/>
              <w:left w:val="nil"/>
              <w:bottom w:val="nil"/>
              <w:right w:val="nil"/>
              <w:tl2br w:val="nil"/>
              <w:tr2bl w:val="nil"/>
            </w:tcBorders>
            <w:tcMar>
              <w:left w:w="60" w:type="dxa"/>
              <w:right w:w="60" w:type="dxa"/>
            </w:tcMar>
            <w:vAlign w:val="center"/>
          </w:tcPr>
          <w:p>
            <w:pPr>
              <w:pStyle w:val="DMETW36770BIPFINL"/>
              <w:jc w:val="right"/>
              <w:rPr>
                <w:rFonts w:ascii="Verdana" w:eastAsia="Verdana" w:hAnsi="Verdana" w:cs="Verdana"/>
                <w:i/>
                <w:noProof/>
                <w:color w:val="000000"/>
                <w:sz w:val="18"/>
              </w:rPr>
            </w:pPr>
            <w:r>
              <w:rPr>
                <w:rFonts w:ascii="Verdana" w:hAnsi="Verdana"/>
                <w:i/>
                <w:noProof/>
                <w:color w:val="000000"/>
                <w:sz w:val="18"/>
              </w:rPr>
              <w:t xml:space="preserve"> 81</w:t>
            </w:r>
          </w:p>
        </w:tc>
        <w:tc>
          <w:tcPr>
            <w:tcW w:w="1530" w:type="dxa"/>
            <w:tcBorders>
              <w:top w:val="nil"/>
              <w:left w:val="nil"/>
              <w:bottom w:val="nil"/>
              <w:right w:val="nil"/>
              <w:tl2br w:val="nil"/>
              <w:tr2bl w:val="nil"/>
            </w:tcBorders>
            <w:tcMar>
              <w:left w:w="60" w:type="dxa"/>
              <w:right w:w="60" w:type="dxa"/>
            </w:tcMar>
            <w:vAlign w:val="center"/>
          </w:tcPr>
          <w:p>
            <w:pPr>
              <w:pStyle w:val="DMETW36770BIPFINL"/>
              <w:jc w:val="right"/>
              <w:rPr>
                <w:rFonts w:ascii="Verdana" w:eastAsia="Verdana" w:hAnsi="Verdana" w:cs="Verdana"/>
                <w:i/>
                <w:noProof/>
                <w:color w:val="000000"/>
                <w:sz w:val="18"/>
              </w:rPr>
            </w:pPr>
            <w:r>
              <w:rPr>
                <w:rFonts w:ascii="Verdana" w:hAnsi="Verdana"/>
                <w:i/>
                <w:noProof/>
                <w:color w:val="000000"/>
                <w:sz w:val="18"/>
              </w:rPr>
              <w:t xml:space="preserve"> 39</w:t>
            </w:r>
          </w:p>
        </w:tc>
      </w:tr>
      <w:tr>
        <w:trPr>
          <w:trHeight w:val="255"/>
        </w:trPr>
        <w:tc>
          <w:tcPr>
            <w:tcW w:w="5305" w:type="dxa"/>
            <w:tcBorders>
              <w:top w:val="nil"/>
              <w:left w:val="nil"/>
              <w:bottom w:val="nil"/>
              <w:right w:val="nil"/>
              <w:tl2br w:val="nil"/>
              <w:tr2bl w:val="nil"/>
            </w:tcBorders>
            <w:shd w:val="solid" w:color="CCE1EA" w:fill="FFFFFF"/>
            <w:tcMar>
              <w:left w:w="60" w:type="dxa"/>
              <w:right w:w="60" w:type="dxa"/>
            </w:tcMar>
            <w:vAlign w:val="center"/>
          </w:tcPr>
          <w:p>
            <w:pPr>
              <w:pStyle w:val="DMETW36770BIPFINL"/>
              <w:rPr>
                <w:rFonts w:ascii="Verdana" w:eastAsia="Verdana" w:hAnsi="Verdana" w:cs="Verdana"/>
                <w:b/>
                <w:noProof/>
                <w:color w:val="000000"/>
                <w:sz w:val="18"/>
              </w:rPr>
            </w:pPr>
          </w:p>
        </w:tc>
        <w:tc>
          <w:tcPr>
            <w:tcW w:w="1180" w:type="dxa"/>
            <w:tcBorders>
              <w:top w:val="nil"/>
              <w:left w:val="nil"/>
              <w:bottom w:val="nil"/>
              <w:right w:val="nil"/>
              <w:tl2br w:val="nil"/>
              <w:tr2bl w:val="nil"/>
            </w:tcBorders>
            <w:shd w:val="solid" w:color="CCE1EA" w:fill="FFFFFF"/>
            <w:tcMar>
              <w:left w:w="60" w:type="dxa"/>
              <w:right w:w="60" w:type="dxa"/>
            </w:tcMar>
            <w:vAlign w:val="center"/>
          </w:tcPr>
          <w:p>
            <w:pPr>
              <w:pStyle w:val="DMETW36770BIPFINL"/>
              <w:jc w:val="center"/>
              <w:rPr>
                <w:rFonts w:ascii="Verdana" w:eastAsia="Verdana" w:hAnsi="Verdana" w:cs="Verdana"/>
                <w:noProof/>
                <w:color w:val="000000"/>
                <w:sz w:val="18"/>
              </w:rPr>
            </w:pPr>
          </w:p>
        </w:tc>
        <w:tc>
          <w:tcPr>
            <w:tcW w:w="1743" w:type="dxa"/>
            <w:tcBorders>
              <w:top w:val="nil"/>
              <w:left w:val="nil"/>
              <w:bottom w:val="nil"/>
              <w:right w:val="nil"/>
              <w:tl2br w:val="nil"/>
              <w:tr2bl w:val="nil"/>
            </w:tcBorders>
            <w:shd w:val="solid" w:color="CCE1EA" w:fill="FFFFFF"/>
            <w:tcMar>
              <w:left w:w="60" w:type="dxa"/>
              <w:right w:w="60" w:type="dxa"/>
            </w:tcMar>
            <w:vAlign w:val="center"/>
          </w:tcPr>
          <w:p>
            <w:pPr>
              <w:pStyle w:val="DMETW36770BIPFINL"/>
              <w:jc w:val="right"/>
              <w:rPr>
                <w:rFonts w:ascii="Verdana" w:eastAsia="Verdana" w:hAnsi="Verdana" w:cs="Verdana"/>
                <w:b/>
                <w:noProof/>
                <w:color w:val="000000"/>
                <w:sz w:val="18"/>
              </w:rPr>
            </w:pPr>
            <w:r>
              <w:rPr>
                <w:rFonts w:ascii="Verdana" w:hAnsi="Verdana"/>
                <w:b/>
                <w:noProof/>
                <w:color w:val="000000"/>
                <w:sz w:val="18"/>
              </w:rPr>
              <w:t>644 018</w:t>
            </w:r>
          </w:p>
        </w:tc>
        <w:tc>
          <w:tcPr>
            <w:tcW w:w="1530" w:type="dxa"/>
            <w:tcBorders>
              <w:top w:val="nil"/>
              <w:left w:val="nil"/>
              <w:bottom w:val="nil"/>
              <w:right w:val="nil"/>
              <w:tl2br w:val="nil"/>
              <w:tr2bl w:val="nil"/>
            </w:tcBorders>
            <w:shd w:val="solid" w:color="CCE1EA" w:fill="FFFFFF"/>
            <w:tcMar>
              <w:left w:w="60" w:type="dxa"/>
              <w:right w:w="60" w:type="dxa"/>
            </w:tcMar>
            <w:vAlign w:val="center"/>
          </w:tcPr>
          <w:p>
            <w:pPr>
              <w:pStyle w:val="DMETW36770BIPFINL"/>
              <w:jc w:val="right"/>
              <w:rPr>
                <w:rFonts w:ascii="Verdana" w:eastAsia="Verdana" w:hAnsi="Verdana" w:cs="Verdana"/>
                <w:b/>
                <w:noProof/>
                <w:color w:val="000000"/>
                <w:sz w:val="18"/>
              </w:rPr>
            </w:pPr>
            <w:r>
              <w:rPr>
                <w:rFonts w:ascii="Verdana" w:hAnsi="Verdana"/>
                <w:b/>
                <w:noProof/>
                <w:color w:val="000000"/>
                <w:sz w:val="18"/>
              </w:rPr>
              <w:t>539 575</w:t>
            </w:r>
          </w:p>
        </w:tc>
      </w:tr>
      <w:tr>
        <w:trPr>
          <w:trHeight w:val="255"/>
        </w:trPr>
        <w:tc>
          <w:tcPr>
            <w:tcW w:w="5305" w:type="dxa"/>
            <w:tcBorders>
              <w:top w:val="nil"/>
              <w:left w:val="nil"/>
              <w:bottom w:val="nil"/>
              <w:right w:val="nil"/>
              <w:tl2br w:val="nil"/>
              <w:tr2bl w:val="nil"/>
            </w:tcBorders>
            <w:tcMar>
              <w:left w:w="60" w:type="dxa"/>
              <w:right w:w="60" w:type="dxa"/>
            </w:tcMar>
            <w:vAlign w:val="center"/>
          </w:tcPr>
          <w:p>
            <w:pPr>
              <w:pStyle w:val="DMETW36770BIPFINL"/>
              <w:rPr>
                <w:rFonts w:ascii="Verdana" w:eastAsia="Verdana" w:hAnsi="Verdana" w:cs="Verdana"/>
                <w:b/>
                <w:noProof/>
                <w:color w:val="000000"/>
                <w:sz w:val="18"/>
              </w:rPr>
            </w:pPr>
            <w:r>
              <w:rPr>
                <w:rFonts w:ascii="Verdana" w:hAnsi="Verdana"/>
                <w:b/>
                <w:noProof/>
                <w:color w:val="000000"/>
                <w:sz w:val="18"/>
              </w:rPr>
              <w:t>Courants</w:t>
            </w:r>
          </w:p>
        </w:tc>
        <w:tc>
          <w:tcPr>
            <w:tcW w:w="1180" w:type="dxa"/>
            <w:tcBorders>
              <w:top w:val="nil"/>
              <w:left w:val="nil"/>
              <w:bottom w:val="nil"/>
              <w:right w:val="nil"/>
              <w:tl2br w:val="nil"/>
              <w:tr2bl w:val="nil"/>
            </w:tcBorders>
            <w:tcMar>
              <w:left w:w="60" w:type="dxa"/>
              <w:right w:w="60" w:type="dxa"/>
            </w:tcMar>
            <w:vAlign w:val="center"/>
          </w:tcPr>
          <w:p>
            <w:pPr>
              <w:pStyle w:val="DMETW36770BIPFINL"/>
              <w:jc w:val="center"/>
              <w:rPr>
                <w:rFonts w:ascii="Verdana" w:eastAsia="Verdana" w:hAnsi="Verdana" w:cs="Verdana"/>
                <w:b/>
                <w:noProof/>
                <w:color w:val="000000"/>
                <w:sz w:val="18"/>
              </w:rPr>
            </w:pPr>
          </w:p>
        </w:tc>
        <w:tc>
          <w:tcPr>
            <w:tcW w:w="1743" w:type="dxa"/>
            <w:tcBorders>
              <w:top w:val="nil"/>
              <w:left w:val="nil"/>
              <w:bottom w:val="nil"/>
              <w:right w:val="nil"/>
              <w:tl2br w:val="nil"/>
              <w:tr2bl w:val="nil"/>
            </w:tcBorders>
            <w:tcMar>
              <w:left w:w="60" w:type="dxa"/>
              <w:right w:w="60" w:type="dxa"/>
            </w:tcMar>
            <w:vAlign w:val="center"/>
          </w:tcPr>
          <w:p>
            <w:pPr>
              <w:pStyle w:val="DMETW36770BIPFINL"/>
              <w:rPr>
                <w:rFonts w:ascii="Verdana" w:eastAsia="Verdana" w:hAnsi="Verdana" w:cs="Verdana"/>
                <w:noProof/>
                <w:color w:val="000000"/>
                <w:sz w:val="18"/>
              </w:rPr>
            </w:pPr>
          </w:p>
        </w:tc>
        <w:tc>
          <w:tcPr>
            <w:tcW w:w="1530" w:type="dxa"/>
            <w:tcBorders>
              <w:top w:val="nil"/>
              <w:left w:val="nil"/>
              <w:bottom w:val="nil"/>
              <w:right w:val="nil"/>
              <w:tl2br w:val="nil"/>
              <w:tr2bl w:val="nil"/>
            </w:tcBorders>
            <w:tcMar>
              <w:left w:w="60" w:type="dxa"/>
              <w:right w:w="60" w:type="dxa"/>
            </w:tcMar>
            <w:vAlign w:val="center"/>
          </w:tcPr>
          <w:p>
            <w:pPr>
              <w:pStyle w:val="DMETW36770BIPFINL"/>
              <w:rPr>
                <w:rFonts w:ascii="Verdana" w:eastAsia="Verdana" w:hAnsi="Verdana" w:cs="Verdana"/>
                <w:noProof/>
                <w:color w:val="000000"/>
                <w:sz w:val="18"/>
                <w:lang w:bidi="en-GB"/>
              </w:rPr>
            </w:pPr>
          </w:p>
        </w:tc>
      </w:tr>
      <w:tr>
        <w:trPr>
          <w:trHeight w:val="255"/>
        </w:trPr>
        <w:tc>
          <w:tcPr>
            <w:tcW w:w="5305" w:type="dxa"/>
            <w:tcBorders>
              <w:top w:val="nil"/>
              <w:left w:val="nil"/>
              <w:bottom w:val="nil"/>
              <w:right w:val="nil"/>
              <w:tl2br w:val="nil"/>
              <w:tr2bl w:val="nil"/>
            </w:tcBorders>
            <w:tcMar>
              <w:left w:w="60" w:type="dxa"/>
              <w:right w:w="60" w:type="dxa"/>
            </w:tcMar>
            <w:vAlign w:val="center"/>
          </w:tcPr>
          <w:p>
            <w:pPr>
              <w:pStyle w:val="DMETW36770BIPFINL"/>
              <w:rPr>
                <w:rFonts w:ascii="Verdana" w:eastAsia="Verdana" w:hAnsi="Verdana" w:cs="Verdana"/>
                <w:i/>
                <w:noProof/>
                <w:color w:val="000000"/>
                <w:sz w:val="18"/>
              </w:rPr>
            </w:pPr>
            <w:r>
              <w:rPr>
                <w:rFonts w:ascii="Verdana" w:hAnsi="Verdana"/>
                <w:i/>
                <w:noProof/>
                <w:color w:val="000000"/>
                <w:sz w:val="18"/>
              </w:rPr>
              <w:t>Passifs financiers au coût amorti</w:t>
            </w:r>
          </w:p>
        </w:tc>
        <w:tc>
          <w:tcPr>
            <w:tcW w:w="1180" w:type="dxa"/>
            <w:tcBorders>
              <w:top w:val="nil"/>
              <w:left w:val="nil"/>
              <w:bottom w:val="nil"/>
              <w:right w:val="nil"/>
              <w:tl2br w:val="nil"/>
              <w:tr2bl w:val="nil"/>
            </w:tcBorders>
            <w:tcMar>
              <w:left w:w="60" w:type="dxa"/>
              <w:right w:w="60" w:type="dxa"/>
            </w:tcMar>
            <w:vAlign w:val="center"/>
          </w:tcPr>
          <w:p>
            <w:pPr>
              <w:pStyle w:val="DMETW36770BIPFINL"/>
              <w:jc w:val="center"/>
              <w:rPr>
                <w:rFonts w:ascii="Verdana" w:eastAsia="Verdana" w:hAnsi="Verdana" w:cs="Verdana"/>
                <w:i/>
                <w:noProof/>
                <w:color w:val="000000"/>
                <w:sz w:val="18"/>
              </w:rPr>
            </w:pPr>
            <w:r>
              <w:rPr>
                <w:rFonts w:ascii="Verdana" w:hAnsi="Verdana"/>
                <w:i/>
                <w:noProof/>
                <w:color w:val="000000"/>
                <w:sz w:val="18"/>
              </w:rPr>
              <w:t>2.11.1</w:t>
            </w:r>
          </w:p>
        </w:tc>
        <w:tc>
          <w:tcPr>
            <w:tcW w:w="1743" w:type="dxa"/>
            <w:tcBorders>
              <w:top w:val="nil"/>
              <w:left w:val="nil"/>
              <w:bottom w:val="nil"/>
              <w:right w:val="nil"/>
              <w:tl2br w:val="nil"/>
              <w:tr2bl w:val="nil"/>
            </w:tcBorders>
            <w:tcMar>
              <w:left w:w="60" w:type="dxa"/>
              <w:right w:w="60" w:type="dxa"/>
            </w:tcMar>
            <w:vAlign w:val="center"/>
          </w:tcPr>
          <w:p>
            <w:pPr>
              <w:pStyle w:val="DMETW36770BIPFINL"/>
              <w:jc w:val="right"/>
              <w:rPr>
                <w:rFonts w:ascii="Verdana" w:eastAsia="Verdana" w:hAnsi="Verdana" w:cs="Verdana"/>
                <w:i/>
                <w:noProof/>
                <w:color w:val="000000"/>
                <w:sz w:val="18"/>
              </w:rPr>
            </w:pPr>
            <w:r>
              <w:rPr>
                <w:rFonts w:ascii="Verdana" w:hAnsi="Verdana"/>
                <w:i/>
                <w:noProof/>
                <w:color w:val="000000"/>
                <w:sz w:val="18"/>
              </w:rPr>
              <w:t>89 069</w:t>
            </w:r>
          </w:p>
        </w:tc>
        <w:tc>
          <w:tcPr>
            <w:tcW w:w="1530" w:type="dxa"/>
            <w:tcBorders>
              <w:top w:val="nil"/>
              <w:left w:val="nil"/>
              <w:bottom w:val="nil"/>
              <w:right w:val="nil"/>
              <w:tl2br w:val="nil"/>
              <w:tr2bl w:val="nil"/>
            </w:tcBorders>
            <w:tcMar>
              <w:left w:w="60" w:type="dxa"/>
              <w:right w:w="60" w:type="dxa"/>
            </w:tcMar>
            <w:vAlign w:val="center"/>
          </w:tcPr>
          <w:p>
            <w:pPr>
              <w:pStyle w:val="DMETW36770BIPFINL"/>
              <w:jc w:val="right"/>
              <w:rPr>
                <w:rFonts w:ascii="Verdana" w:eastAsia="Verdana" w:hAnsi="Verdana" w:cs="Verdana"/>
                <w:i/>
                <w:noProof/>
                <w:color w:val="000000"/>
                <w:sz w:val="18"/>
              </w:rPr>
            </w:pPr>
            <w:r>
              <w:rPr>
                <w:rFonts w:ascii="Verdana" w:hAnsi="Verdana"/>
                <w:i/>
                <w:noProof/>
                <w:color w:val="000000"/>
                <w:sz w:val="18"/>
              </w:rPr>
              <w:t>55 904</w:t>
            </w:r>
          </w:p>
        </w:tc>
      </w:tr>
      <w:tr>
        <w:trPr>
          <w:trHeight w:val="255"/>
        </w:trPr>
        <w:tc>
          <w:tcPr>
            <w:tcW w:w="5305" w:type="dxa"/>
            <w:tcBorders>
              <w:top w:val="nil"/>
              <w:left w:val="nil"/>
              <w:bottom w:val="nil"/>
              <w:right w:val="nil"/>
              <w:tl2br w:val="nil"/>
              <w:tr2bl w:val="nil"/>
            </w:tcBorders>
            <w:tcMar>
              <w:left w:w="60" w:type="dxa"/>
              <w:right w:w="60" w:type="dxa"/>
            </w:tcMar>
            <w:vAlign w:val="center"/>
          </w:tcPr>
          <w:p>
            <w:pPr>
              <w:pStyle w:val="DMETW36770BIPFINL"/>
              <w:rPr>
                <w:rFonts w:ascii="Verdana" w:eastAsia="Verdana" w:hAnsi="Verdana" w:cs="Verdana"/>
                <w:i/>
                <w:noProof/>
                <w:color w:val="000000"/>
                <w:sz w:val="18"/>
              </w:rPr>
            </w:pPr>
            <w:r>
              <w:rPr>
                <w:rFonts w:ascii="Verdana" w:hAnsi="Verdana"/>
                <w:i/>
                <w:noProof/>
                <w:color w:val="000000"/>
                <w:sz w:val="18"/>
              </w:rPr>
              <w:t>Actifs financiers à la juste valeur par le biais du compte de résultat</w:t>
            </w:r>
          </w:p>
        </w:tc>
        <w:tc>
          <w:tcPr>
            <w:tcW w:w="1180" w:type="dxa"/>
            <w:tcBorders>
              <w:top w:val="nil"/>
              <w:left w:val="nil"/>
              <w:bottom w:val="nil"/>
              <w:right w:val="nil"/>
              <w:tl2br w:val="nil"/>
              <w:tr2bl w:val="nil"/>
            </w:tcBorders>
            <w:tcMar>
              <w:left w:w="60" w:type="dxa"/>
              <w:right w:w="60" w:type="dxa"/>
            </w:tcMar>
            <w:vAlign w:val="center"/>
          </w:tcPr>
          <w:p>
            <w:pPr>
              <w:pStyle w:val="DMETW36770BIPFINL"/>
              <w:jc w:val="center"/>
              <w:rPr>
                <w:rFonts w:ascii="Verdana" w:eastAsia="Verdana" w:hAnsi="Verdana" w:cs="Verdana"/>
                <w:i/>
                <w:noProof/>
                <w:color w:val="000000"/>
                <w:sz w:val="18"/>
              </w:rPr>
            </w:pPr>
            <w:r>
              <w:rPr>
                <w:rFonts w:ascii="Verdana" w:hAnsi="Verdana"/>
                <w:i/>
                <w:noProof/>
                <w:color w:val="000000"/>
                <w:sz w:val="18"/>
              </w:rPr>
              <w:t>2.4.2.2</w:t>
            </w:r>
          </w:p>
        </w:tc>
        <w:tc>
          <w:tcPr>
            <w:tcW w:w="1743" w:type="dxa"/>
            <w:tcBorders>
              <w:top w:val="nil"/>
              <w:left w:val="nil"/>
              <w:bottom w:val="nil"/>
              <w:right w:val="nil"/>
              <w:tl2br w:val="nil"/>
              <w:tr2bl w:val="nil"/>
            </w:tcBorders>
            <w:tcMar>
              <w:left w:w="60" w:type="dxa"/>
              <w:right w:w="60" w:type="dxa"/>
            </w:tcMar>
            <w:vAlign w:val="center"/>
          </w:tcPr>
          <w:p>
            <w:pPr>
              <w:pStyle w:val="DMETW36770BIPFINL"/>
              <w:jc w:val="right"/>
              <w:rPr>
                <w:rFonts w:ascii="Verdana" w:eastAsia="Verdana" w:hAnsi="Verdana" w:cs="Verdana"/>
                <w:i/>
                <w:noProof/>
                <w:color w:val="000000"/>
                <w:sz w:val="18"/>
              </w:rPr>
            </w:pPr>
            <w:r>
              <w:rPr>
                <w:rFonts w:ascii="Verdana" w:hAnsi="Verdana"/>
                <w:i/>
                <w:noProof/>
                <w:color w:val="000000"/>
                <w:sz w:val="18"/>
              </w:rPr>
              <w:t xml:space="preserve"> 53</w:t>
            </w:r>
          </w:p>
        </w:tc>
        <w:tc>
          <w:tcPr>
            <w:tcW w:w="1530" w:type="dxa"/>
            <w:tcBorders>
              <w:top w:val="nil"/>
              <w:left w:val="nil"/>
              <w:bottom w:val="nil"/>
              <w:right w:val="nil"/>
              <w:tl2br w:val="nil"/>
              <w:tr2bl w:val="nil"/>
            </w:tcBorders>
            <w:tcMar>
              <w:left w:w="60" w:type="dxa"/>
              <w:right w:w="60" w:type="dxa"/>
            </w:tcMar>
            <w:vAlign w:val="center"/>
          </w:tcPr>
          <w:p>
            <w:pPr>
              <w:pStyle w:val="DMETW36770BIPFINL"/>
              <w:jc w:val="right"/>
              <w:rPr>
                <w:rFonts w:ascii="Verdana" w:eastAsia="Verdana" w:hAnsi="Verdana" w:cs="Verdana"/>
                <w:i/>
                <w:noProof/>
                <w:color w:val="000000"/>
                <w:sz w:val="18"/>
              </w:rPr>
            </w:pPr>
            <w:r>
              <w:rPr>
                <w:rFonts w:ascii="Verdana" w:hAnsi="Verdana"/>
                <w:i/>
                <w:noProof/>
                <w:color w:val="000000"/>
                <w:sz w:val="18"/>
              </w:rPr>
              <w:t xml:space="preserve"> 84</w:t>
            </w:r>
          </w:p>
        </w:tc>
      </w:tr>
      <w:tr>
        <w:trPr>
          <w:trHeight w:val="255"/>
        </w:trPr>
        <w:tc>
          <w:tcPr>
            <w:tcW w:w="5305" w:type="dxa"/>
            <w:tcBorders>
              <w:top w:val="nil"/>
              <w:left w:val="nil"/>
              <w:bottom w:val="nil"/>
              <w:right w:val="nil"/>
              <w:tl2br w:val="nil"/>
              <w:tr2bl w:val="nil"/>
            </w:tcBorders>
            <w:tcMar>
              <w:left w:w="60" w:type="dxa"/>
              <w:right w:w="60" w:type="dxa"/>
            </w:tcMar>
            <w:vAlign w:val="center"/>
          </w:tcPr>
          <w:p>
            <w:pPr>
              <w:pStyle w:val="DMETW36770BIPFINL"/>
              <w:rPr>
                <w:rFonts w:ascii="Verdana" w:eastAsia="Verdana" w:hAnsi="Verdana" w:cs="Verdana"/>
                <w:i/>
                <w:noProof/>
                <w:color w:val="000000"/>
                <w:sz w:val="18"/>
              </w:rPr>
            </w:pPr>
            <w:r>
              <w:rPr>
                <w:rFonts w:ascii="Verdana" w:hAnsi="Verdana"/>
                <w:i/>
                <w:noProof/>
                <w:color w:val="000000"/>
                <w:sz w:val="18"/>
              </w:rPr>
              <w:t>Passifs liés à la garantie financière</w:t>
            </w:r>
          </w:p>
        </w:tc>
        <w:tc>
          <w:tcPr>
            <w:tcW w:w="1180" w:type="dxa"/>
            <w:tcBorders>
              <w:top w:val="nil"/>
              <w:left w:val="nil"/>
              <w:bottom w:val="nil"/>
              <w:right w:val="nil"/>
              <w:tl2br w:val="nil"/>
              <w:tr2bl w:val="nil"/>
            </w:tcBorders>
            <w:tcMar>
              <w:left w:w="60" w:type="dxa"/>
              <w:right w:w="60" w:type="dxa"/>
            </w:tcMar>
            <w:vAlign w:val="center"/>
          </w:tcPr>
          <w:p>
            <w:pPr>
              <w:pStyle w:val="DMETW36770BIPFINL"/>
              <w:jc w:val="center"/>
              <w:rPr>
                <w:rFonts w:ascii="Verdana" w:eastAsia="Verdana" w:hAnsi="Verdana" w:cs="Verdana"/>
                <w:i/>
                <w:noProof/>
                <w:color w:val="000000"/>
                <w:sz w:val="18"/>
              </w:rPr>
            </w:pPr>
            <w:r>
              <w:rPr>
                <w:rFonts w:ascii="Verdana" w:hAnsi="Verdana"/>
                <w:i/>
                <w:noProof/>
                <w:color w:val="000000"/>
                <w:sz w:val="18"/>
              </w:rPr>
              <w:t>2.11.2</w:t>
            </w:r>
          </w:p>
        </w:tc>
        <w:tc>
          <w:tcPr>
            <w:tcW w:w="1743" w:type="dxa"/>
            <w:tcBorders>
              <w:top w:val="nil"/>
              <w:left w:val="nil"/>
              <w:bottom w:val="nil"/>
              <w:right w:val="nil"/>
              <w:tl2br w:val="nil"/>
              <w:tr2bl w:val="nil"/>
            </w:tcBorders>
            <w:tcMar>
              <w:left w:w="60" w:type="dxa"/>
              <w:right w:w="60" w:type="dxa"/>
            </w:tcMar>
            <w:vAlign w:val="center"/>
          </w:tcPr>
          <w:p>
            <w:pPr>
              <w:pStyle w:val="DMETW36770BIPFINL"/>
              <w:jc w:val="right"/>
              <w:rPr>
                <w:rFonts w:ascii="Verdana" w:eastAsia="Verdana" w:hAnsi="Verdana" w:cs="Verdana"/>
                <w:i/>
                <w:noProof/>
                <w:color w:val="000000"/>
                <w:sz w:val="18"/>
              </w:rPr>
            </w:pPr>
            <w:r>
              <w:rPr>
                <w:rFonts w:ascii="Verdana" w:hAnsi="Verdana"/>
                <w:i/>
                <w:noProof/>
                <w:color w:val="000000"/>
                <w:sz w:val="18"/>
              </w:rPr>
              <w:t>7 647</w:t>
            </w:r>
          </w:p>
        </w:tc>
        <w:tc>
          <w:tcPr>
            <w:tcW w:w="1530" w:type="dxa"/>
            <w:tcBorders>
              <w:top w:val="nil"/>
              <w:left w:val="nil"/>
              <w:bottom w:val="nil"/>
              <w:right w:val="nil"/>
              <w:tl2br w:val="nil"/>
              <w:tr2bl w:val="nil"/>
            </w:tcBorders>
            <w:tcMar>
              <w:left w:w="60" w:type="dxa"/>
              <w:right w:w="60" w:type="dxa"/>
            </w:tcMar>
            <w:vAlign w:val="center"/>
          </w:tcPr>
          <w:p>
            <w:pPr>
              <w:pStyle w:val="DMETW36770BIPFINL"/>
              <w:jc w:val="right"/>
              <w:rPr>
                <w:rFonts w:ascii="Verdana" w:eastAsia="Verdana" w:hAnsi="Verdana" w:cs="Verdana"/>
                <w:i/>
                <w:noProof/>
                <w:color w:val="000000"/>
                <w:sz w:val="18"/>
              </w:rPr>
            </w:pPr>
            <w:r>
              <w:rPr>
                <w:rFonts w:ascii="Verdana" w:hAnsi="Verdana"/>
                <w:i/>
                <w:noProof/>
                <w:color w:val="000000"/>
                <w:sz w:val="18"/>
              </w:rPr>
              <w:t>6 340</w:t>
            </w:r>
          </w:p>
        </w:tc>
      </w:tr>
      <w:tr>
        <w:trPr>
          <w:trHeight w:val="255"/>
        </w:trPr>
        <w:tc>
          <w:tcPr>
            <w:tcW w:w="5305" w:type="dxa"/>
            <w:tcBorders>
              <w:top w:val="nil"/>
              <w:left w:val="nil"/>
              <w:bottom w:val="nil"/>
              <w:right w:val="nil"/>
              <w:tl2br w:val="nil"/>
              <w:tr2bl w:val="nil"/>
            </w:tcBorders>
            <w:shd w:val="solid" w:color="CCE1EA" w:fill="FFFFFF"/>
            <w:tcMar>
              <w:left w:w="60" w:type="dxa"/>
              <w:right w:w="60" w:type="dxa"/>
            </w:tcMar>
            <w:vAlign w:val="center"/>
          </w:tcPr>
          <w:p>
            <w:pPr>
              <w:pStyle w:val="DMETW36770BIPFINL"/>
              <w:rPr>
                <w:rFonts w:ascii="Verdana" w:eastAsia="Verdana" w:hAnsi="Verdana" w:cs="Verdana"/>
                <w:b/>
                <w:noProof/>
                <w:color w:val="000000"/>
                <w:sz w:val="18"/>
              </w:rPr>
            </w:pPr>
          </w:p>
        </w:tc>
        <w:tc>
          <w:tcPr>
            <w:tcW w:w="1180" w:type="dxa"/>
            <w:tcBorders>
              <w:top w:val="nil"/>
              <w:left w:val="nil"/>
              <w:bottom w:val="nil"/>
              <w:right w:val="nil"/>
              <w:tl2br w:val="nil"/>
              <w:tr2bl w:val="nil"/>
            </w:tcBorders>
            <w:shd w:val="solid" w:color="CCE1EA" w:fill="FFFFFF"/>
            <w:tcMar>
              <w:left w:w="60" w:type="dxa"/>
              <w:right w:w="60" w:type="dxa"/>
            </w:tcMar>
            <w:vAlign w:val="center"/>
          </w:tcPr>
          <w:p>
            <w:pPr>
              <w:pStyle w:val="DMETW36770BIPFINL"/>
              <w:jc w:val="center"/>
              <w:rPr>
                <w:rFonts w:ascii="Verdana" w:eastAsia="Verdana" w:hAnsi="Verdana" w:cs="Verdana"/>
                <w:noProof/>
                <w:color w:val="000000"/>
                <w:sz w:val="18"/>
              </w:rPr>
            </w:pPr>
          </w:p>
        </w:tc>
        <w:tc>
          <w:tcPr>
            <w:tcW w:w="1743" w:type="dxa"/>
            <w:tcBorders>
              <w:top w:val="nil"/>
              <w:left w:val="nil"/>
              <w:bottom w:val="nil"/>
              <w:right w:val="nil"/>
              <w:tl2br w:val="nil"/>
              <w:tr2bl w:val="nil"/>
            </w:tcBorders>
            <w:shd w:val="solid" w:color="CCE1EA" w:fill="FFFFFF"/>
            <w:tcMar>
              <w:left w:w="60" w:type="dxa"/>
              <w:right w:w="60" w:type="dxa"/>
            </w:tcMar>
            <w:vAlign w:val="center"/>
          </w:tcPr>
          <w:p>
            <w:pPr>
              <w:pStyle w:val="DMETW36770BIPFINL"/>
              <w:jc w:val="right"/>
              <w:rPr>
                <w:rFonts w:ascii="Verdana" w:eastAsia="Verdana" w:hAnsi="Verdana" w:cs="Verdana"/>
                <w:b/>
                <w:noProof/>
                <w:color w:val="000000"/>
                <w:sz w:val="18"/>
              </w:rPr>
            </w:pPr>
            <w:r>
              <w:rPr>
                <w:rFonts w:ascii="Verdana" w:hAnsi="Verdana"/>
                <w:b/>
                <w:noProof/>
                <w:color w:val="000000"/>
                <w:sz w:val="18"/>
              </w:rPr>
              <w:t>96 769</w:t>
            </w:r>
          </w:p>
        </w:tc>
        <w:tc>
          <w:tcPr>
            <w:tcW w:w="1530" w:type="dxa"/>
            <w:tcBorders>
              <w:top w:val="nil"/>
              <w:left w:val="nil"/>
              <w:bottom w:val="nil"/>
              <w:right w:val="nil"/>
              <w:tl2br w:val="nil"/>
              <w:tr2bl w:val="nil"/>
            </w:tcBorders>
            <w:shd w:val="solid" w:color="CCE1EA" w:fill="FFFFFF"/>
            <w:tcMar>
              <w:left w:w="60" w:type="dxa"/>
              <w:right w:w="60" w:type="dxa"/>
            </w:tcMar>
            <w:vAlign w:val="center"/>
          </w:tcPr>
          <w:p>
            <w:pPr>
              <w:pStyle w:val="DMETW36770BIPFINL"/>
              <w:jc w:val="right"/>
              <w:rPr>
                <w:rFonts w:ascii="Verdana" w:eastAsia="Verdana" w:hAnsi="Verdana" w:cs="Verdana"/>
                <w:b/>
                <w:noProof/>
                <w:color w:val="000000"/>
                <w:sz w:val="18"/>
              </w:rPr>
            </w:pPr>
            <w:r>
              <w:rPr>
                <w:rFonts w:ascii="Verdana" w:hAnsi="Verdana"/>
                <w:b/>
                <w:noProof/>
                <w:color w:val="000000"/>
                <w:sz w:val="18"/>
              </w:rPr>
              <w:t>62 328</w:t>
            </w:r>
          </w:p>
        </w:tc>
      </w:tr>
      <w:tr>
        <w:trPr>
          <w:trHeight w:val="255"/>
        </w:trPr>
        <w:tc>
          <w:tcPr>
            <w:tcW w:w="5305" w:type="dxa"/>
            <w:tcBorders>
              <w:top w:val="nil"/>
              <w:left w:val="nil"/>
              <w:bottom w:val="single" w:sz="4" w:space="0" w:color="016794"/>
              <w:right w:val="nil"/>
              <w:tl2br w:val="nil"/>
              <w:tr2bl w:val="nil"/>
            </w:tcBorders>
            <w:tcMar>
              <w:left w:w="60" w:type="dxa"/>
              <w:right w:w="60" w:type="dxa"/>
            </w:tcMar>
            <w:vAlign w:val="center"/>
          </w:tcPr>
          <w:p>
            <w:pPr>
              <w:pStyle w:val="DMETW36770BIPFINL"/>
              <w:rPr>
                <w:rFonts w:ascii="Verdana" w:eastAsia="Verdana" w:hAnsi="Verdana" w:cs="Verdana"/>
                <w:b/>
                <w:noProof/>
                <w:color w:val="000000"/>
                <w:sz w:val="18"/>
              </w:rPr>
            </w:pPr>
            <w:r>
              <w:rPr>
                <w:rFonts w:ascii="Verdana" w:hAnsi="Verdana"/>
                <w:b/>
                <w:noProof/>
                <w:color w:val="000000"/>
                <w:sz w:val="18"/>
              </w:rPr>
              <w:t>Total</w:t>
            </w:r>
          </w:p>
        </w:tc>
        <w:tc>
          <w:tcPr>
            <w:tcW w:w="1180" w:type="dxa"/>
            <w:tcBorders>
              <w:top w:val="nil"/>
              <w:left w:val="nil"/>
              <w:bottom w:val="single" w:sz="4" w:space="0" w:color="016794"/>
              <w:right w:val="nil"/>
              <w:tl2br w:val="nil"/>
              <w:tr2bl w:val="nil"/>
            </w:tcBorders>
            <w:tcMar>
              <w:left w:w="60" w:type="dxa"/>
              <w:right w:w="60" w:type="dxa"/>
            </w:tcMar>
            <w:vAlign w:val="center"/>
          </w:tcPr>
          <w:p>
            <w:pPr>
              <w:pStyle w:val="DMETW36770BIPFINL"/>
              <w:jc w:val="center"/>
              <w:rPr>
                <w:rFonts w:ascii="Verdana" w:eastAsia="Verdana" w:hAnsi="Verdana" w:cs="Verdana"/>
                <w:noProof/>
                <w:color w:val="000000"/>
                <w:sz w:val="18"/>
              </w:rPr>
            </w:pPr>
          </w:p>
        </w:tc>
        <w:tc>
          <w:tcPr>
            <w:tcW w:w="1743" w:type="dxa"/>
            <w:tcBorders>
              <w:top w:val="nil"/>
              <w:left w:val="nil"/>
              <w:bottom w:val="single" w:sz="4" w:space="0" w:color="016794"/>
              <w:right w:val="nil"/>
              <w:tl2br w:val="nil"/>
              <w:tr2bl w:val="nil"/>
            </w:tcBorders>
            <w:tcMar>
              <w:left w:w="60" w:type="dxa"/>
              <w:right w:w="60" w:type="dxa"/>
            </w:tcMar>
            <w:vAlign w:val="center"/>
          </w:tcPr>
          <w:p>
            <w:pPr>
              <w:pStyle w:val="DMETW36770BIPFINL"/>
              <w:jc w:val="right"/>
              <w:rPr>
                <w:rFonts w:ascii="Verdana" w:eastAsia="Verdana" w:hAnsi="Verdana" w:cs="Verdana"/>
                <w:b/>
                <w:noProof/>
                <w:color w:val="000000"/>
                <w:sz w:val="18"/>
              </w:rPr>
            </w:pPr>
            <w:r>
              <w:rPr>
                <w:rFonts w:ascii="Verdana" w:hAnsi="Verdana"/>
                <w:b/>
                <w:noProof/>
                <w:color w:val="000000"/>
                <w:sz w:val="18"/>
              </w:rPr>
              <w:t>740 787</w:t>
            </w:r>
          </w:p>
        </w:tc>
        <w:tc>
          <w:tcPr>
            <w:tcW w:w="1530" w:type="dxa"/>
            <w:tcBorders>
              <w:top w:val="nil"/>
              <w:left w:val="nil"/>
              <w:bottom w:val="single" w:sz="4" w:space="0" w:color="016794"/>
              <w:right w:val="nil"/>
              <w:tl2br w:val="nil"/>
              <w:tr2bl w:val="nil"/>
            </w:tcBorders>
            <w:tcMar>
              <w:left w:w="60" w:type="dxa"/>
              <w:right w:w="60" w:type="dxa"/>
            </w:tcMar>
            <w:vAlign w:val="center"/>
          </w:tcPr>
          <w:p>
            <w:pPr>
              <w:pStyle w:val="DMETW36770BIPFINL"/>
              <w:jc w:val="right"/>
              <w:rPr>
                <w:rFonts w:ascii="Verdana" w:eastAsia="Verdana" w:hAnsi="Verdana" w:cs="Verdana"/>
                <w:b/>
                <w:noProof/>
                <w:color w:val="000000"/>
                <w:sz w:val="18"/>
              </w:rPr>
            </w:pPr>
            <w:r>
              <w:rPr>
                <w:rFonts w:ascii="Verdana" w:hAnsi="Verdana"/>
                <w:b/>
                <w:noProof/>
                <w:color w:val="000000"/>
                <w:sz w:val="18"/>
              </w:rPr>
              <w:t>601 903</w:t>
            </w:r>
          </w:p>
        </w:tc>
      </w:tr>
    </w:tbl>
    <w:p>
      <w:pPr>
        <w:pStyle w:val="HEADER3NOTES"/>
        <w:numPr>
          <w:ilvl w:val="2"/>
          <w:numId w:val="15"/>
        </w:numPr>
        <w:rPr>
          <w:noProof/>
        </w:rPr>
      </w:pPr>
      <w:r>
        <w:rPr>
          <w:noProof/>
        </w:rPr>
        <w:t xml:space="preserve">Passifs financiers au coût amorti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2"/>
        <w:gridCol w:w="1743"/>
        <w:gridCol w:w="1743"/>
        <w:gridCol w:w="1530"/>
      </w:tblGrid>
      <w:tr>
        <w:trPr>
          <w:trHeight w:val="255"/>
        </w:trPr>
        <w:tc>
          <w:tcPr>
            <w:tcW w:w="4742" w:type="dxa"/>
            <w:tcBorders>
              <w:top w:val="nil"/>
              <w:left w:val="nil"/>
              <w:bottom w:val="nil"/>
              <w:right w:val="nil"/>
              <w:tl2br w:val="nil"/>
              <w:tr2bl w:val="nil"/>
            </w:tcBorders>
            <w:tcMar>
              <w:left w:w="60" w:type="dxa"/>
              <w:right w:w="60" w:type="dxa"/>
            </w:tcMar>
            <w:vAlign w:val="center"/>
          </w:tcPr>
          <w:p>
            <w:pPr>
              <w:pStyle w:val="DMETW36770BIPBORR"/>
              <w:rPr>
                <w:rFonts w:ascii="Verdana" w:eastAsia="Verdana" w:hAnsi="Verdana" w:cs="Verdana"/>
                <w:i/>
                <w:noProof/>
                <w:color w:val="FFFFFF"/>
                <w:sz w:val="18"/>
              </w:rPr>
            </w:pPr>
            <w:bookmarkStart w:id="160" w:name="DOC_TBL00057_1_1"/>
            <w:bookmarkEnd w:id="160"/>
          </w:p>
        </w:tc>
        <w:tc>
          <w:tcPr>
            <w:tcW w:w="1743" w:type="dxa"/>
            <w:tcBorders>
              <w:top w:val="nil"/>
              <w:left w:val="nil"/>
              <w:bottom w:val="nil"/>
              <w:right w:val="nil"/>
              <w:tl2br w:val="nil"/>
              <w:tr2bl w:val="nil"/>
            </w:tcBorders>
            <w:tcMar>
              <w:left w:w="60" w:type="dxa"/>
              <w:right w:w="60" w:type="dxa"/>
            </w:tcMar>
            <w:vAlign w:val="center"/>
          </w:tcPr>
          <w:p>
            <w:pPr>
              <w:pStyle w:val="DMETW36770BIPBORR"/>
              <w:rPr>
                <w:rFonts w:ascii="Verdana" w:eastAsia="Verdana" w:hAnsi="Verdana" w:cs="Verdana"/>
                <w:noProof/>
                <w:color w:val="000000"/>
                <w:sz w:val="18"/>
              </w:rPr>
            </w:pPr>
          </w:p>
        </w:tc>
        <w:tc>
          <w:tcPr>
            <w:tcW w:w="1743" w:type="dxa"/>
            <w:tcBorders>
              <w:top w:val="nil"/>
              <w:left w:val="nil"/>
              <w:bottom w:val="nil"/>
              <w:right w:val="nil"/>
              <w:tl2br w:val="nil"/>
              <w:tr2bl w:val="nil"/>
            </w:tcBorders>
            <w:tcMar>
              <w:left w:w="60" w:type="dxa"/>
              <w:right w:w="60" w:type="dxa"/>
            </w:tcMar>
            <w:vAlign w:val="center"/>
          </w:tcPr>
          <w:p>
            <w:pPr>
              <w:pStyle w:val="DMETW36770BIPBORR"/>
              <w:rPr>
                <w:rFonts w:ascii="Verdana" w:eastAsia="Verdana" w:hAnsi="Verdana" w:cs="Verdana"/>
                <w:noProof/>
                <w:color w:val="000000"/>
                <w:sz w:val="18"/>
              </w:rPr>
            </w:pPr>
          </w:p>
        </w:tc>
        <w:tc>
          <w:tcPr>
            <w:tcW w:w="1530" w:type="dxa"/>
            <w:tcBorders>
              <w:top w:val="nil"/>
              <w:left w:val="nil"/>
              <w:bottom w:val="nil"/>
              <w:right w:val="nil"/>
              <w:tl2br w:val="nil"/>
              <w:tr2bl w:val="nil"/>
            </w:tcBorders>
            <w:tcMar>
              <w:left w:w="60" w:type="dxa"/>
              <w:right w:w="60" w:type="dxa"/>
            </w:tcMar>
            <w:vAlign w:val="center"/>
          </w:tcPr>
          <w:p>
            <w:pPr>
              <w:pStyle w:val="DMETW36770BIPBORR"/>
              <w:jc w:val="right"/>
              <w:rPr>
                <w:rFonts w:ascii="Verdana" w:eastAsia="Verdana" w:hAnsi="Verdana" w:cs="Verdana"/>
                <w:i/>
                <w:noProof/>
                <w:color w:val="000000"/>
                <w:sz w:val="18"/>
              </w:rPr>
            </w:pPr>
            <w:r>
              <w:rPr>
                <w:rFonts w:ascii="Verdana" w:hAnsi="Verdana"/>
                <w:i/>
                <w:noProof/>
                <w:color w:val="000000"/>
                <w:sz w:val="18"/>
              </w:rPr>
              <w:t>en Mio EUR</w:t>
            </w:r>
          </w:p>
        </w:tc>
      </w:tr>
      <w:tr>
        <w:trPr>
          <w:trHeight w:val="255"/>
        </w:trPr>
        <w:tc>
          <w:tcPr>
            <w:tcW w:w="4742" w:type="dxa"/>
            <w:tcBorders>
              <w:top w:val="nil"/>
              <w:left w:val="nil"/>
              <w:bottom w:val="nil"/>
              <w:right w:val="nil"/>
              <w:tl2br w:val="nil"/>
              <w:tr2bl w:val="nil"/>
            </w:tcBorders>
            <w:shd w:val="solid" w:color="016794" w:fill="FFFFFF"/>
            <w:tcMar>
              <w:left w:w="60" w:type="dxa"/>
              <w:right w:w="60" w:type="dxa"/>
            </w:tcMar>
            <w:vAlign w:val="center"/>
          </w:tcPr>
          <w:p>
            <w:pPr>
              <w:pStyle w:val="DMETW36770BIPBORR"/>
              <w:rPr>
                <w:rFonts w:ascii="Verdana" w:eastAsia="Verdana" w:hAnsi="Verdana" w:cs="Verdana"/>
                <w:noProof/>
                <w:color w:val="FFFFFF"/>
                <w:sz w:val="18"/>
              </w:rPr>
            </w:pPr>
          </w:p>
        </w:tc>
        <w:tc>
          <w:tcPr>
            <w:tcW w:w="1743" w:type="dxa"/>
            <w:tcBorders>
              <w:top w:val="nil"/>
              <w:left w:val="nil"/>
              <w:bottom w:val="nil"/>
              <w:right w:val="nil"/>
              <w:tl2br w:val="nil"/>
              <w:tr2bl w:val="nil"/>
            </w:tcBorders>
            <w:shd w:val="solid" w:color="016794" w:fill="FFFFFF"/>
            <w:tcMar>
              <w:left w:w="60" w:type="dxa"/>
              <w:right w:w="60" w:type="dxa"/>
            </w:tcMar>
            <w:vAlign w:val="center"/>
          </w:tcPr>
          <w:p>
            <w:pPr>
              <w:pStyle w:val="DMETW36770BIPBORR"/>
              <w:jc w:val="center"/>
              <w:rPr>
                <w:rFonts w:ascii="Verdana" w:eastAsia="Verdana" w:hAnsi="Verdana" w:cs="Verdana"/>
                <w:noProof/>
                <w:color w:val="FFFFFF"/>
                <w:sz w:val="18"/>
              </w:rPr>
            </w:pPr>
            <w:r>
              <w:rPr>
                <w:rFonts w:ascii="Verdana" w:hAnsi="Verdana"/>
                <w:noProof/>
                <w:color w:val="FFFFFF"/>
                <w:sz w:val="18"/>
              </w:rPr>
              <w:t>Note</w:t>
            </w:r>
          </w:p>
        </w:tc>
        <w:tc>
          <w:tcPr>
            <w:tcW w:w="1743" w:type="dxa"/>
            <w:tcBorders>
              <w:top w:val="nil"/>
              <w:left w:val="nil"/>
              <w:bottom w:val="nil"/>
              <w:right w:val="nil"/>
              <w:tl2br w:val="nil"/>
              <w:tr2bl w:val="nil"/>
            </w:tcBorders>
            <w:shd w:val="solid" w:color="016794" w:fill="FFFFFF"/>
            <w:tcMar>
              <w:left w:w="60" w:type="dxa"/>
              <w:right w:w="60" w:type="dxa"/>
            </w:tcMar>
            <w:vAlign w:val="center"/>
          </w:tcPr>
          <w:p>
            <w:pPr>
              <w:pStyle w:val="DMETW36770BIPBORR"/>
              <w:jc w:val="right"/>
              <w:rPr>
                <w:rFonts w:ascii="Verdana" w:eastAsia="Verdana" w:hAnsi="Verdana" w:cs="Verdana"/>
                <w:noProof/>
                <w:color w:val="FFFFFF"/>
                <w:sz w:val="18"/>
              </w:rPr>
            </w:pPr>
            <w:r>
              <w:rPr>
                <w:rFonts w:ascii="Verdana" w:hAnsi="Verdana"/>
                <w:noProof/>
                <w:color w:val="FFFFFF"/>
                <w:sz w:val="18"/>
              </w:rPr>
              <w:t>31.12.2025</w:t>
            </w:r>
          </w:p>
        </w:tc>
        <w:tc>
          <w:tcPr>
            <w:tcW w:w="1530" w:type="dxa"/>
            <w:tcBorders>
              <w:top w:val="nil"/>
              <w:left w:val="nil"/>
              <w:bottom w:val="nil"/>
              <w:right w:val="nil"/>
              <w:tl2br w:val="nil"/>
              <w:tr2bl w:val="nil"/>
            </w:tcBorders>
            <w:shd w:val="solid" w:color="016794" w:fill="FFFFFF"/>
            <w:tcMar>
              <w:left w:w="60" w:type="dxa"/>
              <w:right w:w="60" w:type="dxa"/>
            </w:tcMar>
            <w:vAlign w:val="center"/>
          </w:tcPr>
          <w:p>
            <w:pPr>
              <w:pStyle w:val="DMETW36770BIPBORR"/>
              <w:jc w:val="right"/>
              <w:rPr>
                <w:rFonts w:ascii="Verdana" w:eastAsia="Verdana" w:hAnsi="Verdana" w:cs="Verdana"/>
                <w:noProof/>
                <w:color w:val="FFFFFF"/>
                <w:sz w:val="18"/>
              </w:rPr>
            </w:pPr>
            <w:r>
              <w:rPr>
                <w:rFonts w:ascii="Verdana" w:hAnsi="Verdana"/>
                <w:noProof/>
                <w:color w:val="FFFFFF"/>
                <w:sz w:val="18"/>
              </w:rPr>
              <w:t>31.12.2024</w:t>
            </w:r>
          </w:p>
        </w:tc>
      </w:tr>
      <w:tr>
        <w:trPr>
          <w:trHeight w:val="255"/>
        </w:trPr>
        <w:tc>
          <w:tcPr>
            <w:tcW w:w="4742" w:type="dxa"/>
            <w:tcBorders>
              <w:top w:val="nil"/>
              <w:left w:val="nil"/>
              <w:bottom w:val="nil"/>
              <w:right w:val="nil"/>
              <w:tl2br w:val="nil"/>
              <w:tr2bl w:val="nil"/>
            </w:tcBorders>
            <w:tcMar>
              <w:left w:w="60" w:type="dxa"/>
              <w:right w:w="60" w:type="dxa"/>
            </w:tcMar>
            <w:vAlign w:val="center"/>
          </w:tcPr>
          <w:p>
            <w:pPr>
              <w:pStyle w:val="DMETW36770BIPBORR"/>
              <w:rPr>
                <w:rFonts w:ascii="Verdana" w:eastAsia="Verdana" w:hAnsi="Verdana" w:cs="Verdana"/>
                <w:i/>
                <w:noProof/>
                <w:color w:val="000000"/>
                <w:sz w:val="18"/>
              </w:rPr>
            </w:pPr>
            <w:r>
              <w:rPr>
                <w:rFonts w:ascii="Verdana" w:hAnsi="Verdana"/>
                <w:i/>
                <w:noProof/>
                <w:color w:val="000000"/>
                <w:sz w:val="18"/>
              </w:rPr>
              <w:t xml:space="preserve">Emprunts </w:t>
            </w:r>
          </w:p>
        </w:tc>
        <w:tc>
          <w:tcPr>
            <w:tcW w:w="1743" w:type="dxa"/>
            <w:tcBorders>
              <w:top w:val="nil"/>
              <w:left w:val="nil"/>
              <w:bottom w:val="nil"/>
              <w:right w:val="nil"/>
              <w:tl2br w:val="nil"/>
              <w:tr2bl w:val="nil"/>
            </w:tcBorders>
            <w:tcMar>
              <w:left w:w="60" w:type="dxa"/>
              <w:right w:w="60" w:type="dxa"/>
            </w:tcMar>
            <w:vAlign w:val="center"/>
          </w:tcPr>
          <w:p>
            <w:pPr>
              <w:pStyle w:val="DMETW36770BIPBORR"/>
              <w:jc w:val="center"/>
              <w:rPr>
                <w:rFonts w:ascii="Verdana" w:eastAsia="Verdana" w:hAnsi="Verdana" w:cs="Verdana"/>
                <w:i/>
                <w:noProof/>
                <w:color w:val="000000"/>
                <w:sz w:val="18"/>
              </w:rPr>
            </w:pPr>
            <w:r>
              <w:rPr>
                <w:rFonts w:ascii="Verdana" w:hAnsi="Verdana"/>
                <w:i/>
                <w:noProof/>
                <w:color w:val="000000"/>
                <w:sz w:val="18"/>
              </w:rPr>
              <w:t>2.11.1.1</w:t>
            </w:r>
          </w:p>
        </w:tc>
        <w:tc>
          <w:tcPr>
            <w:tcW w:w="1743" w:type="dxa"/>
            <w:tcBorders>
              <w:top w:val="nil"/>
              <w:left w:val="nil"/>
              <w:bottom w:val="nil"/>
              <w:right w:val="nil"/>
              <w:tl2br w:val="nil"/>
              <w:tr2bl w:val="nil"/>
            </w:tcBorders>
            <w:tcMar>
              <w:left w:w="60" w:type="dxa"/>
              <w:right w:w="60" w:type="dxa"/>
            </w:tcMar>
            <w:vAlign w:val="center"/>
          </w:tcPr>
          <w:p>
            <w:pPr>
              <w:pStyle w:val="DMETW36770BIPBORR"/>
              <w:jc w:val="right"/>
              <w:rPr>
                <w:rFonts w:ascii="Verdana" w:eastAsia="Verdana" w:hAnsi="Verdana" w:cs="Verdana"/>
                <w:i/>
                <w:noProof/>
                <w:color w:val="000000"/>
                <w:sz w:val="18"/>
              </w:rPr>
            </w:pPr>
            <w:r>
              <w:rPr>
                <w:rFonts w:ascii="Verdana" w:hAnsi="Verdana"/>
                <w:i/>
                <w:noProof/>
                <w:color w:val="000000"/>
                <w:sz w:val="18"/>
              </w:rPr>
              <w:t>731 224</w:t>
            </w:r>
          </w:p>
        </w:tc>
        <w:tc>
          <w:tcPr>
            <w:tcW w:w="1530" w:type="dxa"/>
            <w:tcBorders>
              <w:top w:val="nil"/>
              <w:left w:val="nil"/>
              <w:bottom w:val="nil"/>
              <w:right w:val="nil"/>
              <w:tl2br w:val="nil"/>
              <w:tr2bl w:val="nil"/>
            </w:tcBorders>
            <w:tcMar>
              <w:left w:w="60" w:type="dxa"/>
              <w:right w:w="60" w:type="dxa"/>
            </w:tcMar>
            <w:vAlign w:val="center"/>
          </w:tcPr>
          <w:p>
            <w:pPr>
              <w:pStyle w:val="DMETW36770BIPBORR"/>
              <w:jc w:val="right"/>
              <w:rPr>
                <w:rFonts w:ascii="Verdana" w:eastAsia="Verdana" w:hAnsi="Verdana" w:cs="Verdana"/>
                <w:i/>
                <w:noProof/>
                <w:color w:val="000000"/>
                <w:sz w:val="18"/>
              </w:rPr>
            </w:pPr>
            <w:r>
              <w:rPr>
                <w:rFonts w:ascii="Verdana" w:hAnsi="Verdana"/>
                <w:i/>
                <w:noProof/>
                <w:color w:val="000000"/>
                <w:sz w:val="18"/>
              </w:rPr>
              <w:t>594 028</w:t>
            </w:r>
          </w:p>
        </w:tc>
      </w:tr>
      <w:tr>
        <w:trPr>
          <w:trHeight w:val="255"/>
        </w:trPr>
        <w:tc>
          <w:tcPr>
            <w:tcW w:w="4742" w:type="dxa"/>
            <w:tcBorders>
              <w:top w:val="nil"/>
              <w:left w:val="nil"/>
              <w:bottom w:val="single" w:sz="4" w:space="0" w:color="016794"/>
              <w:right w:val="nil"/>
              <w:tl2br w:val="nil"/>
              <w:tr2bl w:val="nil"/>
            </w:tcBorders>
            <w:tcMar>
              <w:left w:w="60" w:type="dxa"/>
              <w:right w:w="60" w:type="dxa"/>
            </w:tcMar>
            <w:vAlign w:val="center"/>
          </w:tcPr>
          <w:p>
            <w:pPr>
              <w:pStyle w:val="DMETW36770BIPBORR"/>
              <w:rPr>
                <w:rFonts w:ascii="Verdana" w:eastAsia="Verdana" w:hAnsi="Verdana" w:cs="Verdana"/>
                <w:i/>
                <w:noProof/>
                <w:color w:val="000000"/>
                <w:sz w:val="18"/>
              </w:rPr>
            </w:pPr>
            <w:r>
              <w:rPr>
                <w:rFonts w:ascii="Verdana" w:hAnsi="Verdana"/>
                <w:i/>
                <w:noProof/>
                <w:color w:val="000000"/>
                <w:sz w:val="18"/>
              </w:rPr>
              <w:t>Autres passifs financiers</w:t>
            </w:r>
          </w:p>
        </w:tc>
        <w:tc>
          <w:tcPr>
            <w:tcW w:w="1743" w:type="dxa"/>
            <w:tcBorders>
              <w:top w:val="nil"/>
              <w:left w:val="nil"/>
              <w:bottom w:val="single" w:sz="4" w:space="0" w:color="016794"/>
              <w:right w:val="nil"/>
              <w:tl2br w:val="nil"/>
              <w:tr2bl w:val="nil"/>
            </w:tcBorders>
            <w:tcMar>
              <w:left w:w="60" w:type="dxa"/>
              <w:right w:w="60" w:type="dxa"/>
            </w:tcMar>
            <w:vAlign w:val="center"/>
          </w:tcPr>
          <w:p>
            <w:pPr>
              <w:pStyle w:val="DMETW36770BIPBORR"/>
              <w:jc w:val="center"/>
              <w:rPr>
                <w:rFonts w:ascii="Verdana" w:eastAsia="Verdana" w:hAnsi="Verdana" w:cs="Verdana"/>
                <w:i/>
                <w:noProof/>
                <w:color w:val="000000"/>
                <w:sz w:val="18"/>
              </w:rPr>
            </w:pPr>
            <w:r>
              <w:rPr>
                <w:rFonts w:ascii="Verdana" w:hAnsi="Verdana"/>
                <w:i/>
                <w:noProof/>
                <w:color w:val="000000"/>
                <w:sz w:val="18"/>
              </w:rPr>
              <w:t>2.11.1.2</w:t>
            </w:r>
          </w:p>
        </w:tc>
        <w:tc>
          <w:tcPr>
            <w:tcW w:w="1743" w:type="dxa"/>
            <w:tcBorders>
              <w:top w:val="nil"/>
              <w:left w:val="nil"/>
              <w:bottom w:val="single" w:sz="4" w:space="0" w:color="016794"/>
              <w:right w:val="nil"/>
              <w:tl2br w:val="nil"/>
              <w:tr2bl w:val="nil"/>
            </w:tcBorders>
            <w:tcMar>
              <w:left w:w="60" w:type="dxa"/>
              <w:right w:w="60" w:type="dxa"/>
            </w:tcMar>
            <w:vAlign w:val="center"/>
          </w:tcPr>
          <w:p>
            <w:pPr>
              <w:pStyle w:val="DMETW36770BIPBORR"/>
              <w:jc w:val="right"/>
              <w:rPr>
                <w:rFonts w:ascii="Verdana" w:eastAsia="Verdana" w:hAnsi="Verdana" w:cs="Verdana"/>
                <w:i/>
                <w:noProof/>
                <w:color w:val="000000"/>
                <w:sz w:val="18"/>
              </w:rPr>
            </w:pPr>
            <w:r>
              <w:rPr>
                <w:rFonts w:ascii="Verdana" w:hAnsi="Verdana"/>
                <w:i/>
                <w:noProof/>
                <w:color w:val="000000"/>
                <w:sz w:val="18"/>
              </w:rPr>
              <w:t>1 773</w:t>
            </w:r>
          </w:p>
        </w:tc>
        <w:tc>
          <w:tcPr>
            <w:tcW w:w="1530" w:type="dxa"/>
            <w:tcBorders>
              <w:top w:val="nil"/>
              <w:left w:val="nil"/>
              <w:bottom w:val="single" w:sz="4" w:space="0" w:color="016794"/>
              <w:right w:val="nil"/>
              <w:tl2br w:val="nil"/>
              <w:tr2bl w:val="nil"/>
            </w:tcBorders>
            <w:tcMar>
              <w:left w:w="60" w:type="dxa"/>
              <w:right w:w="60" w:type="dxa"/>
            </w:tcMar>
            <w:vAlign w:val="center"/>
          </w:tcPr>
          <w:p>
            <w:pPr>
              <w:pStyle w:val="DMETW36770BIPBORR"/>
              <w:jc w:val="right"/>
              <w:rPr>
                <w:rFonts w:ascii="Verdana" w:eastAsia="Verdana" w:hAnsi="Verdana" w:cs="Verdana"/>
                <w:i/>
                <w:noProof/>
                <w:color w:val="000000"/>
                <w:sz w:val="18"/>
              </w:rPr>
            </w:pPr>
            <w:r>
              <w:rPr>
                <w:rFonts w:ascii="Verdana" w:hAnsi="Verdana"/>
                <w:i/>
                <w:noProof/>
                <w:color w:val="000000"/>
                <w:sz w:val="18"/>
              </w:rPr>
              <w:t>1 398</w:t>
            </w:r>
          </w:p>
        </w:tc>
      </w:tr>
      <w:tr>
        <w:trPr>
          <w:trHeight w:val="255"/>
        </w:trPr>
        <w:tc>
          <w:tcPr>
            <w:tcW w:w="474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70BIPBORR"/>
              <w:rPr>
                <w:rFonts w:ascii="Verdana" w:eastAsia="Verdana" w:hAnsi="Verdana" w:cs="Verdana"/>
                <w:b/>
                <w:noProof/>
                <w:color w:val="000000"/>
                <w:sz w:val="18"/>
              </w:rPr>
            </w:pPr>
            <w:r>
              <w:rPr>
                <w:rFonts w:ascii="Verdana" w:hAnsi="Verdana"/>
                <w:b/>
                <w:noProof/>
                <w:color w:val="000000"/>
                <w:sz w:val="18"/>
              </w:rPr>
              <w:t>Total</w:t>
            </w:r>
          </w:p>
        </w:tc>
        <w:tc>
          <w:tcPr>
            <w:tcW w:w="174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70BIPBORR"/>
              <w:jc w:val="center"/>
              <w:rPr>
                <w:rFonts w:ascii="Verdana" w:eastAsia="Verdana" w:hAnsi="Verdana" w:cs="Verdana"/>
                <w:noProof/>
                <w:color w:val="000000"/>
                <w:sz w:val="18"/>
              </w:rPr>
            </w:pPr>
          </w:p>
        </w:tc>
        <w:tc>
          <w:tcPr>
            <w:tcW w:w="174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70BIPBORR"/>
              <w:jc w:val="right"/>
              <w:rPr>
                <w:rFonts w:ascii="Verdana" w:eastAsia="Verdana" w:hAnsi="Verdana" w:cs="Verdana"/>
                <w:b/>
                <w:noProof/>
                <w:color w:val="000000"/>
                <w:sz w:val="18"/>
              </w:rPr>
            </w:pPr>
            <w:r>
              <w:rPr>
                <w:rFonts w:ascii="Verdana" w:hAnsi="Verdana"/>
                <w:b/>
                <w:noProof/>
                <w:color w:val="000000"/>
                <w:sz w:val="18"/>
              </w:rPr>
              <w:t>732 997</w:t>
            </w:r>
          </w:p>
        </w:tc>
        <w:tc>
          <w:tcPr>
            <w:tcW w:w="153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70BIPBORR"/>
              <w:jc w:val="right"/>
              <w:rPr>
                <w:rFonts w:ascii="Verdana" w:eastAsia="Verdana" w:hAnsi="Verdana" w:cs="Verdana"/>
                <w:b/>
                <w:noProof/>
                <w:color w:val="000000"/>
                <w:sz w:val="18"/>
              </w:rPr>
            </w:pPr>
            <w:r>
              <w:rPr>
                <w:rFonts w:ascii="Verdana" w:hAnsi="Verdana"/>
                <w:b/>
                <w:noProof/>
                <w:color w:val="000000"/>
                <w:sz w:val="18"/>
              </w:rPr>
              <w:t>595 426</w:t>
            </w:r>
          </w:p>
        </w:tc>
      </w:tr>
      <w:tr>
        <w:trPr>
          <w:trHeight w:val="255"/>
        </w:trPr>
        <w:tc>
          <w:tcPr>
            <w:tcW w:w="4742" w:type="dxa"/>
            <w:tcBorders>
              <w:top w:val="single" w:sz="4" w:space="0" w:color="016794"/>
              <w:left w:val="nil"/>
              <w:bottom w:val="nil"/>
              <w:right w:val="nil"/>
              <w:tl2br w:val="nil"/>
              <w:tr2bl w:val="nil"/>
            </w:tcBorders>
            <w:tcMar>
              <w:left w:w="60" w:type="dxa"/>
              <w:right w:w="60" w:type="dxa"/>
            </w:tcMar>
            <w:vAlign w:val="center"/>
          </w:tcPr>
          <w:p>
            <w:pPr>
              <w:pStyle w:val="DMETW36770BIPBORR"/>
              <w:rPr>
                <w:rFonts w:ascii="Verdana" w:eastAsia="Verdana" w:hAnsi="Verdana" w:cs="Verdana"/>
                <w:i/>
                <w:noProof/>
                <w:color w:val="016794"/>
                <w:sz w:val="18"/>
              </w:rPr>
            </w:pPr>
            <w:r>
              <w:rPr>
                <w:rFonts w:ascii="Verdana" w:hAnsi="Verdana"/>
                <w:i/>
                <w:noProof/>
                <w:color w:val="016794"/>
                <w:sz w:val="18"/>
              </w:rPr>
              <w:t>Non courants</w:t>
            </w:r>
          </w:p>
        </w:tc>
        <w:tc>
          <w:tcPr>
            <w:tcW w:w="1743" w:type="dxa"/>
            <w:tcBorders>
              <w:top w:val="single" w:sz="4" w:space="0" w:color="016794"/>
              <w:left w:val="nil"/>
              <w:bottom w:val="nil"/>
              <w:right w:val="nil"/>
              <w:tl2br w:val="nil"/>
              <w:tr2bl w:val="nil"/>
            </w:tcBorders>
            <w:tcMar>
              <w:left w:w="60" w:type="dxa"/>
              <w:right w:w="60" w:type="dxa"/>
            </w:tcMar>
            <w:vAlign w:val="center"/>
          </w:tcPr>
          <w:p>
            <w:pPr>
              <w:pStyle w:val="DMETW36770BIPBORR"/>
              <w:jc w:val="center"/>
              <w:rPr>
                <w:rFonts w:ascii="Verdana" w:eastAsia="Verdana" w:hAnsi="Verdana" w:cs="Verdana"/>
                <w:i/>
                <w:noProof/>
                <w:color w:val="016794"/>
                <w:sz w:val="18"/>
              </w:rPr>
            </w:pPr>
          </w:p>
        </w:tc>
        <w:tc>
          <w:tcPr>
            <w:tcW w:w="1743" w:type="dxa"/>
            <w:tcBorders>
              <w:top w:val="single" w:sz="4" w:space="0" w:color="016794"/>
              <w:left w:val="nil"/>
              <w:bottom w:val="nil"/>
              <w:right w:val="nil"/>
              <w:tl2br w:val="nil"/>
              <w:tr2bl w:val="nil"/>
            </w:tcBorders>
            <w:tcMar>
              <w:left w:w="60" w:type="dxa"/>
              <w:right w:w="60" w:type="dxa"/>
            </w:tcMar>
            <w:vAlign w:val="center"/>
          </w:tcPr>
          <w:p>
            <w:pPr>
              <w:pStyle w:val="DMETW36770BIPBORR"/>
              <w:jc w:val="right"/>
              <w:rPr>
                <w:rFonts w:ascii="Verdana" w:eastAsia="Verdana" w:hAnsi="Verdana" w:cs="Verdana"/>
                <w:i/>
                <w:noProof/>
                <w:color w:val="016794"/>
                <w:sz w:val="18"/>
              </w:rPr>
            </w:pPr>
            <w:r>
              <w:rPr>
                <w:rFonts w:ascii="Verdana" w:hAnsi="Verdana"/>
                <w:i/>
                <w:noProof/>
                <w:color w:val="016794"/>
                <w:sz w:val="18"/>
              </w:rPr>
              <w:t>643 928</w:t>
            </w:r>
          </w:p>
        </w:tc>
        <w:tc>
          <w:tcPr>
            <w:tcW w:w="1530" w:type="dxa"/>
            <w:tcBorders>
              <w:top w:val="single" w:sz="4" w:space="0" w:color="016794"/>
              <w:left w:val="nil"/>
              <w:bottom w:val="nil"/>
              <w:right w:val="nil"/>
              <w:tl2br w:val="nil"/>
              <w:tr2bl w:val="nil"/>
            </w:tcBorders>
            <w:tcMar>
              <w:left w:w="60" w:type="dxa"/>
              <w:right w:w="60" w:type="dxa"/>
            </w:tcMar>
            <w:vAlign w:val="center"/>
          </w:tcPr>
          <w:p>
            <w:pPr>
              <w:pStyle w:val="DMETW36770BIPBORR"/>
              <w:jc w:val="right"/>
              <w:rPr>
                <w:rFonts w:ascii="Verdana" w:eastAsia="Verdana" w:hAnsi="Verdana" w:cs="Verdana"/>
                <w:i/>
                <w:noProof/>
                <w:color w:val="016794"/>
                <w:sz w:val="18"/>
              </w:rPr>
            </w:pPr>
            <w:r>
              <w:rPr>
                <w:rFonts w:ascii="Verdana" w:hAnsi="Verdana"/>
                <w:i/>
                <w:noProof/>
                <w:color w:val="016794"/>
                <w:sz w:val="18"/>
              </w:rPr>
              <w:t>539 522</w:t>
            </w:r>
          </w:p>
        </w:tc>
      </w:tr>
      <w:tr>
        <w:trPr>
          <w:trHeight w:val="255"/>
        </w:trPr>
        <w:tc>
          <w:tcPr>
            <w:tcW w:w="4742" w:type="dxa"/>
            <w:tcBorders>
              <w:top w:val="nil"/>
              <w:left w:val="nil"/>
              <w:bottom w:val="nil"/>
              <w:right w:val="nil"/>
              <w:tl2br w:val="nil"/>
              <w:tr2bl w:val="nil"/>
            </w:tcBorders>
            <w:tcMar>
              <w:left w:w="60" w:type="dxa"/>
              <w:right w:w="60" w:type="dxa"/>
            </w:tcMar>
            <w:vAlign w:val="center"/>
          </w:tcPr>
          <w:p>
            <w:pPr>
              <w:pStyle w:val="DMETW36770BIPBORR"/>
              <w:rPr>
                <w:rFonts w:ascii="Verdana" w:eastAsia="Verdana" w:hAnsi="Verdana" w:cs="Verdana"/>
                <w:i/>
                <w:noProof/>
                <w:color w:val="016794"/>
                <w:sz w:val="18"/>
              </w:rPr>
            </w:pPr>
            <w:r>
              <w:rPr>
                <w:rFonts w:ascii="Verdana" w:hAnsi="Verdana"/>
                <w:i/>
                <w:noProof/>
                <w:color w:val="016794"/>
                <w:sz w:val="18"/>
              </w:rPr>
              <w:t>Courants</w:t>
            </w:r>
          </w:p>
        </w:tc>
        <w:tc>
          <w:tcPr>
            <w:tcW w:w="1743" w:type="dxa"/>
            <w:tcBorders>
              <w:top w:val="nil"/>
              <w:left w:val="nil"/>
              <w:bottom w:val="nil"/>
              <w:right w:val="nil"/>
              <w:tl2br w:val="nil"/>
              <w:tr2bl w:val="nil"/>
            </w:tcBorders>
            <w:tcMar>
              <w:left w:w="60" w:type="dxa"/>
              <w:right w:w="60" w:type="dxa"/>
            </w:tcMar>
            <w:vAlign w:val="center"/>
          </w:tcPr>
          <w:p>
            <w:pPr>
              <w:pStyle w:val="DMETW36770BIPBORR"/>
              <w:jc w:val="center"/>
              <w:rPr>
                <w:rFonts w:ascii="Verdana" w:eastAsia="Verdana" w:hAnsi="Verdana" w:cs="Verdana"/>
                <w:i/>
                <w:noProof/>
                <w:color w:val="016794"/>
                <w:sz w:val="18"/>
              </w:rPr>
            </w:pPr>
          </w:p>
        </w:tc>
        <w:tc>
          <w:tcPr>
            <w:tcW w:w="1743" w:type="dxa"/>
            <w:tcBorders>
              <w:top w:val="nil"/>
              <w:left w:val="nil"/>
              <w:bottom w:val="nil"/>
              <w:right w:val="nil"/>
              <w:tl2br w:val="nil"/>
              <w:tr2bl w:val="nil"/>
            </w:tcBorders>
            <w:tcMar>
              <w:left w:w="60" w:type="dxa"/>
              <w:right w:w="60" w:type="dxa"/>
            </w:tcMar>
            <w:vAlign w:val="center"/>
          </w:tcPr>
          <w:p>
            <w:pPr>
              <w:pStyle w:val="DMETW36770BIPBORR"/>
              <w:jc w:val="right"/>
              <w:rPr>
                <w:rFonts w:ascii="Verdana" w:eastAsia="Verdana" w:hAnsi="Verdana" w:cs="Verdana"/>
                <w:i/>
                <w:noProof/>
                <w:color w:val="016794"/>
                <w:sz w:val="18"/>
              </w:rPr>
            </w:pPr>
            <w:r>
              <w:rPr>
                <w:rFonts w:ascii="Verdana" w:hAnsi="Verdana"/>
                <w:i/>
                <w:noProof/>
                <w:color w:val="016794"/>
                <w:sz w:val="18"/>
              </w:rPr>
              <w:t>89 069</w:t>
            </w:r>
          </w:p>
        </w:tc>
        <w:tc>
          <w:tcPr>
            <w:tcW w:w="1530" w:type="dxa"/>
            <w:tcBorders>
              <w:top w:val="nil"/>
              <w:left w:val="nil"/>
              <w:bottom w:val="nil"/>
              <w:right w:val="nil"/>
              <w:tl2br w:val="nil"/>
              <w:tr2bl w:val="nil"/>
            </w:tcBorders>
            <w:tcMar>
              <w:left w:w="60" w:type="dxa"/>
              <w:right w:w="60" w:type="dxa"/>
            </w:tcMar>
            <w:vAlign w:val="center"/>
          </w:tcPr>
          <w:p>
            <w:pPr>
              <w:pStyle w:val="DMETW36770BIPBORR"/>
              <w:jc w:val="right"/>
              <w:rPr>
                <w:rFonts w:ascii="Verdana" w:eastAsia="Verdana" w:hAnsi="Verdana" w:cs="Verdana"/>
                <w:i/>
                <w:noProof/>
                <w:color w:val="016794"/>
                <w:sz w:val="18"/>
              </w:rPr>
            </w:pPr>
            <w:r>
              <w:rPr>
                <w:rFonts w:ascii="Verdana" w:hAnsi="Verdana"/>
                <w:i/>
                <w:noProof/>
                <w:color w:val="016794"/>
                <w:sz w:val="18"/>
              </w:rPr>
              <w:t>55 904</w:t>
            </w:r>
          </w:p>
        </w:tc>
      </w:tr>
    </w:tbl>
    <w:p>
      <w:pPr>
        <w:pStyle w:val="HEADER4NOTES"/>
        <w:numPr>
          <w:ilvl w:val="3"/>
          <w:numId w:val="15"/>
        </w:numPr>
        <w:rPr>
          <w:noProof/>
        </w:rPr>
      </w:pPr>
      <w:r>
        <w:rPr>
          <w:noProof/>
        </w:rPr>
        <w:t xml:space="preserve">Emprunts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9"/>
        <w:gridCol w:w="1227"/>
        <w:gridCol w:w="992"/>
        <w:gridCol w:w="1134"/>
        <w:gridCol w:w="851"/>
        <w:gridCol w:w="850"/>
        <w:gridCol w:w="992"/>
        <w:gridCol w:w="1193"/>
      </w:tblGrid>
      <w:tr>
        <w:trPr>
          <w:trHeight w:val="255"/>
        </w:trPr>
        <w:tc>
          <w:tcPr>
            <w:tcW w:w="2519" w:type="dxa"/>
            <w:tcBorders>
              <w:top w:val="nil"/>
              <w:left w:val="nil"/>
              <w:bottom w:val="nil"/>
              <w:right w:val="nil"/>
              <w:tl2br w:val="nil"/>
              <w:tr2bl w:val="nil"/>
            </w:tcBorders>
            <w:tcMar>
              <w:left w:w="60" w:type="dxa"/>
              <w:right w:w="60" w:type="dxa"/>
            </w:tcMar>
            <w:vAlign w:val="bottom"/>
          </w:tcPr>
          <w:p>
            <w:pPr>
              <w:pStyle w:val="DMETW36633BIPLGFBF"/>
              <w:rPr>
                <w:rFonts w:ascii="Verdana" w:eastAsia="Verdana" w:hAnsi="Verdana" w:cs="Verdana"/>
                <w:noProof/>
                <w:color w:val="000000"/>
                <w:sz w:val="18"/>
              </w:rPr>
            </w:pPr>
            <w:bookmarkStart w:id="161" w:name="DOC_TBL00058_1_1"/>
            <w:bookmarkEnd w:id="161"/>
          </w:p>
        </w:tc>
        <w:tc>
          <w:tcPr>
            <w:tcW w:w="1227" w:type="dxa"/>
            <w:tcBorders>
              <w:top w:val="nil"/>
              <w:left w:val="nil"/>
              <w:bottom w:val="nil"/>
              <w:right w:val="nil"/>
              <w:tl2br w:val="nil"/>
              <w:tr2bl w:val="nil"/>
            </w:tcBorders>
            <w:tcMar>
              <w:left w:w="60" w:type="dxa"/>
              <w:right w:w="60" w:type="dxa"/>
            </w:tcMar>
            <w:vAlign w:val="bottom"/>
          </w:tcPr>
          <w:p>
            <w:pPr>
              <w:pStyle w:val="DMETW36633BIPLGFBF"/>
              <w:rPr>
                <w:rFonts w:ascii="Verdana" w:eastAsia="Verdana" w:hAnsi="Verdana" w:cs="Verdana"/>
                <w:noProof/>
                <w:color w:val="000000"/>
                <w:sz w:val="18"/>
              </w:rPr>
            </w:pPr>
          </w:p>
        </w:tc>
        <w:tc>
          <w:tcPr>
            <w:tcW w:w="992" w:type="dxa"/>
            <w:tcBorders>
              <w:top w:val="nil"/>
              <w:left w:val="nil"/>
              <w:bottom w:val="nil"/>
              <w:right w:val="nil"/>
              <w:tl2br w:val="nil"/>
              <w:tr2bl w:val="nil"/>
            </w:tcBorders>
            <w:tcMar>
              <w:left w:w="60" w:type="dxa"/>
              <w:right w:w="60" w:type="dxa"/>
            </w:tcMar>
            <w:vAlign w:val="bottom"/>
          </w:tcPr>
          <w:p>
            <w:pPr>
              <w:pStyle w:val="DMETW36633BIPLGFBF"/>
              <w:rPr>
                <w:rFonts w:ascii="Verdana" w:eastAsia="Verdana" w:hAnsi="Verdana" w:cs="Verdana"/>
                <w:noProof/>
                <w:color w:val="000000"/>
                <w:sz w:val="18"/>
              </w:rPr>
            </w:pPr>
          </w:p>
        </w:tc>
        <w:tc>
          <w:tcPr>
            <w:tcW w:w="1134" w:type="dxa"/>
            <w:tcBorders>
              <w:top w:val="nil"/>
              <w:left w:val="nil"/>
              <w:bottom w:val="nil"/>
              <w:right w:val="nil"/>
              <w:tl2br w:val="nil"/>
              <w:tr2bl w:val="nil"/>
            </w:tcBorders>
            <w:tcMar>
              <w:left w:w="60" w:type="dxa"/>
              <w:right w:w="60" w:type="dxa"/>
            </w:tcMar>
            <w:vAlign w:val="bottom"/>
          </w:tcPr>
          <w:p>
            <w:pPr>
              <w:pStyle w:val="DMETW36633BIPLGFBF"/>
              <w:rPr>
                <w:rFonts w:ascii="Verdana" w:eastAsia="Verdana" w:hAnsi="Verdana" w:cs="Verdana"/>
                <w:noProof/>
                <w:color w:val="000000"/>
                <w:sz w:val="18"/>
              </w:rPr>
            </w:pPr>
          </w:p>
        </w:tc>
        <w:tc>
          <w:tcPr>
            <w:tcW w:w="851" w:type="dxa"/>
            <w:tcBorders>
              <w:top w:val="nil"/>
              <w:left w:val="nil"/>
              <w:bottom w:val="nil"/>
              <w:right w:val="nil"/>
              <w:tl2br w:val="nil"/>
              <w:tr2bl w:val="nil"/>
            </w:tcBorders>
            <w:tcMar>
              <w:left w:w="60" w:type="dxa"/>
              <w:right w:w="60" w:type="dxa"/>
            </w:tcMar>
            <w:vAlign w:val="bottom"/>
          </w:tcPr>
          <w:p>
            <w:pPr>
              <w:pStyle w:val="DMETW36633BIPLGFBF"/>
              <w:rPr>
                <w:rFonts w:ascii="Verdana" w:eastAsia="Verdana" w:hAnsi="Verdana" w:cs="Verdana"/>
                <w:noProof/>
                <w:color w:val="000000"/>
                <w:sz w:val="18"/>
              </w:rPr>
            </w:pPr>
          </w:p>
        </w:tc>
        <w:tc>
          <w:tcPr>
            <w:tcW w:w="850" w:type="dxa"/>
            <w:tcBorders>
              <w:top w:val="nil"/>
              <w:left w:val="nil"/>
              <w:bottom w:val="nil"/>
              <w:right w:val="nil"/>
              <w:tl2br w:val="nil"/>
              <w:tr2bl w:val="nil"/>
            </w:tcBorders>
            <w:tcMar>
              <w:left w:w="60" w:type="dxa"/>
              <w:right w:w="60" w:type="dxa"/>
            </w:tcMar>
            <w:vAlign w:val="center"/>
          </w:tcPr>
          <w:p>
            <w:pPr>
              <w:pStyle w:val="DMETW36633BIPLGFBF"/>
              <w:rPr>
                <w:rFonts w:ascii="Verdana" w:eastAsia="Verdana" w:hAnsi="Verdana" w:cs="Verdana"/>
                <w:noProof/>
                <w:color w:val="000000"/>
                <w:sz w:val="18"/>
              </w:rPr>
            </w:pPr>
          </w:p>
        </w:tc>
        <w:tc>
          <w:tcPr>
            <w:tcW w:w="992" w:type="dxa"/>
            <w:tcBorders>
              <w:top w:val="nil"/>
              <w:left w:val="nil"/>
              <w:bottom w:val="nil"/>
              <w:right w:val="nil"/>
              <w:tl2br w:val="nil"/>
              <w:tr2bl w:val="nil"/>
            </w:tcBorders>
            <w:tcMar>
              <w:left w:w="60" w:type="dxa"/>
              <w:right w:w="60" w:type="dxa"/>
            </w:tcMar>
            <w:vAlign w:val="center"/>
          </w:tcPr>
          <w:p>
            <w:pPr>
              <w:pStyle w:val="DMETW36633BIPLGFBF"/>
              <w:rPr>
                <w:rFonts w:ascii="Verdana" w:eastAsia="Verdana" w:hAnsi="Verdana" w:cs="Verdana"/>
                <w:noProof/>
                <w:color w:val="000000"/>
                <w:sz w:val="18"/>
              </w:rPr>
            </w:pPr>
          </w:p>
        </w:tc>
        <w:tc>
          <w:tcPr>
            <w:tcW w:w="1193" w:type="dxa"/>
            <w:tcBorders>
              <w:top w:val="nil"/>
              <w:left w:val="nil"/>
              <w:bottom w:val="nil"/>
              <w:right w:val="nil"/>
              <w:tl2br w:val="nil"/>
              <w:tr2bl w:val="nil"/>
            </w:tcBorders>
            <w:tcMar>
              <w:left w:w="60" w:type="dxa"/>
              <w:right w:w="60" w:type="dxa"/>
            </w:tcMar>
            <w:vAlign w:val="bottom"/>
          </w:tcPr>
          <w:p>
            <w:pPr>
              <w:pStyle w:val="DMETW36633BIPLGFBF"/>
              <w:jc w:val="right"/>
              <w:rPr>
                <w:rFonts w:ascii="Verdana" w:eastAsia="Verdana" w:hAnsi="Verdana" w:cs="Verdana"/>
                <w:i/>
                <w:noProof/>
                <w:color w:val="000000"/>
                <w:sz w:val="18"/>
              </w:rPr>
            </w:pPr>
            <w:r>
              <w:rPr>
                <w:rFonts w:ascii="Verdana" w:hAnsi="Verdana"/>
                <w:i/>
                <w:noProof/>
                <w:color w:val="000000"/>
                <w:sz w:val="18"/>
              </w:rPr>
              <w:t>en Mio EUR</w:t>
            </w:r>
          </w:p>
        </w:tc>
      </w:tr>
      <w:tr>
        <w:trPr>
          <w:trHeight w:val="255"/>
        </w:trPr>
        <w:tc>
          <w:tcPr>
            <w:tcW w:w="2519" w:type="dxa"/>
            <w:tcBorders>
              <w:top w:val="nil"/>
              <w:left w:val="nil"/>
              <w:bottom w:val="nil"/>
              <w:right w:val="nil"/>
              <w:tl2br w:val="nil"/>
              <w:tr2bl w:val="nil"/>
            </w:tcBorders>
            <w:shd w:val="solid" w:color="016794" w:fill="FFFFFF"/>
            <w:tcMar>
              <w:left w:w="60" w:type="dxa"/>
              <w:right w:w="60" w:type="dxa"/>
            </w:tcMar>
            <w:vAlign w:val="center"/>
          </w:tcPr>
          <w:p>
            <w:pPr>
              <w:pStyle w:val="DMETW36633BIPLGFBF"/>
              <w:jc w:val="right"/>
              <w:rPr>
                <w:rFonts w:ascii="Verdana" w:eastAsia="Verdana" w:hAnsi="Verdana" w:cs="Verdana"/>
                <w:noProof/>
                <w:color w:val="FFFFFF"/>
                <w:sz w:val="18"/>
              </w:rPr>
            </w:pPr>
          </w:p>
        </w:tc>
        <w:tc>
          <w:tcPr>
            <w:tcW w:w="1227" w:type="dxa"/>
            <w:tcBorders>
              <w:top w:val="nil"/>
              <w:left w:val="nil"/>
              <w:bottom w:val="nil"/>
              <w:right w:val="nil"/>
              <w:tl2br w:val="nil"/>
              <w:tr2bl w:val="nil"/>
            </w:tcBorders>
            <w:shd w:val="solid" w:color="016794" w:fill="FFFFFF"/>
            <w:tcMar>
              <w:left w:w="60" w:type="dxa"/>
              <w:right w:w="60" w:type="dxa"/>
            </w:tcMar>
            <w:vAlign w:val="center"/>
          </w:tcPr>
          <w:p>
            <w:pPr>
              <w:pStyle w:val="DMETW36633BIPLGFBF"/>
              <w:jc w:val="right"/>
              <w:rPr>
                <w:rFonts w:ascii="Verdana" w:eastAsia="Verdana" w:hAnsi="Verdana" w:cs="Verdana"/>
                <w:noProof/>
                <w:color w:val="FFFFFF"/>
                <w:sz w:val="18"/>
              </w:rPr>
            </w:pPr>
            <w:r>
              <w:rPr>
                <w:rFonts w:ascii="Verdana" w:hAnsi="Verdana"/>
                <w:noProof/>
                <w:color w:val="FFFFFF"/>
                <w:sz w:val="18"/>
              </w:rPr>
              <w:t>Financement unifié</w:t>
            </w:r>
          </w:p>
        </w:tc>
        <w:tc>
          <w:tcPr>
            <w:tcW w:w="992" w:type="dxa"/>
            <w:tcBorders>
              <w:top w:val="nil"/>
              <w:left w:val="nil"/>
              <w:bottom w:val="nil"/>
              <w:right w:val="nil"/>
              <w:tl2br w:val="nil"/>
              <w:tr2bl w:val="nil"/>
            </w:tcBorders>
            <w:shd w:val="solid" w:color="016794" w:fill="FFFFFF"/>
            <w:tcMar>
              <w:left w:w="60" w:type="dxa"/>
              <w:right w:w="60" w:type="dxa"/>
            </w:tcMar>
            <w:vAlign w:val="center"/>
          </w:tcPr>
          <w:p>
            <w:pPr>
              <w:pStyle w:val="DMETW36633BIPLGFBF"/>
              <w:jc w:val="right"/>
              <w:rPr>
                <w:rFonts w:ascii="Verdana" w:eastAsia="Verdana" w:hAnsi="Verdana" w:cs="Verdana"/>
                <w:noProof/>
                <w:color w:val="FFFFFF"/>
                <w:sz w:val="18"/>
              </w:rPr>
            </w:pPr>
            <w:r>
              <w:rPr>
                <w:rFonts w:ascii="Verdana" w:hAnsi="Verdana"/>
                <w:noProof/>
                <w:color w:val="FFFFFF"/>
                <w:sz w:val="18"/>
              </w:rPr>
              <w:t>SURE</w:t>
            </w:r>
          </w:p>
        </w:tc>
        <w:tc>
          <w:tcPr>
            <w:tcW w:w="1134" w:type="dxa"/>
            <w:tcBorders>
              <w:top w:val="nil"/>
              <w:left w:val="nil"/>
              <w:bottom w:val="nil"/>
              <w:right w:val="nil"/>
              <w:tl2br w:val="nil"/>
              <w:tr2bl w:val="nil"/>
            </w:tcBorders>
            <w:shd w:val="solid" w:color="016794" w:fill="FFFFFF"/>
            <w:tcMar>
              <w:left w:w="60" w:type="dxa"/>
              <w:right w:w="60" w:type="dxa"/>
            </w:tcMar>
            <w:vAlign w:val="center"/>
          </w:tcPr>
          <w:p>
            <w:pPr>
              <w:pStyle w:val="DMETW36633BIPLGFBF"/>
              <w:jc w:val="right"/>
              <w:rPr>
                <w:rFonts w:ascii="Verdana" w:eastAsia="Verdana" w:hAnsi="Verdana" w:cs="Verdana"/>
                <w:noProof/>
                <w:color w:val="FFFFFF"/>
                <w:sz w:val="18"/>
              </w:rPr>
            </w:pPr>
            <w:r>
              <w:rPr>
                <w:rFonts w:ascii="Verdana" w:hAnsi="Verdana"/>
                <w:noProof/>
                <w:color w:val="FFFFFF"/>
                <w:sz w:val="18"/>
              </w:rPr>
              <w:t>MESF</w:t>
            </w:r>
          </w:p>
        </w:tc>
        <w:tc>
          <w:tcPr>
            <w:tcW w:w="851" w:type="dxa"/>
            <w:tcBorders>
              <w:top w:val="nil"/>
              <w:left w:val="nil"/>
              <w:bottom w:val="nil"/>
              <w:right w:val="nil"/>
              <w:tl2br w:val="nil"/>
              <w:tr2bl w:val="nil"/>
            </w:tcBorders>
            <w:shd w:val="solid" w:color="016794" w:fill="FFFFFF"/>
            <w:tcMar>
              <w:left w:w="60" w:type="dxa"/>
              <w:right w:w="60" w:type="dxa"/>
            </w:tcMar>
            <w:vAlign w:val="center"/>
          </w:tcPr>
          <w:p>
            <w:pPr>
              <w:pStyle w:val="DMETW36633BIPLGFBF"/>
              <w:jc w:val="right"/>
              <w:rPr>
                <w:rFonts w:ascii="Verdana" w:eastAsia="Verdana" w:hAnsi="Verdana" w:cs="Verdana"/>
                <w:noProof/>
                <w:color w:val="FFFFFF"/>
                <w:sz w:val="18"/>
              </w:rPr>
            </w:pPr>
            <w:r>
              <w:rPr>
                <w:rFonts w:ascii="Verdana" w:hAnsi="Verdana"/>
                <w:noProof/>
                <w:color w:val="FFFFFF"/>
                <w:sz w:val="18"/>
              </w:rPr>
              <w:t>BDP</w:t>
            </w:r>
          </w:p>
        </w:tc>
        <w:tc>
          <w:tcPr>
            <w:tcW w:w="850" w:type="dxa"/>
            <w:tcBorders>
              <w:top w:val="nil"/>
              <w:left w:val="nil"/>
              <w:bottom w:val="nil"/>
              <w:right w:val="nil"/>
              <w:tl2br w:val="nil"/>
              <w:tr2bl w:val="nil"/>
            </w:tcBorders>
            <w:shd w:val="solid" w:color="016794" w:fill="FFFFFF"/>
            <w:tcMar>
              <w:left w:w="60" w:type="dxa"/>
              <w:right w:w="60" w:type="dxa"/>
            </w:tcMar>
            <w:vAlign w:val="center"/>
          </w:tcPr>
          <w:p>
            <w:pPr>
              <w:pStyle w:val="DMETW36633BIPLGFBF"/>
              <w:jc w:val="right"/>
              <w:rPr>
                <w:rFonts w:ascii="Verdana" w:eastAsia="Verdana" w:hAnsi="Verdana" w:cs="Verdana"/>
                <w:noProof/>
                <w:color w:val="FFFFFF"/>
                <w:sz w:val="18"/>
              </w:rPr>
            </w:pPr>
            <w:r>
              <w:rPr>
                <w:rFonts w:ascii="Verdana" w:hAnsi="Verdana"/>
                <w:noProof/>
                <w:color w:val="FFFFFF"/>
                <w:sz w:val="18"/>
              </w:rPr>
              <w:t>AMF</w:t>
            </w:r>
          </w:p>
        </w:tc>
        <w:tc>
          <w:tcPr>
            <w:tcW w:w="992" w:type="dxa"/>
            <w:tcBorders>
              <w:top w:val="nil"/>
              <w:left w:val="nil"/>
              <w:bottom w:val="nil"/>
              <w:right w:val="nil"/>
              <w:tl2br w:val="nil"/>
              <w:tr2bl w:val="nil"/>
            </w:tcBorders>
            <w:shd w:val="solid" w:color="016794" w:fill="FFFFFF"/>
            <w:tcMar>
              <w:left w:w="60" w:type="dxa"/>
              <w:right w:w="60" w:type="dxa"/>
            </w:tcMar>
            <w:vAlign w:val="center"/>
          </w:tcPr>
          <w:p>
            <w:pPr>
              <w:pStyle w:val="DMETW36633BIPLGFBF"/>
              <w:jc w:val="right"/>
              <w:rPr>
                <w:rFonts w:ascii="Verdana" w:eastAsia="Verdana" w:hAnsi="Verdana" w:cs="Verdana"/>
                <w:noProof/>
                <w:color w:val="FFFFFF"/>
                <w:sz w:val="18"/>
              </w:rPr>
            </w:pPr>
            <w:r>
              <w:rPr>
                <w:rFonts w:ascii="Verdana" w:hAnsi="Verdana"/>
                <w:noProof/>
                <w:color w:val="FFFFFF"/>
                <w:sz w:val="18"/>
              </w:rPr>
              <w:t>Euratom</w:t>
            </w:r>
          </w:p>
        </w:tc>
        <w:tc>
          <w:tcPr>
            <w:tcW w:w="1193" w:type="dxa"/>
            <w:tcBorders>
              <w:top w:val="nil"/>
              <w:left w:val="nil"/>
              <w:bottom w:val="nil"/>
              <w:right w:val="nil"/>
              <w:tl2br w:val="nil"/>
              <w:tr2bl w:val="nil"/>
            </w:tcBorders>
            <w:shd w:val="solid" w:color="016794" w:fill="FFFFFF"/>
            <w:tcMar>
              <w:left w:w="60" w:type="dxa"/>
              <w:right w:w="60" w:type="dxa"/>
            </w:tcMar>
            <w:vAlign w:val="center"/>
          </w:tcPr>
          <w:p>
            <w:pPr>
              <w:pStyle w:val="DMETW36633BIPLGFBF"/>
              <w:jc w:val="right"/>
              <w:rPr>
                <w:rFonts w:ascii="Verdana" w:eastAsia="Verdana" w:hAnsi="Verdana" w:cs="Verdana"/>
                <w:noProof/>
                <w:color w:val="FFFFFF"/>
                <w:sz w:val="18"/>
              </w:rPr>
            </w:pPr>
            <w:r>
              <w:rPr>
                <w:rFonts w:ascii="Verdana" w:hAnsi="Verdana"/>
                <w:noProof/>
                <w:color w:val="FFFFFF"/>
                <w:sz w:val="18"/>
              </w:rPr>
              <w:t>Total</w:t>
            </w:r>
          </w:p>
        </w:tc>
      </w:tr>
      <w:tr>
        <w:trPr>
          <w:trHeight w:val="255"/>
        </w:trPr>
        <w:tc>
          <w:tcPr>
            <w:tcW w:w="2519" w:type="dxa"/>
            <w:tcBorders>
              <w:top w:val="nil"/>
              <w:left w:val="nil"/>
              <w:bottom w:val="nil"/>
              <w:right w:val="nil"/>
              <w:tl2br w:val="nil"/>
              <w:tr2bl w:val="nil"/>
            </w:tcBorders>
            <w:tcMar>
              <w:left w:w="60" w:type="dxa"/>
              <w:right w:w="60" w:type="dxa"/>
            </w:tcMar>
            <w:vAlign w:val="center"/>
          </w:tcPr>
          <w:p>
            <w:pPr>
              <w:pStyle w:val="DMETW36633BIPLGFBF"/>
              <w:rPr>
                <w:rFonts w:ascii="Verdana" w:eastAsia="Verdana" w:hAnsi="Verdana" w:cs="Verdana"/>
                <w:i/>
                <w:noProof/>
                <w:color w:val="000000"/>
                <w:sz w:val="18"/>
              </w:rPr>
            </w:pPr>
            <w:r>
              <w:rPr>
                <w:rFonts w:ascii="Verdana" w:hAnsi="Verdana"/>
                <w:i/>
                <w:noProof/>
                <w:color w:val="000000"/>
                <w:sz w:val="18"/>
              </w:rPr>
              <w:t>Total au 31.12.2024</w:t>
            </w:r>
          </w:p>
        </w:tc>
        <w:tc>
          <w:tcPr>
            <w:tcW w:w="1227" w:type="dxa"/>
            <w:tcBorders>
              <w:top w:val="nil"/>
              <w:left w:val="nil"/>
              <w:bottom w:val="nil"/>
              <w:right w:val="nil"/>
              <w:tl2br w:val="nil"/>
              <w:tr2bl w:val="nil"/>
            </w:tcBorders>
            <w:tcMar>
              <w:left w:w="60" w:type="dxa"/>
              <w:right w:w="60" w:type="dxa"/>
            </w:tcMar>
            <w:vAlign w:val="center"/>
          </w:tcPr>
          <w:p>
            <w:pPr>
              <w:pStyle w:val="DMETW36633BIPLGFBF"/>
              <w:jc w:val="right"/>
              <w:rPr>
                <w:rFonts w:ascii="Verdana" w:eastAsia="Verdana" w:hAnsi="Verdana" w:cs="Verdana"/>
                <w:i/>
                <w:noProof/>
                <w:color w:val="000000"/>
                <w:sz w:val="18"/>
              </w:rPr>
            </w:pPr>
            <w:r>
              <w:rPr>
                <w:rFonts w:ascii="Verdana" w:hAnsi="Verdana"/>
                <w:i/>
                <w:noProof/>
                <w:color w:val="000000"/>
                <w:sz w:val="18"/>
              </w:rPr>
              <w:t>437 628</w:t>
            </w:r>
          </w:p>
        </w:tc>
        <w:tc>
          <w:tcPr>
            <w:tcW w:w="992" w:type="dxa"/>
            <w:tcBorders>
              <w:top w:val="nil"/>
              <w:left w:val="nil"/>
              <w:bottom w:val="nil"/>
              <w:right w:val="nil"/>
              <w:tl2br w:val="nil"/>
              <w:tr2bl w:val="nil"/>
            </w:tcBorders>
            <w:tcMar>
              <w:left w:w="60" w:type="dxa"/>
              <w:right w:w="60" w:type="dxa"/>
            </w:tcMar>
            <w:vAlign w:val="center"/>
          </w:tcPr>
          <w:p>
            <w:pPr>
              <w:pStyle w:val="DMETW36633BIPLGFBF"/>
              <w:jc w:val="right"/>
              <w:rPr>
                <w:rFonts w:ascii="Verdana" w:eastAsia="Verdana" w:hAnsi="Verdana" w:cs="Verdana"/>
                <w:i/>
                <w:noProof/>
                <w:color w:val="000000"/>
                <w:sz w:val="18"/>
              </w:rPr>
            </w:pPr>
            <w:r>
              <w:rPr>
                <w:rFonts w:ascii="Verdana" w:hAnsi="Verdana"/>
                <w:i/>
                <w:noProof/>
                <w:color w:val="000000"/>
                <w:sz w:val="18"/>
              </w:rPr>
              <w:t>98 839</w:t>
            </w:r>
          </w:p>
        </w:tc>
        <w:tc>
          <w:tcPr>
            <w:tcW w:w="1134" w:type="dxa"/>
            <w:tcBorders>
              <w:top w:val="nil"/>
              <w:left w:val="nil"/>
              <w:bottom w:val="nil"/>
              <w:right w:val="nil"/>
              <w:tl2br w:val="nil"/>
              <w:tr2bl w:val="nil"/>
            </w:tcBorders>
            <w:tcMar>
              <w:left w:w="60" w:type="dxa"/>
              <w:right w:w="60" w:type="dxa"/>
            </w:tcMar>
            <w:vAlign w:val="center"/>
          </w:tcPr>
          <w:p>
            <w:pPr>
              <w:pStyle w:val="DMETW36633BIPLGFBF"/>
              <w:jc w:val="right"/>
              <w:rPr>
                <w:rFonts w:ascii="Verdana" w:eastAsia="Verdana" w:hAnsi="Verdana" w:cs="Verdana"/>
                <w:i/>
                <w:noProof/>
                <w:color w:val="000000"/>
                <w:sz w:val="18"/>
              </w:rPr>
            </w:pPr>
            <w:r>
              <w:rPr>
                <w:rFonts w:ascii="Verdana" w:hAnsi="Verdana"/>
                <w:i/>
                <w:noProof/>
                <w:color w:val="000000"/>
                <w:sz w:val="18"/>
              </w:rPr>
              <w:t>42 297</w:t>
            </w:r>
          </w:p>
        </w:tc>
        <w:tc>
          <w:tcPr>
            <w:tcW w:w="851" w:type="dxa"/>
            <w:tcBorders>
              <w:top w:val="nil"/>
              <w:left w:val="nil"/>
              <w:bottom w:val="nil"/>
              <w:right w:val="nil"/>
              <w:tl2br w:val="nil"/>
              <w:tr2bl w:val="nil"/>
            </w:tcBorders>
            <w:tcMar>
              <w:left w:w="60" w:type="dxa"/>
              <w:right w:w="60" w:type="dxa"/>
            </w:tcMar>
            <w:vAlign w:val="center"/>
          </w:tcPr>
          <w:p>
            <w:pPr>
              <w:pStyle w:val="DMETW36633BIPLGFBF"/>
              <w:jc w:val="right"/>
              <w:rPr>
                <w:rFonts w:ascii="Verdana" w:eastAsia="Verdana" w:hAnsi="Verdana" w:cs="Verdana"/>
                <w:i/>
                <w:noProof/>
                <w:color w:val="000000"/>
                <w:sz w:val="18"/>
              </w:rPr>
            </w:pPr>
            <w:r>
              <w:rPr>
                <w:rFonts w:ascii="Verdana" w:hAnsi="Verdana"/>
                <w:i/>
                <w:noProof/>
                <w:color w:val="000000"/>
                <w:sz w:val="18"/>
              </w:rPr>
              <w:t xml:space="preserve"> 201</w:t>
            </w:r>
          </w:p>
        </w:tc>
        <w:tc>
          <w:tcPr>
            <w:tcW w:w="850" w:type="dxa"/>
            <w:tcBorders>
              <w:top w:val="nil"/>
              <w:left w:val="nil"/>
              <w:bottom w:val="nil"/>
              <w:right w:val="nil"/>
              <w:tl2br w:val="nil"/>
              <w:tr2bl w:val="nil"/>
            </w:tcBorders>
            <w:tcMar>
              <w:left w:w="60" w:type="dxa"/>
              <w:right w:w="60" w:type="dxa"/>
            </w:tcMar>
            <w:vAlign w:val="center"/>
          </w:tcPr>
          <w:p>
            <w:pPr>
              <w:pStyle w:val="DMETW36633BIPLGFBF"/>
              <w:jc w:val="right"/>
              <w:rPr>
                <w:rFonts w:ascii="Verdana" w:eastAsia="Verdana" w:hAnsi="Verdana" w:cs="Verdana"/>
                <w:i/>
                <w:noProof/>
                <w:color w:val="000000"/>
                <w:sz w:val="18"/>
              </w:rPr>
            </w:pPr>
            <w:r>
              <w:rPr>
                <w:rFonts w:ascii="Verdana" w:hAnsi="Verdana"/>
                <w:i/>
                <w:noProof/>
                <w:color w:val="000000"/>
                <w:sz w:val="18"/>
              </w:rPr>
              <w:t>14 762</w:t>
            </w:r>
          </w:p>
        </w:tc>
        <w:tc>
          <w:tcPr>
            <w:tcW w:w="992" w:type="dxa"/>
            <w:tcBorders>
              <w:top w:val="nil"/>
              <w:left w:val="nil"/>
              <w:bottom w:val="nil"/>
              <w:right w:val="nil"/>
              <w:tl2br w:val="nil"/>
              <w:tr2bl w:val="nil"/>
            </w:tcBorders>
            <w:tcMar>
              <w:left w:w="60" w:type="dxa"/>
              <w:right w:w="60" w:type="dxa"/>
            </w:tcMar>
            <w:vAlign w:val="center"/>
          </w:tcPr>
          <w:p>
            <w:pPr>
              <w:pStyle w:val="DMETW36633BIPLGFBF"/>
              <w:jc w:val="right"/>
              <w:rPr>
                <w:rFonts w:ascii="Verdana" w:eastAsia="Verdana" w:hAnsi="Verdana" w:cs="Verdana"/>
                <w:i/>
                <w:noProof/>
                <w:color w:val="000000"/>
                <w:sz w:val="18"/>
              </w:rPr>
            </w:pPr>
            <w:r>
              <w:rPr>
                <w:rFonts w:ascii="Verdana" w:hAnsi="Verdana"/>
                <w:i/>
                <w:noProof/>
                <w:color w:val="000000"/>
                <w:sz w:val="18"/>
              </w:rPr>
              <w:t xml:space="preserve"> 301</w:t>
            </w:r>
          </w:p>
        </w:tc>
        <w:tc>
          <w:tcPr>
            <w:tcW w:w="1193" w:type="dxa"/>
            <w:tcBorders>
              <w:top w:val="nil"/>
              <w:left w:val="nil"/>
              <w:bottom w:val="nil"/>
              <w:right w:val="nil"/>
              <w:tl2br w:val="nil"/>
              <w:tr2bl w:val="nil"/>
            </w:tcBorders>
            <w:tcMar>
              <w:left w:w="60" w:type="dxa"/>
              <w:right w:w="60" w:type="dxa"/>
            </w:tcMar>
            <w:vAlign w:val="center"/>
          </w:tcPr>
          <w:p>
            <w:pPr>
              <w:pStyle w:val="DMETW36633BIPLGFBF"/>
              <w:jc w:val="right"/>
              <w:rPr>
                <w:rFonts w:ascii="Verdana" w:eastAsia="Verdana" w:hAnsi="Verdana" w:cs="Verdana"/>
                <w:i/>
                <w:noProof/>
                <w:color w:val="000000"/>
                <w:sz w:val="18"/>
              </w:rPr>
            </w:pPr>
            <w:r>
              <w:rPr>
                <w:rFonts w:ascii="Verdana" w:hAnsi="Verdana"/>
                <w:i/>
                <w:noProof/>
                <w:color w:val="000000"/>
                <w:sz w:val="18"/>
              </w:rPr>
              <w:t>594 028</w:t>
            </w:r>
          </w:p>
        </w:tc>
      </w:tr>
      <w:tr>
        <w:trPr>
          <w:trHeight w:val="255"/>
        </w:trPr>
        <w:tc>
          <w:tcPr>
            <w:tcW w:w="2519" w:type="dxa"/>
            <w:tcBorders>
              <w:top w:val="nil"/>
              <w:left w:val="nil"/>
              <w:bottom w:val="nil"/>
              <w:right w:val="nil"/>
              <w:tl2br w:val="nil"/>
              <w:tr2bl w:val="nil"/>
            </w:tcBorders>
            <w:tcMar>
              <w:left w:w="60" w:type="dxa"/>
              <w:right w:w="60" w:type="dxa"/>
            </w:tcMar>
            <w:vAlign w:val="center"/>
          </w:tcPr>
          <w:p>
            <w:pPr>
              <w:pStyle w:val="DMETW36633BIPLGFBF"/>
              <w:rPr>
                <w:rFonts w:ascii="Verdana" w:eastAsia="Verdana" w:hAnsi="Verdana" w:cs="Verdana"/>
                <w:i/>
                <w:noProof/>
                <w:color w:val="000000"/>
                <w:sz w:val="18"/>
              </w:rPr>
            </w:pPr>
            <w:r>
              <w:rPr>
                <w:rFonts w:ascii="Verdana" w:hAnsi="Verdana"/>
                <w:i/>
                <w:noProof/>
                <w:color w:val="000000"/>
                <w:sz w:val="18"/>
              </w:rPr>
              <w:t>Nouveaux emprunts – en valeur nominale</w:t>
            </w:r>
          </w:p>
        </w:tc>
        <w:tc>
          <w:tcPr>
            <w:tcW w:w="1227" w:type="dxa"/>
            <w:tcBorders>
              <w:top w:val="nil"/>
              <w:left w:val="nil"/>
              <w:bottom w:val="nil"/>
              <w:right w:val="nil"/>
              <w:tl2br w:val="nil"/>
              <w:tr2bl w:val="nil"/>
            </w:tcBorders>
            <w:tcMar>
              <w:left w:w="60" w:type="dxa"/>
              <w:right w:w="60" w:type="dxa"/>
            </w:tcMar>
            <w:vAlign w:val="center"/>
          </w:tcPr>
          <w:p>
            <w:pPr>
              <w:pStyle w:val="DMETW36633BIPLGFBF"/>
              <w:jc w:val="right"/>
              <w:rPr>
                <w:rFonts w:ascii="Verdana" w:eastAsia="Verdana" w:hAnsi="Verdana" w:cs="Verdana"/>
                <w:i/>
                <w:noProof/>
                <w:color w:val="000000"/>
                <w:sz w:val="18"/>
              </w:rPr>
            </w:pPr>
            <w:r>
              <w:rPr>
                <w:rFonts w:ascii="Verdana" w:hAnsi="Verdana"/>
                <w:i/>
                <w:noProof/>
                <w:color w:val="000000"/>
                <w:sz w:val="18"/>
              </w:rPr>
              <w:t>221 526</w:t>
            </w:r>
          </w:p>
        </w:tc>
        <w:tc>
          <w:tcPr>
            <w:tcW w:w="992" w:type="dxa"/>
            <w:tcBorders>
              <w:top w:val="nil"/>
              <w:left w:val="nil"/>
              <w:bottom w:val="nil"/>
              <w:right w:val="nil"/>
              <w:tl2br w:val="nil"/>
              <w:tr2bl w:val="nil"/>
            </w:tcBorders>
            <w:tcMar>
              <w:left w:w="60" w:type="dxa"/>
              <w:right w:w="60" w:type="dxa"/>
            </w:tcMar>
            <w:vAlign w:val="center"/>
          </w:tcPr>
          <w:p>
            <w:pPr>
              <w:pStyle w:val="DMETW36633BIPLGFBF"/>
              <w:jc w:val="right"/>
              <w:rPr>
                <w:rFonts w:ascii="Verdana" w:eastAsia="Verdana" w:hAnsi="Verdana" w:cs="Verdana"/>
                <w:i/>
                <w:noProof/>
                <w:color w:val="000000"/>
                <w:sz w:val="18"/>
              </w:rPr>
            </w:pPr>
            <w:r>
              <w:rPr>
                <w:rFonts w:ascii="Verdana" w:hAnsi="Verdana"/>
                <w:i/>
                <w:noProof/>
                <w:color w:val="000000"/>
                <w:sz w:val="18"/>
              </w:rPr>
              <w:t>–</w:t>
            </w:r>
          </w:p>
        </w:tc>
        <w:tc>
          <w:tcPr>
            <w:tcW w:w="1134" w:type="dxa"/>
            <w:tcBorders>
              <w:top w:val="nil"/>
              <w:left w:val="nil"/>
              <w:bottom w:val="nil"/>
              <w:right w:val="nil"/>
              <w:tl2br w:val="nil"/>
              <w:tr2bl w:val="nil"/>
            </w:tcBorders>
            <w:tcMar>
              <w:left w:w="60" w:type="dxa"/>
              <w:right w:w="60" w:type="dxa"/>
            </w:tcMar>
            <w:vAlign w:val="center"/>
          </w:tcPr>
          <w:p>
            <w:pPr>
              <w:pStyle w:val="DMETW36633BIPLGFBF"/>
              <w:jc w:val="right"/>
              <w:rPr>
                <w:rFonts w:ascii="Verdana" w:eastAsia="Verdana" w:hAnsi="Verdana" w:cs="Verdana"/>
                <w:i/>
                <w:noProof/>
                <w:color w:val="000000"/>
                <w:sz w:val="18"/>
              </w:rPr>
            </w:pPr>
            <w:r>
              <w:rPr>
                <w:rFonts w:ascii="Verdana" w:hAnsi="Verdana"/>
                <w:i/>
                <w:noProof/>
                <w:color w:val="000000"/>
                <w:sz w:val="18"/>
              </w:rPr>
              <w:t>–</w:t>
            </w:r>
          </w:p>
        </w:tc>
        <w:tc>
          <w:tcPr>
            <w:tcW w:w="851" w:type="dxa"/>
            <w:tcBorders>
              <w:top w:val="nil"/>
              <w:left w:val="nil"/>
              <w:bottom w:val="nil"/>
              <w:right w:val="nil"/>
              <w:tl2br w:val="nil"/>
              <w:tr2bl w:val="nil"/>
            </w:tcBorders>
            <w:tcMar>
              <w:left w:w="60" w:type="dxa"/>
              <w:right w:w="60" w:type="dxa"/>
            </w:tcMar>
            <w:vAlign w:val="center"/>
          </w:tcPr>
          <w:p>
            <w:pPr>
              <w:pStyle w:val="DMETW36633BIPLGFBF"/>
              <w:jc w:val="right"/>
              <w:rPr>
                <w:rFonts w:ascii="Verdana" w:eastAsia="Verdana" w:hAnsi="Verdana" w:cs="Verdana"/>
                <w:i/>
                <w:noProof/>
                <w:color w:val="000000"/>
                <w:sz w:val="18"/>
              </w:rPr>
            </w:pPr>
            <w:r>
              <w:rPr>
                <w:rFonts w:ascii="Verdana" w:hAnsi="Verdana"/>
                <w:i/>
                <w:noProof/>
                <w:color w:val="000000"/>
                <w:sz w:val="18"/>
              </w:rPr>
              <w:t>–</w:t>
            </w:r>
          </w:p>
        </w:tc>
        <w:tc>
          <w:tcPr>
            <w:tcW w:w="850" w:type="dxa"/>
            <w:tcBorders>
              <w:top w:val="nil"/>
              <w:left w:val="nil"/>
              <w:bottom w:val="nil"/>
              <w:right w:val="nil"/>
              <w:tl2br w:val="nil"/>
              <w:tr2bl w:val="nil"/>
            </w:tcBorders>
            <w:tcMar>
              <w:left w:w="60" w:type="dxa"/>
              <w:right w:w="60" w:type="dxa"/>
            </w:tcMar>
            <w:vAlign w:val="center"/>
          </w:tcPr>
          <w:p>
            <w:pPr>
              <w:pStyle w:val="DMETW36633BIPLGFBF"/>
              <w:jc w:val="right"/>
              <w:rPr>
                <w:rFonts w:ascii="Verdana" w:eastAsia="Verdana" w:hAnsi="Verdana" w:cs="Verdana"/>
                <w:i/>
                <w:noProof/>
                <w:color w:val="000000"/>
                <w:sz w:val="18"/>
              </w:rPr>
            </w:pPr>
            <w:r>
              <w:rPr>
                <w:rFonts w:ascii="Verdana" w:hAnsi="Verdana"/>
                <w:i/>
                <w:noProof/>
                <w:color w:val="000000"/>
                <w:sz w:val="18"/>
              </w:rPr>
              <w:t>–</w:t>
            </w:r>
          </w:p>
        </w:tc>
        <w:tc>
          <w:tcPr>
            <w:tcW w:w="992" w:type="dxa"/>
            <w:tcBorders>
              <w:top w:val="nil"/>
              <w:left w:val="nil"/>
              <w:bottom w:val="nil"/>
              <w:right w:val="nil"/>
              <w:tl2br w:val="nil"/>
              <w:tr2bl w:val="nil"/>
            </w:tcBorders>
            <w:tcMar>
              <w:left w:w="60" w:type="dxa"/>
              <w:right w:w="60" w:type="dxa"/>
            </w:tcMar>
            <w:vAlign w:val="center"/>
          </w:tcPr>
          <w:p>
            <w:pPr>
              <w:pStyle w:val="DMETW36633BIPLGFBF"/>
              <w:jc w:val="right"/>
              <w:rPr>
                <w:rFonts w:ascii="Verdana" w:eastAsia="Verdana" w:hAnsi="Verdana" w:cs="Verdana"/>
                <w:i/>
                <w:noProof/>
                <w:color w:val="000000"/>
                <w:sz w:val="18"/>
              </w:rPr>
            </w:pPr>
            <w:r>
              <w:rPr>
                <w:rFonts w:ascii="Verdana" w:hAnsi="Verdana"/>
                <w:i/>
                <w:noProof/>
                <w:color w:val="000000"/>
                <w:sz w:val="18"/>
              </w:rPr>
              <w:t>–</w:t>
            </w:r>
          </w:p>
        </w:tc>
        <w:tc>
          <w:tcPr>
            <w:tcW w:w="1193" w:type="dxa"/>
            <w:tcBorders>
              <w:top w:val="nil"/>
              <w:left w:val="nil"/>
              <w:bottom w:val="nil"/>
              <w:right w:val="nil"/>
              <w:tl2br w:val="nil"/>
              <w:tr2bl w:val="nil"/>
            </w:tcBorders>
            <w:tcMar>
              <w:left w:w="60" w:type="dxa"/>
              <w:right w:w="60" w:type="dxa"/>
            </w:tcMar>
            <w:vAlign w:val="center"/>
          </w:tcPr>
          <w:p>
            <w:pPr>
              <w:pStyle w:val="DMETW36633BIPLGFBF"/>
              <w:jc w:val="right"/>
              <w:rPr>
                <w:rFonts w:ascii="Verdana" w:eastAsia="Verdana" w:hAnsi="Verdana" w:cs="Verdana"/>
                <w:i/>
                <w:noProof/>
                <w:color w:val="000000"/>
                <w:sz w:val="18"/>
              </w:rPr>
            </w:pPr>
            <w:r>
              <w:rPr>
                <w:rFonts w:ascii="Verdana" w:hAnsi="Verdana"/>
                <w:i/>
                <w:noProof/>
                <w:color w:val="000000"/>
                <w:sz w:val="18"/>
              </w:rPr>
              <w:t>221 526</w:t>
            </w:r>
          </w:p>
        </w:tc>
      </w:tr>
      <w:tr>
        <w:trPr>
          <w:trHeight w:val="255"/>
        </w:trPr>
        <w:tc>
          <w:tcPr>
            <w:tcW w:w="2519" w:type="dxa"/>
            <w:tcBorders>
              <w:top w:val="nil"/>
              <w:left w:val="nil"/>
              <w:bottom w:val="nil"/>
              <w:right w:val="nil"/>
              <w:tl2br w:val="nil"/>
              <w:tr2bl w:val="nil"/>
            </w:tcBorders>
            <w:tcMar>
              <w:left w:w="60" w:type="dxa"/>
              <w:right w:w="60" w:type="dxa"/>
            </w:tcMar>
            <w:vAlign w:val="center"/>
          </w:tcPr>
          <w:p>
            <w:pPr>
              <w:pStyle w:val="DMETW36633BIPLGFBF"/>
              <w:rPr>
                <w:rFonts w:ascii="Verdana" w:eastAsia="Verdana" w:hAnsi="Verdana" w:cs="Verdana"/>
                <w:i/>
                <w:noProof/>
                <w:color w:val="000000"/>
                <w:sz w:val="18"/>
              </w:rPr>
            </w:pPr>
            <w:r>
              <w:rPr>
                <w:rFonts w:ascii="Verdana" w:hAnsi="Verdana"/>
                <w:i/>
                <w:noProof/>
                <w:color w:val="000000"/>
                <w:sz w:val="18"/>
              </w:rPr>
              <w:t>Remboursements</w:t>
            </w:r>
          </w:p>
        </w:tc>
        <w:tc>
          <w:tcPr>
            <w:tcW w:w="1227" w:type="dxa"/>
            <w:tcBorders>
              <w:top w:val="nil"/>
              <w:left w:val="nil"/>
              <w:bottom w:val="nil"/>
              <w:right w:val="nil"/>
              <w:tl2br w:val="nil"/>
              <w:tr2bl w:val="nil"/>
            </w:tcBorders>
            <w:tcMar>
              <w:left w:w="60" w:type="dxa"/>
              <w:right w:w="60" w:type="dxa"/>
            </w:tcMar>
            <w:vAlign w:val="center"/>
          </w:tcPr>
          <w:p>
            <w:pPr>
              <w:pStyle w:val="DMETW36633BIPLGFBF"/>
              <w:jc w:val="right"/>
              <w:rPr>
                <w:rFonts w:ascii="Verdana" w:eastAsia="Verdana" w:hAnsi="Verdana" w:cs="Verdana"/>
                <w:i/>
                <w:noProof/>
                <w:color w:val="000000"/>
                <w:sz w:val="18"/>
              </w:rPr>
            </w:pPr>
            <w:r>
              <w:rPr>
                <w:rFonts w:ascii="Verdana" w:hAnsi="Verdana"/>
                <w:i/>
                <w:noProof/>
                <w:color w:val="000000"/>
                <w:sz w:val="18"/>
              </w:rPr>
              <w:t>(73 266)</w:t>
            </w:r>
          </w:p>
        </w:tc>
        <w:tc>
          <w:tcPr>
            <w:tcW w:w="992" w:type="dxa"/>
            <w:tcBorders>
              <w:top w:val="nil"/>
              <w:left w:val="nil"/>
              <w:bottom w:val="nil"/>
              <w:right w:val="nil"/>
              <w:tl2br w:val="nil"/>
              <w:tr2bl w:val="nil"/>
            </w:tcBorders>
            <w:tcMar>
              <w:left w:w="60" w:type="dxa"/>
              <w:right w:w="60" w:type="dxa"/>
            </w:tcMar>
            <w:vAlign w:val="center"/>
          </w:tcPr>
          <w:p>
            <w:pPr>
              <w:pStyle w:val="DMETW36633BIPLGFBF"/>
              <w:jc w:val="right"/>
              <w:rPr>
                <w:rFonts w:ascii="Verdana" w:eastAsia="Verdana" w:hAnsi="Verdana" w:cs="Verdana"/>
                <w:i/>
                <w:noProof/>
                <w:color w:val="000000"/>
                <w:sz w:val="18"/>
              </w:rPr>
            </w:pPr>
            <w:r>
              <w:rPr>
                <w:rFonts w:ascii="Verdana" w:hAnsi="Verdana"/>
                <w:i/>
                <w:noProof/>
                <w:color w:val="000000"/>
                <w:sz w:val="18"/>
              </w:rPr>
              <w:t>(8 000)</w:t>
            </w:r>
          </w:p>
        </w:tc>
        <w:tc>
          <w:tcPr>
            <w:tcW w:w="1134" w:type="dxa"/>
            <w:tcBorders>
              <w:top w:val="nil"/>
              <w:left w:val="nil"/>
              <w:bottom w:val="nil"/>
              <w:right w:val="nil"/>
              <w:tl2br w:val="nil"/>
              <w:tr2bl w:val="nil"/>
            </w:tcBorders>
            <w:tcMar>
              <w:left w:w="60" w:type="dxa"/>
              <w:right w:w="60" w:type="dxa"/>
            </w:tcMar>
            <w:vAlign w:val="center"/>
          </w:tcPr>
          <w:p>
            <w:pPr>
              <w:pStyle w:val="DMETW36633BIPLGFBF"/>
              <w:jc w:val="right"/>
              <w:rPr>
                <w:rFonts w:ascii="Verdana" w:eastAsia="Verdana" w:hAnsi="Verdana" w:cs="Verdana"/>
                <w:i/>
                <w:noProof/>
                <w:color w:val="000000"/>
                <w:sz w:val="18"/>
              </w:rPr>
            </w:pPr>
            <w:r>
              <w:rPr>
                <w:rFonts w:ascii="Verdana" w:hAnsi="Verdana"/>
                <w:i/>
                <w:noProof/>
                <w:color w:val="000000"/>
                <w:sz w:val="18"/>
              </w:rPr>
              <w:t>(2 400)</w:t>
            </w:r>
          </w:p>
        </w:tc>
        <w:tc>
          <w:tcPr>
            <w:tcW w:w="851" w:type="dxa"/>
            <w:tcBorders>
              <w:top w:val="nil"/>
              <w:left w:val="nil"/>
              <w:bottom w:val="nil"/>
              <w:right w:val="nil"/>
              <w:tl2br w:val="nil"/>
              <w:tr2bl w:val="nil"/>
            </w:tcBorders>
            <w:tcMar>
              <w:left w:w="60" w:type="dxa"/>
              <w:right w:w="60" w:type="dxa"/>
            </w:tcMar>
            <w:vAlign w:val="center"/>
          </w:tcPr>
          <w:p>
            <w:pPr>
              <w:pStyle w:val="DMETW36633BIPLGFBF"/>
              <w:jc w:val="right"/>
              <w:rPr>
                <w:rFonts w:ascii="Verdana" w:eastAsia="Verdana" w:hAnsi="Verdana" w:cs="Verdana"/>
                <w:i/>
                <w:noProof/>
                <w:color w:val="000000"/>
                <w:sz w:val="18"/>
              </w:rPr>
            </w:pPr>
            <w:r>
              <w:rPr>
                <w:rFonts w:ascii="Verdana" w:hAnsi="Verdana"/>
                <w:i/>
                <w:noProof/>
                <w:color w:val="000000"/>
                <w:sz w:val="18"/>
              </w:rPr>
              <w:t xml:space="preserve"> (200)</w:t>
            </w:r>
          </w:p>
        </w:tc>
        <w:tc>
          <w:tcPr>
            <w:tcW w:w="850" w:type="dxa"/>
            <w:tcBorders>
              <w:top w:val="nil"/>
              <w:left w:val="nil"/>
              <w:bottom w:val="nil"/>
              <w:right w:val="nil"/>
              <w:tl2br w:val="nil"/>
              <w:tr2bl w:val="nil"/>
            </w:tcBorders>
            <w:tcMar>
              <w:left w:w="60" w:type="dxa"/>
              <w:right w:w="60" w:type="dxa"/>
            </w:tcMar>
            <w:vAlign w:val="center"/>
          </w:tcPr>
          <w:p>
            <w:pPr>
              <w:pStyle w:val="DMETW36633BIPLGFBF"/>
              <w:jc w:val="right"/>
              <w:rPr>
                <w:rFonts w:ascii="Verdana" w:eastAsia="Verdana" w:hAnsi="Verdana" w:cs="Verdana"/>
                <w:i/>
                <w:noProof/>
                <w:color w:val="000000"/>
                <w:sz w:val="18"/>
              </w:rPr>
            </w:pPr>
            <w:r>
              <w:rPr>
                <w:rFonts w:ascii="Verdana" w:hAnsi="Verdana"/>
                <w:i/>
                <w:noProof/>
                <w:color w:val="000000"/>
                <w:sz w:val="18"/>
              </w:rPr>
              <w:t xml:space="preserve"> (20)</w:t>
            </w:r>
          </w:p>
        </w:tc>
        <w:tc>
          <w:tcPr>
            <w:tcW w:w="992" w:type="dxa"/>
            <w:tcBorders>
              <w:top w:val="nil"/>
              <w:left w:val="nil"/>
              <w:bottom w:val="nil"/>
              <w:right w:val="nil"/>
              <w:tl2br w:val="nil"/>
              <w:tr2bl w:val="nil"/>
            </w:tcBorders>
            <w:tcMar>
              <w:left w:w="60" w:type="dxa"/>
              <w:right w:w="60" w:type="dxa"/>
            </w:tcMar>
            <w:vAlign w:val="center"/>
          </w:tcPr>
          <w:p>
            <w:pPr>
              <w:pStyle w:val="DMETW36633BIPLGFBF"/>
              <w:jc w:val="right"/>
              <w:rPr>
                <w:rFonts w:ascii="Verdana" w:eastAsia="Verdana" w:hAnsi="Verdana" w:cs="Verdana"/>
                <w:i/>
                <w:noProof/>
                <w:color w:val="000000"/>
                <w:sz w:val="18"/>
              </w:rPr>
            </w:pPr>
            <w:r>
              <w:rPr>
                <w:rFonts w:ascii="Verdana" w:hAnsi="Verdana"/>
                <w:i/>
                <w:noProof/>
                <w:color w:val="000000"/>
                <w:sz w:val="18"/>
              </w:rPr>
              <w:t>–</w:t>
            </w:r>
          </w:p>
        </w:tc>
        <w:tc>
          <w:tcPr>
            <w:tcW w:w="1193" w:type="dxa"/>
            <w:tcBorders>
              <w:top w:val="nil"/>
              <w:left w:val="nil"/>
              <w:bottom w:val="nil"/>
              <w:right w:val="nil"/>
              <w:tl2br w:val="nil"/>
              <w:tr2bl w:val="nil"/>
            </w:tcBorders>
            <w:tcMar>
              <w:left w:w="60" w:type="dxa"/>
              <w:right w:w="60" w:type="dxa"/>
            </w:tcMar>
            <w:vAlign w:val="center"/>
          </w:tcPr>
          <w:p>
            <w:pPr>
              <w:pStyle w:val="DMETW36633BIPLGFBF"/>
              <w:jc w:val="right"/>
              <w:rPr>
                <w:rFonts w:ascii="Verdana" w:eastAsia="Verdana" w:hAnsi="Verdana" w:cs="Verdana"/>
                <w:i/>
                <w:noProof/>
                <w:color w:val="000000"/>
                <w:sz w:val="18"/>
              </w:rPr>
            </w:pPr>
            <w:r>
              <w:rPr>
                <w:rFonts w:ascii="Verdana" w:hAnsi="Verdana"/>
                <w:i/>
                <w:noProof/>
                <w:color w:val="000000"/>
                <w:sz w:val="18"/>
              </w:rPr>
              <w:t>(83 886)</w:t>
            </w:r>
          </w:p>
        </w:tc>
      </w:tr>
      <w:tr>
        <w:trPr>
          <w:trHeight w:val="255"/>
        </w:trPr>
        <w:tc>
          <w:tcPr>
            <w:tcW w:w="2519" w:type="dxa"/>
            <w:tcBorders>
              <w:top w:val="nil"/>
              <w:left w:val="nil"/>
              <w:bottom w:val="nil"/>
              <w:right w:val="nil"/>
              <w:tl2br w:val="nil"/>
              <w:tr2bl w:val="nil"/>
            </w:tcBorders>
            <w:tcMar>
              <w:left w:w="60" w:type="dxa"/>
              <w:right w:w="60" w:type="dxa"/>
            </w:tcMar>
            <w:vAlign w:val="center"/>
          </w:tcPr>
          <w:p>
            <w:pPr>
              <w:pStyle w:val="DMETW36633BIPLGFBF"/>
              <w:rPr>
                <w:rFonts w:ascii="Verdana" w:eastAsia="Verdana" w:hAnsi="Verdana" w:cs="Verdana"/>
                <w:i/>
                <w:noProof/>
                <w:color w:val="000000"/>
                <w:sz w:val="18"/>
              </w:rPr>
            </w:pPr>
            <w:r>
              <w:rPr>
                <w:rFonts w:ascii="Verdana" w:hAnsi="Verdana"/>
                <w:i/>
                <w:noProof/>
                <w:color w:val="000000"/>
                <w:sz w:val="18"/>
              </w:rPr>
              <w:t>Variations de la valeur comptable</w:t>
            </w:r>
          </w:p>
        </w:tc>
        <w:tc>
          <w:tcPr>
            <w:tcW w:w="1227" w:type="dxa"/>
            <w:tcBorders>
              <w:top w:val="nil"/>
              <w:left w:val="nil"/>
              <w:bottom w:val="nil"/>
              <w:right w:val="nil"/>
              <w:tl2br w:val="nil"/>
              <w:tr2bl w:val="nil"/>
            </w:tcBorders>
            <w:tcMar>
              <w:left w:w="60" w:type="dxa"/>
              <w:right w:w="60" w:type="dxa"/>
            </w:tcMar>
            <w:vAlign w:val="center"/>
          </w:tcPr>
          <w:p>
            <w:pPr>
              <w:pStyle w:val="DMETW36633BIPLGFBF"/>
              <w:jc w:val="right"/>
              <w:rPr>
                <w:rFonts w:ascii="Verdana" w:eastAsia="Verdana" w:hAnsi="Verdana" w:cs="Verdana"/>
                <w:i/>
                <w:noProof/>
                <w:color w:val="000000"/>
                <w:sz w:val="18"/>
              </w:rPr>
            </w:pPr>
            <w:r>
              <w:rPr>
                <w:rFonts w:ascii="Verdana" w:hAnsi="Verdana"/>
                <w:i/>
                <w:noProof/>
                <w:color w:val="000000"/>
                <w:sz w:val="18"/>
              </w:rPr>
              <w:t xml:space="preserve"> (300)</w:t>
            </w:r>
          </w:p>
        </w:tc>
        <w:tc>
          <w:tcPr>
            <w:tcW w:w="992" w:type="dxa"/>
            <w:tcBorders>
              <w:top w:val="nil"/>
              <w:left w:val="nil"/>
              <w:bottom w:val="nil"/>
              <w:right w:val="nil"/>
              <w:tl2br w:val="nil"/>
              <w:tr2bl w:val="nil"/>
            </w:tcBorders>
            <w:tcMar>
              <w:left w:w="60" w:type="dxa"/>
              <w:right w:w="60" w:type="dxa"/>
            </w:tcMar>
            <w:vAlign w:val="center"/>
          </w:tcPr>
          <w:p>
            <w:pPr>
              <w:pStyle w:val="DMETW36633BIPLGFBF"/>
              <w:jc w:val="right"/>
              <w:rPr>
                <w:rFonts w:ascii="Verdana" w:eastAsia="Verdana" w:hAnsi="Verdana" w:cs="Verdana"/>
                <w:i/>
                <w:noProof/>
                <w:color w:val="000000"/>
                <w:sz w:val="18"/>
              </w:rPr>
            </w:pPr>
            <w:r>
              <w:rPr>
                <w:rFonts w:ascii="Verdana" w:hAnsi="Verdana"/>
                <w:i/>
                <w:noProof/>
                <w:color w:val="000000"/>
                <w:sz w:val="18"/>
              </w:rPr>
              <w:t xml:space="preserve"> (135)</w:t>
            </w:r>
          </w:p>
        </w:tc>
        <w:tc>
          <w:tcPr>
            <w:tcW w:w="1134" w:type="dxa"/>
            <w:tcBorders>
              <w:top w:val="nil"/>
              <w:left w:val="nil"/>
              <w:bottom w:val="nil"/>
              <w:right w:val="nil"/>
              <w:tl2br w:val="nil"/>
              <w:tr2bl w:val="nil"/>
            </w:tcBorders>
            <w:tcMar>
              <w:left w:w="60" w:type="dxa"/>
              <w:right w:w="60" w:type="dxa"/>
            </w:tcMar>
            <w:vAlign w:val="center"/>
          </w:tcPr>
          <w:p>
            <w:pPr>
              <w:pStyle w:val="DMETW36633BIPLGFBF"/>
              <w:jc w:val="right"/>
              <w:rPr>
                <w:rFonts w:ascii="Verdana" w:eastAsia="Verdana" w:hAnsi="Verdana" w:cs="Verdana"/>
                <w:i/>
                <w:noProof/>
                <w:color w:val="000000"/>
                <w:sz w:val="18"/>
              </w:rPr>
            </w:pPr>
            <w:r>
              <w:rPr>
                <w:rFonts w:ascii="Verdana" w:hAnsi="Verdana"/>
                <w:i/>
                <w:noProof/>
                <w:color w:val="000000"/>
                <w:sz w:val="18"/>
              </w:rPr>
              <w:t xml:space="preserve"> (15)</w:t>
            </w:r>
          </w:p>
        </w:tc>
        <w:tc>
          <w:tcPr>
            <w:tcW w:w="851" w:type="dxa"/>
            <w:tcBorders>
              <w:top w:val="nil"/>
              <w:left w:val="nil"/>
              <w:bottom w:val="nil"/>
              <w:right w:val="nil"/>
              <w:tl2br w:val="nil"/>
              <w:tr2bl w:val="nil"/>
            </w:tcBorders>
            <w:tcMar>
              <w:left w:w="60" w:type="dxa"/>
              <w:right w:w="60" w:type="dxa"/>
            </w:tcMar>
            <w:vAlign w:val="center"/>
          </w:tcPr>
          <w:p>
            <w:pPr>
              <w:pStyle w:val="DMETW36633BIPLGFBF"/>
              <w:jc w:val="right"/>
              <w:rPr>
                <w:rFonts w:ascii="Verdana" w:eastAsia="Verdana" w:hAnsi="Verdana" w:cs="Verdana"/>
                <w:i/>
                <w:noProof/>
                <w:color w:val="000000"/>
                <w:sz w:val="18"/>
              </w:rPr>
            </w:pPr>
            <w:r>
              <w:rPr>
                <w:rFonts w:ascii="Verdana" w:hAnsi="Verdana"/>
                <w:i/>
                <w:noProof/>
                <w:color w:val="000000"/>
                <w:sz w:val="18"/>
              </w:rPr>
              <w:t xml:space="preserve"> (1)</w:t>
            </w:r>
          </w:p>
        </w:tc>
        <w:tc>
          <w:tcPr>
            <w:tcW w:w="850" w:type="dxa"/>
            <w:tcBorders>
              <w:top w:val="nil"/>
              <w:left w:val="nil"/>
              <w:bottom w:val="nil"/>
              <w:right w:val="nil"/>
              <w:tl2br w:val="nil"/>
              <w:tr2bl w:val="nil"/>
            </w:tcBorders>
            <w:tcMar>
              <w:left w:w="60" w:type="dxa"/>
              <w:right w:w="60" w:type="dxa"/>
            </w:tcMar>
            <w:vAlign w:val="center"/>
          </w:tcPr>
          <w:p>
            <w:pPr>
              <w:pStyle w:val="DMETW36633BIPLGFBF"/>
              <w:jc w:val="right"/>
              <w:rPr>
                <w:rFonts w:ascii="Verdana" w:eastAsia="Verdana" w:hAnsi="Verdana" w:cs="Verdana"/>
                <w:i/>
                <w:noProof/>
                <w:color w:val="000000"/>
                <w:sz w:val="18"/>
              </w:rPr>
            </w:pPr>
            <w:r>
              <w:rPr>
                <w:rFonts w:ascii="Verdana" w:hAnsi="Verdana"/>
                <w:i/>
                <w:noProof/>
                <w:color w:val="000000"/>
                <w:sz w:val="18"/>
              </w:rPr>
              <w:t xml:space="preserve"> 7</w:t>
            </w:r>
          </w:p>
        </w:tc>
        <w:tc>
          <w:tcPr>
            <w:tcW w:w="992" w:type="dxa"/>
            <w:tcBorders>
              <w:top w:val="nil"/>
              <w:left w:val="nil"/>
              <w:bottom w:val="nil"/>
              <w:right w:val="nil"/>
              <w:tl2br w:val="nil"/>
              <w:tr2bl w:val="nil"/>
            </w:tcBorders>
            <w:tcMar>
              <w:left w:w="60" w:type="dxa"/>
              <w:right w:w="60" w:type="dxa"/>
            </w:tcMar>
            <w:vAlign w:val="center"/>
          </w:tcPr>
          <w:p>
            <w:pPr>
              <w:pStyle w:val="DMETW36633BIPLGFBF"/>
              <w:jc w:val="right"/>
              <w:rPr>
                <w:rFonts w:ascii="Verdana" w:eastAsia="Verdana" w:hAnsi="Verdana" w:cs="Verdana"/>
                <w:i/>
                <w:noProof/>
                <w:color w:val="000000"/>
                <w:sz w:val="18"/>
              </w:rPr>
            </w:pPr>
            <w:r>
              <w:rPr>
                <w:rFonts w:ascii="Verdana" w:hAnsi="Verdana"/>
                <w:i/>
                <w:noProof/>
                <w:color w:val="000000"/>
                <w:sz w:val="18"/>
              </w:rPr>
              <w:t xml:space="preserve"> (0)</w:t>
            </w:r>
          </w:p>
        </w:tc>
        <w:tc>
          <w:tcPr>
            <w:tcW w:w="1193" w:type="dxa"/>
            <w:tcBorders>
              <w:top w:val="nil"/>
              <w:left w:val="nil"/>
              <w:bottom w:val="nil"/>
              <w:right w:val="nil"/>
              <w:tl2br w:val="nil"/>
              <w:tr2bl w:val="nil"/>
            </w:tcBorders>
            <w:tcMar>
              <w:left w:w="60" w:type="dxa"/>
              <w:right w:w="60" w:type="dxa"/>
            </w:tcMar>
            <w:vAlign w:val="center"/>
          </w:tcPr>
          <w:p>
            <w:pPr>
              <w:pStyle w:val="DMETW36633BIPLGFBF"/>
              <w:jc w:val="right"/>
              <w:rPr>
                <w:rFonts w:ascii="Verdana" w:eastAsia="Verdana" w:hAnsi="Verdana" w:cs="Verdana"/>
                <w:i/>
                <w:noProof/>
                <w:color w:val="000000"/>
                <w:sz w:val="18"/>
              </w:rPr>
            </w:pPr>
            <w:r>
              <w:rPr>
                <w:rFonts w:ascii="Verdana" w:hAnsi="Verdana"/>
                <w:i/>
                <w:noProof/>
                <w:color w:val="000000"/>
                <w:sz w:val="18"/>
              </w:rPr>
              <w:t xml:space="preserve"> (443)</w:t>
            </w:r>
          </w:p>
        </w:tc>
      </w:tr>
      <w:tr>
        <w:trPr>
          <w:trHeight w:val="255"/>
        </w:trPr>
        <w:tc>
          <w:tcPr>
            <w:tcW w:w="2519" w:type="dxa"/>
            <w:tcBorders>
              <w:top w:val="nil"/>
              <w:left w:val="nil"/>
              <w:bottom w:val="single" w:sz="4" w:space="0" w:color="016794"/>
              <w:right w:val="nil"/>
              <w:tl2br w:val="nil"/>
              <w:tr2bl w:val="nil"/>
            </w:tcBorders>
            <w:tcMar>
              <w:left w:w="60" w:type="dxa"/>
              <w:right w:w="60" w:type="dxa"/>
            </w:tcMar>
            <w:vAlign w:val="center"/>
          </w:tcPr>
          <w:p>
            <w:pPr>
              <w:pStyle w:val="DMETW36633BIPLGFBF"/>
              <w:rPr>
                <w:rFonts w:ascii="Verdana" w:eastAsia="Verdana" w:hAnsi="Verdana" w:cs="Verdana"/>
                <w:i/>
                <w:noProof/>
                <w:color w:val="000000"/>
                <w:sz w:val="18"/>
              </w:rPr>
            </w:pPr>
            <w:r>
              <w:rPr>
                <w:rFonts w:ascii="Verdana" w:hAnsi="Verdana"/>
                <w:i/>
                <w:noProof/>
                <w:color w:val="000000"/>
                <w:sz w:val="18"/>
              </w:rPr>
              <w:t>Autres mouvements</w:t>
            </w:r>
          </w:p>
        </w:tc>
        <w:tc>
          <w:tcPr>
            <w:tcW w:w="1227" w:type="dxa"/>
            <w:tcBorders>
              <w:top w:val="nil"/>
              <w:left w:val="nil"/>
              <w:bottom w:val="single" w:sz="4" w:space="0" w:color="016794"/>
              <w:right w:val="nil"/>
              <w:tl2br w:val="nil"/>
              <w:tr2bl w:val="nil"/>
            </w:tcBorders>
            <w:tcMar>
              <w:left w:w="60" w:type="dxa"/>
              <w:right w:w="60" w:type="dxa"/>
            </w:tcMar>
            <w:vAlign w:val="center"/>
          </w:tcPr>
          <w:p>
            <w:pPr>
              <w:pStyle w:val="DMETW36633BIPLGFBF"/>
              <w:jc w:val="right"/>
              <w:rPr>
                <w:rFonts w:ascii="Verdana" w:eastAsia="Verdana" w:hAnsi="Verdana" w:cs="Verdana"/>
                <w:i/>
                <w:noProof/>
                <w:color w:val="000000"/>
                <w:sz w:val="18"/>
              </w:rPr>
            </w:pPr>
            <w:r>
              <w:rPr>
                <w:rFonts w:ascii="Verdana" w:hAnsi="Verdana"/>
                <w:i/>
                <w:noProof/>
                <w:color w:val="000000"/>
                <w:sz w:val="18"/>
              </w:rPr>
              <w:t>2 500</w:t>
            </w:r>
          </w:p>
        </w:tc>
        <w:tc>
          <w:tcPr>
            <w:tcW w:w="992" w:type="dxa"/>
            <w:tcBorders>
              <w:top w:val="nil"/>
              <w:left w:val="nil"/>
              <w:bottom w:val="single" w:sz="4" w:space="0" w:color="016794"/>
              <w:right w:val="nil"/>
              <w:tl2br w:val="nil"/>
              <w:tr2bl w:val="nil"/>
            </w:tcBorders>
            <w:tcMar>
              <w:left w:w="60" w:type="dxa"/>
              <w:right w:w="60" w:type="dxa"/>
            </w:tcMar>
            <w:vAlign w:val="center"/>
          </w:tcPr>
          <w:p>
            <w:pPr>
              <w:pStyle w:val="DMETW36633BIPLGFBF"/>
              <w:jc w:val="right"/>
              <w:rPr>
                <w:rFonts w:ascii="Verdana" w:eastAsia="Verdana" w:hAnsi="Verdana" w:cs="Verdana"/>
                <w:i/>
                <w:noProof/>
                <w:color w:val="000000"/>
                <w:sz w:val="18"/>
              </w:rPr>
            </w:pPr>
            <w:r>
              <w:rPr>
                <w:rFonts w:ascii="Verdana" w:hAnsi="Verdana"/>
                <w:i/>
                <w:noProof/>
                <w:color w:val="000000"/>
                <w:sz w:val="18"/>
              </w:rPr>
              <w:t>–</w:t>
            </w:r>
          </w:p>
        </w:tc>
        <w:tc>
          <w:tcPr>
            <w:tcW w:w="1134" w:type="dxa"/>
            <w:tcBorders>
              <w:top w:val="nil"/>
              <w:left w:val="nil"/>
              <w:bottom w:val="single" w:sz="4" w:space="0" w:color="016794"/>
              <w:right w:val="nil"/>
              <w:tl2br w:val="nil"/>
              <w:tr2bl w:val="nil"/>
            </w:tcBorders>
            <w:tcMar>
              <w:left w:w="60" w:type="dxa"/>
              <w:right w:w="60" w:type="dxa"/>
            </w:tcMar>
            <w:vAlign w:val="center"/>
          </w:tcPr>
          <w:p>
            <w:pPr>
              <w:pStyle w:val="DMETW36633BIPLGFBF"/>
              <w:jc w:val="right"/>
              <w:rPr>
                <w:rFonts w:ascii="Verdana" w:eastAsia="Verdana" w:hAnsi="Verdana" w:cs="Verdana"/>
                <w:i/>
                <w:noProof/>
                <w:color w:val="000000"/>
                <w:sz w:val="18"/>
              </w:rPr>
            </w:pPr>
            <w:r>
              <w:rPr>
                <w:rFonts w:ascii="Verdana" w:hAnsi="Verdana"/>
                <w:i/>
                <w:noProof/>
                <w:color w:val="000000"/>
                <w:sz w:val="18"/>
              </w:rPr>
              <w:t>(2 500)</w:t>
            </w:r>
          </w:p>
        </w:tc>
        <w:tc>
          <w:tcPr>
            <w:tcW w:w="851" w:type="dxa"/>
            <w:tcBorders>
              <w:top w:val="nil"/>
              <w:left w:val="nil"/>
              <w:bottom w:val="single" w:sz="4" w:space="0" w:color="016794"/>
              <w:right w:val="nil"/>
              <w:tl2br w:val="nil"/>
              <w:tr2bl w:val="nil"/>
            </w:tcBorders>
            <w:tcMar>
              <w:left w:w="60" w:type="dxa"/>
              <w:right w:w="60" w:type="dxa"/>
            </w:tcMar>
            <w:vAlign w:val="center"/>
          </w:tcPr>
          <w:p>
            <w:pPr>
              <w:pStyle w:val="DMETW36633BIPLGFBF"/>
              <w:jc w:val="right"/>
              <w:rPr>
                <w:rFonts w:ascii="Verdana" w:eastAsia="Verdana" w:hAnsi="Verdana" w:cs="Verdana"/>
                <w:i/>
                <w:noProof/>
                <w:color w:val="000000"/>
                <w:sz w:val="18"/>
              </w:rPr>
            </w:pPr>
            <w:r>
              <w:rPr>
                <w:rFonts w:ascii="Verdana" w:hAnsi="Verdana"/>
                <w:i/>
                <w:noProof/>
                <w:color w:val="000000"/>
                <w:sz w:val="18"/>
              </w:rPr>
              <w:t>–</w:t>
            </w:r>
          </w:p>
        </w:tc>
        <w:tc>
          <w:tcPr>
            <w:tcW w:w="850" w:type="dxa"/>
            <w:tcBorders>
              <w:top w:val="nil"/>
              <w:left w:val="nil"/>
              <w:bottom w:val="single" w:sz="4" w:space="0" w:color="016794"/>
              <w:right w:val="nil"/>
              <w:tl2br w:val="nil"/>
              <w:tr2bl w:val="nil"/>
            </w:tcBorders>
            <w:tcMar>
              <w:left w:w="60" w:type="dxa"/>
              <w:right w:w="60" w:type="dxa"/>
            </w:tcMar>
            <w:vAlign w:val="center"/>
          </w:tcPr>
          <w:p>
            <w:pPr>
              <w:pStyle w:val="DMETW36633BIPLGFBF"/>
              <w:jc w:val="right"/>
              <w:rPr>
                <w:rFonts w:ascii="Verdana" w:eastAsia="Verdana" w:hAnsi="Verdana" w:cs="Verdana"/>
                <w:i/>
                <w:noProof/>
                <w:color w:val="000000"/>
                <w:sz w:val="18"/>
              </w:rPr>
            </w:pPr>
            <w:r>
              <w:rPr>
                <w:rFonts w:ascii="Verdana" w:hAnsi="Verdana"/>
                <w:i/>
                <w:noProof/>
                <w:color w:val="000000"/>
                <w:sz w:val="18"/>
              </w:rPr>
              <w:t>–</w:t>
            </w:r>
          </w:p>
        </w:tc>
        <w:tc>
          <w:tcPr>
            <w:tcW w:w="992" w:type="dxa"/>
            <w:tcBorders>
              <w:top w:val="nil"/>
              <w:left w:val="nil"/>
              <w:bottom w:val="single" w:sz="4" w:space="0" w:color="016794"/>
              <w:right w:val="nil"/>
              <w:tl2br w:val="nil"/>
              <w:tr2bl w:val="nil"/>
            </w:tcBorders>
            <w:tcMar>
              <w:left w:w="60" w:type="dxa"/>
              <w:right w:w="60" w:type="dxa"/>
            </w:tcMar>
            <w:vAlign w:val="center"/>
          </w:tcPr>
          <w:p>
            <w:pPr>
              <w:pStyle w:val="DMETW36633BIPLGFBF"/>
              <w:jc w:val="right"/>
              <w:rPr>
                <w:rFonts w:ascii="Verdana" w:eastAsia="Verdana" w:hAnsi="Verdana" w:cs="Verdana"/>
                <w:i/>
                <w:noProof/>
                <w:color w:val="000000"/>
                <w:sz w:val="18"/>
              </w:rPr>
            </w:pPr>
            <w:r>
              <w:rPr>
                <w:rFonts w:ascii="Verdana" w:hAnsi="Verdana"/>
                <w:i/>
                <w:noProof/>
                <w:color w:val="000000"/>
                <w:sz w:val="18"/>
              </w:rPr>
              <w:t>–</w:t>
            </w:r>
          </w:p>
        </w:tc>
        <w:tc>
          <w:tcPr>
            <w:tcW w:w="1193" w:type="dxa"/>
            <w:tcBorders>
              <w:top w:val="nil"/>
              <w:left w:val="nil"/>
              <w:bottom w:val="single" w:sz="4" w:space="0" w:color="016794"/>
              <w:right w:val="nil"/>
              <w:tl2br w:val="nil"/>
              <w:tr2bl w:val="nil"/>
            </w:tcBorders>
            <w:tcMar>
              <w:left w:w="60" w:type="dxa"/>
              <w:right w:w="60" w:type="dxa"/>
            </w:tcMar>
            <w:vAlign w:val="center"/>
          </w:tcPr>
          <w:p>
            <w:pPr>
              <w:pStyle w:val="DMETW36633BIPLGFBF"/>
              <w:jc w:val="right"/>
              <w:rPr>
                <w:rFonts w:ascii="Verdana" w:eastAsia="Verdana" w:hAnsi="Verdana" w:cs="Verdana"/>
                <w:i/>
                <w:noProof/>
                <w:color w:val="000000"/>
                <w:sz w:val="18"/>
              </w:rPr>
            </w:pPr>
            <w:r>
              <w:rPr>
                <w:rFonts w:ascii="Verdana" w:hAnsi="Verdana"/>
                <w:i/>
                <w:noProof/>
                <w:color w:val="000000"/>
                <w:sz w:val="18"/>
              </w:rPr>
              <w:t>–</w:t>
            </w:r>
          </w:p>
        </w:tc>
      </w:tr>
      <w:tr>
        <w:trPr>
          <w:trHeight w:val="255"/>
        </w:trPr>
        <w:tc>
          <w:tcPr>
            <w:tcW w:w="251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33BIPLGFBF"/>
              <w:rPr>
                <w:rFonts w:ascii="Verdana" w:eastAsia="Verdana" w:hAnsi="Verdana" w:cs="Verdana"/>
                <w:b/>
                <w:noProof/>
                <w:color w:val="000000"/>
                <w:sz w:val="18"/>
              </w:rPr>
            </w:pPr>
            <w:r>
              <w:rPr>
                <w:rFonts w:ascii="Verdana" w:hAnsi="Verdana"/>
                <w:b/>
                <w:noProof/>
                <w:color w:val="000000"/>
                <w:sz w:val="18"/>
              </w:rPr>
              <w:t>Total au 31.12.2025</w:t>
            </w:r>
          </w:p>
        </w:tc>
        <w:tc>
          <w:tcPr>
            <w:tcW w:w="1227"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33BIPLGFBF"/>
              <w:jc w:val="right"/>
              <w:rPr>
                <w:rFonts w:ascii="Verdana" w:eastAsia="Verdana" w:hAnsi="Verdana" w:cs="Verdana"/>
                <w:b/>
                <w:noProof/>
                <w:color w:val="000000"/>
                <w:sz w:val="18"/>
              </w:rPr>
            </w:pPr>
            <w:r>
              <w:rPr>
                <w:rFonts w:ascii="Verdana" w:hAnsi="Verdana"/>
                <w:b/>
                <w:noProof/>
                <w:color w:val="000000"/>
                <w:sz w:val="18"/>
              </w:rPr>
              <w:t>588 088</w:t>
            </w:r>
          </w:p>
        </w:tc>
        <w:tc>
          <w:tcPr>
            <w:tcW w:w="99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33BIPLGFBF"/>
              <w:jc w:val="right"/>
              <w:rPr>
                <w:rFonts w:ascii="Verdana" w:eastAsia="Verdana" w:hAnsi="Verdana" w:cs="Verdana"/>
                <w:b/>
                <w:noProof/>
                <w:color w:val="000000"/>
                <w:sz w:val="18"/>
              </w:rPr>
            </w:pPr>
            <w:r>
              <w:rPr>
                <w:rFonts w:ascii="Verdana" w:hAnsi="Verdana"/>
                <w:b/>
                <w:noProof/>
                <w:color w:val="000000"/>
                <w:sz w:val="18"/>
              </w:rPr>
              <w:t>90 705</w:t>
            </w:r>
          </w:p>
        </w:tc>
        <w:tc>
          <w:tcPr>
            <w:tcW w:w="113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33BIPLGFBF"/>
              <w:jc w:val="right"/>
              <w:rPr>
                <w:rFonts w:ascii="Verdana" w:eastAsia="Verdana" w:hAnsi="Verdana" w:cs="Verdana"/>
                <w:b/>
                <w:noProof/>
                <w:color w:val="000000"/>
                <w:sz w:val="18"/>
              </w:rPr>
            </w:pPr>
            <w:r>
              <w:rPr>
                <w:rFonts w:ascii="Verdana" w:hAnsi="Verdana"/>
                <w:b/>
                <w:noProof/>
                <w:color w:val="000000"/>
                <w:sz w:val="18"/>
              </w:rPr>
              <w:t>37 382</w:t>
            </w:r>
          </w:p>
        </w:tc>
        <w:tc>
          <w:tcPr>
            <w:tcW w:w="85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33BIPLGFBF"/>
              <w:jc w:val="right"/>
              <w:rPr>
                <w:rFonts w:ascii="Verdana" w:eastAsia="Verdana" w:hAnsi="Verdana" w:cs="Verdana"/>
                <w:b/>
                <w:noProof/>
                <w:color w:val="000000"/>
                <w:sz w:val="18"/>
              </w:rPr>
            </w:pPr>
            <w:r>
              <w:rPr>
                <w:rFonts w:ascii="Verdana" w:hAnsi="Verdana"/>
                <w:b/>
                <w:noProof/>
                <w:color w:val="000000"/>
                <w:sz w:val="18"/>
              </w:rPr>
              <w:t>–</w:t>
            </w:r>
          </w:p>
        </w:tc>
        <w:tc>
          <w:tcPr>
            <w:tcW w:w="85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33BIPLGFBF"/>
              <w:jc w:val="right"/>
              <w:rPr>
                <w:rFonts w:ascii="Verdana" w:eastAsia="Verdana" w:hAnsi="Verdana" w:cs="Verdana"/>
                <w:b/>
                <w:noProof/>
                <w:color w:val="000000"/>
                <w:sz w:val="18"/>
              </w:rPr>
            </w:pPr>
            <w:r>
              <w:rPr>
                <w:rFonts w:ascii="Verdana" w:hAnsi="Verdana"/>
                <w:b/>
                <w:noProof/>
                <w:color w:val="000000"/>
                <w:sz w:val="18"/>
              </w:rPr>
              <w:t>14 749</w:t>
            </w:r>
          </w:p>
        </w:tc>
        <w:tc>
          <w:tcPr>
            <w:tcW w:w="99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33BIPLGFBF"/>
              <w:jc w:val="right"/>
              <w:rPr>
                <w:rFonts w:ascii="Verdana" w:eastAsia="Verdana" w:hAnsi="Verdana" w:cs="Verdana"/>
                <w:b/>
                <w:noProof/>
                <w:color w:val="000000"/>
                <w:sz w:val="18"/>
              </w:rPr>
            </w:pPr>
            <w:r>
              <w:rPr>
                <w:rFonts w:ascii="Verdana" w:hAnsi="Verdana"/>
                <w:b/>
                <w:noProof/>
                <w:color w:val="000000"/>
                <w:sz w:val="18"/>
              </w:rPr>
              <w:t xml:space="preserve"> 301</w:t>
            </w:r>
          </w:p>
        </w:tc>
        <w:tc>
          <w:tcPr>
            <w:tcW w:w="119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33BIPLGFBF"/>
              <w:jc w:val="right"/>
              <w:rPr>
                <w:rFonts w:ascii="Verdana" w:eastAsia="Verdana" w:hAnsi="Verdana" w:cs="Verdana"/>
                <w:b/>
                <w:noProof/>
                <w:color w:val="000000"/>
                <w:sz w:val="18"/>
              </w:rPr>
            </w:pPr>
            <w:r>
              <w:rPr>
                <w:rFonts w:ascii="Verdana" w:hAnsi="Verdana"/>
                <w:b/>
                <w:noProof/>
                <w:color w:val="000000"/>
                <w:sz w:val="18"/>
              </w:rPr>
              <w:t>731 224</w:t>
            </w:r>
          </w:p>
        </w:tc>
      </w:tr>
      <w:tr>
        <w:trPr>
          <w:trHeight w:val="255"/>
        </w:trPr>
        <w:tc>
          <w:tcPr>
            <w:tcW w:w="2519" w:type="dxa"/>
            <w:tcBorders>
              <w:top w:val="single" w:sz="4" w:space="0" w:color="016794"/>
              <w:left w:val="nil"/>
              <w:bottom w:val="nil"/>
              <w:right w:val="nil"/>
              <w:tl2br w:val="nil"/>
              <w:tr2bl w:val="nil"/>
            </w:tcBorders>
            <w:tcMar>
              <w:left w:w="60" w:type="dxa"/>
              <w:right w:w="60" w:type="dxa"/>
            </w:tcMar>
            <w:vAlign w:val="center"/>
          </w:tcPr>
          <w:p>
            <w:pPr>
              <w:pStyle w:val="DMETW36633BIPLGFBF"/>
              <w:rPr>
                <w:rFonts w:ascii="Verdana" w:eastAsia="Verdana" w:hAnsi="Verdana" w:cs="Verdana"/>
                <w:i/>
                <w:noProof/>
                <w:color w:val="016794"/>
                <w:sz w:val="18"/>
              </w:rPr>
            </w:pPr>
            <w:r>
              <w:rPr>
                <w:rFonts w:ascii="Verdana" w:hAnsi="Verdana"/>
                <w:i/>
                <w:noProof/>
                <w:color w:val="016794"/>
                <w:sz w:val="18"/>
              </w:rPr>
              <w:t>Non courants</w:t>
            </w:r>
          </w:p>
        </w:tc>
        <w:tc>
          <w:tcPr>
            <w:tcW w:w="1227" w:type="dxa"/>
            <w:tcBorders>
              <w:top w:val="single" w:sz="4" w:space="0" w:color="016794"/>
              <w:left w:val="nil"/>
              <w:bottom w:val="nil"/>
              <w:right w:val="nil"/>
              <w:tl2br w:val="nil"/>
              <w:tr2bl w:val="nil"/>
            </w:tcBorders>
            <w:tcMar>
              <w:left w:w="60" w:type="dxa"/>
              <w:right w:w="60" w:type="dxa"/>
            </w:tcMar>
            <w:vAlign w:val="bottom"/>
          </w:tcPr>
          <w:p>
            <w:pPr>
              <w:pStyle w:val="DMETW36633BIPLGFBF"/>
              <w:jc w:val="right"/>
              <w:rPr>
                <w:rFonts w:ascii="Verdana" w:eastAsia="Verdana" w:hAnsi="Verdana" w:cs="Verdana"/>
                <w:i/>
                <w:noProof/>
                <w:color w:val="016794"/>
                <w:sz w:val="18"/>
              </w:rPr>
            </w:pPr>
            <w:r>
              <w:rPr>
                <w:rFonts w:ascii="Verdana" w:hAnsi="Verdana"/>
                <w:i/>
                <w:noProof/>
                <w:color w:val="016794"/>
                <w:sz w:val="18"/>
              </w:rPr>
              <w:t>514 099</w:t>
            </w:r>
          </w:p>
        </w:tc>
        <w:tc>
          <w:tcPr>
            <w:tcW w:w="992" w:type="dxa"/>
            <w:tcBorders>
              <w:top w:val="single" w:sz="4" w:space="0" w:color="016794"/>
              <w:left w:val="nil"/>
              <w:bottom w:val="nil"/>
              <w:right w:val="nil"/>
              <w:tl2br w:val="nil"/>
              <w:tr2bl w:val="nil"/>
            </w:tcBorders>
            <w:tcMar>
              <w:left w:w="60" w:type="dxa"/>
              <w:right w:w="60" w:type="dxa"/>
            </w:tcMar>
            <w:vAlign w:val="bottom"/>
          </w:tcPr>
          <w:p>
            <w:pPr>
              <w:pStyle w:val="DMETW36633BIPLGFBF"/>
              <w:jc w:val="right"/>
              <w:rPr>
                <w:rFonts w:ascii="Verdana" w:eastAsia="Verdana" w:hAnsi="Verdana" w:cs="Verdana"/>
                <w:i/>
                <w:noProof/>
                <w:color w:val="016794"/>
                <w:sz w:val="18"/>
              </w:rPr>
            </w:pPr>
            <w:r>
              <w:rPr>
                <w:rFonts w:ascii="Verdana" w:hAnsi="Verdana"/>
                <w:i/>
                <w:noProof/>
                <w:color w:val="016794"/>
                <w:sz w:val="18"/>
              </w:rPr>
              <w:t>82 594</w:t>
            </w:r>
          </w:p>
        </w:tc>
        <w:tc>
          <w:tcPr>
            <w:tcW w:w="1134" w:type="dxa"/>
            <w:tcBorders>
              <w:top w:val="single" w:sz="4" w:space="0" w:color="016794"/>
              <w:left w:val="nil"/>
              <w:bottom w:val="nil"/>
              <w:right w:val="nil"/>
              <w:tl2br w:val="nil"/>
              <w:tr2bl w:val="nil"/>
            </w:tcBorders>
            <w:tcMar>
              <w:left w:w="60" w:type="dxa"/>
              <w:right w:w="60" w:type="dxa"/>
            </w:tcMar>
            <w:vAlign w:val="bottom"/>
          </w:tcPr>
          <w:p>
            <w:pPr>
              <w:pStyle w:val="DMETW36633BIPLGFBF"/>
              <w:jc w:val="right"/>
              <w:rPr>
                <w:rFonts w:ascii="Verdana" w:eastAsia="Verdana" w:hAnsi="Verdana" w:cs="Verdana"/>
                <w:i/>
                <w:noProof/>
                <w:color w:val="016794"/>
                <w:sz w:val="18"/>
              </w:rPr>
            </w:pPr>
            <w:r>
              <w:rPr>
                <w:rFonts w:ascii="Verdana" w:hAnsi="Verdana"/>
                <w:i/>
                <w:noProof/>
                <w:color w:val="016794"/>
                <w:sz w:val="18"/>
              </w:rPr>
              <w:t>30 818</w:t>
            </w:r>
          </w:p>
        </w:tc>
        <w:tc>
          <w:tcPr>
            <w:tcW w:w="851" w:type="dxa"/>
            <w:tcBorders>
              <w:top w:val="single" w:sz="4" w:space="0" w:color="016794"/>
              <w:left w:val="nil"/>
              <w:bottom w:val="nil"/>
              <w:right w:val="nil"/>
              <w:tl2br w:val="nil"/>
              <w:tr2bl w:val="nil"/>
            </w:tcBorders>
            <w:tcMar>
              <w:left w:w="60" w:type="dxa"/>
              <w:right w:w="60" w:type="dxa"/>
            </w:tcMar>
            <w:vAlign w:val="bottom"/>
          </w:tcPr>
          <w:p>
            <w:pPr>
              <w:pStyle w:val="DMETW36633BIPLGFBF"/>
              <w:jc w:val="right"/>
              <w:rPr>
                <w:rFonts w:ascii="Verdana" w:eastAsia="Verdana" w:hAnsi="Verdana" w:cs="Verdana"/>
                <w:i/>
                <w:noProof/>
                <w:color w:val="016794"/>
                <w:sz w:val="18"/>
              </w:rPr>
            </w:pPr>
            <w:r>
              <w:rPr>
                <w:rFonts w:ascii="Verdana" w:hAnsi="Verdana"/>
                <w:i/>
                <w:noProof/>
                <w:color w:val="016794"/>
                <w:sz w:val="18"/>
              </w:rPr>
              <w:t>–</w:t>
            </w:r>
          </w:p>
        </w:tc>
        <w:tc>
          <w:tcPr>
            <w:tcW w:w="850" w:type="dxa"/>
            <w:tcBorders>
              <w:top w:val="single" w:sz="4" w:space="0" w:color="016794"/>
              <w:left w:val="nil"/>
              <w:bottom w:val="nil"/>
              <w:right w:val="nil"/>
              <w:tl2br w:val="nil"/>
              <w:tr2bl w:val="nil"/>
            </w:tcBorders>
            <w:tcMar>
              <w:left w:w="60" w:type="dxa"/>
              <w:right w:w="60" w:type="dxa"/>
            </w:tcMar>
            <w:vAlign w:val="bottom"/>
          </w:tcPr>
          <w:p>
            <w:pPr>
              <w:pStyle w:val="DMETW36633BIPLGFBF"/>
              <w:jc w:val="right"/>
              <w:rPr>
                <w:rFonts w:ascii="Verdana" w:eastAsia="Verdana" w:hAnsi="Verdana" w:cs="Verdana"/>
                <w:i/>
                <w:noProof/>
                <w:color w:val="016794"/>
                <w:sz w:val="18"/>
              </w:rPr>
            </w:pPr>
            <w:r>
              <w:rPr>
                <w:rFonts w:ascii="Verdana" w:hAnsi="Verdana"/>
                <w:i/>
                <w:noProof/>
                <w:color w:val="016794"/>
                <w:sz w:val="18"/>
              </w:rPr>
              <w:t>14 495</w:t>
            </w:r>
          </w:p>
        </w:tc>
        <w:tc>
          <w:tcPr>
            <w:tcW w:w="992" w:type="dxa"/>
            <w:tcBorders>
              <w:top w:val="single" w:sz="4" w:space="0" w:color="016794"/>
              <w:left w:val="nil"/>
              <w:bottom w:val="nil"/>
              <w:right w:val="nil"/>
              <w:tl2br w:val="nil"/>
              <w:tr2bl w:val="nil"/>
            </w:tcBorders>
            <w:tcMar>
              <w:left w:w="60" w:type="dxa"/>
              <w:right w:w="60" w:type="dxa"/>
            </w:tcMar>
            <w:vAlign w:val="bottom"/>
          </w:tcPr>
          <w:p>
            <w:pPr>
              <w:pStyle w:val="DMETW36633BIPLGFBF"/>
              <w:jc w:val="right"/>
              <w:rPr>
                <w:rFonts w:ascii="Verdana" w:eastAsia="Verdana" w:hAnsi="Verdana" w:cs="Verdana"/>
                <w:i/>
                <w:noProof/>
                <w:color w:val="016794"/>
                <w:sz w:val="18"/>
              </w:rPr>
            </w:pPr>
            <w:r>
              <w:rPr>
                <w:rFonts w:ascii="Verdana" w:hAnsi="Verdana"/>
                <w:i/>
                <w:noProof/>
                <w:color w:val="016794"/>
                <w:sz w:val="18"/>
              </w:rPr>
              <w:t xml:space="preserve"> 300</w:t>
            </w:r>
          </w:p>
        </w:tc>
        <w:tc>
          <w:tcPr>
            <w:tcW w:w="1193" w:type="dxa"/>
            <w:tcBorders>
              <w:top w:val="single" w:sz="4" w:space="0" w:color="016794"/>
              <w:left w:val="nil"/>
              <w:bottom w:val="nil"/>
              <w:right w:val="nil"/>
              <w:tl2br w:val="nil"/>
              <w:tr2bl w:val="nil"/>
            </w:tcBorders>
            <w:tcMar>
              <w:left w:w="60" w:type="dxa"/>
              <w:right w:w="60" w:type="dxa"/>
            </w:tcMar>
            <w:vAlign w:val="bottom"/>
          </w:tcPr>
          <w:p>
            <w:pPr>
              <w:pStyle w:val="DMETW36633BIPLGFBF"/>
              <w:jc w:val="right"/>
              <w:rPr>
                <w:rFonts w:ascii="Verdana" w:eastAsia="Verdana" w:hAnsi="Verdana" w:cs="Verdana"/>
                <w:i/>
                <w:noProof/>
                <w:color w:val="016794"/>
                <w:sz w:val="18"/>
              </w:rPr>
            </w:pPr>
            <w:r>
              <w:rPr>
                <w:rFonts w:ascii="Verdana" w:hAnsi="Verdana"/>
                <w:i/>
                <w:noProof/>
                <w:color w:val="016794"/>
                <w:sz w:val="18"/>
              </w:rPr>
              <w:t>642 305</w:t>
            </w:r>
          </w:p>
        </w:tc>
      </w:tr>
      <w:tr>
        <w:trPr>
          <w:trHeight w:val="255"/>
        </w:trPr>
        <w:tc>
          <w:tcPr>
            <w:tcW w:w="2519" w:type="dxa"/>
            <w:tcBorders>
              <w:top w:val="nil"/>
              <w:left w:val="nil"/>
              <w:bottom w:val="nil"/>
              <w:right w:val="nil"/>
              <w:tl2br w:val="nil"/>
              <w:tr2bl w:val="nil"/>
            </w:tcBorders>
            <w:tcMar>
              <w:left w:w="60" w:type="dxa"/>
              <w:right w:w="60" w:type="dxa"/>
            </w:tcMar>
            <w:vAlign w:val="center"/>
          </w:tcPr>
          <w:p>
            <w:pPr>
              <w:pStyle w:val="DMETW36633BIPLGFBF"/>
              <w:rPr>
                <w:rFonts w:ascii="Verdana" w:eastAsia="Verdana" w:hAnsi="Verdana" w:cs="Verdana"/>
                <w:i/>
                <w:noProof/>
                <w:color w:val="016794"/>
                <w:sz w:val="18"/>
              </w:rPr>
            </w:pPr>
            <w:r>
              <w:rPr>
                <w:rFonts w:ascii="Verdana" w:hAnsi="Verdana"/>
                <w:i/>
                <w:noProof/>
                <w:color w:val="016794"/>
                <w:sz w:val="18"/>
              </w:rPr>
              <w:t>Courants</w:t>
            </w:r>
          </w:p>
        </w:tc>
        <w:tc>
          <w:tcPr>
            <w:tcW w:w="1227" w:type="dxa"/>
            <w:tcBorders>
              <w:top w:val="nil"/>
              <w:left w:val="nil"/>
              <w:bottom w:val="nil"/>
              <w:right w:val="nil"/>
              <w:tl2br w:val="nil"/>
              <w:tr2bl w:val="nil"/>
            </w:tcBorders>
            <w:tcMar>
              <w:left w:w="60" w:type="dxa"/>
              <w:right w:w="60" w:type="dxa"/>
            </w:tcMar>
            <w:vAlign w:val="bottom"/>
          </w:tcPr>
          <w:p>
            <w:pPr>
              <w:pStyle w:val="DMETW36633BIPLGFBF"/>
              <w:jc w:val="right"/>
              <w:rPr>
                <w:rFonts w:ascii="Verdana" w:eastAsia="Verdana" w:hAnsi="Verdana" w:cs="Verdana"/>
                <w:i/>
                <w:noProof/>
                <w:color w:val="016794"/>
                <w:sz w:val="18"/>
              </w:rPr>
            </w:pPr>
            <w:r>
              <w:rPr>
                <w:rFonts w:ascii="Verdana" w:hAnsi="Verdana"/>
                <w:i/>
                <w:noProof/>
                <w:color w:val="016794"/>
                <w:sz w:val="18"/>
              </w:rPr>
              <w:t>73 989</w:t>
            </w:r>
          </w:p>
        </w:tc>
        <w:tc>
          <w:tcPr>
            <w:tcW w:w="992" w:type="dxa"/>
            <w:tcBorders>
              <w:top w:val="nil"/>
              <w:left w:val="nil"/>
              <w:bottom w:val="nil"/>
              <w:right w:val="nil"/>
              <w:tl2br w:val="nil"/>
              <w:tr2bl w:val="nil"/>
            </w:tcBorders>
            <w:tcMar>
              <w:left w:w="60" w:type="dxa"/>
              <w:right w:w="60" w:type="dxa"/>
            </w:tcMar>
            <w:vAlign w:val="bottom"/>
          </w:tcPr>
          <w:p>
            <w:pPr>
              <w:pStyle w:val="DMETW36633BIPLGFBF"/>
              <w:jc w:val="right"/>
              <w:rPr>
                <w:rFonts w:ascii="Verdana" w:eastAsia="Verdana" w:hAnsi="Verdana" w:cs="Verdana"/>
                <w:i/>
                <w:noProof/>
                <w:color w:val="016794"/>
                <w:sz w:val="18"/>
              </w:rPr>
            </w:pPr>
            <w:r>
              <w:rPr>
                <w:rFonts w:ascii="Verdana" w:hAnsi="Verdana"/>
                <w:i/>
                <w:noProof/>
                <w:color w:val="016794"/>
                <w:sz w:val="18"/>
              </w:rPr>
              <w:t>8 111</w:t>
            </w:r>
          </w:p>
        </w:tc>
        <w:tc>
          <w:tcPr>
            <w:tcW w:w="1134" w:type="dxa"/>
            <w:tcBorders>
              <w:top w:val="nil"/>
              <w:left w:val="nil"/>
              <w:bottom w:val="nil"/>
              <w:right w:val="nil"/>
              <w:tl2br w:val="nil"/>
              <w:tr2bl w:val="nil"/>
            </w:tcBorders>
            <w:tcMar>
              <w:left w:w="60" w:type="dxa"/>
              <w:right w:w="60" w:type="dxa"/>
            </w:tcMar>
            <w:vAlign w:val="bottom"/>
          </w:tcPr>
          <w:p>
            <w:pPr>
              <w:pStyle w:val="DMETW36633BIPLGFBF"/>
              <w:jc w:val="right"/>
              <w:rPr>
                <w:rFonts w:ascii="Verdana" w:eastAsia="Verdana" w:hAnsi="Verdana" w:cs="Verdana"/>
                <w:i/>
                <w:noProof/>
                <w:color w:val="016794"/>
                <w:sz w:val="18"/>
              </w:rPr>
            </w:pPr>
            <w:r>
              <w:rPr>
                <w:rFonts w:ascii="Verdana" w:hAnsi="Verdana"/>
                <w:i/>
                <w:noProof/>
                <w:color w:val="016794"/>
                <w:sz w:val="18"/>
              </w:rPr>
              <w:t>6 564</w:t>
            </w:r>
          </w:p>
        </w:tc>
        <w:tc>
          <w:tcPr>
            <w:tcW w:w="851" w:type="dxa"/>
            <w:tcBorders>
              <w:top w:val="nil"/>
              <w:left w:val="nil"/>
              <w:bottom w:val="nil"/>
              <w:right w:val="nil"/>
              <w:tl2br w:val="nil"/>
              <w:tr2bl w:val="nil"/>
            </w:tcBorders>
            <w:tcMar>
              <w:left w:w="60" w:type="dxa"/>
              <w:right w:w="60" w:type="dxa"/>
            </w:tcMar>
            <w:vAlign w:val="bottom"/>
          </w:tcPr>
          <w:p>
            <w:pPr>
              <w:pStyle w:val="DMETW36633BIPLGFBF"/>
              <w:jc w:val="right"/>
              <w:rPr>
                <w:rFonts w:ascii="Verdana" w:eastAsia="Verdana" w:hAnsi="Verdana" w:cs="Verdana"/>
                <w:i/>
                <w:noProof/>
                <w:color w:val="016794"/>
                <w:sz w:val="18"/>
              </w:rPr>
            </w:pPr>
            <w:r>
              <w:rPr>
                <w:rFonts w:ascii="Verdana" w:hAnsi="Verdana"/>
                <w:i/>
                <w:noProof/>
                <w:color w:val="016794"/>
                <w:sz w:val="18"/>
              </w:rPr>
              <w:t>–</w:t>
            </w:r>
          </w:p>
        </w:tc>
        <w:tc>
          <w:tcPr>
            <w:tcW w:w="850" w:type="dxa"/>
            <w:tcBorders>
              <w:top w:val="nil"/>
              <w:left w:val="nil"/>
              <w:bottom w:val="nil"/>
              <w:right w:val="nil"/>
              <w:tl2br w:val="nil"/>
              <w:tr2bl w:val="nil"/>
            </w:tcBorders>
            <w:tcMar>
              <w:left w:w="60" w:type="dxa"/>
              <w:right w:w="60" w:type="dxa"/>
            </w:tcMar>
            <w:vAlign w:val="bottom"/>
          </w:tcPr>
          <w:p>
            <w:pPr>
              <w:pStyle w:val="DMETW36633BIPLGFBF"/>
              <w:jc w:val="right"/>
              <w:rPr>
                <w:rFonts w:ascii="Verdana" w:eastAsia="Verdana" w:hAnsi="Verdana" w:cs="Verdana"/>
                <w:i/>
                <w:noProof/>
                <w:color w:val="016794"/>
                <w:sz w:val="18"/>
              </w:rPr>
            </w:pPr>
            <w:r>
              <w:rPr>
                <w:rFonts w:ascii="Verdana" w:hAnsi="Verdana"/>
                <w:i/>
                <w:noProof/>
                <w:color w:val="016794"/>
                <w:sz w:val="18"/>
              </w:rPr>
              <w:t xml:space="preserve"> 255</w:t>
            </w:r>
          </w:p>
        </w:tc>
        <w:tc>
          <w:tcPr>
            <w:tcW w:w="992" w:type="dxa"/>
            <w:tcBorders>
              <w:top w:val="nil"/>
              <w:left w:val="nil"/>
              <w:bottom w:val="nil"/>
              <w:right w:val="nil"/>
              <w:tl2br w:val="nil"/>
              <w:tr2bl w:val="nil"/>
            </w:tcBorders>
            <w:tcMar>
              <w:left w:w="60" w:type="dxa"/>
              <w:right w:w="60" w:type="dxa"/>
            </w:tcMar>
            <w:vAlign w:val="bottom"/>
          </w:tcPr>
          <w:p>
            <w:pPr>
              <w:pStyle w:val="DMETW36633BIPLGFBF"/>
              <w:jc w:val="right"/>
              <w:rPr>
                <w:rFonts w:ascii="Verdana" w:eastAsia="Verdana" w:hAnsi="Verdana" w:cs="Verdana"/>
                <w:i/>
                <w:noProof/>
                <w:color w:val="016794"/>
                <w:sz w:val="18"/>
              </w:rPr>
            </w:pPr>
            <w:r>
              <w:rPr>
                <w:rFonts w:ascii="Verdana" w:hAnsi="Verdana"/>
                <w:i/>
                <w:noProof/>
                <w:color w:val="016794"/>
                <w:sz w:val="18"/>
              </w:rPr>
              <w:t xml:space="preserve"> 0</w:t>
            </w:r>
          </w:p>
        </w:tc>
        <w:tc>
          <w:tcPr>
            <w:tcW w:w="1193" w:type="dxa"/>
            <w:tcBorders>
              <w:top w:val="nil"/>
              <w:left w:val="nil"/>
              <w:bottom w:val="nil"/>
              <w:right w:val="nil"/>
              <w:tl2br w:val="nil"/>
              <w:tr2bl w:val="nil"/>
            </w:tcBorders>
            <w:tcMar>
              <w:left w:w="60" w:type="dxa"/>
              <w:right w:w="60" w:type="dxa"/>
            </w:tcMar>
            <w:vAlign w:val="bottom"/>
          </w:tcPr>
          <w:p>
            <w:pPr>
              <w:pStyle w:val="DMETW36633BIPLGFBF"/>
              <w:jc w:val="right"/>
              <w:rPr>
                <w:rFonts w:ascii="Verdana" w:eastAsia="Verdana" w:hAnsi="Verdana" w:cs="Verdana"/>
                <w:i/>
                <w:noProof/>
                <w:color w:val="016794"/>
                <w:sz w:val="18"/>
              </w:rPr>
            </w:pPr>
            <w:r>
              <w:rPr>
                <w:rFonts w:ascii="Verdana" w:hAnsi="Verdana"/>
                <w:i/>
                <w:noProof/>
                <w:color w:val="016794"/>
                <w:sz w:val="18"/>
              </w:rPr>
              <w:t>88 919</w:t>
            </w:r>
          </w:p>
        </w:tc>
      </w:tr>
    </w:tbl>
    <w:p>
      <w:pPr>
        <w:pStyle w:val="Textstand-alone"/>
      </w:pPr>
    </w:p>
    <w:p>
      <w:pPr>
        <w:pStyle w:val="Textstand-alone"/>
      </w:pPr>
      <w:r>
        <w:t xml:space="preserve">Le montant nominal des emprunts au 31 décembre 2025 s’élevait à </w:t>
      </w:r>
      <w:bookmarkStart w:id="162" w:name="_Hlk225199148"/>
      <w:r>
        <w:t>738,9</w:t>
      </w:r>
      <w:bookmarkEnd w:id="162"/>
      <w:r>
        <w:t> milliards d’EUR (contre 601,3 milliards d’EUR en 2024). La majorité de ces emprunts était des émissions d’obligations à long terme, à l’exception du financement unifié dans le cadre duquel l’encours des créances de l’UE à court terme en fin d’exercice s'élevait à 36,8 milliards d’EUR (contre 23,1 milliards d’EUR en 2024). Les nouveaux emprunts nets se sont chiffrés à 137,6 milliards d’EUR (en valeur nominale) en 2025.</w:t>
      </w:r>
    </w:p>
    <w:p>
      <w:pPr>
        <w:pStyle w:val="Textstand-alone"/>
      </w:pPr>
      <w:r>
        <w:t>Les montants empruntés pour les prêts SURE, MESF, Euratom et AMF signés avant 2023 sont des opérations de type «back-to-back», ce qui signifie que l’UE émet une obligation spéciale pour financer un seul accord de prêt spécifique selon des modalités similaires - voir note </w:t>
      </w:r>
      <w:r>
        <w:rPr>
          <w:b/>
          <w:bCs/>
        </w:rPr>
        <w:t>2.4.1.1</w:t>
      </w:r>
      <w:r>
        <w:t>.</w:t>
      </w:r>
    </w:p>
    <w:p>
      <w:pPr>
        <w:pStyle w:val="Textstand-alone"/>
      </w:pPr>
      <w:r>
        <w:lastRenderedPageBreak/>
        <w:t>Le «financement unifié» finance les prêts FRR (y compris REPowerEU) et le soutien non remboursable ainsi que les prêts octroyés au titre de la facilité pour l’Ukraine, de la facilité pour les Balkans occidentaux, de la facilité pour la Moldavie et de l’AMF, signés depuis 2023.</w:t>
      </w:r>
      <w:r>
        <w:rPr>
          <w:sz w:val="20"/>
        </w:rPr>
        <w:t xml:space="preserve"> L</w:t>
      </w:r>
      <w:r>
        <w:t>a Commission utilise une stratégie de financement combinée dans le cadre de laquelle les emprunts individuels ne financent pas directement des décaissements spécifiques. Au lieu de cela, les créances sont émises selon un plan d’emprunt annuel, avec des obligations à long terme et des titres de créance à court terme. Pour émettre ces titres, la Commission a recours à des adjudications et à des opérations syndiquées. Ensuite, conformément à la méthode de répartition des coûts convenue avec les États membres, elle répercute les coûts sur les États membres et sur d’autres pays bénéficiaires pour les prêts et sur le budget de l’UE pour le soutien non remboursable. Cette flexibilité de financement nécessite également un coussin de liquidité afin d’assurer une gestion efficace de la liquidité (voir note </w:t>
      </w:r>
      <w:r>
        <w:rPr>
          <w:b/>
          <w:bCs/>
        </w:rPr>
        <w:t>2.8.2</w:t>
      </w:r>
      <w:r>
        <w:t xml:space="preserve">). Dans le cadre de la stratégie unifiée en matière de financement, l’Union émet des créances de l’UE à court terme (trois à douze mois), lesquelles peuvent être remboursées au cours de la même année ou de l’année suivante. La ligne «Remboursements» fait référence aux 55,3 milliards d’EUR de ces emprunts à court terme. </w:t>
      </w:r>
    </w:p>
    <w:p>
      <w:pPr>
        <w:pStyle w:val="Textstand-alone"/>
      </w:pPr>
      <w:r>
        <w:t xml:space="preserve">La ligne «Variations de la valeur comptable» correspond à la variation des intérêts courus et aux variations des primes/décotes (nouvelles primes/décotes et amortissements). </w:t>
      </w:r>
    </w:p>
    <w:p>
      <w:pPr>
        <w:pStyle w:val="Textstand-alone"/>
      </w:pPr>
      <w:r>
        <w:t>La ligne «Autres mouvements» concerne un transfert de 2,5 milliards d’EUR d’obligations (en valeur nominale) du programme MESF vers le financement unifié à la suite du remboursement anticipé de deux prêts par le Portugal — voir note </w:t>
      </w:r>
      <w:r>
        <w:rPr>
          <w:b/>
          <w:bCs/>
        </w:rPr>
        <w:t>2.4.1.1</w:t>
      </w:r>
      <w:r>
        <w:t>.</w:t>
      </w:r>
    </w:p>
    <w:p>
      <w:pPr>
        <w:pStyle w:val="Textstand-alone"/>
      </w:pPr>
      <w:r>
        <w:t>Le remboursement des emprunts susmentionnés est garanti en dernier recours par le budget de l’UE (voir note </w:t>
      </w:r>
      <w:r>
        <w:rPr>
          <w:b/>
        </w:rPr>
        <w:t>2.4.1.1</w:t>
      </w:r>
      <w:r>
        <w:t xml:space="preserve">).  </w:t>
      </w:r>
    </w:p>
    <w:p>
      <w:pPr>
        <w:pStyle w:val="HEADER4NOTES"/>
        <w:numPr>
          <w:ilvl w:val="3"/>
          <w:numId w:val="15"/>
        </w:numPr>
        <w:rPr>
          <w:noProof/>
        </w:rPr>
      </w:pPr>
      <w:r>
        <w:rPr>
          <w:noProof/>
        </w:rPr>
        <w:t>Autres passifs financiers</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58"/>
        <w:gridCol w:w="2000"/>
        <w:gridCol w:w="2000"/>
      </w:tblGrid>
      <w:tr>
        <w:trPr>
          <w:trHeight w:val="255"/>
        </w:trPr>
        <w:tc>
          <w:tcPr>
            <w:tcW w:w="5758" w:type="dxa"/>
            <w:tcBorders>
              <w:top w:val="nil"/>
              <w:left w:val="nil"/>
              <w:bottom w:val="nil"/>
              <w:right w:val="nil"/>
              <w:tl2br w:val="nil"/>
              <w:tr2bl w:val="nil"/>
            </w:tcBorders>
            <w:tcMar>
              <w:left w:w="60" w:type="dxa"/>
              <w:right w:w="60" w:type="dxa"/>
            </w:tcMar>
            <w:vAlign w:val="bottom"/>
          </w:tcPr>
          <w:p>
            <w:pPr>
              <w:pStyle w:val="DMETW36770BIPOthFinanL"/>
              <w:rPr>
                <w:rFonts w:ascii="Arial" w:eastAsia="Arial" w:hAnsi="Arial" w:cs="Arial"/>
                <w:noProof/>
                <w:color w:val="000000"/>
              </w:rPr>
            </w:pPr>
            <w:bookmarkStart w:id="163" w:name="DOC_TBL00059_1_1"/>
            <w:bookmarkEnd w:id="163"/>
          </w:p>
        </w:tc>
        <w:tc>
          <w:tcPr>
            <w:tcW w:w="2000" w:type="dxa"/>
            <w:tcBorders>
              <w:top w:val="nil"/>
              <w:left w:val="nil"/>
              <w:bottom w:val="nil"/>
              <w:right w:val="nil"/>
              <w:tl2br w:val="nil"/>
              <w:tr2bl w:val="nil"/>
            </w:tcBorders>
            <w:tcMar>
              <w:left w:w="60" w:type="dxa"/>
              <w:right w:w="60" w:type="dxa"/>
            </w:tcMar>
            <w:vAlign w:val="bottom"/>
          </w:tcPr>
          <w:p>
            <w:pPr>
              <w:pStyle w:val="DMETW36770BIPOthFinanL"/>
              <w:rPr>
                <w:rFonts w:ascii="Arial" w:eastAsia="Arial" w:hAnsi="Arial" w:cs="Arial"/>
                <w:noProof/>
                <w:color w:val="000000"/>
              </w:rPr>
            </w:pPr>
          </w:p>
        </w:tc>
        <w:tc>
          <w:tcPr>
            <w:tcW w:w="2000" w:type="dxa"/>
            <w:tcBorders>
              <w:top w:val="nil"/>
              <w:left w:val="nil"/>
              <w:bottom w:val="nil"/>
              <w:right w:val="nil"/>
              <w:tl2br w:val="nil"/>
              <w:tr2bl w:val="nil"/>
            </w:tcBorders>
            <w:tcMar>
              <w:left w:w="60" w:type="dxa"/>
              <w:right w:w="60" w:type="dxa"/>
            </w:tcMar>
            <w:vAlign w:val="bottom"/>
          </w:tcPr>
          <w:p>
            <w:pPr>
              <w:pStyle w:val="DMETW36770BIPOthFinanL"/>
              <w:jc w:val="right"/>
              <w:rPr>
                <w:rFonts w:ascii="Verdana" w:eastAsia="Verdana" w:hAnsi="Verdana" w:cs="Verdana"/>
                <w:i/>
                <w:noProof/>
                <w:color w:val="000000"/>
                <w:sz w:val="16"/>
              </w:rPr>
            </w:pPr>
            <w:r>
              <w:rPr>
                <w:rFonts w:ascii="Verdana" w:hAnsi="Verdana"/>
                <w:i/>
                <w:noProof/>
                <w:color w:val="000000"/>
                <w:sz w:val="16"/>
              </w:rPr>
              <w:t>en Mio EUR</w:t>
            </w:r>
          </w:p>
        </w:tc>
      </w:tr>
      <w:tr>
        <w:trPr>
          <w:trHeight w:val="255"/>
        </w:trPr>
        <w:tc>
          <w:tcPr>
            <w:tcW w:w="5758" w:type="dxa"/>
            <w:tcBorders>
              <w:top w:val="nil"/>
              <w:left w:val="nil"/>
              <w:bottom w:val="nil"/>
              <w:right w:val="nil"/>
              <w:tl2br w:val="nil"/>
              <w:tr2bl w:val="nil"/>
            </w:tcBorders>
            <w:shd w:val="solid" w:color="016794" w:fill="FFFFFF"/>
            <w:tcMar>
              <w:left w:w="60" w:type="dxa"/>
              <w:right w:w="60" w:type="dxa"/>
            </w:tcMar>
            <w:vAlign w:val="center"/>
          </w:tcPr>
          <w:p>
            <w:pPr>
              <w:pStyle w:val="DMETW36770BIPOthFinanL"/>
              <w:jc w:val="right"/>
              <w:rPr>
                <w:rFonts w:ascii="Verdana" w:eastAsia="Verdana" w:hAnsi="Verdana" w:cs="Verdana"/>
                <w:noProof/>
                <w:color w:val="FFFFFF"/>
              </w:rPr>
            </w:pPr>
          </w:p>
        </w:tc>
        <w:tc>
          <w:tcPr>
            <w:tcW w:w="2000" w:type="dxa"/>
            <w:tcBorders>
              <w:top w:val="nil"/>
              <w:left w:val="nil"/>
              <w:bottom w:val="nil"/>
              <w:right w:val="nil"/>
              <w:tl2br w:val="nil"/>
              <w:tr2bl w:val="nil"/>
            </w:tcBorders>
            <w:shd w:val="solid" w:color="016794" w:fill="FFFFFF"/>
            <w:tcMar>
              <w:left w:w="60" w:type="dxa"/>
              <w:right w:w="60" w:type="dxa"/>
            </w:tcMar>
            <w:vAlign w:val="center"/>
          </w:tcPr>
          <w:p>
            <w:pPr>
              <w:pStyle w:val="DMETW36770BIPOthFinanL"/>
              <w:jc w:val="right"/>
              <w:rPr>
                <w:rFonts w:ascii="Verdana" w:eastAsia="Verdana" w:hAnsi="Verdana" w:cs="Verdana"/>
                <w:noProof/>
                <w:color w:val="FFFFFF"/>
              </w:rPr>
            </w:pPr>
            <w:r>
              <w:rPr>
                <w:rFonts w:ascii="Verdana" w:hAnsi="Verdana"/>
                <w:noProof/>
                <w:color w:val="FFFFFF"/>
              </w:rPr>
              <w:t>31.12.2025</w:t>
            </w:r>
          </w:p>
        </w:tc>
        <w:tc>
          <w:tcPr>
            <w:tcW w:w="2000" w:type="dxa"/>
            <w:tcBorders>
              <w:top w:val="nil"/>
              <w:left w:val="nil"/>
              <w:bottom w:val="nil"/>
              <w:right w:val="nil"/>
              <w:tl2br w:val="nil"/>
              <w:tr2bl w:val="nil"/>
            </w:tcBorders>
            <w:shd w:val="solid" w:color="016794" w:fill="FFFFFF"/>
            <w:tcMar>
              <w:left w:w="60" w:type="dxa"/>
              <w:right w:w="60" w:type="dxa"/>
            </w:tcMar>
            <w:vAlign w:val="center"/>
          </w:tcPr>
          <w:p>
            <w:pPr>
              <w:pStyle w:val="DMETW36770BIPOthFinanL"/>
              <w:jc w:val="right"/>
              <w:rPr>
                <w:rFonts w:ascii="Verdana" w:eastAsia="Verdana" w:hAnsi="Verdana" w:cs="Verdana"/>
                <w:noProof/>
                <w:color w:val="FFFFFF"/>
              </w:rPr>
            </w:pPr>
            <w:r>
              <w:rPr>
                <w:rFonts w:ascii="Verdana" w:hAnsi="Verdana"/>
                <w:noProof/>
                <w:color w:val="FFFFFF"/>
              </w:rPr>
              <w:t>31.12.2024</w:t>
            </w:r>
          </w:p>
        </w:tc>
      </w:tr>
      <w:tr>
        <w:trPr>
          <w:trHeight w:val="255"/>
        </w:trPr>
        <w:tc>
          <w:tcPr>
            <w:tcW w:w="5758" w:type="dxa"/>
            <w:tcBorders>
              <w:top w:val="nil"/>
              <w:left w:val="nil"/>
              <w:bottom w:val="nil"/>
              <w:right w:val="nil"/>
              <w:tl2br w:val="nil"/>
              <w:tr2bl w:val="nil"/>
            </w:tcBorders>
            <w:tcMar>
              <w:left w:w="60" w:type="dxa"/>
              <w:right w:w="60" w:type="dxa"/>
            </w:tcMar>
            <w:vAlign w:val="center"/>
          </w:tcPr>
          <w:p>
            <w:pPr>
              <w:pStyle w:val="DMETW36770BIPOthFinanL"/>
              <w:rPr>
                <w:rFonts w:ascii="Verdana" w:eastAsia="Verdana" w:hAnsi="Verdana" w:cs="Verdana"/>
                <w:b/>
                <w:noProof/>
                <w:color w:val="000000"/>
                <w:sz w:val="18"/>
              </w:rPr>
            </w:pPr>
            <w:r>
              <w:rPr>
                <w:rFonts w:ascii="Verdana" w:hAnsi="Verdana"/>
                <w:b/>
                <w:noProof/>
                <w:color w:val="000000"/>
                <w:sz w:val="18"/>
              </w:rPr>
              <w:t>Non courants</w:t>
            </w:r>
          </w:p>
        </w:tc>
        <w:tc>
          <w:tcPr>
            <w:tcW w:w="2000" w:type="dxa"/>
            <w:tcBorders>
              <w:top w:val="nil"/>
              <w:left w:val="nil"/>
              <w:bottom w:val="nil"/>
              <w:right w:val="nil"/>
              <w:tl2br w:val="nil"/>
              <w:tr2bl w:val="nil"/>
            </w:tcBorders>
            <w:tcMar>
              <w:left w:w="60" w:type="dxa"/>
              <w:right w:w="60" w:type="dxa"/>
            </w:tcMar>
            <w:vAlign w:val="center"/>
          </w:tcPr>
          <w:p>
            <w:pPr>
              <w:pStyle w:val="DMETW36770BIPOthFinanL"/>
              <w:jc w:val="right"/>
              <w:rPr>
                <w:rFonts w:ascii="Verdana" w:eastAsia="Verdana" w:hAnsi="Verdana" w:cs="Verdana"/>
                <w:b/>
                <w:noProof/>
                <w:color w:val="000000"/>
                <w:sz w:val="18"/>
              </w:rPr>
            </w:pPr>
          </w:p>
        </w:tc>
        <w:tc>
          <w:tcPr>
            <w:tcW w:w="2000" w:type="dxa"/>
            <w:tcBorders>
              <w:top w:val="nil"/>
              <w:left w:val="nil"/>
              <w:bottom w:val="nil"/>
              <w:right w:val="nil"/>
              <w:tl2br w:val="nil"/>
              <w:tr2bl w:val="nil"/>
            </w:tcBorders>
            <w:tcMar>
              <w:left w:w="60" w:type="dxa"/>
              <w:right w:w="60" w:type="dxa"/>
            </w:tcMar>
            <w:vAlign w:val="center"/>
          </w:tcPr>
          <w:p>
            <w:pPr>
              <w:pStyle w:val="DMETW36770BIPOthFinanL"/>
              <w:rPr>
                <w:rFonts w:ascii="Arial" w:eastAsia="Arial" w:hAnsi="Arial" w:cs="Arial"/>
                <w:noProof/>
                <w:color w:val="000000"/>
                <w:lang w:bidi="en-GB"/>
              </w:rPr>
            </w:pPr>
          </w:p>
        </w:tc>
      </w:tr>
      <w:tr>
        <w:trPr>
          <w:trHeight w:val="255"/>
        </w:trPr>
        <w:tc>
          <w:tcPr>
            <w:tcW w:w="5758" w:type="dxa"/>
            <w:tcBorders>
              <w:top w:val="nil"/>
              <w:left w:val="nil"/>
              <w:bottom w:val="nil"/>
              <w:right w:val="nil"/>
              <w:tl2br w:val="nil"/>
              <w:tr2bl w:val="nil"/>
            </w:tcBorders>
            <w:tcMar>
              <w:left w:w="60" w:type="dxa"/>
              <w:right w:w="60" w:type="dxa"/>
            </w:tcMar>
            <w:vAlign w:val="center"/>
          </w:tcPr>
          <w:p>
            <w:pPr>
              <w:pStyle w:val="DMETW36770BIPOthFinanL"/>
              <w:rPr>
                <w:rFonts w:ascii="Verdana" w:eastAsia="Verdana" w:hAnsi="Verdana" w:cs="Verdana"/>
                <w:i/>
                <w:noProof/>
                <w:color w:val="000000"/>
                <w:sz w:val="18"/>
              </w:rPr>
            </w:pPr>
            <w:r>
              <w:rPr>
                <w:rFonts w:ascii="Verdana" w:hAnsi="Verdana"/>
                <w:i/>
                <w:noProof/>
                <w:color w:val="000000"/>
                <w:sz w:val="18"/>
              </w:rPr>
              <w:t>Passifs liés aux contrats de location-financement</w:t>
            </w:r>
          </w:p>
        </w:tc>
        <w:tc>
          <w:tcPr>
            <w:tcW w:w="2000" w:type="dxa"/>
            <w:tcBorders>
              <w:top w:val="nil"/>
              <w:left w:val="nil"/>
              <w:bottom w:val="nil"/>
              <w:right w:val="nil"/>
              <w:tl2br w:val="nil"/>
              <w:tr2bl w:val="nil"/>
            </w:tcBorders>
            <w:tcMar>
              <w:left w:w="60" w:type="dxa"/>
              <w:right w:w="60" w:type="dxa"/>
            </w:tcMar>
            <w:vAlign w:val="center"/>
          </w:tcPr>
          <w:p>
            <w:pPr>
              <w:pStyle w:val="DMETW36770BIPOthFinanL"/>
              <w:jc w:val="right"/>
              <w:rPr>
                <w:rFonts w:ascii="Verdana" w:eastAsia="Verdana" w:hAnsi="Verdana" w:cs="Verdana"/>
                <w:i/>
                <w:noProof/>
                <w:color w:val="000000"/>
                <w:sz w:val="18"/>
              </w:rPr>
            </w:pPr>
            <w:r>
              <w:rPr>
                <w:rFonts w:ascii="Verdana" w:hAnsi="Verdana"/>
                <w:i/>
                <w:noProof/>
                <w:color w:val="000000"/>
                <w:sz w:val="18"/>
              </w:rPr>
              <w:t xml:space="preserve"> 511</w:t>
            </w:r>
          </w:p>
        </w:tc>
        <w:tc>
          <w:tcPr>
            <w:tcW w:w="2000" w:type="dxa"/>
            <w:tcBorders>
              <w:top w:val="nil"/>
              <w:left w:val="nil"/>
              <w:bottom w:val="nil"/>
              <w:right w:val="nil"/>
              <w:tl2br w:val="nil"/>
              <w:tr2bl w:val="nil"/>
            </w:tcBorders>
            <w:tcMar>
              <w:left w:w="60" w:type="dxa"/>
              <w:right w:w="60" w:type="dxa"/>
            </w:tcMar>
            <w:vAlign w:val="center"/>
          </w:tcPr>
          <w:p>
            <w:pPr>
              <w:pStyle w:val="DMETW36770BIPOthFinanL"/>
              <w:jc w:val="right"/>
              <w:rPr>
                <w:rFonts w:ascii="Verdana" w:eastAsia="Verdana" w:hAnsi="Verdana" w:cs="Verdana"/>
                <w:i/>
                <w:noProof/>
                <w:color w:val="000000"/>
                <w:sz w:val="18"/>
              </w:rPr>
            </w:pPr>
            <w:r>
              <w:rPr>
                <w:rFonts w:ascii="Verdana" w:hAnsi="Verdana"/>
                <w:i/>
                <w:noProof/>
                <w:color w:val="000000"/>
                <w:sz w:val="18"/>
              </w:rPr>
              <w:t xml:space="preserve"> 605</w:t>
            </w:r>
          </w:p>
        </w:tc>
      </w:tr>
      <w:tr>
        <w:trPr>
          <w:trHeight w:val="255"/>
        </w:trPr>
        <w:tc>
          <w:tcPr>
            <w:tcW w:w="5758" w:type="dxa"/>
            <w:tcBorders>
              <w:top w:val="nil"/>
              <w:left w:val="nil"/>
              <w:bottom w:val="nil"/>
              <w:right w:val="nil"/>
              <w:tl2br w:val="nil"/>
              <w:tr2bl w:val="nil"/>
            </w:tcBorders>
            <w:tcMar>
              <w:left w:w="60" w:type="dxa"/>
              <w:right w:w="60" w:type="dxa"/>
            </w:tcMar>
            <w:vAlign w:val="center"/>
          </w:tcPr>
          <w:p>
            <w:pPr>
              <w:pStyle w:val="DMETW36770BIPOthFinanL"/>
              <w:rPr>
                <w:rFonts w:ascii="Verdana" w:eastAsia="Verdana" w:hAnsi="Verdana" w:cs="Verdana"/>
                <w:i/>
                <w:noProof/>
                <w:color w:val="000000"/>
                <w:sz w:val="18"/>
              </w:rPr>
            </w:pPr>
            <w:r>
              <w:rPr>
                <w:rFonts w:ascii="Verdana" w:hAnsi="Verdana"/>
                <w:i/>
                <w:noProof/>
                <w:color w:val="000000"/>
                <w:sz w:val="18"/>
              </w:rPr>
              <w:t>Bâtiments payés par tranches</w:t>
            </w:r>
          </w:p>
        </w:tc>
        <w:tc>
          <w:tcPr>
            <w:tcW w:w="2000" w:type="dxa"/>
            <w:tcBorders>
              <w:top w:val="nil"/>
              <w:left w:val="nil"/>
              <w:bottom w:val="nil"/>
              <w:right w:val="nil"/>
              <w:tl2br w:val="nil"/>
              <w:tr2bl w:val="nil"/>
            </w:tcBorders>
            <w:tcMar>
              <w:left w:w="60" w:type="dxa"/>
              <w:right w:w="60" w:type="dxa"/>
            </w:tcMar>
            <w:vAlign w:val="center"/>
          </w:tcPr>
          <w:p>
            <w:pPr>
              <w:pStyle w:val="DMETW36770BIPOthFinanL"/>
              <w:jc w:val="right"/>
              <w:rPr>
                <w:rFonts w:ascii="Verdana" w:eastAsia="Verdana" w:hAnsi="Verdana" w:cs="Verdana"/>
                <w:i/>
                <w:noProof/>
                <w:color w:val="000000"/>
                <w:sz w:val="18"/>
              </w:rPr>
            </w:pPr>
            <w:r>
              <w:rPr>
                <w:rFonts w:ascii="Verdana" w:hAnsi="Verdana"/>
                <w:i/>
                <w:noProof/>
                <w:color w:val="000000"/>
                <w:sz w:val="18"/>
              </w:rPr>
              <w:t xml:space="preserve"> 244</w:t>
            </w:r>
          </w:p>
        </w:tc>
        <w:tc>
          <w:tcPr>
            <w:tcW w:w="2000" w:type="dxa"/>
            <w:tcBorders>
              <w:top w:val="nil"/>
              <w:left w:val="nil"/>
              <w:bottom w:val="nil"/>
              <w:right w:val="nil"/>
              <w:tl2br w:val="nil"/>
              <w:tr2bl w:val="nil"/>
            </w:tcBorders>
            <w:tcMar>
              <w:left w:w="60" w:type="dxa"/>
              <w:right w:w="60" w:type="dxa"/>
            </w:tcMar>
            <w:vAlign w:val="center"/>
          </w:tcPr>
          <w:p>
            <w:pPr>
              <w:pStyle w:val="DMETW36770BIPOthFinanL"/>
              <w:jc w:val="right"/>
              <w:rPr>
                <w:rFonts w:ascii="Verdana" w:eastAsia="Verdana" w:hAnsi="Verdana" w:cs="Verdana"/>
                <w:i/>
                <w:noProof/>
                <w:color w:val="000000"/>
                <w:sz w:val="18"/>
              </w:rPr>
            </w:pPr>
            <w:r>
              <w:rPr>
                <w:rFonts w:ascii="Verdana" w:hAnsi="Verdana"/>
                <w:i/>
                <w:noProof/>
                <w:color w:val="000000"/>
                <w:sz w:val="18"/>
              </w:rPr>
              <w:t xml:space="preserve"> 283</w:t>
            </w:r>
          </w:p>
        </w:tc>
      </w:tr>
      <w:tr>
        <w:trPr>
          <w:trHeight w:val="255"/>
        </w:trPr>
        <w:tc>
          <w:tcPr>
            <w:tcW w:w="5758" w:type="dxa"/>
            <w:tcBorders>
              <w:top w:val="nil"/>
              <w:left w:val="nil"/>
              <w:bottom w:val="nil"/>
              <w:right w:val="nil"/>
              <w:tl2br w:val="nil"/>
              <w:tr2bl w:val="nil"/>
            </w:tcBorders>
            <w:tcMar>
              <w:left w:w="60" w:type="dxa"/>
              <w:right w:w="60" w:type="dxa"/>
            </w:tcMar>
            <w:vAlign w:val="center"/>
          </w:tcPr>
          <w:p>
            <w:pPr>
              <w:pStyle w:val="DMETW36770BIPOthFinanL"/>
              <w:rPr>
                <w:rFonts w:ascii="Verdana" w:eastAsia="Verdana" w:hAnsi="Verdana" w:cs="Verdana"/>
                <w:i/>
                <w:noProof/>
                <w:color w:val="000000"/>
                <w:sz w:val="18"/>
              </w:rPr>
            </w:pPr>
            <w:r>
              <w:rPr>
                <w:rFonts w:ascii="Verdana" w:hAnsi="Verdana"/>
                <w:i/>
                <w:noProof/>
                <w:color w:val="000000"/>
                <w:sz w:val="18"/>
              </w:rPr>
              <w:t>Contributions avec conditions</w:t>
            </w:r>
          </w:p>
        </w:tc>
        <w:tc>
          <w:tcPr>
            <w:tcW w:w="2000" w:type="dxa"/>
            <w:tcBorders>
              <w:top w:val="nil"/>
              <w:left w:val="nil"/>
              <w:bottom w:val="nil"/>
              <w:right w:val="nil"/>
              <w:tl2br w:val="nil"/>
              <w:tr2bl w:val="nil"/>
            </w:tcBorders>
            <w:tcMar>
              <w:left w:w="60" w:type="dxa"/>
              <w:right w:w="60" w:type="dxa"/>
            </w:tcMar>
            <w:vAlign w:val="center"/>
          </w:tcPr>
          <w:p>
            <w:pPr>
              <w:pStyle w:val="DMETW36770BIPOthFinanL"/>
              <w:jc w:val="right"/>
              <w:rPr>
                <w:rFonts w:ascii="Verdana" w:eastAsia="Verdana" w:hAnsi="Verdana" w:cs="Verdana"/>
                <w:i/>
                <w:noProof/>
                <w:color w:val="000000"/>
                <w:sz w:val="18"/>
              </w:rPr>
            </w:pPr>
            <w:r>
              <w:rPr>
                <w:rFonts w:ascii="Verdana" w:hAnsi="Verdana"/>
                <w:i/>
                <w:noProof/>
                <w:color w:val="000000"/>
                <w:sz w:val="18"/>
              </w:rPr>
              <w:t xml:space="preserve"> 617</w:t>
            </w:r>
          </w:p>
        </w:tc>
        <w:tc>
          <w:tcPr>
            <w:tcW w:w="2000" w:type="dxa"/>
            <w:tcBorders>
              <w:top w:val="nil"/>
              <w:left w:val="nil"/>
              <w:bottom w:val="nil"/>
              <w:right w:val="nil"/>
              <w:tl2br w:val="nil"/>
              <w:tr2bl w:val="nil"/>
            </w:tcBorders>
            <w:tcMar>
              <w:left w:w="60" w:type="dxa"/>
              <w:right w:w="60" w:type="dxa"/>
            </w:tcMar>
            <w:vAlign w:val="center"/>
          </w:tcPr>
          <w:p>
            <w:pPr>
              <w:pStyle w:val="DMETW36770BIPOthFinanL"/>
              <w:jc w:val="right"/>
              <w:rPr>
                <w:rFonts w:ascii="Verdana" w:eastAsia="Verdana" w:hAnsi="Verdana" w:cs="Verdana"/>
                <w:i/>
                <w:noProof/>
                <w:color w:val="000000"/>
                <w:sz w:val="18"/>
              </w:rPr>
            </w:pPr>
            <w:r>
              <w:rPr>
                <w:rFonts w:ascii="Verdana" w:hAnsi="Verdana"/>
                <w:i/>
                <w:noProof/>
                <w:color w:val="000000"/>
                <w:sz w:val="18"/>
              </w:rPr>
              <w:t xml:space="preserve"> 234</w:t>
            </w:r>
          </w:p>
        </w:tc>
      </w:tr>
      <w:tr>
        <w:trPr>
          <w:trHeight w:val="255"/>
        </w:trPr>
        <w:tc>
          <w:tcPr>
            <w:tcW w:w="5758" w:type="dxa"/>
            <w:tcBorders>
              <w:top w:val="nil"/>
              <w:left w:val="nil"/>
              <w:bottom w:val="single" w:sz="4" w:space="0" w:color="016794"/>
              <w:right w:val="nil"/>
              <w:tl2br w:val="nil"/>
              <w:tr2bl w:val="nil"/>
            </w:tcBorders>
            <w:tcMar>
              <w:left w:w="60" w:type="dxa"/>
              <w:right w:w="60" w:type="dxa"/>
            </w:tcMar>
            <w:vAlign w:val="center"/>
          </w:tcPr>
          <w:p>
            <w:pPr>
              <w:pStyle w:val="DMETW36770BIPOthFinanL"/>
              <w:rPr>
                <w:rFonts w:ascii="Verdana" w:eastAsia="Verdana" w:hAnsi="Verdana" w:cs="Verdana"/>
                <w:i/>
                <w:noProof/>
                <w:color w:val="000000"/>
                <w:sz w:val="18"/>
              </w:rPr>
            </w:pPr>
            <w:r>
              <w:rPr>
                <w:rFonts w:ascii="Verdana" w:hAnsi="Verdana"/>
                <w:i/>
                <w:noProof/>
                <w:color w:val="000000"/>
                <w:sz w:val="18"/>
              </w:rPr>
              <w:t>Autres</w:t>
            </w:r>
          </w:p>
        </w:tc>
        <w:tc>
          <w:tcPr>
            <w:tcW w:w="2000" w:type="dxa"/>
            <w:tcBorders>
              <w:top w:val="nil"/>
              <w:left w:val="nil"/>
              <w:bottom w:val="single" w:sz="4" w:space="0" w:color="016794"/>
              <w:right w:val="nil"/>
              <w:tl2br w:val="nil"/>
              <w:tr2bl w:val="nil"/>
            </w:tcBorders>
            <w:tcMar>
              <w:left w:w="60" w:type="dxa"/>
              <w:right w:w="60" w:type="dxa"/>
            </w:tcMar>
            <w:vAlign w:val="center"/>
          </w:tcPr>
          <w:p>
            <w:pPr>
              <w:pStyle w:val="DMETW36770BIPOthFinanL"/>
              <w:jc w:val="right"/>
              <w:rPr>
                <w:rFonts w:ascii="Verdana" w:eastAsia="Verdana" w:hAnsi="Verdana" w:cs="Verdana"/>
                <w:i/>
                <w:noProof/>
                <w:color w:val="000000"/>
                <w:sz w:val="18"/>
              </w:rPr>
            </w:pPr>
            <w:r>
              <w:rPr>
                <w:rFonts w:ascii="Verdana" w:hAnsi="Verdana"/>
                <w:i/>
                <w:noProof/>
                <w:color w:val="000000"/>
                <w:sz w:val="18"/>
              </w:rPr>
              <w:t xml:space="preserve"> 251</w:t>
            </w:r>
          </w:p>
        </w:tc>
        <w:tc>
          <w:tcPr>
            <w:tcW w:w="2000" w:type="dxa"/>
            <w:tcBorders>
              <w:top w:val="nil"/>
              <w:left w:val="nil"/>
              <w:bottom w:val="single" w:sz="4" w:space="0" w:color="016794"/>
              <w:right w:val="nil"/>
              <w:tl2br w:val="nil"/>
              <w:tr2bl w:val="nil"/>
            </w:tcBorders>
            <w:tcMar>
              <w:left w:w="60" w:type="dxa"/>
              <w:right w:w="60" w:type="dxa"/>
            </w:tcMar>
            <w:vAlign w:val="center"/>
          </w:tcPr>
          <w:p>
            <w:pPr>
              <w:pStyle w:val="DMETW36770BIPOthFinanL"/>
              <w:jc w:val="right"/>
              <w:rPr>
                <w:rFonts w:ascii="Verdana" w:eastAsia="Verdana" w:hAnsi="Verdana" w:cs="Verdana"/>
                <w:i/>
                <w:noProof/>
                <w:color w:val="000000"/>
                <w:sz w:val="18"/>
              </w:rPr>
            </w:pPr>
            <w:r>
              <w:rPr>
                <w:rFonts w:ascii="Verdana" w:hAnsi="Verdana"/>
                <w:i/>
                <w:noProof/>
                <w:color w:val="000000"/>
                <w:sz w:val="18"/>
              </w:rPr>
              <w:t xml:space="preserve"> 134</w:t>
            </w:r>
          </w:p>
        </w:tc>
      </w:tr>
      <w:tr>
        <w:trPr>
          <w:trHeight w:val="255"/>
        </w:trPr>
        <w:tc>
          <w:tcPr>
            <w:tcW w:w="575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70BIPOthFinanL"/>
              <w:jc w:val="center"/>
              <w:rPr>
                <w:rFonts w:ascii="Verdana" w:eastAsia="Verdana" w:hAnsi="Verdana" w:cs="Verdana"/>
                <w:noProof/>
                <w:color w:val="000000"/>
                <w:sz w:val="18"/>
              </w:rPr>
            </w:pPr>
          </w:p>
        </w:tc>
        <w:tc>
          <w:tcPr>
            <w:tcW w:w="200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70BIPOthFinanL"/>
              <w:jc w:val="right"/>
              <w:rPr>
                <w:rFonts w:ascii="Verdana" w:eastAsia="Verdana" w:hAnsi="Verdana" w:cs="Verdana"/>
                <w:b/>
                <w:noProof/>
                <w:color w:val="000000"/>
                <w:sz w:val="18"/>
              </w:rPr>
            </w:pPr>
            <w:r>
              <w:rPr>
                <w:rFonts w:ascii="Verdana" w:hAnsi="Verdana"/>
                <w:b/>
                <w:noProof/>
                <w:color w:val="000000"/>
                <w:sz w:val="18"/>
              </w:rPr>
              <w:t>1 623</w:t>
            </w:r>
          </w:p>
        </w:tc>
        <w:tc>
          <w:tcPr>
            <w:tcW w:w="200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70BIPOthFinanL"/>
              <w:jc w:val="right"/>
              <w:rPr>
                <w:rFonts w:ascii="Verdana" w:eastAsia="Verdana" w:hAnsi="Verdana" w:cs="Verdana"/>
                <w:b/>
                <w:noProof/>
                <w:color w:val="000000"/>
                <w:sz w:val="18"/>
              </w:rPr>
            </w:pPr>
            <w:r>
              <w:rPr>
                <w:rFonts w:ascii="Verdana" w:hAnsi="Verdana"/>
                <w:b/>
                <w:noProof/>
                <w:color w:val="000000"/>
                <w:sz w:val="18"/>
              </w:rPr>
              <w:t>1 256</w:t>
            </w:r>
          </w:p>
        </w:tc>
      </w:tr>
      <w:tr>
        <w:trPr>
          <w:trHeight w:val="255"/>
        </w:trPr>
        <w:tc>
          <w:tcPr>
            <w:tcW w:w="5758" w:type="dxa"/>
            <w:tcBorders>
              <w:top w:val="single" w:sz="4" w:space="0" w:color="016794"/>
              <w:left w:val="nil"/>
              <w:bottom w:val="nil"/>
              <w:right w:val="nil"/>
              <w:tl2br w:val="nil"/>
              <w:tr2bl w:val="nil"/>
            </w:tcBorders>
            <w:tcMar>
              <w:left w:w="60" w:type="dxa"/>
              <w:right w:w="60" w:type="dxa"/>
            </w:tcMar>
            <w:vAlign w:val="center"/>
          </w:tcPr>
          <w:p>
            <w:pPr>
              <w:pStyle w:val="DMETW36770BIPOthFinanL"/>
              <w:rPr>
                <w:rFonts w:ascii="Verdana" w:eastAsia="Verdana" w:hAnsi="Verdana" w:cs="Verdana"/>
                <w:b/>
                <w:noProof/>
                <w:color w:val="000000"/>
                <w:sz w:val="18"/>
              </w:rPr>
            </w:pPr>
            <w:r>
              <w:rPr>
                <w:rFonts w:ascii="Verdana" w:hAnsi="Verdana"/>
                <w:b/>
                <w:noProof/>
                <w:color w:val="000000"/>
                <w:sz w:val="18"/>
              </w:rPr>
              <w:t>Courants</w:t>
            </w:r>
          </w:p>
        </w:tc>
        <w:tc>
          <w:tcPr>
            <w:tcW w:w="2000" w:type="dxa"/>
            <w:tcBorders>
              <w:top w:val="single" w:sz="4" w:space="0" w:color="016794"/>
              <w:left w:val="nil"/>
              <w:bottom w:val="nil"/>
              <w:right w:val="nil"/>
              <w:tl2br w:val="nil"/>
              <w:tr2bl w:val="nil"/>
            </w:tcBorders>
            <w:tcMar>
              <w:left w:w="60" w:type="dxa"/>
              <w:right w:w="60" w:type="dxa"/>
            </w:tcMar>
            <w:vAlign w:val="center"/>
          </w:tcPr>
          <w:p>
            <w:pPr>
              <w:pStyle w:val="DMETW36770BIPOthFinanL"/>
              <w:jc w:val="right"/>
              <w:rPr>
                <w:rFonts w:ascii="Verdana" w:eastAsia="Verdana" w:hAnsi="Verdana" w:cs="Verdana"/>
                <w:b/>
                <w:noProof/>
                <w:color w:val="000000"/>
                <w:sz w:val="18"/>
              </w:rPr>
            </w:pPr>
          </w:p>
        </w:tc>
        <w:tc>
          <w:tcPr>
            <w:tcW w:w="2000" w:type="dxa"/>
            <w:tcBorders>
              <w:top w:val="single" w:sz="4" w:space="0" w:color="016794"/>
              <w:left w:val="nil"/>
              <w:bottom w:val="nil"/>
              <w:right w:val="nil"/>
              <w:tl2br w:val="nil"/>
              <w:tr2bl w:val="nil"/>
            </w:tcBorders>
            <w:tcMar>
              <w:left w:w="60" w:type="dxa"/>
              <w:right w:w="60" w:type="dxa"/>
            </w:tcMar>
            <w:vAlign w:val="center"/>
          </w:tcPr>
          <w:p>
            <w:pPr>
              <w:pStyle w:val="DMETW36770BIPOthFinanL"/>
              <w:rPr>
                <w:rFonts w:ascii="Arial" w:eastAsia="Arial" w:hAnsi="Arial" w:cs="Arial"/>
                <w:noProof/>
                <w:color w:val="000000"/>
                <w:lang w:bidi="en-GB"/>
              </w:rPr>
            </w:pPr>
          </w:p>
        </w:tc>
      </w:tr>
      <w:tr>
        <w:trPr>
          <w:trHeight w:val="255"/>
        </w:trPr>
        <w:tc>
          <w:tcPr>
            <w:tcW w:w="5758" w:type="dxa"/>
            <w:tcBorders>
              <w:top w:val="nil"/>
              <w:left w:val="nil"/>
              <w:bottom w:val="nil"/>
              <w:right w:val="nil"/>
              <w:tl2br w:val="nil"/>
              <w:tr2bl w:val="nil"/>
            </w:tcBorders>
            <w:tcMar>
              <w:left w:w="60" w:type="dxa"/>
              <w:right w:w="60" w:type="dxa"/>
            </w:tcMar>
            <w:vAlign w:val="center"/>
          </w:tcPr>
          <w:p>
            <w:pPr>
              <w:pStyle w:val="DMETW36770BIPOthFinanL"/>
              <w:rPr>
                <w:rFonts w:ascii="Verdana" w:eastAsia="Verdana" w:hAnsi="Verdana" w:cs="Verdana"/>
                <w:i/>
                <w:noProof/>
                <w:color w:val="000000"/>
                <w:sz w:val="18"/>
              </w:rPr>
            </w:pPr>
            <w:r>
              <w:rPr>
                <w:rFonts w:ascii="Verdana" w:hAnsi="Verdana"/>
                <w:i/>
                <w:noProof/>
                <w:color w:val="000000"/>
                <w:sz w:val="18"/>
              </w:rPr>
              <w:t>Passifs liés aux contrats de location-financement</w:t>
            </w:r>
          </w:p>
        </w:tc>
        <w:tc>
          <w:tcPr>
            <w:tcW w:w="2000" w:type="dxa"/>
            <w:tcBorders>
              <w:top w:val="nil"/>
              <w:left w:val="nil"/>
              <w:bottom w:val="nil"/>
              <w:right w:val="nil"/>
              <w:tl2br w:val="nil"/>
              <w:tr2bl w:val="nil"/>
            </w:tcBorders>
            <w:tcMar>
              <w:left w:w="60" w:type="dxa"/>
              <w:right w:w="60" w:type="dxa"/>
            </w:tcMar>
            <w:vAlign w:val="center"/>
          </w:tcPr>
          <w:p>
            <w:pPr>
              <w:pStyle w:val="DMETW36770BIPOthFinanL"/>
              <w:jc w:val="right"/>
              <w:rPr>
                <w:rFonts w:ascii="Verdana" w:eastAsia="Verdana" w:hAnsi="Verdana" w:cs="Verdana"/>
                <w:i/>
                <w:noProof/>
                <w:color w:val="000000"/>
                <w:sz w:val="18"/>
              </w:rPr>
            </w:pPr>
            <w:r>
              <w:rPr>
                <w:rFonts w:ascii="Verdana" w:hAnsi="Verdana"/>
                <w:i/>
                <w:noProof/>
                <w:color w:val="000000"/>
                <w:sz w:val="18"/>
              </w:rPr>
              <w:t xml:space="preserve"> 90</w:t>
            </w:r>
          </w:p>
        </w:tc>
        <w:tc>
          <w:tcPr>
            <w:tcW w:w="2000" w:type="dxa"/>
            <w:tcBorders>
              <w:top w:val="nil"/>
              <w:left w:val="nil"/>
              <w:bottom w:val="nil"/>
              <w:right w:val="nil"/>
              <w:tl2br w:val="nil"/>
              <w:tr2bl w:val="nil"/>
            </w:tcBorders>
            <w:tcMar>
              <w:left w:w="60" w:type="dxa"/>
              <w:right w:w="60" w:type="dxa"/>
            </w:tcMar>
            <w:vAlign w:val="center"/>
          </w:tcPr>
          <w:p>
            <w:pPr>
              <w:pStyle w:val="DMETW36770BIPOthFinanL"/>
              <w:jc w:val="right"/>
              <w:rPr>
                <w:rFonts w:ascii="Verdana" w:eastAsia="Verdana" w:hAnsi="Verdana" w:cs="Verdana"/>
                <w:i/>
                <w:noProof/>
                <w:color w:val="000000"/>
                <w:sz w:val="18"/>
              </w:rPr>
            </w:pPr>
            <w:r>
              <w:rPr>
                <w:rFonts w:ascii="Verdana" w:hAnsi="Verdana"/>
                <w:i/>
                <w:noProof/>
                <w:color w:val="000000"/>
                <w:sz w:val="18"/>
              </w:rPr>
              <w:t xml:space="preserve"> 79</w:t>
            </w:r>
          </w:p>
        </w:tc>
      </w:tr>
      <w:tr>
        <w:trPr>
          <w:trHeight w:val="255"/>
        </w:trPr>
        <w:tc>
          <w:tcPr>
            <w:tcW w:w="5758" w:type="dxa"/>
            <w:tcBorders>
              <w:top w:val="nil"/>
              <w:left w:val="nil"/>
              <w:bottom w:val="nil"/>
              <w:right w:val="nil"/>
              <w:tl2br w:val="nil"/>
              <w:tr2bl w:val="nil"/>
            </w:tcBorders>
            <w:tcMar>
              <w:left w:w="60" w:type="dxa"/>
              <w:right w:w="60" w:type="dxa"/>
            </w:tcMar>
            <w:vAlign w:val="center"/>
          </w:tcPr>
          <w:p>
            <w:pPr>
              <w:pStyle w:val="DMETW36770BIPOthFinanL"/>
              <w:rPr>
                <w:rFonts w:ascii="Verdana" w:eastAsia="Verdana" w:hAnsi="Verdana" w:cs="Verdana"/>
                <w:i/>
                <w:noProof/>
                <w:color w:val="000000"/>
                <w:sz w:val="18"/>
              </w:rPr>
            </w:pPr>
            <w:r>
              <w:rPr>
                <w:rFonts w:ascii="Verdana" w:hAnsi="Verdana"/>
                <w:i/>
                <w:noProof/>
                <w:color w:val="000000"/>
                <w:sz w:val="18"/>
              </w:rPr>
              <w:t>Bâtiments payés par tranches</w:t>
            </w:r>
          </w:p>
        </w:tc>
        <w:tc>
          <w:tcPr>
            <w:tcW w:w="2000" w:type="dxa"/>
            <w:tcBorders>
              <w:top w:val="nil"/>
              <w:left w:val="nil"/>
              <w:bottom w:val="nil"/>
              <w:right w:val="nil"/>
              <w:tl2br w:val="nil"/>
              <w:tr2bl w:val="nil"/>
            </w:tcBorders>
            <w:tcMar>
              <w:left w:w="60" w:type="dxa"/>
              <w:right w:w="60" w:type="dxa"/>
            </w:tcMar>
            <w:vAlign w:val="center"/>
          </w:tcPr>
          <w:p>
            <w:pPr>
              <w:pStyle w:val="DMETW36770BIPOthFinanL"/>
              <w:jc w:val="right"/>
              <w:rPr>
                <w:rFonts w:ascii="Verdana" w:eastAsia="Verdana" w:hAnsi="Verdana" w:cs="Verdana"/>
                <w:i/>
                <w:noProof/>
                <w:color w:val="000000"/>
                <w:sz w:val="18"/>
              </w:rPr>
            </w:pPr>
            <w:r>
              <w:rPr>
                <w:rFonts w:ascii="Verdana" w:hAnsi="Verdana"/>
                <w:i/>
                <w:noProof/>
                <w:color w:val="000000"/>
                <w:sz w:val="18"/>
              </w:rPr>
              <w:t xml:space="preserve"> 57</w:t>
            </w:r>
          </w:p>
        </w:tc>
        <w:tc>
          <w:tcPr>
            <w:tcW w:w="2000" w:type="dxa"/>
            <w:tcBorders>
              <w:top w:val="nil"/>
              <w:left w:val="nil"/>
              <w:bottom w:val="nil"/>
              <w:right w:val="nil"/>
              <w:tl2br w:val="nil"/>
              <w:tr2bl w:val="nil"/>
            </w:tcBorders>
            <w:tcMar>
              <w:left w:w="60" w:type="dxa"/>
              <w:right w:w="60" w:type="dxa"/>
            </w:tcMar>
            <w:vAlign w:val="center"/>
          </w:tcPr>
          <w:p>
            <w:pPr>
              <w:pStyle w:val="DMETW36770BIPOthFinanL"/>
              <w:jc w:val="right"/>
              <w:rPr>
                <w:rFonts w:ascii="Verdana" w:eastAsia="Verdana" w:hAnsi="Verdana" w:cs="Verdana"/>
                <w:i/>
                <w:noProof/>
                <w:color w:val="000000"/>
                <w:sz w:val="18"/>
              </w:rPr>
            </w:pPr>
            <w:r>
              <w:rPr>
                <w:rFonts w:ascii="Verdana" w:hAnsi="Verdana"/>
                <w:i/>
                <w:noProof/>
                <w:color w:val="000000"/>
                <w:sz w:val="18"/>
              </w:rPr>
              <w:t xml:space="preserve"> 55</w:t>
            </w:r>
          </w:p>
        </w:tc>
      </w:tr>
      <w:tr>
        <w:trPr>
          <w:trHeight w:val="255"/>
        </w:trPr>
        <w:tc>
          <w:tcPr>
            <w:tcW w:w="5758" w:type="dxa"/>
            <w:tcBorders>
              <w:top w:val="nil"/>
              <w:left w:val="nil"/>
              <w:bottom w:val="nil"/>
              <w:right w:val="nil"/>
              <w:tl2br w:val="nil"/>
              <w:tr2bl w:val="nil"/>
            </w:tcBorders>
            <w:tcMar>
              <w:left w:w="60" w:type="dxa"/>
              <w:right w:w="60" w:type="dxa"/>
            </w:tcMar>
            <w:vAlign w:val="center"/>
          </w:tcPr>
          <w:p>
            <w:pPr>
              <w:pStyle w:val="DMETW36770BIPOthFinanL"/>
              <w:rPr>
                <w:rFonts w:ascii="Verdana" w:eastAsia="Verdana" w:hAnsi="Verdana" w:cs="Verdana"/>
                <w:i/>
                <w:noProof/>
                <w:color w:val="000000"/>
                <w:sz w:val="18"/>
              </w:rPr>
            </w:pPr>
            <w:r>
              <w:rPr>
                <w:rFonts w:ascii="Verdana" w:hAnsi="Verdana"/>
                <w:i/>
                <w:noProof/>
                <w:color w:val="000000"/>
                <w:sz w:val="18"/>
              </w:rPr>
              <w:t>Contributions avec conditions</w:t>
            </w:r>
          </w:p>
        </w:tc>
        <w:tc>
          <w:tcPr>
            <w:tcW w:w="2000" w:type="dxa"/>
            <w:tcBorders>
              <w:top w:val="nil"/>
              <w:left w:val="nil"/>
              <w:bottom w:val="nil"/>
              <w:right w:val="nil"/>
              <w:tl2br w:val="nil"/>
              <w:tr2bl w:val="nil"/>
            </w:tcBorders>
            <w:tcMar>
              <w:left w:w="60" w:type="dxa"/>
              <w:right w:w="60" w:type="dxa"/>
            </w:tcMar>
            <w:vAlign w:val="center"/>
          </w:tcPr>
          <w:p>
            <w:pPr>
              <w:pStyle w:val="DMETW36770BIPOthFinanL"/>
              <w:jc w:val="right"/>
              <w:rPr>
                <w:rFonts w:ascii="Verdana" w:eastAsia="Verdana" w:hAnsi="Verdana" w:cs="Verdana"/>
                <w:i/>
                <w:noProof/>
                <w:color w:val="000000"/>
                <w:sz w:val="18"/>
              </w:rPr>
            </w:pPr>
            <w:r>
              <w:rPr>
                <w:rFonts w:ascii="Verdana" w:hAnsi="Verdana"/>
                <w:i/>
                <w:noProof/>
                <w:color w:val="000000"/>
                <w:sz w:val="18"/>
              </w:rPr>
              <w:t xml:space="preserve"> 3</w:t>
            </w:r>
          </w:p>
        </w:tc>
        <w:tc>
          <w:tcPr>
            <w:tcW w:w="2000" w:type="dxa"/>
            <w:tcBorders>
              <w:top w:val="nil"/>
              <w:left w:val="nil"/>
              <w:bottom w:val="nil"/>
              <w:right w:val="nil"/>
              <w:tl2br w:val="nil"/>
              <w:tr2bl w:val="nil"/>
            </w:tcBorders>
            <w:tcMar>
              <w:left w:w="60" w:type="dxa"/>
              <w:right w:w="60" w:type="dxa"/>
            </w:tcMar>
            <w:vAlign w:val="center"/>
          </w:tcPr>
          <w:p>
            <w:pPr>
              <w:pStyle w:val="DMETW36770BIPOthFinanL"/>
              <w:jc w:val="right"/>
              <w:rPr>
                <w:rFonts w:ascii="Verdana" w:eastAsia="Verdana" w:hAnsi="Verdana" w:cs="Verdana"/>
                <w:i/>
                <w:noProof/>
                <w:color w:val="000000"/>
                <w:sz w:val="18"/>
              </w:rPr>
            </w:pPr>
            <w:r>
              <w:rPr>
                <w:rFonts w:ascii="Verdana" w:hAnsi="Verdana"/>
                <w:i/>
                <w:noProof/>
                <w:color w:val="000000"/>
                <w:sz w:val="18"/>
              </w:rPr>
              <w:t xml:space="preserve"> 8</w:t>
            </w:r>
          </w:p>
        </w:tc>
      </w:tr>
      <w:tr>
        <w:trPr>
          <w:trHeight w:val="255"/>
        </w:trPr>
        <w:tc>
          <w:tcPr>
            <w:tcW w:w="5758" w:type="dxa"/>
            <w:tcBorders>
              <w:top w:val="nil"/>
              <w:left w:val="nil"/>
              <w:bottom w:val="single" w:sz="4" w:space="0" w:color="016794"/>
              <w:right w:val="nil"/>
              <w:tl2br w:val="nil"/>
              <w:tr2bl w:val="nil"/>
            </w:tcBorders>
            <w:tcMar>
              <w:left w:w="60" w:type="dxa"/>
              <w:right w:w="60" w:type="dxa"/>
            </w:tcMar>
            <w:vAlign w:val="center"/>
          </w:tcPr>
          <w:p>
            <w:pPr>
              <w:pStyle w:val="DMETW36770BIPOthFinanL"/>
              <w:rPr>
                <w:rFonts w:ascii="Verdana" w:eastAsia="Verdana" w:hAnsi="Verdana" w:cs="Verdana"/>
                <w:i/>
                <w:noProof/>
                <w:color w:val="000000"/>
                <w:sz w:val="18"/>
              </w:rPr>
            </w:pPr>
            <w:r>
              <w:rPr>
                <w:rFonts w:ascii="Verdana" w:hAnsi="Verdana"/>
                <w:i/>
                <w:noProof/>
                <w:color w:val="000000"/>
                <w:sz w:val="18"/>
              </w:rPr>
              <w:t>Autres</w:t>
            </w:r>
          </w:p>
        </w:tc>
        <w:tc>
          <w:tcPr>
            <w:tcW w:w="2000" w:type="dxa"/>
            <w:tcBorders>
              <w:top w:val="nil"/>
              <w:left w:val="nil"/>
              <w:bottom w:val="single" w:sz="4" w:space="0" w:color="016794"/>
              <w:right w:val="nil"/>
              <w:tl2br w:val="nil"/>
              <w:tr2bl w:val="nil"/>
            </w:tcBorders>
            <w:tcMar>
              <w:left w:w="60" w:type="dxa"/>
              <w:right w:w="60" w:type="dxa"/>
            </w:tcMar>
            <w:vAlign w:val="center"/>
          </w:tcPr>
          <w:p>
            <w:pPr>
              <w:pStyle w:val="DMETW36770BIPOthFinanL"/>
              <w:jc w:val="right"/>
              <w:rPr>
                <w:rFonts w:ascii="Verdana" w:eastAsia="Verdana" w:hAnsi="Verdana" w:cs="Verdana"/>
                <w:i/>
                <w:noProof/>
                <w:color w:val="000000"/>
                <w:sz w:val="18"/>
              </w:rPr>
            </w:pPr>
            <w:r>
              <w:rPr>
                <w:rFonts w:ascii="Verdana" w:hAnsi="Verdana"/>
                <w:i/>
                <w:noProof/>
                <w:color w:val="000000"/>
                <w:sz w:val="18"/>
              </w:rPr>
              <w:t>–</w:t>
            </w:r>
          </w:p>
        </w:tc>
        <w:tc>
          <w:tcPr>
            <w:tcW w:w="2000" w:type="dxa"/>
            <w:tcBorders>
              <w:top w:val="nil"/>
              <w:left w:val="nil"/>
              <w:bottom w:val="single" w:sz="4" w:space="0" w:color="016794"/>
              <w:right w:val="nil"/>
              <w:tl2br w:val="nil"/>
              <w:tr2bl w:val="nil"/>
            </w:tcBorders>
            <w:tcMar>
              <w:left w:w="60" w:type="dxa"/>
              <w:right w:w="60" w:type="dxa"/>
            </w:tcMar>
            <w:vAlign w:val="center"/>
          </w:tcPr>
          <w:p>
            <w:pPr>
              <w:pStyle w:val="DMETW36770BIPOthFinanL"/>
              <w:jc w:val="right"/>
              <w:rPr>
                <w:rFonts w:ascii="Verdana" w:eastAsia="Verdana" w:hAnsi="Verdana" w:cs="Verdana"/>
                <w:i/>
                <w:noProof/>
                <w:color w:val="000000"/>
                <w:sz w:val="18"/>
              </w:rPr>
            </w:pPr>
            <w:r>
              <w:rPr>
                <w:rFonts w:ascii="Verdana" w:hAnsi="Verdana"/>
                <w:i/>
                <w:noProof/>
                <w:color w:val="000000"/>
                <w:sz w:val="18"/>
              </w:rPr>
              <w:t>–</w:t>
            </w:r>
          </w:p>
        </w:tc>
      </w:tr>
      <w:tr>
        <w:trPr>
          <w:trHeight w:val="255"/>
        </w:trPr>
        <w:tc>
          <w:tcPr>
            <w:tcW w:w="575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70BIPOthFinanL"/>
              <w:jc w:val="center"/>
              <w:rPr>
                <w:rFonts w:ascii="Verdana" w:eastAsia="Verdana" w:hAnsi="Verdana" w:cs="Verdana"/>
                <w:noProof/>
                <w:color w:val="000000"/>
                <w:sz w:val="18"/>
              </w:rPr>
            </w:pPr>
          </w:p>
        </w:tc>
        <w:tc>
          <w:tcPr>
            <w:tcW w:w="200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70BIPOthFinanL"/>
              <w:jc w:val="right"/>
              <w:rPr>
                <w:rFonts w:ascii="Verdana" w:eastAsia="Verdana" w:hAnsi="Verdana" w:cs="Verdana"/>
                <w:b/>
                <w:noProof/>
                <w:color w:val="000000"/>
                <w:sz w:val="18"/>
              </w:rPr>
            </w:pPr>
            <w:r>
              <w:rPr>
                <w:rFonts w:ascii="Verdana" w:hAnsi="Verdana"/>
                <w:b/>
                <w:noProof/>
                <w:color w:val="000000"/>
                <w:sz w:val="18"/>
              </w:rPr>
              <w:t xml:space="preserve"> 150</w:t>
            </w:r>
          </w:p>
        </w:tc>
        <w:tc>
          <w:tcPr>
            <w:tcW w:w="200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70BIPOthFinanL"/>
              <w:jc w:val="right"/>
              <w:rPr>
                <w:rFonts w:ascii="Verdana" w:eastAsia="Verdana" w:hAnsi="Verdana" w:cs="Verdana"/>
                <w:b/>
                <w:noProof/>
                <w:color w:val="000000"/>
                <w:sz w:val="18"/>
              </w:rPr>
            </w:pPr>
            <w:r>
              <w:rPr>
                <w:rFonts w:ascii="Verdana" w:hAnsi="Verdana"/>
                <w:b/>
                <w:noProof/>
                <w:color w:val="000000"/>
                <w:sz w:val="18"/>
              </w:rPr>
              <w:t xml:space="preserve"> 142</w:t>
            </w:r>
          </w:p>
        </w:tc>
      </w:tr>
      <w:tr>
        <w:trPr>
          <w:trHeight w:val="255"/>
        </w:trPr>
        <w:tc>
          <w:tcPr>
            <w:tcW w:w="575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70BIPOthFinanL"/>
              <w:rPr>
                <w:rFonts w:ascii="Verdana" w:eastAsia="Verdana" w:hAnsi="Verdana" w:cs="Verdana"/>
                <w:b/>
                <w:noProof/>
                <w:color w:val="000000"/>
                <w:sz w:val="18"/>
              </w:rPr>
            </w:pPr>
            <w:r>
              <w:rPr>
                <w:rFonts w:ascii="Verdana" w:hAnsi="Verdana"/>
                <w:b/>
                <w:noProof/>
                <w:color w:val="000000"/>
                <w:sz w:val="18"/>
              </w:rPr>
              <w:t>Total</w:t>
            </w:r>
          </w:p>
        </w:tc>
        <w:tc>
          <w:tcPr>
            <w:tcW w:w="200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70BIPOthFinanL"/>
              <w:jc w:val="right"/>
              <w:rPr>
                <w:rFonts w:ascii="Verdana" w:eastAsia="Verdana" w:hAnsi="Verdana" w:cs="Verdana"/>
                <w:b/>
                <w:noProof/>
                <w:color w:val="000000"/>
                <w:sz w:val="18"/>
              </w:rPr>
            </w:pPr>
            <w:r>
              <w:rPr>
                <w:rFonts w:ascii="Verdana" w:hAnsi="Verdana"/>
                <w:b/>
                <w:noProof/>
                <w:color w:val="000000"/>
                <w:sz w:val="18"/>
              </w:rPr>
              <w:t>1 773</w:t>
            </w:r>
          </w:p>
        </w:tc>
        <w:tc>
          <w:tcPr>
            <w:tcW w:w="200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70BIPOthFinanL"/>
              <w:jc w:val="right"/>
              <w:rPr>
                <w:rFonts w:ascii="Verdana" w:eastAsia="Verdana" w:hAnsi="Verdana" w:cs="Verdana"/>
                <w:b/>
                <w:noProof/>
                <w:color w:val="000000"/>
                <w:sz w:val="18"/>
              </w:rPr>
            </w:pPr>
            <w:r>
              <w:rPr>
                <w:rFonts w:ascii="Verdana" w:hAnsi="Verdana"/>
                <w:b/>
                <w:noProof/>
                <w:color w:val="000000"/>
                <w:sz w:val="18"/>
              </w:rPr>
              <w:t>1 398</w:t>
            </w:r>
          </w:p>
        </w:tc>
      </w:tr>
    </w:tbl>
    <w:p>
      <w:pPr>
        <w:pStyle w:val="HEADER5"/>
        <w:spacing w:before="360"/>
        <w:rPr>
          <w:noProof/>
        </w:rPr>
      </w:pPr>
      <w:r>
        <w:rPr>
          <w:noProof/>
        </w:rPr>
        <w:t>Passifs liés aux contrats de location-financement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4"/>
        <w:gridCol w:w="1321"/>
        <w:gridCol w:w="1321"/>
        <w:gridCol w:w="1308"/>
        <w:gridCol w:w="1334"/>
      </w:tblGrid>
      <w:tr>
        <w:trPr>
          <w:trHeight w:val="255"/>
        </w:trPr>
        <w:tc>
          <w:tcPr>
            <w:tcW w:w="4474" w:type="dxa"/>
            <w:tcBorders>
              <w:top w:val="nil"/>
              <w:left w:val="nil"/>
              <w:bottom w:val="nil"/>
              <w:right w:val="nil"/>
              <w:tl2br w:val="nil"/>
              <w:tr2bl w:val="nil"/>
            </w:tcBorders>
            <w:tcMar>
              <w:left w:w="60" w:type="dxa"/>
              <w:right w:w="60" w:type="dxa"/>
            </w:tcMar>
            <w:vAlign w:val="bottom"/>
          </w:tcPr>
          <w:p>
            <w:pPr>
              <w:pStyle w:val="DMETW36772BIPFL"/>
              <w:rPr>
                <w:rFonts w:ascii="Arial" w:eastAsia="Arial" w:hAnsi="Arial" w:cs="Arial"/>
                <w:noProof/>
                <w:color w:val="000000"/>
              </w:rPr>
            </w:pPr>
            <w:bookmarkStart w:id="164" w:name="DOC_TBL00060_1_1"/>
            <w:bookmarkEnd w:id="164"/>
          </w:p>
        </w:tc>
        <w:tc>
          <w:tcPr>
            <w:tcW w:w="1321" w:type="dxa"/>
            <w:tcBorders>
              <w:top w:val="nil"/>
              <w:left w:val="nil"/>
              <w:bottom w:val="nil"/>
              <w:right w:val="nil"/>
              <w:tl2br w:val="nil"/>
              <w:tr2bl w:val="nil"/>
            </w:tcBorders>
            <w:tcMar>
              <w:left w:w="60" w:type="dxa"/>
              <w:right w:w="60" w:type="dxa"/>
            </w:tcMar>
            <w:vAlign w:val="bottom"/>
          </w:tcPr>
          <w:p>
            <w:pPr>
              <w:pStyle w:val="DMETW36772BIPFL"/>
              <w:rPr>
                <w:rFonts w:ascii="Arial" w:eastAsia="Arial" w:hAnsi="Arial" w:cs="Arial"/>
                <w:noProof/>
                <w:color w:val="000000"/>
              </w:rPr>
            </w:pPr>
          </w:p>
        </w:tc>
        <w:tc>
          <w:tcPr>
            <w:tcW w:w="1321" w:type="dxa"/>
            <w:tcBorders>
              <w:top w:val="nil"/>
              <w:left w:val="nil"/>
              <w:bottom w:val="nil"/>
              <w:right w:val="nil"/>
              <w:tl2br w:val="nil"/>
              <w:tr2bl w:val="nil"/>
            </w:tcBorders>
            <w:tcMar>
              <w:left w:w="60" w:type="dxa"/>
              <w:right w:w="60" w:type="dxa"/>
            </w:tcMar>
            <w:vAlign w:val="bottom"/>
          </w:tcPr>
          <w:p>
            <w:pPr>
              <w:pStyle w:val="DMETW36772BIPFL"/>
              <w:rPr>
                <w:rFonts w:ascii="Arial" w:eastAsia="Arial" w:hAnsi="Arial" w:cs="Arial"/>
                <w:noProof/>
                <w:color w:val="000000"/>
              </w:rPr>
            </w:pPr>
          </w:p>
        </w:tc>
        <w:tc>
          <w:tcPr>
            <w:tcW w:w="1308" w:type="dxa"/>
            <w:tcBorders>
              <w:top w:val="nil"/>
              <w:left w:val="nil"/>
              <w:bottom w:val="nil"/>
              <w:right w:val="nil"/>
              <w:tl2br w:val="nil"/>
              <w:tr2bl w:val="nil"/>
            </w:tcBorders>
            <w:tcMar>
              <w:left w:w="60" w:type="dxa"/>
              <w:right w:w="60" w:type="dxa"/>
            </w:tcMar>
            <w:vAlign w:val="bottom"/>
          </w:tcPr>
          <w:p>
            <w:pPr>
              <w:pStyle w:val="DMETW36772BIPFL"/>
              <w:rPr>
                <w:rFonts w:ascii="Arial" w:eastAsia="Arial" w:hAnsi="Arial" w:cs="Arial"/>
                <w:noProof/>
                <w:color w:val="000000"/>
              </w:rPr>
            </w:pPr>
          </w:p>
        </w:tc>
        <w:tc>
          <w:tcPr>
            <w:tcW w:w="1334" w:type="dxa"/>
            <w:tcBorders>
              <w:top w:val="nil"/>
              <w:left w:val="nil"/>
              <w:bottom w:val="nil"/>
              <w:right w:val="nil"/>
              <w:tl2br w:val="nil"/>
              <w:tr2bl w:val="nil"/>
            </w:tcBorders>
            <w:tcMar>
              <w:left w:w="60" w:type="dxa"/>
              <w:right w:w="60" w:type="dxa"/>
            </w:tcMar>
            <w:vAlign w:val="bottom"/>
          </w:tcPr>
          <w:p>
            <w:pPr>
              <w:pStyle w:val="DMETW36772BIPFL"/>
              <w:jc w:val="right"/>
              <w:rPr>
                <w:rFonts w:ascii="Verdana" w:eastAsia="Verdana" w:hAnsi="Verdana" w:cs="Verdana"/>
                <w:i/>
                <w:noProof/>
                <w:color w:val="000000"/>
                <w:sz w:val="16"/>
              </w:rPr>
            </w:pPr>
            <w:r>
              <w:rPr>
                <w:rFonts w:ascii="Verdana" w:hAnsi="Verdana"/>
                <w:i/>
                <w:noProof/>
                <w:color w:val="000000"/>
                <w:sz w:val="16"/>
              </w:rPr>
              <w:t>en Mio EUR</w:t>
            </w:r>
          </w:p>
        </w:tc>
      </w:tr>
      <w:tr>
        <w:trPr>
          <w:trHeight w:val="255"/>
        </w:trPr>
        <w:tc>
          <w:tcPr>
            <w:tcW w:w="4474" w:type="dxa"/>
            <w:tcBorders>
              <w:top w:val="nil"/>
              <w:left w:val="nil"/>
              <w:bottom w:val="nil"/>
              <w:right w:val="nil"/>
              <w:tl2br w:val="nil"/>
              <w:tr2bl w:val="nil"/>
            </w:tcBorders>
            <w:shd w:val="solid" w:color="016794" w:fill="FFFFFF"/>
            <w:tcMar>
              <w:left w:w="60" w:type="dxa"/>
              <w:right w:w="60" w:type="dxa"/>
            </w:tcMar>
            <w:vAlign w:val="center"/>
          </w:tcPr>
          <w:p>
            <w:pPr>
              <w:pStyle w:val="DMETW36772BIPFL"/>
              <w:rPr>
                <w:rFonts w:ascii="Verdana" w:eastAsia="Verdana" w:hAnsi="Verdana" w:cs="Verdana"/>
                <w:noProof/>
                <w:color w:val="FFFFFF"/>
              </w:rPr>
            </w:pPr>
          </w:p>
        </w:tc>
        <w:tc>
          <w:tcPr>
            <w:tcW w:w="1321" w:type="dxa"/>
            <w:gridSpan w:val="4"/>
            <w:tcBorders>
              <w:top w:val="nil"/>
              <w:left w:val="nil"/>
              <w:bottom w:val="nil"/>
              <w:right w:val="nil"/>
              <w:tl2br w:val="nil"/>
              <w:tr2bl w:val="nil"/>
            </w:tcBorders>
            <w:shd w:val="solid" w:color="016794" w:fill="FFFFFF"/>
            <w:tcMar>
              <w:left w:w="60" w:type="dxa"/>
              <w:right w:w="60" w:type="dxa"/>
            </w:tcMar>
            <w:vAlign w:val="center"/>
          </w:tcPr>
          <w:p>
            <w:pPr>
              <w:pStyle w:val="DMETW36772BIPFL"/>
              <w:jc w:val="center"/>
              <w:rPr>
                <w:rFonts w:ascii="Verdana" w:eastAsia="Verdana" w:hAnsi="Verdana" w:cs="Verdana"/>
                <w:noProof/>
                <w:color w:val="FFFFFF"/>
                <w:sz w:val="18"/>
              </w:rPr>
            </w:pPr>
            <w:r>
              <w:rPr>
                <w:rFonts w:ascii="Verdana" w:hAnsi="Verdana"/>
                <w:noProof/>
                <w:color w:val="FFFFFF"/>
                <w:sz w:val="18"/>
              </w:rPr>
              <w:t>Montants futurs à payer</w:t>
            </w:r>
          </w:p>
        </w:tc>
      </w:tr>
      <w:tr>
        <w:trPr>
          <w:trHeight w:val="255"/>
        </w:trPr>
        <w:tc>
          <w:tcPr>
            <w:tcW w:w="4474" w:type="dxa"/>
            <w:tcBorders>
              <w:top w:val="nil"/>
              <w:left w:val="nil"/>
              <w:bottom w:val="nil"/>
              <w:right w:val="nil"/>
              <w:tl2br w:val="nil"/>
              <w:tr2bl w:val="nil"/>
            </w:tcBorders>
            <w:shd w:val="solid" w:color="016794" w:fill="FFFFFF"/>
            <w:tcMar>
              <w:left w:w="60" w:type="dxa"/>
              <w:right w:w="60" w:type="dxa"/>
            </w:tcMar>
            <w:vAlign w:val="center"/>
          </w:tcPr>
          <w:p>
            <w:pPr>
              <w:pStyle w:val="DMETW36772BIPFL"/>
              <w:rPr>
                <w:rFonts w:ascii="Verdana" w:eastAsia="Verdana" w:hAnsi="Verdana" w:cs="Verdana"/>
                <w:noProof/>
                <w:color w:val="FFFFFF"/>
              </w:rPr>
            </w:pPr>
          </w:p>
        </w:tc>
        <w:tc>
          <w:tcPr>
            <w:tcW w:w="1321" w:type="dxa"/>
            <w:tcBorders>
              <w:top w:val="nil"/>
              <w:left w:val="nil"/>
              <w:bottom w:val="nil"/>
              <w:right w:val="nil"/>
              <w:tl2br w:val="nil"/>
              <w:tr2bl w:val="nil"/>
            </w:tcBorders>
            <w:shd w:val="solid" w:color="3486A9" w:fill="FFFFFF"/>
            <w:tcMar>
              <w:left w:w="60" w:type="dxa"/>
              <w:right w:w="60" w:type="dxa"/>
            </w:tcMar>
            <w:vAlign w:val="center"/>
          </w:tcPr>
          <w:p>
            <w:pPr>
              <w:pStyle w:val="DMETW36772BIPFL"/>
              <w:jc w:val="right"/>
              <w:rPr>
                <w:rFonts w:ascii="Verdana" w:eastAsia="Verdana" w:hAnsi="Verdana" w:cs="Verdana"/>
                <w:noProof/>
                <w:color w:val="FFFFFF"/>
                <w:sz w:val="18"/>
              </w:rPr>
            </w:pPr>
            <w:r>
              <w:rPr>
                <w:rFonts w:ascii="Verdana" w:hAnsi="Verdana"/>
                <w:noProof/>
                <w:color w:val="FFFFFF"/>
                <w:sz w:val="18"/>
              </w:rPr>
              <w:t>&lt; 1 an</w:t>
            </w:r>
          </w:p>
        </w:tc>
        <w:tc>
          <w:tcPr>
            <w:tcW w:w="1321" w:type="dxa"/>
            <w:tcBorders>
              <w:top w:val="nil"/>
              <w:left w:val="nil"/>
              <w:bottom w:val="nil"/>
              <w:right w:val="nil"/>
              <w:tl2br w:val="nil"/>
              <w:tr2bl w:val="nil"/>
            </w:tcBorders>
            <w:shd w:val="solid" w:color="3486A9" w:fill="FFFFFF"/>
            <w:tcMar>
              <w:left w:w="60" w:type="dxa"/>
              <w:right w:w="60" w:type="dxa"/>
            </w:tcMar>
            <w:vAlign w:val="center"/>
          </w:tcPr>
          <w:p>
            <w:pPr>
              <w:pStyle w:val="DMETW36772BIPFL"/>
              <w:jc w:val="right"/>
              <w:rPr>
                <w:rFonts w:ascii="Verdana" w:eastAsia="Verdana" w:hAnsi="Verdana" w:cs="Verdana"/>
                <w:noProof/>
                <w:color w:val="FFFFFF"/>
                <w:sz w:val="18"/>
              </w:rPr>
            </w:pPr>
            <w:r>
              <w:rPr>
                <w:rFonts w:ascii="Verdana" w:hAnsi="Verdana"/>
                <w:noProof/>
                <w:color w:val="FFFFFF"/>
                <w:sz w:val="18"/>
              </w:rPr>
              <w:t>1-5 ans</w:t>
            </w:r>
          </w:p>
        </w:tc>
        <w:tc>
          <w:tcPr>
            <w:tcW w:w="1308" w:type="dxa"/>
            <w:tcBorders>
              <w:top w:val="nil"/>
              <w:left w:val="nil"/>
              <w:bottom w:val="nil"/>
              <w:right w:val="nil"/>
              <w:tl2br w:val="nil"/>
              <w:tr2bl w:val="nil"/>
            </w:tcBorders>
            <w:shd w:val="solid" w:color="3486A9" w:fill="FFFFFF"/>
            <w:tcMar>
              <w:left w:w="60" w:type="dxa"/>
              <w:right w:w="60" w:type="dxa"/>
            </w:tcMar>
            <w:vAlign w:val="center"/>
          </w:tcPr>
          <w:p>
            <w:pPr>
              <w:pStyle w:val="DMETW36772BIPFL"/>
              <w:jc w:val="right"/>
              <w:rPr>
                <w:rFonts w:ascii="Verdana" w:eastAsia="Verdana" w:hAnsi="Verdana" w:cs="Verdana"/>
                <w:noProof/>
                <w:color w:val="FFFFFF"/>
                <w:sz w:val="18"/>
              </w:rPr>
            </w:pPr>
            <w:r>
              <w:rPr>
                <w:rFonts w:ascii="Verdana" w:hAnsi="Verdana"/>
                <w:noProof/>
                <w:color w:val="FFFFFF"/>
                <w:sz w:val="18"/>
              </w:rPr>
              <w:t>&gt; 5 ans</w:t>
            </w:r>
          </w:p>
        </w:tc>
        <w:tc>
          <w:tcPr>
            <w:tcW w:w="1334" w:type="dxa"/>
            <w:tcBorders>
              <w:top w:val="nil"/>
              <w:left w:val="nil"/>
              <w:bottom w:val="nil"/>
              <w:right w:val="nil"/>
              <w:tl2br w:val="nil"/>
              <w:tr2bl w:val="nil"/>
            </w:tcBorders>
            <w:shd w:val="solid" w:color="3486A9" w:fill="FFFFFF"/>
            <w:tcMar>
              <w:left w:w="60" w:type="dxa"/>
              <w:right w:w="60" w:type="dxa"/>
            </w:tcMar>
            <w:vAlign w:val="center"/>
          </w:tcPr>
          <w:p>
            <w:pPr>
              <w:pStyle w:val="DMETW36772BIPFL"/>
              <w:jc w:val="right"/>
              <w:rPr>
                <w:rFonts w:ascii="Verdana" w:eastAsia="Verdana" w:hAnsi="Verdana" w:cs="Verdana"/>
                <w:noProof/>
                <w:color w:val="FFFFFF"/>
                <w:sz w:val="18"/>
              </w:rPr>
            </w:pPr>
            <w:r>
              <w:rPr>
                <w:rFonts w:ascii="Verdana" w:hAnsi="Verdana"/>
                <w:noProof/>
                <w:color w:val="FFFFFF"/>
                <w:sz w:val="18"/>
              </w:rPr>
              <w:t>Total du passif</w:t>
            </w:r>
          </w:p>
        </w:tc>
      </w:tr>
      <w:tr>
        <w:trPr>
          <w:trHeight w:val="255"/>
        </w:trPr>
        <w:tc>
          <w:tcPr>
            <w:tcW w:w="4474" w:type="dxa"/>
            <w:tcBorders>
              <w:top w:val="nil"/>
              <w:left w:val="nil"/>
              <w:bottom w:val="nil"/>
              <w:right w:val="nil"/>
              <w:tl2br w:val="nil"/>
              <w:tr2bl w:val="nil"/>
            </w:tcBorders>
            <w:tcMar>
              <w:left w:w="60" w:type="dxa"/>
              <w:right w:w="60" w:type="dxa"/>
            </w:tcMar>
            <w:vAlign w:val="center"/>
          </w:tcPr>
          <w:p>
            <w:pPr>
              <w:pStyle w:val="DMETW36772BIPFL"/>
              <w:rPr>
                <w:rFonts w:ascii="Verdana" w:eastAsia="Verdana" w:hAnsi="Verdana" w:cs="Verdana"/>
                <w:i/>
                <w:noProof/>
                <w:color w:val="000000"/>
                <w:sz w:val="18"/>
              </w:rPr>
            </w:pPr>
            <w:r>
              <w:rPr>
                <w:rFonts w:ascii="Verdana" w:hAnsi="Verdana"/>
                <w:i/>
                <w:noProof/>
                <w:color w:val="000000"/>
                <w:sz w:val="18"/>
              </w:rPr>
              <w:t>Terrains et bâtiments</w:t>
            </w:r>
          </w:p>
        </w:tc>
        <w:tc>
          <w:tcPr>
            <w:tcW w:w="1321" w:type="dxa"/>
            <w:tcBorders>
              <w:top w:val="nil"/>
              <w:left w:val="nil"/>
              <w:bottom w:val="nil"/>
              <w:right w:val="nil"/>
              <w:tl2br w:val="nil"/>
              <w:tr2bl w:val="nil"/>
            </w:tcBorders>
            <w:tcMar>
              <w:left w:w="60" w:type="dxa"/>
              <w:right w:w="60" w:type="dxa"/>
            </w:tcMar>
            <w:vAlign w:val="center"/>
          </w:tcPr>
          <w:p>
            <w:pPr>
              <w:pStyle w:val="DMETW36772BIPFL"/>
              <w:jc w:val="right"/>
              <w:rPr>
                <w:rFonts w:ascii="Verdana" w:eastAsia="Verdana" w:hAnsi="Verdana" w:cs="Verdana"/>
                <w:i/>
                <w:noProof/>
                <w:color w:val="000000"/>
                <w:sz w:val="18"/>
              </w:rPr>
            </w:pPr>
            <w:r>
              <w:rPr>
                <w:rFonts w:ascii="Verdana" w:hAnsi="Verdana"/>
                <w:i/>
                <w:noProof/>
                <w:color w:val="000000"/>
                <w:sz w:val="18"/>
              </w:rPr>
              <w:t xml:space="preserve"> 87</w:t>
            </w:r>
          </w:p>
        </w:tc>
        <w:tc>
          <w:tcPr>
            <w:tcW w:w="1321" w:type="dxa"/>
            <w:tcBorders>
              <w:top w:val="nil"/>
              <w:left w:val="nil"/>
              <w:bottom w:val="nil"/>
              <w:right w:val="nil"/>
              <w:tl2br w:val="nil"/>
              <w:tr2bl w:val="nil"/>
            </w:tcBorders>
            <w:tcMar>
              <w:left w:w="60" w:type="dxa"/>
              <w:right w:w="60" w:type="dxa"/>
            </w:tcMar>
            <w:vAlign w:val="center"/>
          </w:tcPr>
          <w:p>
            <w:pPr>
              <w:pStyle w:val="DMETW36772BIPFL"/>
              <w:jc w:val="right"/>
              <w:rPr>
                <w:rFonts w:ascii="Verdana" w:eastAsia="Verdana" w:hAnsi="Verdana" w:cs="Verdana"/>
                <w:i/>
                <w:noProof/>
                <w:color w:val="000000"/>
                <w:sz w:val="18"/>
              </w:rPr>
            </w:pPr>
            <w:r>
              <w:rPr>
                <w:rFonts w:ascii="Verdana" w:hAnsi="Verdana"/>
                <w:i/>
                <w:noProof/>
                <w:color w:val="000000"/>
                <w:sz w:val="18"/>
              </w:rPr>
              <w:t xml:space="preserve"> 256</w:t>
            </w:r>
          </w:p>
        </w:tc>
        <w:tc>
          <w:tcPr>
            <w:tcW w:w="1308" w:type="dxa"/>
            <w:tcBorders>
              <w:top w:val="nil"/>
              <w:left w:val="nil"/>
              <w:bottom w:val="nil"/>
              <w:right w:val="nil"/>
              <w:tl2br w:val="nil"/>
              <w:tr2bl w:val="nil"/>
            </w:tcBorders>
            <w:tcMar>
              <w:left w:w="60" w:type="dxa"/>
              <w:right w:w="60" w:type="dxa"/>
            </w:tcMar>
            <w:vAlign w:val="center"/>
          </w:tcPr>
          <w:p>
            <w:pPr>
              <w:pStyle w:val="DMETW36772BIPFL"/>
              <w:jc w:val="right"/>
              <w:rPr>
                <w:rFonts w:ascii="Verdana" w:eastAsia="Verdana" w:hAnsi="Verdana" w:cs="Verdana"/>
                <w:i/>
                <w:noProof/>
                <w:color w:val="000000"/>
                <w:sz w:val="18"/>
              </w:rPr>
            </w:pPr>
            <w:r>
              <w:rPr>
                <w:rFonts w:ascii="Verdana" w:hAnsi="Verdana"/>
                <w:i/>
                <w:noProof/>
                <w:color w:val="000000"/>
                <w:sz w:val="18"/>
              </w:rPr>
              <w:t xml:space="preserve"> 248</w:t>
            </w:r>
          </w:p>
        </w:tc>
        <w:tc>
          <w:tcPr>
            <w:tcW w:w="1334" w:type="dxa"/>
            <w:tcBorders>
              <w:top w:val="nil"/>
              <w:left w:val="nil"/>
              <w:bottom w:val="nil"/>
              <w:right w:val="nil"/>
              <w:tl2br w:val="nil"/>
              <w:tr2bl w:val="nil"/>
            </w:tcBorders>
            <w:tcMar>
              <w:left w:w="60" w:type="dxa"/>
              <w:right w:w="60" w:type="dxa"/>
            </w:tcMar>
            <w:vAlign w:val="center"/>
          </w:tcPr>
          <w:p>
            <w:pPr>
              <w:pStyle w:val="DMETW36772BIPFL"/>
              <w:jc w:val="right"/>
              <w:rPr>
                <w:rFonts w:ascii="Verdana" w:eastAsia="Verdana" w:hAnsi="Verdana" w:cs="Verdana"/>
                <w:i/>
                <w:noProof/>
                <w:color w:val="000000"/>
                <w:sz w:val="18"/>
              </w:rPr>
            </w:pPr>
            <w:r>
              <w:rPr>
                <w:rFonts w:ascii="Verdana" w:hAnsi="Verdana"/>
                <w:i/>
                <w:noProof/>
                <w:color w:val="000000"/>
                <w:sz w:val="18"/>
              </w:rPr>
              <w:t xml:space="preserve"> 592</w:t>
            </w:r>
          </w:p>
        </w:tc>
      </w:tr>
      <w:tr>
        <w:trPr>
          <w:trHeight w:val="255"/>
        </w:trPr>
        <w:tc>
          <w:tcPr>
            <w:tcW w:w="4474" w:type="dxa"/>
            <w:tcBorders>
              <w:top w:val="nil"/>
              <w:left w:val="nil"/>
              <w:bottom w:val="single" w:sz="4" w:space="0" w:color="016794"/>
              <w:right w:val="nil"/>
              <w:tl2br w:val="nil"/>
              <w:tr2bl w:val="nil"/>
            </w:tcBorders>
            <w:tcMar>
              <w:left w:w="60" w:type="dxa"/>
              <w:right w:w="60" w:type="dxa"/>
            </w:tcMar>
            <w:vAlign w:val="center"/>
          </w:tcPr>
          <w:p>
            <w:pPr>
              <w:pStyle w:val="DMETW36772BIPFL"/>
              <w:rPr>
                <w:rFonts w:ascii="Verdana" w:eastAsia="Verdana" w:hAnsi="Verdana" w:cs="Verdana"/>
                <w:i/>
                <w:noProof/>
                <w:color w:val="000000"/>
                <w:sz w:val="18"/>
              </w:rPr>
            </w:pPr>
            <w:r>
              <w:rPr>
                <w:rFonts w:ascii="Verdana" w:hAnsi="Verdana"/>
                <w:i/>
                <w:noProof/>
                <w:color w:val="000000"/>
                <w:sz w:val="18"/>
              </w:rPr>
              <w:t>Autres immobilisations</w:t>
            </w:r>
          </w:p>
        </w:tc>
        <w:tc>
          <w:tcPr>
            <w:tcW w:w="1321" w:type="dxa"/>
            <w:tcBorders>
              <w:top w:val="nil"/>
              <w:left w:val="nil"/>
              <w:bottom w:val="single" w:sz="4" w:space="0" w:color="016794"/>
              <w:right w:val="nil"/>
              <w:tl2br w:val="nil"/>
              <w:tr2bl w:val="nil"/>
            </w:tcBorders>
            <w:tcMar>
              <w:left w:w="60" w:type="dxa"/>
              <w:right w:w="60" w:type="dxa"/>
            </w:tcMar>
            <w:vAlign w:val="center"/>
          </w:tcPr>
          <w:p>
            <w:pPr>
              <w:pStyle w:val="DMETW36772BIPFL"/>
              <w:jc w:val="right"/>
              <w:rPr>
                <w:rFonts w:ascii="Verdana" w:eastAsia="Verdana" w:hAnsi="Verdana" w:cs="Verdana"/>
                <w:i/>
                <w:noProof/>
                <w:color w:val="000000"/>
                <w:sz w:val="18"/>
              </w:rPr>
            </w:pPr>
            <w:r>
              <w:rPr>
                <w:rFonts w:ascii="Verdana" w:hAnsi="Verdana"/>
                <w:i/>
                <w:noProof/>
                <w:color w:val="000000"/>
                <w:sz w:val="18"/>
              </w:rPr>
              <w:t xml:space="preserve"> 3</w:t>
            </w:r>
          </w:p>
        </w:tc>
        <w:tc>
          <w:tcPr>
            <w:tcW w:w="1321" w:type="dxa"/>
            <w:tcBorders>
              <w:top w:val="nil"/>
              <w:left w:val="nil"/>
              <w:bottom w:val="single" w:sz="4" w:space="0" w:color="016794"/>
              <w:right w:val="nil"/>
              <w:tl2br w:val="nil"/>
              <w:tr2bl w:val="nil"/>
            </w:tcBorders>
            <w:tcMar>
              <w:left w:w="60" w:type="dxa"/>
              <w:right w:w="60" w:type="dxa"/>
            </w:tcMar>
            <w:vAlign w:val="center"/>
          </w:tcPr>
          <w:p>
            <w:pPr>
              <w:pStyle w:val="DMETW36772BIPFL"/>
              <w:jc w:val="right"/>
              <w:rPr>
                <w:rFonts w:ascii="Verdana" w:eastAsia="Verdana" w:hAnsi="Verdana" w:cs="Verdana"/>
                <w:i/>
                <w:noProof/>
                <w:color w:val="000000"/>
                <w:sz w:val="18"/>
              </w:rPr>
            </w:pPr>
            <w:r>
              <w:rPr>
                <w:rFonts w:ascii="Verdana" w:hAnsi="Verdana"/>
                <w:i/>
                <w:noProof/>
                <w:color w:val="000000"/>
                <w:sz w:val="18"/>
              </w:rPr>
              <w:t xml:space="preserve"> 6</w:t>
            </w:r>
          </w:p>
        </w:tc>
        <w:tc>
          <w:tcPr>
            <w:tcW w:w="1308" w:type="dxa"/>
            <w:tcBorders>
              <w:top w:val="nil"/>
              <w:left w:val="nil"/>
              <w:bottom w:val="single" w:sz="4" w:space="0" w:color="016794"/>
              <w:right w:val="nil"/>
              <w:tl2br w:val="nil"/>
              <w:tr2bl w:val="nil"/>
            </w:tcBorders>
            <w:tcMar>
              <w:left w:w="60" w:type="dxa"/>
              <w:right w:w="60" w:type="dxa"/>
            </w:tcMar>
            <w:vAlign w:val="center"/>
          </w:tcPr>
          <w:p>
            <w:pPr>
              <w:pStyle w:val="DMETW36772BIPFL"/>
              <w:jc w:val="right"/>
              <w:rPr>
                <w:rFonts w:ascii="Verdana" w:eastAsia="Verdana" w:hAnsi="Verdana" w:cs="Verdana"/>
                <w:i/>
                <w:noProof/>
                <w:color w:val="000000"/>
                <w:sz w:val="18"/>
              </w:rPr>
            </w:pPr>
            <w:r>
              <w:rPr>
                <w:rFonts w:ascii="Verdana" w:hAnsi="Verdana"/>
                <w:i/>
                <w:noProof/>
                <w:color w:val="000000"/>
                <w:sz w:val="18"/>
              </w:rPr>
              <w:t>–</w:t>
            </w:r>
          </w:p>
        </w:tc>
        <w:tc>
          <w:tcPr>
            <w:tcW w:w="1334" w:type="dxa"/>
            <w:tcBorders>
              <w:top w:val="nil"/>
              <w:left w:val="nil"/>
              <w:bottom w:val="single" w:sz="4" w:space="0" w:color="016794"/>
              <w:right w:val="nil"/>
              <w:tl2br w:val="nil"/>
              <w:tr2bl w:val="nil"/>
            </w:tcBorders>
            <w:tcMar>
              <w:left w:w="60" w:type="dxa"/>
              <w:right w:w="60" w:type="dxa"/>
            </w:tcMar>
            <w:vAlign w:val="center"/>
          </w:tcPr>
          <w:p>
            <w:pPr>
              <w:pStyle w:val="DMETW36772BIPFL"/>
              <w:jc w:val="right"/>
              <w:rPr>
                <w:rFonts w:ascii="Verdana" w:eastAsia="Verdana" w:hAnsi="Verdana" w:cs="Verdana"/>
                <w:i/>
                <w:noProof/>
                <w:color w:val="000000"/>
                <w:sz w:val="18"/>
              </w:rPr>
            </w:pPr>
            <w:r>
              <w:rPr>
                <w:rFonts w:ascii="Verdana" w:hAnsi="Verdana"/>
                <w:i/>
                <w:noProof/>
                <w:color w:val="000000"/>
                <w:sz w:val="18"/>
              </w:rPr>
              <w:t xml:space="preserve"> 9</w:t>
            </w:r>
          </w:p>
        </w:tc>
      </w:tr>
      <w:tr>
        <w:trPr>
          <w:trHeight w:val="255"/>
        </w:trPr>
        <w:tc>
          <w:tcPr>
            <w:tcW w:w="447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72BIPFL"/>
              <w:rPr>
                <w:rFonts w:ascii="Verdana" w:eastAsia="Verdana" w:hAnsi="Verdana" w:cs="Verdana"/>
                <w:b/>
                <w:noProof/>
                <w:color w:val="000000"/>
                <w:sz w:val="18"/>
              </w:rPr>
            </w:pPr>
            <w:r>
              <w:rPr>
                <w:rFonts w:ascii="Verdana" w:hAnsi="Verdana"/>
                <w:b/>
                <w:noProof/>
                <w:color w:val="000000"/>
                <w:sz w:val="18"/>
              </w:rPr>
              <w:t>Total au 31.12.2025</w:t>
            </w:r>
          </w:p>
        </w:tc>
        <w:tc>
          <w:tcPr>
            <w:tcW w:w="132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72BIPFL"/>
              <w:jc w:val="right"/>
              <w:rPr>
                <w:rFonts w:ascii="Verdana" w:eastAsia="Verdana" w:hAnsi="Verdana" w:cs="Verdana"/>
                <w:b/>
                <w:noProof/>
                <w:color w:val="000000"/>
                <w:sz w:val="18"/>
              </w:rPr>
            </w:pPr>
            <w:r>
              <w:rPr>
                <w:rFonts w:ascii="Verdana" w:hAnsi="Verdana"/>
                <w:b/>
                <w:noProof/>
                <w:color w:val="000000"/>
                <w:sz w:val="18"/>
              </w:rPr>
              <w:t xml:space="preserve"> 90</w:t>
            </w:r>
          </w:p>
        </w:tc>
        <w:tc>
          <w:tcPr>
            <w:tcW w:w="132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72BIPFL"/>
              <w:jc w:val="right"/>
              <w:rPr>
                <w:rFonts w:ascii="Verdana" w:eastAsia="Verdana" w:hAnsi="Verdana" w:cs="Verdana"/>
                <w:b/>
                <w:noProof/>
                <w:color w:val="000000"/>
                <w:sz w:val="18"/>
              </w:rPr>
            </w:pPr>
            <w:r>
              <w:rPr>
                <w:rFonts w:ascii="Verdana" w:hAnsi="Verdana"/>
                <w:b/>
                <w:noProof/>
                <w:color w:val="000000"/>
                <w:sz w:val="18"/>
              </w:rPr>
              <w:t xml:space="preserve"> 263</w:t>
            </w:r>
          </w:p>
        </w:tc>
        <w:tc>
          <w:tcPr>
            <w:tcW w:w="130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72BIPFL"/>
              <w:jc w:val="right"/>
              <w:rPr>
                <w:rFonts w:ascii="Verdana" w:eastAsia="Verdana" w:hAnsi="Verdana" w:cs="Verdana"/>
                <w:b/>
                <w:noProof/>
                <w:color w:val="000000"/>
                <w:sz w:val="18"/>
              </w:rPr>
            </w:pPr>
            <w:r>
              <w:rPr>
                <w:rFonts w:ascii="Verdana" w:hAnsi="Verdana"/>
                <w:b/>
                <w:noProof/>
                <w:color w:val="000000"/>
                <w:sz w:val="18"/>
              </w:rPr>
              <w:t xml:space="preserve"> 248</w:t>
            </w:r>
          </w:p>
        </w:tc>
        <w:tc>
          <w:tcPr>
            <w:tcW w:w="133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72BIPFL"/>
              <w:jc w:val="right"/>
              <w:rPr>
                <w:rFonts w:ascii="Verdana" w:eastAsia="Verdana" w:hAnsi="Verdana" w:cs="Verdana"/>
                <w:b/>
                <w:noProof/>
                <w:color w:val="000000"/>
                <w:sz w:val="18"/>
              </w:rPr>
            </w:pPr>
            <w:r>
              <w:rPr>
                <w:rFonts w:ascii="Verdana" w:hAnsi="Verdana"/>
                <w:b/>
                <w:noProof/>
                <w:color w:val="000000"/>
                <w:sz w:val="18"/>
              </w:rPr>
              <w:t xml:space="preserve"> 601</w:t>
            </w:r>
          </w:p>
        </w:tc>
      </w:tr>
      <w:tr>
        <w:trPr>
          <w:trHeight w:val="255"/>
        </w:trPr>
        <w:tc>
          <w:tcPr>
            <w:tcW w:w="447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72BIPFL"/>
              <w:rPr>
                <w:rFonts w:ascii="Verdana" w:eastAsia="Verdana" w:hAnsi="Verdana" w:cs="Verdana"/>
                <w:i/>
                <w:noProof/>
                <w:color w:val="000000"/>
                <w:sz w:val="18"/>
              </w:rPr>
            </w:pPr>
            <w:r>
              <w:rPr>
                <w:rFonts w:ascii="Verdana" w:hAnsi="Verdana"/>
                <w:i/>
                <w:noProof/>
                <w:color w:val="000000"/>
                <w:sz w:val="18"/>
              </w:rPr>
              <w:t>Partie d’intérêts</w:t>
            </w:r>
          </w:p>
        </w:tc>
        <w:tc>
          <w:tcPr>
            <w:tcW w:w="132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72BIPFL"/>
              <w:jc w:val="right"/>
              <w:rPr>
                <w:rFonts w:ascii="Verdana" w:eastAsia="Verdana" w:hAnsi="Verdana" w:cs="Verdana"/>
                <w:i/>
                <w:noProof/>
                <w:color w:val="000000"/>
                <w:sz w:val="18"/>
              </w:rPr>
            </w:pPr>
            <w:r>
              <w:rPr>
                <w:rFonts w:ascii="Verdana" w:hAnsi="Verdana"/>
                <w:i/>
                <w:noProof/>
                <w:color w:val="000000"/>
                <w:sz w:val="18"/>
              </w:rPr>
              <w:t xml:space="preserve"> 20</w:t>
            </w:r>
          </w:p>
        </w:tc>
        <w:tc>
          <w:tcPr>
            <w:tcW w:w="132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72BIPFL"/>
              <w:jc w:val="right"/>
              <w:rPr>
                <w:rFonts w:ascii="Verdana" w:eastAsia="Verdana" w:hAnsi="Verdana" w:cs="Verdana"/>
                <w:i/>
                <w:noProof/>
                <w:color w:val="000000"/>
                <w:sz w:val="18"/>
              </w:rPr>
            </w:pPr>
            <w:r>
              <w:rPr>
                <w:rFonts w:ascii="Verdana" w:hAnsi="Verdana"/>
                <w:i/>
                <w:noProof/>
                <w:color w:val="000000"/>
                <w:sz w:val="18"/>
              </w:rPr>
              <w:t xml:space="preserve"> 64</w:t>
            </w:r>
          </w:p>
        </w:tc>
        <w:tc>
          <w:tcPr>
            <w:tcW w:w="130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72BIPFL"/>
              <w:jc w:val="right"/>
              <w:rPr>
                <w:rFonts w:ascii="Verdana" w:eastAsia="Verdana" w:hAnsi="Verdana" w:cs="Verdana"/>
                <w:i/>
                <w:noProof/>
                <w:color w:val="000000"/>
                <w:sz w:val="18"/>
              </w:rPr>
            </w:pPr>
            <w:r>
              <w:rPr>
                <w:rFonts w:ascii="Verdana" w:hAnsi="Verdana"/>
                <w:i/>
                <w:noProof/>
                <w:color w:val="000000"/>
                <w:sz w:val="18"/>
              </w:rPr>
              <w:t xml:space="preserve"> 59</w:t>
            </w:r>
          </w:p>
        </w:tc>
        <w:tc>
          <w:tcPr>
            <w:tcW w:w="133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72BIPFL"/>
              <w:jc w:val="right"/>
              <w:rPr>
                <w:rFonts w:ascii="Verdana" w:eastAsia="Verdana" w:hAnsi="Verdana" w:cs="Verdana"/>
                <w:i/>
                <w:noProof/>
                <w:color w:val="000000"/>
                <w:sz w:val="18"/>
              </w:rPr>
            </w:pPr>
            <w:r>
              <w:rPr>
                <w:rFonts w:ascii="Verdana" w:hAnsi="Verdana"/>
                <w:i/>
                <w:noProof/>
                <w:color w:val="000000"/>
                <w:sz w:val="18"/>
              </w:rPr>
              <w:t xml:space="preserve"> 143</w:t>
            </w:r>
          </w:p>
        </w:tc>
      </w:tr>
      <w:tr>
        <w:trPr>
          <w:trHeight w:val="255"/>
        </w:trPr>
        <w:tc>
          <w:tcPr>
            <w:tcW w:w="447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72BIPFL"/>
              <w:rPr>
                <w:rFonts w:ascii="Verdana" w:eastAsia="Verdana" w:hAnsi="Verdana" w:cs="Verdana"/>
                <w:b/>
                <w:noProof/>
                <w:color w:val="000000"/>
                <w:sz w:val="18"/>
              </w:rPr>
            </w:pPr>
            <w:r>
              <w:rPr>
                <w:rFonts w:ascii="Verdana" w:hAnsi="Verdana"/>
                <w:b/>
                <w:noProof/>
                <w:color w:val="000000"/>
                <w:sz w:val="18"/>
              </w:rPr>
              <w:t>Total des paiements minimaux futurs au titre de crédits-bails au 31.12.2025</w:t>
            </w:r>
          </w:p>
        </w:tc>
        <w:tc>
          <w:tcPr>
            <w:tcW w:w="132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72BIPFL"/>
              <w:jc w:val="right"/>
              <w:rPr>
                <w:rFonts w:ascii="Verdana" w:eastAsia="Verdana" w:hAnsi="Verdana" w:cs="Verdana"/>
                <w:b/>
                <w:noProof/>
                <w:color w:val="000000"/>
                <w:sz w:val="18"/>
              </w:rPr>
            </w:pPr>
            <w:r>
              <w:rPr>
                <w:rFonts w:ascii="Verdana" w:hAnsi="Verdana"/>
                <w:b/>
                <w:noProof/>
                <w:color w:val="000000"/>
                <w:sz w:val="18"/>
              </w:rPr>
              <w:t xml:space="preserve"> 110</w:t>
            </w:r>
          </w:p>
        </w:tc>
        <w:tc>
          <w:tcPr>
            <w:tcW w:w="132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72BIPFL"/>
              <w:jc w:val="right"/>
              <w:rPr>
                <w:rFonts w:ascii="Verdana" w:eastAsia="Verdana" w:hAnsi="Verdana" w:cs="Verdana"/>
                <w:b/>
                <w:noProof/>
                <w:color w:val="000000"/>
                <w:sz w:val="18"/>
              </w:rPr>
            </w:pPr>
            <w:r>
              <w:rPr>
                <w:rFonts w:ascii="Verdana" w:hAnsi="Verdana"/>
                <w:b/>
                <w:noProof/>
                <w:color w:val="000000"/>
                <w:sz w:val="18"/>
              </w:rPr>
              <w:t xml:space="preserve"> 327</w:t>
            </w:r>
          </w:p>
        </w:tc>
        <w:tc>
          <w:tcPr>
            <w:tcW w:w="130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72BIPFL"/>
              <w:jc w:val="right"/>
              <w:rPr>
                <w:rFonts w:ascii="Verdana" w:eastAsia="Verdana" w:hAnsi="Verdana" w:cs="Verdana"/>
                <w:b/>
                <w:noProof/>
                <w:color w:val="000000"/>
                <w:sz w:val="18"/>
              </w:rPr>
            </w:pPr>
            <w:r>
              <w:rPr>
                <w:rFonts w:ascii="Verdana" w:hAnsi="Verdana"/>
                <w:b/>
                <w:noProof/>
                <w:color w:val="000000"/>
                <w:sz w:val="18"/>
              </w:rPr>
              <w:t xml:space="preserve"> 308</w:t>
            </w:r>
          </w:p>
        </w:tc>
        <w:tc>
          <w:tcPr>
            <w:tcW w:w="133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72BIPFL"/>
              <w:jc w:val="right"/>
              <w:rPr>
                <w:rFonts w:ascii="Verdana" w:eastAsia="Verdana" w:hAnsi="Verdana" w:cs="Verdana"/>
                <w:b/>
                <w:noProof/>
                <w:color w:val="000000"/>
                <w:sz w:val="18"/>
              </w:rPr>
            </w:pPr>
            <w:r>
              <w:rPr>
                <w:rFonts w:ascii="Verdana" w:hAnsi="Verdana"/>
                <w:b/>
                <w:noProof/>
                <w:color w:val="000000"/>
                <w:sz w:val="18"/>
              </w:rPr>
              <w:t xml:space="preserve"> 744</w:t>
            </w:r>
          </w:p>
        </w:tc>
      </w:tr>
      <w:tr>
        <w:trPr>
          <w:trHeight w:val="255"/>
        </w:trPr>
        <w:tc>
          <w:tcPr>
            <w:tcW w:w="4474" w:type="dxa"/>
            <w:tcBorders>
              <w:top w:val="single" w:sz="4" w:space="0" w:color="016794"/>
              <w:left w:val="nil"/>
              <w:bottom w:val="nil"/>
              <w:right w:val="nil"/>
              <w:tl2br w:val="nil"/>
              <w:tr2bl w:val="nil"/>
            </w:tcBorders>
            <w:tcMar>
              <w:left w:w="60" w:type="dxa"/>
              <w:right w:w="60" w:type="dxa"/>
            </w:tcMar>
            <w:vAlign w:val="center"/>
          </w:tcPr>
          <w:p>
            <w:pPr>
              <w:pStyle w:val="DMETW36772BIPFL"/>
              <w:rPr>
                <w:rFonts w:ascii="Verdana" w:eastAsia="Verdana" w:hAnsi="Verdana" w:cs="Verdana"/>
                <w:i/>
                <w:noProof/>
                <w:color w:val="000000"/>
                <w:sz w:val="18"/>
              </w:rPr>
            </w:pPr>
            <w:r>
              <w:rPr>
                <w:rFonts w:ascii="Verdana" w:hAnsi="Verdana"/>
                <w:i/>
                <w:noProof/>
                <w:color w:val="000000"/>
                <w:sz w:val="18"/>
              </w:rPr>
              <w:t>Total des paiements minimaux futurs au titre de crédits-bails au 31.12.2024</w:t>
            </w:r>
          </w:p>
        </w:tc>
        <w:tc>
          <w:tcPr>
            <w:tcW w:w="1321" w:type="dxa"/>
            <w:tcBorders>
              <w:top w:val="single" w:sz="4" w:space="0" w:color="016794"/>
              <w:left w:val="nil"/>
              <w:bottom w:val="nil"/>
              <w:right w:val="nil"/>
              <w:tl2br w:val="nil"/>
              <w:tr2bl w:val="nil"/>
            </w:tcBorders>
            <w:tcMar>
              <w:left w:w="60" w:type="dxa"/>
              <w:right w:w="60" w:type="dxa"/>
            </w:tcMar>
            <w:vAlign w:val="center"/>
          </w:tcPr>
          <w:p>
            <w:pPr>
              <w:pStyle w:val="DMETW36772BIPFL"/>
              <w:jc w:val="right"/>
              <w:rPr>
                <w:rFonts w:ascii="Verdana" w:eastAsia="Verdana" w:hAnsi="Verdana" w:cs="Verdana"/>
                <w:i/>
                <w:noProof/>
                <w:color w:val="000000"/>
                <w:sz w:val="18"/>
              </w:rPr>
            </w:pPr>
            <w:r>
              <w:rPr>
                <w:rFonts w:ascii="Verdana" w:hAnsi="Verdana"/>
                <w:i/>
                <w:noProof/>
                <w:color w:val="000000"/>
                <w:sz w:val="18"/>
              </w:rPr>
              <w:t xml:space="preserve"> 102</w:t>
            </w:r>
          </w:p>
        </w:tc>
        <w:tc>
          <w:tcPr>
            <w:tcW w:w="1321" w:type="dxa"/>
            <w:tcBorders>
              <w:top w:val="single" w:sz="4" w:space="0" w:color="016794"/>
              <w:left w:val="nil"/>
              <w:bottom w:val="nil"/>
              <w:right w:val="nil"/>
              <w:tl2br w:val="nil"/>
              <w:tr2bl w:val="nil"/>
            </w:tcBorders>
            <w:tcMar>
              <w:left w:w="60" w:type="dxa"/>
              <w:right w:w="60" w:type="dxa"/>
            </w:tcMar>
            <w:vAlign w:val="center"/>
          </w:tcPr>
          <w:p>
            <w:pPr>
              <w:pStyle w:val="DMETW36772BIPFL"/>
              <w:jc w:val="right"/>
              <w:rPr>
                <w:rFonts w:ascii="Verdana" w:eastAsia="Verdana" w:hAnsi="Verdana" w:cs="Verdana"/>
                <w:i/>
                <w:noProof/>
                <w:color w:val="000000"/>
                <w:sz w:val="18"/>
              </w:rPr>
            </w:pPr>
            <w:r>
              <w:rPr>
                <w:rFonts w:ascii="Verdana" w:hAnsi="Verdana"/>
                <w:i/>
                <w:noProof/>
                <w:color w:val="000000"/>
                <w:sz w:val="18"/>
              </w:rPr>
              <w:t xml:space="preserve"> 361</w:t>
            </w:r>
          </w:p>
        </w:tc>
        <w:tc>
          <w:tcPr>
            <w:tcW w:w="1308" w:type="dxa"/>
            <w:tcBorders>
              <w:top w:val="single" w:sz="4" w:space="0" w:color="016794"/>
              <w:left w:val="nil"/>
              <w:bottom w:val="nil"/>
              <w:right w:val="nil"/>
              <w:tl2br w:val="nil"/>
              <w:tr2bl w:val="nil"/>
            </w:tcBorders>
            <w:tcMar>
              <w:left w:w="60" w:type="dxa"/>
              <w:right w:w="60" w:type="dxa"/>
            </w:tcMar>
            <w:vAlign w:val="center"/>
          </w:tcPr>
          <w:p>
            <w:pPr>
              <w:pStyle w:val="DMETW36772BIPFL"/>
              <w:jc w:val="right"/>
              <w:rPr>
                <w:rFonts w:ascii="Verdana" w:eastAsia="Verdana" w:hAnsi="Verdana" w:cs="Verdana"/>
                <w:i/>
                <w:noProof/>
                <w:color w:val="000000"/>
                <w:sz w:val="18"/>
              </w:rPr>
            </w:pPr>
            <w:r>
              <w:rPr>
                <w:rFonts w:ascii="Verdana" w:hAnsi="Verdana"/>
                <w:i/>
                <w:noProof/>
                <w:color w:val="000000"/>
                <w:sz w:val="18"/>
              </w:rPr>
              <w:t xml:space="preserve"> 393</w:t>
            </w:r>
          </w:p>
        </w:tc>
        <w:tc>
          <w:tcPr>
            <w:tcW w:w="1334" w:type="dxa"/>
            <w:tcBorders>
              <w:top w:val="single" w:sz="4" w:space="0" w:color="016794"/>
              <w:left w:val="nil"/>
              <w:bottom w:val="nil"/>
              <w:right w:val="nil"/>
              <w:tl2br w:val="nil"/>
              <w:tr2bl w:val="nil"/>
            </w:tcBorders>
            <w:tcMar>
              <w:left w:w="60" w:type="dxa"/>
              <w:right w:w="60" w:type="dxa"/>
            </w:tcMar>
            <w:vAlign w:val="center"/>
          </w:tcPr>
          <w:p>
            <w:pPr>
              <w:pStyle w:val="DMETW36772BIPFL"/>
              <w:jc w:val="right"/>
              <w:rPr>
                <w:rFonts w:ascii="Verdana" w:eastAsia="Verdana" w:hAnsi="Verdana" w:cs="Verdana"/>
                <w:i/>
                <w:noProof/>
                <w:color w:val="000000"/>
                <w:sz w:val="18"/>
              </w:rPr>
            </w:pPr>
            <w:r>
              <w:rPr>
                <w:rFonts w:ascii="Verdana" w:hAnsi="Verdana"/>
                <w:i/>
                <w:noProof/>
                <w:color w:val="000000"/>
                <w:sz w:val="18"/>
              </w:rPr>
              <w:t xml:space="preserve"> 856</w:t>
            </w:r>
          </w:p>
        </w:tc>
      </w:tr>
    </w:tbl>
    <w:p>
      <w:pPr>
        <w:pStyle w:val="HEADER5"/>
        <w:rPr>
          <w:noProof/>
        </w:rPr>
      </w:pPr>
    </w:p>
    <w:p>
      <w:pPr>
        <w:pStyle w:val="DGTextstand-alone"/>
      </w:pPr>
      <w:r>
        <w:t>Les montants relatifs à la location et aux bâtiments indiqués ci-dessus devront être financés par les budgets ultérieurs.</w:t>
      </w:r>
    </w:p>
    <w:p>
      <w:pPr>
        <w:pStyle w:val="DGTextstand-alone"/>
      </w:pPr>
      <w:r>
        <w:lastRenderedPageBreak/>
        <w:t>Les contributions avec conditions concernent des contributions des États membres et d’autres donateurs aux programmes de l’UE, en particulier à InvestEU (voir note </w:t>
      </w:r>
      <w:r>
        <w:rPr>
          <w:b/>
        </w:rPr>
        <w:t>4.1.1</w:t>
      </w:r>
      <w:r>
        <w:t>), dans le cadre desquelles l’UE a l’obligation de restituer tous les éventuels fonds inutilisés au contributeur.</w:t>
      </w:r>
    </w:p>
    <w:p>
      <w:pPr>
        <w:pStyle w:val="HEADER3NOTES"/>
        <w:numPr>
          <w:ilvl w:val="2"/>
          <w:numId w:val="15"/>
        </w:numPr>
        <w:rPr>
          <w:noProof/>
        </w:rPr>
      </w:pPr>
      <w:r>
        <w:rPr>
          <w:noProof/>
        </w:rPr>
        <w:t>Passifs liés à la garantie financière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5"/>
        <w:gridCol w:w="1843"/>
        <w:gridCol w:w="1701"/>
        <w:gridCol w:w="1843"/>
        <w:gridCol w:w="1476"/>
      </w:tblGrid>
      <w:tr>
        <w:trPr>
          <w:trHeight w:val="255"/>
        </w:trPr>
        <w:tc>
          <w:tcPr>
            <w:tcW w:w="2895" w:type="dxa"/>
            <w:tcBorders>
              <w:top w:val="nil"/>
              <w:left w:val="nil"/>
              <w:bottom w:val="nil"/>
              <w:right w:val="nil"/>
              <w:tl2br w:val="nil"/>
              <w:tr2bl w:val="nil"/>
            </w:tcBorders>
            <w:tcMar>
              <w:left w:w="60" w:type="dxa"/>
              <w:right w:w="60" w:type="dxa"/>
            </w:tcMar>
            <w:vAlign w:val="center"/>
          </w:tcPr>
          <w:p>
            <w:pPr>
              <w:pStyle w:val="DMETW36633BIPFGL"/>
              <w:rPr>
                <w:rFonts w:ascii="Verdana" w:eastAsia="Verdana" w:hAnsi="Verdana" w:cs="Verdana"/>
                <w:noProof/>
                <w:color w:val="000000"/>
                <w:sz w:val="18"/>
              </w:rPr>
            </w:pPr>
            <w:bookmarkStart w:id="165" w:name="DOC_TBL00061_1_1"/>
            <w:bookmarkEnd w:id="165"/>
          </w:p>
        </w:tc>
        <w:tc>
          <w:tcPr>
            <w:tcW w:w="1843" w:type="dxa"/>
            <w:tcBorders>
              <w:top w:val="nil"/>
              <w:left w:val="nil"/>
              <w:bottom w:val="nil"/>
              <w:right w:val="nil"/>
              <w:tl2br w:val="nil"/>
              <w:tr2bl w:val="nil"/>
            </w:tcBorders>
            <w:tcMar>
              <w:left w:w="60" w:type="dxa"/>
              <w:right w:w="60" w:type="dxa"/>
            </w:tcMar>
            <w:vAlign w:val="center"/>
          </w:tcPr>
          <w:p>
            <w:pPr>
              <w:pStyle w:val="DMETW36633BIPFGL"/>
              <w:rPr>
                <w:rFonts w:ascii="Verdana" w:eastAsia="Verdana" w:hAnsi="Verdana" w:cs="Verdana"/>
                <w:noProof/>
                <w:color w:val="000000"/>
                <w:sz w:val="18"/>
              </w:rPr>
            </w:pPr>
          </w:p>
        </w:tc>
        <w:tc>
          <w:tcPr>
            <w:tcW w:w="1701" w:type="dxa"/>
            <w:tcBorders>
              <w:top w:val="nil"/>
              <w:left w:val="nil"/>
              <w:bottom w:val="nil"/>
              <w:right w:val="nil"/>
              <w:tl2br w:val="nil"/>
              <w:tr2bl w:val="nil"/>
            </w:tcBorders>
            <w:tcMar>
              <w:left w:w="60" w:type="dxa"/>
              <w:right w:w="60" w:type="dxa"/>
            </w:tcMar>
            <w:vAlign w:val="center"/>
          </w:tcPr>
          <w:p>
            <w:pPr>
              <w:pStyle w:val="DMETW36633BIPFGL"/>
              <w:rPr>
                <w:rFonts w:ascii="Verdana" w:eastAsia="Verdana" w:hAnsi="Verdana" w:cs="Verdana"/>
                <w:noProof/>
                <w:color w:val="000000"/>
                <w:sz w:val="18"/>
              </w:rPr>
            </w:pPr>
          </w:p>
        </w:tc>
        <w:tc>
          <w:tcPr>
            <w:tcW w:w="1843" w:type="dxa"/>
            <w:tcBorders>
              <w:top w:val="nil"/>
              <w:left w:val="nil"/>
              <w:bottom w:val="nil"/>
              <w:right w:val="nil"/>
              <w:tl2br w:val="nil"/>
              <w:tr2bl w:val="nil"/>
            </w:tcBorders>
            <w:tcMar>
              <w:left w:w="60" w:type="dxa"/>
              <w:right w:w="60" w:type="dxa"/>
            </w:tcMar>
            <w:vAlign w:val="center"/>
          </w:tcPr>
          <w:p>
            <w:pPr>
              <w:pStyle w:val="DMETW36633BIPFGL"/>
              <w:rPr>
                <w:rFonts w:ascii="Verdana" w:eastAsia="Verdana" w:hAnsi="Verdana" w:cs="Verdana"/>
                <w:noProof/>
                <w:color w:val="000000"/>
                <w:sz w:val="18"/>
              </w:rPr>
            </w:pPr>
          </w:p>
        </w:tc>
        <w:tc>
          <w:tcPr>
            <w:tcW w:w="1476" w:type="dxa"/>
            <w:tcBorders>
              <w:top w:val="nil"/>
              <w:left w:val="nil"/>
              <w:bottom w:val="nil"/>
              <w:right w:val="nil"/>
              <w:tl2br w:val="nil"/>
              <w:tr2bl w:val="nil"/>
            </w:tcBorders>
            <w:tcMar>
              <w:left w:w="60" w:type="dxa"/>
              <w:right w:w="60" w:type="dxa"/>
            </w:tcMar>
            <w:vAlign w:val="bottom"/>
          </w:tcPr>
          <w:p>
            <w:pPr>
              <w:pStyle w:val="DMETW36633BIPFGL"/>
              <w:jc w:val="right"/>
              <w:rPr>
                <w:rFonts w:ascii="Verdana" w:eastAsia="Verdana" w:hAnsi="Verdana" w:cs="Verdana"/>
                <w:i/>
                <w:noProof/>
                <w:color w:val="000000"/>
                <w:sz w:val="18"/>
              </w:rPr>
            </w:pPr>
            <w:r>
              <w:rPr>
                <w:rFonts w:ascii="Verdana" w:hAnsi="Verdana"/>
                <w:i/>
                <w:noProof/>
                <w:color w:val="000000"/>
                <w:sz w:val="18"/>
              </w:rPr>
              <w:t>en Mio EUR</w:t>
            </w:r>
          </w:p>
        </w:tc>
      </w:tr>
      <w:tr>
        <w:trPr>
          <w:trHeight w:val="255"/>
        </w:trPr>
        <w:tc>
          <w:tcPr>
            <w:tcW w:w="2895" w:type="dxa"/>
            <w:tcBorders>
              <w:top w:val="nil"/>
              <w:left w:val="nil"/>
              <w:bottom w:val="nil"/>
              <w:right w:val="nil"/>
              <w:tl2br w:val="nil"/>
              <w:tr2bl w:val="nil"/>
            </w:tcBorders>
            <w:shd w:val="solid" w:color="016794" w:fill="FFFFFF"/>
            <w:tcMar>
              <w:left w:w="60" w:type="dxa"/>
              <w:right w:w="60" w:type="dxa"/>
            </w:tcMar>
            <w:vAlign w:val="center"/>
          </w:tcPr>
          <w:p>
            <w:pPr>
              <w:pStyle w:val="DMETW36633BIPFGL"/>
              <w:rPr>
                <w:rFonts w:ascii="Verdana" w:eastAsia="Verdana" w:hAnsi="Verdana" w:cs="Verdana"/>
                <w:noProof/>
                <w:color w:val="FFFFFF"/>
                <w:sz w:val="18"/>
              </w:rPr>
            </w:pPr>
          </w:p>
        </w:tc>
        <w:tc>
          <w:tcPr>
            <w:tcW w:w="1843" w:type="dxa"/>
            <w:tcBorders>
              <w:top w:val="nil"/>
              <w:left w:val="nil"/>
              <w:bottom w:val="nil"/>
              <w:right w:val="nil"/>
              <w:tl2br w:val="nil"/>
              <w:tr2bl w:val="nil"/>
            </w:tcBorders>
            <w:shd w:val="solid" w:color="016794" w:fill="FFFFFF"/>
            <w:tcMar>
              <w:left w:w="60" w:type="dxa"/>
              <w:right w:w="60" w:type="dxa"/>
            </w:tcMar>
            <w:vAlign w:val="center"/>
          </w:tcPr>
          <w:p>
            <w:pPr>
              <w:pStyle w:val="DMETW36633BIPFGL"/>
              <w:jc w:val="right"/>
              <w:rPr>
                <w:rFonts w:ascii="Verdana" w:eastAsia="Verdana" w:hAnsi="Verdana" w:cs="Verdana"/>
                <w:noProof/>
                <w:color w:val="FFFFFF"/>
                <w:sz w:val="18"/>
              </w:rPr>
            </w:pPr>
            <w:r>
              <w:rPr>
                <w:rFonts w:ascii="Verdana" w:hAnsi="Verdana"/>
                <w:noProof/>
                <w:color w:val="FFFFFF"/>
                <w:sz w:val="18"/>
              </w:rPr>
              <w:t>31.12.2025</w:t>
            </w:r>
          </w:p>
        </w:tc>
        <w:tc>
          <w:tcPr>
            <w:tcW w:w="1701" w:type="dxa"/>
            <w:tcBorders>
              <w:top w:val="nil"/>
              <w:left w:val="nil"/>
              <w:bottom w:val="nil"/>
              <w:right w:val="nil"/>
              <w:tl2br w:val="nil"/>
              <w:tr2bl w:val="nil"/>
            </w:tcBorders>
            <w:shd w:val="solid" w:color="016794" w:fill="FFFFFF"/>
            <w:tcMar>
              <w:left w:w="60" w:type="dxa"/>
              <w:right w:w="60" w:type="dxa"/>
            </w:tcMar>
            <w:vAlign w:val="center"/>
          </w:tcPr>
          <w:p>
            <w:pPr>
              <w:pStyle w:val="DMETW36633BIPFGL"/>
              <w:rPr>
                <w:rFonts w:ascii="Verdana" w:eastAsia="Verdana" w:hAnsi="Verdana" w:cs="Verdana"/>
                <w:noProof/>
                <w:color w:val="FFFFFF"/>
                <w:sz w:val="18"/>
              </w:rPr>
            </w:pPr>
          </w:p>
        </w:tc>
        <w:tc>
          <w:tcPr>
            <w:tcW w:w="1843" w:type="dxa"/>
            <w:tcBorders>
              <w:top w:val="nil"/>
              <w:left w:val="nil"/>
              <w:bottom w:val="nil"/>
              <w:right w:val="nil"/>
              <w:tl2br w:val="nil"/>
              <w:tr2bl w:val="nil"/>
            </w:tcBorders>
            <w:shd w:val="solid" w:color="016794" w:fill="FFFFFF"/>
            <w:tcMar>
              <w:left w:w="60" w:type="dxa"/>
              <w:right w:w="60" w:type="dxa"/>
            </w:tcMar>
            <w:vAlign w:val="center"/>
          </w:tcPr>
          <w:p>
            <w:pPr>
              <w:pStyle w:val="DMETW36633BIPFGL"/>
              <w:jc w:val="right"/>
              <w:rPr>
                <w:rFonts w:ascii="Verdana" w:eastAsia="Verdana" w:hAnsi="Verdana" w:cs="Verdana"/>
                <w:noProof/>
                <w:color w:val="FFFFFF"/>
                <w:sz w:val="18"/>
              </w:rPr>
            </w:pPr>
            <w:r>
              <w:rPr>
                <w:rFonts w:ascii="Verdana" w:hAnsi="Verdana"/>
                <w:noProof/>
                <w:color w:val="FFFFFF"/>
                <w:sz w:val="18"/>
              </w:rPr>
              <w:t>31.12.2024</w:t>
            </w:r>
          </w:p>
        </w:tc>
        <w:tc>
          <w:tcPr>
            <w:tcW w:w="1476" w:type="dxa"/>
            <w:tcBorders>
              <w:top w:val="nil"/>
              <w:left w:val="nil"/>
              <w:bottom w:val="nil"/>
              <w:right w:val="nil"/>
              <w:tl2br w:val="nil"/>
              <w:tr2bl w:val="nil"/>
            </w:tcBorders>
            <w:shd w:val="solid" w:color="016794" w:fill="FFFFFF"/>
            <w:tcMar>
              <w:left w:w="60" w:type="dxa"/>
              <w:right w:w="60" w:type="dxa"/>
            </w:tcMar>
            <w:vAlign w:val="center"/>
          </w:tcPr>
          <w:p>
            <w:pPr>
              <w:pStyle w:val="DMETW36633BIPFGL"/>
              <w:rPr>
                <w:rFonts w:ascii="Verdana" w:eastAsia="Verdana" w:hAnsi="Verdana" w:cs="Verdana"/>
                <w:noProof/>
                <w:color w:val="FFFFFF"/>
                <w:sz w:val="18"/>
                <w:lang w:bidi="en-GB"/>
              </w:rPr>
            </w:pPr>
          </w:p>
        </w:tc>
      </w:tr>
      <w:tr>
        <w:trPr>
          <w:trHeight w:val="255"/>
        </w:trPr>
        <w:tc>
          <w:tcPr>
            <w:tcW w:w="2895" w:type="dxa"/>
            <w:tcBorders>
              <w:top w:val="nil"/>
              <w:left w:val="nil"/>
              <w:bottom w:val="nil"/>
              <w:right w:val="nil"/>
              <w:tl2br w:val="nil"/>
              <w:tr2bl w:val="nil"/>
            </w:tcBorders>
            <w:shd w:val="solid" w:color="016794" w:fill="FFFFFF"/>
            <w:tcMar>
              <w:left w:w="60" w:type="dxa"/>
              <w:right w:w="60" w:type="dxa"/>
            </w:tcMar>
            <w:vAlign w:val="center"/>
          </w:tcPr>
          <w:p>
            <w:pPr>
              <w:pStyle w:val="DMETW36633BIPFGL"/>
              <w:rPr>
                <w:rFonts w:ascii="Verdana" w:eastAsia="Verdana" w:hAnsi="Verdana" w:cs="Verdana"/>
                <w:noProof/>
                <w:color w:val="FFFFFF"/>
                <w:sz w:val="18"/>
              </w:rPr>
            </w:pPr>
          </w:p>
        </w:tc>
        <w:tc>
          <w:tcPr>
            <w:tcW w:w="1843" w:type="dxa"/>
            <w:tcBorders>
              <w:top w:val="nil"/>
              <w:left w:val="nil"/>
              <w:bottom w:val="nil"/>
              <w:right w:val="nil"/>
              <w:tl2br w:val="nil"/>
              <w:tr2bl w:val="nil"/>
            </w:tcBorders>
            <w:shd w:val="solid" w:color="016794" w:fill="FFFFFF"/>
            <w:tcMar>
              <w:left w:w="60" w:type="dxa"/>
              <w:right w:w="60" w:type="dxa"/>
            </w:tcMar>
            <w:vAlign w:val="center"/>
          </w:tcPr>
          <w:p>
            <w:pPr>
              <w:pStyle w:val="DMETW36633BIPFGL"/>
              <w:jc w:val="right"/>
              <w:rPr>
                <w:rFonts w:ascii="Verdana" w:eastAsia="Verdana" w:hAnsi="Verdana" w:cs="Verdana"/>
                <w:noProof/>
                <w:color w:val="FFFFFF"/>
                <w:sz w:val="18"/>
              </w:rPr>
            </w:pPr>
            <w:r>
              <w:rPr>
                <w:rFonts w:ascii="Verdana" w:hAnsi="Verdana"/>
                <w:noProof/>
                <w:color w:val="FFFFFF"/>
                <w:sz w:val="18"/>
              </w:rPr>
              <w:t xml:space="preserve">Garantie financière – branche receveur </w:t>
            </w:r>
          </w:p>
          <w:p>
            <w:pPr>
              <w:pStyle w:val="DMETW36633BIPFGL"/>
              <w:jc w:val="right"/>
              <w:rPr>
                <w:rFonts w:ascii="Verdana" w:eastAsia="Verdana" w:hAnsi="Verdana" w:cs="Verdana"/>
                <w:noProof/>
                <w:color w:val="FFFFFF"/>
                <w:sz w:val="18"/>
              </w:rPr>
            </w:pPr>
            <w:r>
              <w:rPr>
                <w:rFonts w:ascii="Verdana" w:hAnsi="Verdana"/>
                <w:noProof/>
                <w:color w:val="FFFFFF"/>
                <w:sz w:val="18"/>
              </w:rPr>
              <w:t>(Note 2.6.2)</w:t>
            </w:r>
          </w:p>
        </w:tc>
        <w:tc>
          <w:tcPr>
            <w:tcW w:w="1701" w:type="dxa"/>
            <w:tcBorders>
              <w:top w:val="nil"/>
              <w:left w:val="nil"/>
              <w:bottom w:val="nil"/>
              <w:right w:val="nil"/>
              <w:tl2br w:val="nil"/>
              <w:tr2bl w:val="nil"/>
            </w:tcBorders>
            <w:shd w:val="solid" w:color="016794" w:fill="FFFFFF"/>
            <w:tcMar>
              <w:left w:w="60" w:type="dxa"/>
              <w:right w:w="60" w:type="dxa"/>
            </w:tcMar>
            <w:vAlign w:val="center"/>
          </w:tcPr>
          <w:p>
            <w:pPr>
              <w:pStyle w:val="DMETW36633BIPFGL"/>
              <w:jc w:val="right"/>
              <w:rPr>
                <w:rFonts w:ascii="Verdana" w:eastAsia="Verdana" w:hAnsi="Verdana" w:cs="Verdana"/>
                <w:noProof/>
                <w:color w:val="FFFFFF"/>
                <w:sz w:val="18"/>
              </w:rPr>
            </w:pPr>
            <w:r>
              <w:rPr>
                <w:rFonts w:ascii="Verdana" w:hAnsi="Verdana"/>
                <w:noProof/>
                <w:color w:val="FFFFFF"/>
                <w:sz w:val="18"/>
              </w:rPr>
              <w:t>Passif lié à une garantie</w:t>
            </w:r>
          </w:p>
          <w:p>
            <w:pPr>
              <w:pStyle w:val="DMETW36633BIPFGL"/>
              <w:jc w:val="right"/>
              <w:rPr>
                <w:rFonts w:ascii="Verdana" w:eastAsia="Verdana" w:hAnsi="Verdana" w:cs="Verdana"/>
                <w:noProof/>
                <w:color w:val="FFFFFF"/>
                <w:sz w:val="18"/>
              </w:rPr>
            </w:pPr>
            <w:r>
              <w:rPr>
                <w:rFonts w:ascii="Verdana" w:hAnsi="Verdana"/>
                <w:noProof/>
                <w:color w:val="FFFFFF"/>
                <w:sz w:val="18"/>
              </w:rPr>
              <w:t xml:space="preserve"> financière</w:t>
            </w:r>
          </w:p>
        </w:tc>
        <w:tc>
          <w:tcPr>
            <w:tcW w:w="1843" w:type="dxa"/>
            <w:tcBorders>
              <w:top w:val="nil"/>
              <w:left w:val="nil"/>
              <w:bottom w:val="nil"/>
              <w:right w:val="nil"/>
              <w:tl2br w:val="nil"/>
              <w:tr2bl w:val="nil"/>
            </w:tcBorders>
            <w:shd w:val="solid" w:color="016794" w:fill="FFFFFF"/>
            <w:tcMar>
              <w:left w:w="60" w:type="dxa"/>
              <w:right w:w="60" w:type="dxa"/>
            </w:tcMar>
            <w:vAlign w:val="center"/>
          </w:tcPr>
          <w:p>
            <w:pPr>
              <w:pStyle w:val="DMETW36633BIPFGL"/>
              <w:jc w:val="right"/>
              <w:rPr>
                <w:rFonts w:ascii="Verdana" w:eastAsia="Verdana" w:hAnsi="Verdana" w:cs="Verdana"/>
                <w:noProof/>
                <w:color w:val="FFFFFF"/>
                <w:sz w:val="18"/>
              </w:rPr>
            </w:pPr>
            <w:r>
              <w:rPr>
                <w:rFonts w:ascii="Verdana" w:hAnsi="Verdana"/>
                <w:noProof/>
                <w:color w:val="FFFFFF"/>
                <w:sz w:val="18"/>
              </w:rPr>
              <w:t xml:space="preserve">Garantie financière – branche receveur  </w:t>
            </w:r>
          </w:p>
          <w:p>
            <w:pPr>
              <w:pStyle w:val="DMETW36633BIPFGL"/>
              <w:jc w:val="right"/>
              <w:rPr>
                <w:rFonts w:ascii="Verdana" w:eastAsia="Verdana" w:hAnsi="Verdana" w:cs="Verdana"/>
                <w:noProof/>
                <w:color w:val="FFFFFF"/>
                <w:sz w:val="18"/>
              </w:rPr>
            </w:pPr>
            <w:r>
              <w:rPr>
                <w:rFonts w:ascii="Verdana" w:hAnsi="Verdana"/>
                <w:noProof/>
                <w:color w:val="FFFFFF"/>
                <w:sz w:val="18"/>
              </w:rPr>
              <w:t>(Note 2.6.2)</w:t>
            </w:r>
          </w:p>
        </w:tc>
        <w:tc>
          <w:tcPr>
            <w:tcW w:w="1476" w:type="dxa"/>
            <w:tcBorders>
              <w:top w:val="nil"/>
              <w:left w:val="nil"/>
              <w:bottom w:val="nil"/>
              <w:right w:val="nil"/>
              <w:tl2br w:val="nil"/>
              <w:tr2bl w:val="nil"/>
            </w:tcBorders>
            <w:shd w:val="solid" w:color="016794" w:fill="FFFFFF"/>
            <w:tcMar>
              <w:left w:w="60" w:type="dxa"/>
              <w:right w:w="60" w:type="dxa"/>
            </w:tcMar>
            <w:vAlign w:val="center"/>
          </w:tcPr>
          <w:p>
            <w:pPr>
              <w:pStyle w:val="DMETW36633BIPFGL"/>
              <w:jc w:val="right"/>
              <w:rPr>
                <w:rFonts w:ascii="Verdana" w:eastAsia="Verdana" w:hAnsi="Verdana" w:cs="Verdana"/>
                <w:noProof/>
                <w:color w:val="FFFFFF"/>
                <w:sz w:val="18"/>
              </w:rPr>
            </w:pPr>
            <w:r>
              <w:rPr>
                <w:rFonts w:ascii="Verdana" w:hAnsi="Verdana"/>
                <w:noProof/>
                <w:color w:val="FFFFFF"/>
                <w:sz w:val="18"/>
              </w:rPr>
              <w:t>Passif lié à une garantie</w:t>
            </w:r>
          </w:p>
          <w:p>
            <w:pPr>
              <w:pStyle w:val="DMETW36633BIPFGL"/>
              <w:jc w:val="right"/>
              <w:rPr>
                <w:rFonts w:ascii="Verdana" w:eastAsia="Verdana" w:hAnsi="Verdana" w:cs="Verdana"/>
                <w:noProof/>
                <w:color w:val="FFFFFF"/>
                <w:sz w:val="18"/>
              </w:rPr>
            </w:pPr>
            <w:r>
              <w:rPr>
                <w:rFonts w:ascii="Verdana" w:hAnsi="Verdana"/>
                <w:noProof/>
                <w:color w:val="FFFFFF"/>
                <w:sz w:val="18"/>
              </w:rPr>
              <w:t xml:space="preserve"> financière</w:t>
            </w:r>
          </w:p>
        </w:tc>
      </w:tr>
      <w:tr>
        <w:trPr>
          <w:trHeight w:val="255"/>
        </w:trPr>
        <w:tc>
          <w:tcPr>
            <w:tcW w:w="2895" w:type="dxa"/>
            <w:tcBorders>
              <w:top w:val="nil"/>
              <w:left w:val="nil"/>
              <w:bottom w:val="nil"/>
              <w:right w:val="nil"/>
              <w:tl2br w:val="nil"/>
              <w:tr2bl w:val="nil"/>
            </w:tcBorders>
            <w:tcMar>
              <w:left w:w="60" w:type="dxa"/>
              <w:right w:w="60" w:type="dxa"/>
            </w:tcMar>
            <w:vAlign w:val="center"/>
          </w:tcPr>
          <w:p>
            <w:pPr>
              <w:pStyle w:val="DMETW36633BIPFGL"/>
              <w:rPr>
                <w:rFonts w:ascii="Verdana" w:eastAsia="Verdana" w:hAnsi="Verdana" w:cs="Verdana"/>
                <w:i/>
                <w:noProof/>
                <w:color w:val="016794"/>
                <w:sz w:val="18"/>
              </w:rPr>
            </w:pPr>
            <w:r>
              <w:rPr>
                <w:rFonts w:ascii="Verdana" w:hAnsi="Verdana"/>
                <w:i/>
                <w:noProof/>
                <w:color w:val="016794"/>
                <w:sz w:val="18"/>
              </w:rPr>
              <w:t>Programmes de garantie budgétaire de l’UE</w:t>
            </w:r>
          </w:p>
        </w:tc>
        <w:tc>
          <w:tcPr>
            <w:tcW w:w="1843"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p>
        </w:tc>
        <w:tc>
          <w:tcPr>
            <w:tcW w:w="1701"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p>
        </w:tc>
        <w:tc>
          <w:tcPr>
            <w:tcW w:w="1843"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p>
        </w:tc>
        <w:tc>
          <w:tcPr>
            <w:tcW w:w="1476"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lang w:bidi="en-GB"/>
              </w:rPr>
            </w:pPr>
          </w:p>
        </w:tc>
      </w:tr>
      <w:tr>
        <w:trPr>
          <w:trHeight w:val="255"/>
        </w:trPr>
        <w:tc>
          <w:tcPr>
            <w:tcW w:w="2895" w:type="dxa"/>
            <w:tcBorders>
              <w:top w:val="nil"/>
              <w:left w:val="nil"/>
              <w:bottom w:val="nil"/>
              <w:right w:val="nil"/>
              <w:tl2br w:val="nil"/>
              <w:tr2bl w:val="nil"/>
            </w:tcBorders>
            <w:tcMar>
              <w:left w:w="60" w:type="dxa"/>
              <w:right w:w="60" w:type="dxa"/>
            </w:tcMar>
            <w:vAlign w:val="center"/>
          </w:tcPr>
          <w:p>
            <w:pPr>
              <w:pStyle w:val="DMETW36633BIPFGL"/>
              <w:rPr>
                <w:rFonts w:ascii="Verdana" w:eastAsia="Verdana" w:hAnsi="Verdana" w:cs="Verdana"/>
                <w:i/>
                <w:noProof/>
                <w:color w:val="000000"/>
                <w:sz w:val="18"/>
              </w:rPr>
            </w:pPr>
            <w:r>
              <w:rPr>
                <w:rFonts w:ascii="Verdana" w:hAnsi="Verdana"/>
                <w:i/>
                <w:noProof/>
                <w:color w:val="000000"/>
                <w:sz w:val="18"/>
              </w:rPr>
              <w:t>Garanties MPE de la BEI</w:t>
            </w:r>
          </w:p>
        </w:tc>
        <w:tc>
          <w:tcPr>
            <w:tcW w:w="1843"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r>
              <w:rPr>
                <w:rFonts w:ascii="Verdana" w:hAnsi="Verdana"/>
                <w:i/>
                <w:noProof/>
                <w:color w:val="000000"/>
                <w:sz w:val="18"/>
              </w:rPr>
              <w:t xml:space="preserve"> 11</w:t>
            </w:r>
          </w:p>
        </w:tc>
        <w:tc>
          <w:tcPr>
            <w:tcW w:w="1701"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r>
              <w:rPr>
                <w:rFonts w:ascii="Verdana" w:hAnsi="Verdana"/>
                <w:i/>
                <w:noProof/>
                <w:color w:val="000000"/>
                <w:sz w:val="18"/>
              </w:rPr>
              <w:t>1 806</w:t>
            </w:r>
          </w:p>
        </w:tc>
        <w:tc>
          <w:tcPr>
            <w:tcW w:w="1843"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r>
              <w:rPr>
                <w:rFonts w:ascii="Verdana" w:hAnsi="Verdana"/>
                <w:i/>
                <w:noProof/>
                <w:color w:val="000000"/>
                <w:sz w:val="18"/>
              </w:rPr>
              <w:t xml:space="preserve"> 19</w:t>
            </w:r>
          </w:p>
        </w:tc>
        <w:tc>
          <w:tcPr>
            <w:tcW w:w="1476"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r>
              <w:rPr>
                <w:rFonts w:ascii="Verdana" w:hAnsi="Verdana"/>
                <w:i/>
                <w:noProof/>
                <w:color w:val="000000"/>
                <w:sz w:val="18"/>
              </w:rPr>
              <w:t>1 862</w:t>
            </w:r>
          </w:p>
        </w:tc>
      </w:tr>
      <w:tr>
        <w:trPr>
          <w:trHeight w:val="255"/>
        </w:trPr>
        <w:tc>
          <w:tcPr>
            <w:tcW w:w="2895" w:type="dxa"/>
            <w:tcBorders>
              <w:top w:val="nil"/>
              <w:left w:val="nil"/>
              <w:bottom w:val="nil"/>
              <w:right w:val="nil"/>
              <w:tl2br w:val="nil"/>
              <w:tr2bl w:val="nil"/>
            </w:tcBorders>
            <w:tcMar>
              <w:left w:w="60" w:type="dxa"/>
              <w:right w:w="60" w:type="dxa"/>
            </w:tcMar>
            <w:vAlign w:val="center"/>
          </w:tcPr>
          <w:p>
            <w:pPr>
              <w:pStyle w:val="DMETW36633BIPFGL"/>
              <w:rPr>
                <w:rFonts w:ascii="Verdana" w:eastAsia="Verdana" w:hAnsi="Verdana" w:cs="Verdana"/>
                <w:i/>
                <w:noProof/>
                <w:color w:val="000000"/>
                <w:sz w:val="18"/>
              </w:rPr>
            </w:pPr>
            <w:r>
              <w:rPr>
                <w:rFonts w:ascii="Verdana" w:hAnsi="Verdana"/>
                <w:i/>
                <w:noProof/>
                <w:color w:val="000000"/>
                <w:sz w:val="18"/>
              </w:rPr>
              <w:t xml:space="preserve">Garantie EFSI </w:t>
            </w:r>
          </w:p>
        </w:tc>
        <w:tc>
          <w:tcPr>
            <w:tcW w:w="1843"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r>
              <w:rPr>
                <w:rFonts w:ascii="Verdana" w:hAnsi="Verdana"/>
                <w:i/>
                <w:noProof/>
                <w:color w:val="000000"/>
                <w:sz w:val="18"/>
              </w:rPr>
              <w:t>1 248</w:t>
            </w:r>
          </w:p>
        </w:tc>
        <w:tc>
          <w:tcPr>
            <w:tcW w:w="1701"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r>
              <w:rPr>
                <w:rFonts w:ascii="Verdana" w:hAnsi="Verdana"/>
                <w:i/>
                <w:noProof/>
                <w:color w:val="000000"/>
                <w:sz w:val="18"/>
              </w:rPr>
              <w:t>1 307</w:t>
            </w:r>
          </w:p>
        </w:tc>
        <w:tc>
          <w:tcPr>
            <w:tcW w:w="1843"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r>
              <w:rPr>
                <w:rFonts w:ascii="Verdana" w:hAnsi="Verdana"/>
                <w:i/>
                <w:noProof/>
                <w:color w:val="000000"/>
                <w:sz w:val="18"/>
              </w:rPr>
              <w:t>1 345</w:t>
            </w:r>
          </w:p>
        </w:tc>
        <w:tc>
          <w:tcPr>
            <w:tcW w:w="1476"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r>
              <w:rPr>
                <w:rFonts w:ascii="Verdana" w:hAnsi="Verdana"/>
                <w:i/>
                <w:noProof/>
                <w:color w:val="000000"/>
                <w:sz w:val="18"/>
              </w:rPr>
              <w:t>1 402</w:t>
            </w:r>
          </w:p>
        </w:tc>
      </w:tr>
      <w:tr>
        <w:trPr>
          <w:trHeight w:val="255"/>
        </w:trPr>
        <w:tc>
          <w:tcPr>
            <w:tcW w:w="2895" w:type="dxa"/>
            <w:tcBorders>
              <w:top w:val="nil"/>
              <w:left w:val="nil"/>
              <w:bottom w:val="nil"/>
              <w:right w:val="nil"/>
              <w:tl2br w:val="nil"/>
              <w:tr2bl w:val="nil"/>
            </w:tcBorders>
            <w:tcMar>
              <w:left w:w="60" w:type="dxa"/>
              <w:right w:w="60" w:type="dxa"/>
            </w:tcMar>
            <w:vAlign w:val="center"/>
          </w:tcPr>
          <w:p>
            <w:pPr>
              <w:pStyle w:val="DMETW36633BIPFGL"/>
              <w:rPr>
                <w:rFonts w:ascii="Verdana" w:eastAsia="Verdana" w:hAnsi="Verdana" w:cs="Verdana"/>
                <w:i/>
                <w:noProof/>
                <w:color w:val="000000"/>
                <w:sz w:val="18"/>
              </w:rPr>
            </w:pPr>
            <w:r>
              <w:rPr>
                <w:rFonts w:ascii="Verdana" w:hAnsi="Verdana"/>
                <w:i/>
                <w:noProof/>
                <w:color w:val="000000"/>
                <w:sz w:val="18"/>
              </w:rPr>
              <w:t>Garantie FEDD</w:t>
            </w:r>
          </w:p>
        </w:tc>
        <w:tc>
          <w:tcPr>
            <w:tcW w:w="1843"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r>
              <w:rPr>
                <w:rFonts w:ascii="Verdana" w:hAnsi="Verdana"/>
                <w:i/>
                <w:noProof/>
                <w:color w:val="000000"/>
                <w:sz w:val="18"/>
              </w:rPr>
              <w:t xml:space="preserve"> 9</w:t>
            </w:r>
          </w:p>
        </w:tc>
        <w:tc>
          <w:tcPr>
            <w:tcW w:w="1701"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r>
              <w:rPr>
                <w:rFonts w:ascii="Verdana" w:hAnsi="Verdana"/>
                <w:i/>
                <w:noProof/>
                <w:color w:val="000000"/>
                <w:sz w:val="18"/>
              </w:rPr>
              <w:t xml:space="preserve"> 89</w:t>
            </w:r>
          </w:p>
        </w:tc>
        <w:tc>
          <w:tcPr>
            <w:tcW w:w="1843"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r>
              <w:rPr>
                <w:rFonts w:ascii="Verdana" w:hAnsi="Verdana"/>
                <w:i/>
                <w:noProof/>
                <w:color w:val="000000"/>
                <w:sz w:val="18"/>
              </w:rPr>
              <w:t xml:space="preserve"> 7</w:t>
            </w:r>
          </w:p>
        </w:tc>
        <w:tc>
          <w:tcPr>
            <w:tcW w:w="1476"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r>
              <w:rPr>
                <w:rFonts w:ascii="Verdana" w:hAnsi="Verdana"/>
                <w:i/>
                <w:noProof/>
                <w:color w:val="000000"/>
                <w:sz w:val="18"/>
              </w:rPr>
              <w:t xml:space="preserve"> 192</w:t>
            </w:r>
          </w:p>
        </w:tc>
      </w:tr>
      <w:tr>
        <w:trPr>
          <w:trHeight w:val="255"/>
        </w:trPr>
        <w:tc>
          <w:tcPr>
            <w:tcW w:w="2895" w:type="dxa"/>
            <w:tcBorders>
              <w:top w:val="nil"/>
              <w:left w:val="nil"/>
              <w:bottom w:val="nil"/>
              <w:right w:val="nil"/>
              <w:tl2br w:val="nil"/>
              <w:tr2bl w:val="nil"/>
            </w:tcBorders>
            <w:tcMar>
              <w:left w:w="60" w:type="dxa"/>
              <w:right w:w="60" w:type="dxa"/>
            </w:tcMar>
            <w:vAlign w:val="center"/>
          </w:tcPr>
          <w:p>
            <w:pPr>
              <w:pStyle w:val="DMETW36633BIPFGL"/>
              <w:rPr>
                <w:rFonts w:ascii="Verdana" w:eastAsia="Verdana" w:hAnsi="Verdana" w:cs="Verdana"/>
                <w:i/>
                <w:noProof/>
                <w:color w:val="000000"/>
                <w:sz w:val="18"/>
              </w:rPr>
            </w:pPr>
            <w:r>
              <w:rPr>
                <w:rFonts w:ascii="Verdana" w:hAnsi="Verdana"/>
                <w:i/>
                <w:noProof/>
                <w:color w:val="000000"/>
                <w:sz w:val="18"/>
              </w:rPr>
              <w:t>Garantie InvestEU</w:t>
            </w:r>
          </w:p>
        </w:tc>
        <w:tc>
          <w:tcPr>
            <w:tcW w:w="1843"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r>
              <w:rPr>
                <w:rFonts w:ascii="Verdana" w:hAnsi="Verdana"/>
                <w:i/>
                <w:noProof/>
                <w:color w:val="000000"/>
                <w:sz w:val="18"/>
              </w:rPr>
              <w:t xml:space="preserve"> 276</w:t>
            </w:r>
          </w:p>
        </w:tc>
        <w:tc>
          <w:tcPr>
            <w:tcW w:w="1701"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r>
              <w:rPr>
                <w:rFonts w:ascii="Verdana" w:hAnsi="Verdana"/>
                <w:i/>
                <w:noProof/>
                <w:color w:val="000000"/>
                <w:sz w:val="18"/>
              </w:rPr>
              <w:t>1 841</w:t>
            </w:r>
          </w:p>
        </w:tc>
        <w:tc>
          <w:tcPr>
            <w:tcW w:w="1843"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r>
              <w:rPr>
                <w:rFonts w:ascii="Verdana" w:hAnsi="Verdana"/>
                <w:i/>
                <w:noProof/>
                <w:color w:val="000000"/>
                <w:sz w:val="18"/>
              </w:rPr>
              <w:t xml:space="preserve"> 190</w:t>
            </w:r>
          </w:p>
        </w:tc>
        <w:tc>
          <w:tcPr>
            <w:tcW w:w="1476"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r>
              <w:rPr>
                <w:rFonts w:ascii="Verdana" w:hAnsi="Verdana"/>
                <w:i/>
                <w:noProof/>
                <w:color w:val="000000"/>
                <w:sz w:val="18"/>
              </w:rPr>
              <w:t>1 606</w:t>
            </w:r>
          </w:p>
        </w:tc>
      </w:tr>
      <w:tr>
        <w:trPr>
          <w:trHeight w:val="255"/>
        </w:trPr>
        <w:tc>
          <w:tcPr>
            <w:tcW w:w="2895" w:type="dxa"/>
            <w:tcBorders>
              <w:top w:val="nil"/>
              <w:left w:val="nil"/>
              <w:bottom w:val="nil"/>
              <w:right w:val="nil"/>
              <w:tl2br w:val="nil"/>
              <w:tr2bl w:val="nil"/>
            </w:tcBorders>
            <w:tcMar>
              <w:left w:w="60" w:type="dxa"/>
              <w:right w:w="60" w:type="dxa"/>
            </w:tcMar>
            <w:vAlign w:val="center"/>
          </w:tcPr>
          <w:p>
            <w:pPr>
              <w:pStyle w:val="DMETW36633BIPFGL"/>
              <w:rPr>
                <w:rFonts w:ascii="Verdana" w:eastAsia="Verdana" w:hAnsi="Verdana" w:cs="Verdana"/>
                <w:i/>
                <w:noProof/>
                <w:color w:val="000000"/>
                <w:sz w:val="18"/>
              </w:rPr>
            </w:pPr>
            <w:r>
              <w:rPr>
                <w:rFonts w:ascii="Verdana" w:hAnsi="Verdana"/>
                <w:i/>
                <w:noProof/>
                <w:color w:val="000000"/>
                <w:sz w:val="18"/>
              </w:rPr>
              <w:t>Garantie IVCDCI de l’UE</w:t>
            </w:r>
          </w:p>
        </w:tc>
        <w:tc>
          <w:tcPr>
            <w:tcW w:w="1843"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r>
              <w:rPr>
                <w:rFonts w:ascii="Verdana" w:hAnsi="Verdana"/>
                <w:i/>
                <w:noProof/>
                <w:color w:val="000000"/>
                <w:sz w:val="18"/>
              </w:rPr>
              <w:t xml:space="preserve"> 60</w:t>
            </w:r>
          </w:p>
        </w:tc>
        <w:tc>
          <w:tcPr>
            <w:tcW w:w="1701"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r>
              <w:rPr>
                <w:rFonts w:ascii="Verdana" w:hAnsi="Verdana"/>
                <w:i/>
                <w:noProof/>
                <w:color w:val="000000"/>
                <w:sz w:val="18"/>
              </w:rPr>
              <w:t xml:space="preserve"> 915</w:t>
            </w:r>
          </w:p>
        </w:tc>
        <w:tc>
          <w:tcPr>
            <w:tcW w:w="1843"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r>
              <w:rPr>
                <w:rFonts w:ascii="Verdana" w:hAnsi="Verdana"/>
                <w:i/>
                <w:noProof/>
                <w:color w:val="000000"/>
                <w:sz w:val="18"/>
              </w:rPr>
              <w:t xml:space="preserve"> 30</w:t>
            </w:r>
          </w:p>
        </w:tc>
        <w:tc>
          <w:tcPr>
            <w:tcW w:w="1476"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r>
              <w:rPr>
                <w:rFonts w:ascii="Verdana" w:hAnsi="Verdana"/>
                <w:i/>
                <w:noProof/>
                <w:color w:val="000000"/>
                <w:sz w:val="18"/>
              </w:rPr>
              <w:t xml:space="preserve"> 582</w:t>
            </w:r>
          </w:p>
        </w:tc>
      </w:tr>
      <w:tr>
        <w:trPr>
          <w:trHeight w:val="255"/>
        </w:trPr>
        <w:tc>
          <w:tcPr>
            <w:tcW w:w="2895" w:type="dxa"/>
            <w:tcBorders>
              <w:top w:val="nil"/>
              <w:left w:val="nil"/>
              <w:bottom w:val="nil"/>
              <w:right w:val="nil"/>
              <w:tl2br w:val="nil"/>
              <w:tr2bl w:val="nil"/>
            </w:tcBorders>
            <w:tcMar>
              <w:left w:w="60" w:type="dxa"/>
              <w:right w:w="60" w:type="dxa"/>
            </w:tcMar>
            <w:vAlign w:val="center"/>
          </w:tcPr>
          <w:p>
            <w:pPr>
              <w:pStyle w:val="DMETW36633BIPFGL"/>
              <w:rPr>
                <w:rFonts w:ascii="Verdana" w:eastAsia="Verdana" w:hAnsi="Verdana" w:cs="Verdana"/>
                <w:i/>
                <w:noProof/>
                <w:color w:val="000000"/>
                <w:sz w:val="18"/>
              </w:rPr>
            </w:pPr>
            <w:r>
              <w:rPr>
                <w:rFonts w:ascii="Verdana" w:hAnsi="Verdana"/>
                <w:i/>
                <w:noProof/>
                <w:color w:val="000000"/>
                <w:sz w:val="18"/>
              </w:rPr>
              <w:t>Garantie pour l’Ukraine</w:t>
            </w:r>
          </w:p>
        </w:tc>
        <w:tc>
          <w:tcPr>
            <w:tcW w:w="1843"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r>
              <w:rPr>
                <w:rFonts w:ascii="Verdana" w:hAnsi="Verdana"/>
                <w:i/>
                <w:noProof/>
                <w:color w:val="000000"/>
                <w:sz w:val="18"/>
              </w:rPr>
              <w:t xml:space="preserve"> 24</w:t>
            </w:r>
          </w:p>
        </w:tc>
        <w:tc>
          <w:tcPr>
            <w:tcW w:w="1701"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r>
              <w:rPr>
                <w:rFonts w:ascii="Verdana" w:hAnsi="Verdana"/>
                <w:i/>
                <w:noProof/>
                <w:color w:val="000000"/>
                <w:sz w:val="18"/>
              </w:rPr>
              <w:t>1 248</w:t>
            </w:r>
          </w:p>
        </w:tc>
        <w:tc>
          <w:tcPr>
            <w:tcW w:w="1843"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r>
              <w:rPr>
                <w:rFonts w:ascii="Verdana" w:hAnsi="Verdana"/>
                <w:i/>
                <w:noProof/>
                <w:color w:val="000000"/>
                <w:sz w:val="18"/>
              </w:rPr>
              <w:t xml:space="preserve"> 10</w:t>
            </w:r>
          </w:p>
        </w:tc>
        <w:tc>
          <w:tcPr>
            <w:tcW w:w="1476"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r>
              <w:rPr>
                <w:rFonts w:ascii="Verdana" w:hAnsi="Verdana"/>
                <w:i/>
                <w:noProof/>
                <w:color w:val="000000"/>
                <w:sz w:val="18"/>
              </w:rPr>
              <w:t xml:space="preserve"> 61</w:t>
            </w:r>
          </w:p>
        </w:tc>
      </w:tr>
      <w:tr>
        <w:trPr>
          <w:trHeight w:val="255"/>
        </w:trPr>
        <w:tc>
          <w:tcPr>
            <w:tcW w:w="2895" w:type="dxa"/>
            <w:tcBorders>
              <w:top w:val="nil"/>
              <w:left w:val="nil"/>
              <w:bottom w:val="nil"/>
              <w:right w:val="nil"/>
              <w:tl2br w:val="nil"/>
              <w:tr2bl w:val="nil"/>
            </w:tcBorders>
            <w:shd w:val="solid" w:color="CCE1EA" w:fill="FFFFFF"/>
            <w:tcMar>
              <w:left w:w="60" w:type="dxa"/>
              <w:right w:w="60" w:type="dxa"/>
            </w:tcMar>
            <w:vAlign w:val="center"/>
          </w:tcPr>
          <w:p>
            <w:pPr>
              <w:pStyle w:val="DMETW36633BIPFGL"/>
              <w:rPr>
                <w:rFonts w:ascii="Verdana" w:eastAsia="Verdana" w:hAnsi="Verdana" w:cs="Verdana"/>
                <w:b/>
                <w:noProof/>
                <w:color w:val="000000"/>
                <w:sz w:val="18"/>
              </w:rPr>
            </w:pPr>
          </w:p>
        </w:tc>
        <w:tc>
          <w:tcPr>
            <w:tcW w:w="1843" w:type="dxa"/>
            <w:tcBorders>
              <w:top w:val="nil"/>
              <w:left w:val="nil"/>
              <w:bottom w:val="nil"/>
              <w:right w:val="nil"/>
              <w:tl2br w:val="nil"/>
              <w:tr2bl w:val="nil"/>
            </w:tcBorders>
            <w:shd w:val="solid" w:color="CCE1EA" w:fill="FFFFFF"/>
            <w:tcMar>
              <w:left w:w="60" w:type="dxa"/>
              <w:right w:w="60" w:type="dxa"/>
            </w:tcMar>
            <w:vAlign w:val="center"/>
          </w:tcPr>
          <w:p>
            <w:pPr>
              <w:pStyle w:val="DMETW36633BIPFGL"/>
              <w:jc w:val="right"/>
              <w:rPr>
                <w:rFonts w:ascii="Verdana" w:eastAsia="Verdana" w:hAnsi="Verdana" w:cs="Verdana"/>
                <w:b/>
                <w:noProof/>
                <w:color w:val="000000"/>
                <w:sz w:val="18"/>
              </w:rPr>
            </w:pPr>
            <w:r>
              <w:rPr>
                <w:rFonts w:ascii="Verdana" w:hAnsi="Verdana"/>
                <w:b/>
                <w:noProof/>
                <w:color w:val="000000"/>
                <w:sz w:val="18"/>
              </w:rPr>
              <w:t>1 629</w:t>
            </w:r>
          </w:p>
        </w:tc>
        <w:tc>
          <w:tcPr>
            <w:tcW w:w="1701" w:type="dxa"/>
            <w:tcBorders>
              <w:top w:val="nil"/>
              <w:left w:val="nil"/>
              <w:bottom w:val="nil"/>
              <w:right w:val="nil"/>
              <w:tl2br w:val="nil"/>
              <w:tr2bl w:val="nil"/>
            </w:tcBorders>
            <w:shd w:val="solid" w:color="CCE1EA" w:fill="FFFFFF"/>
            <w:tcMar>
              <w:left w:w="60" w:type="dxa"/>
              <w:right w:w="60" w:type="dxa"/>
            </w:tcMar>
            <w:vAlign w:val="center"/>
          </w:tcPr>
          <w:p>
            <w:pPr>
              <w:pStyle w:val="DMETW36633BIPFGL"/>
              <w:jc w:val="right"/>
              <w:rPr>
                <w:rFonts w:ascii="Verdana" w:eastAsia="Verdana" w:hAnsi="Verdana" w:cs="Verdana"/>
                <w:b/>
                <w:noProof/>
                <w:color w:val="000000"/>
                <w:sz w:val="18"/>
              </w:rPr>
            </w:pPr>
            <w:r>
              <w:rPr>
                <w:rFonts w:ascii="Verdana" w:hAnsi="Verdana"/>
                <w:b/>
                <w:noProof/>
                <w:color w:val="000000"/>
                <w:sz w:val="18"/>
              </w:rPr>
              <w:t>7 205</w:t>
            </w:r>
          </w:p>
        </w:tc>
        <w:tc>
          <w:tcPr>
            <w:tcW w:w="1843" w:type="dxa"/>
            <w:tcBorders>
              <w:top w:val="nil"/>
              <w:left w:val="nil"/>
              <w:bottom w:val="nil"/>
              <w:right w:val="nil"/>
              <w:tl2br w:val="nil"/>
              <w:tr2bl w:val="nil"/>
            </w:tcBorders>
            <w:shd w:val="solid" w:color="CCE1EA" w:fill="FFFFFF"/>
            <w:tcMar>
              <w:left w:w="60" w:type="dxa"/>
              <w:right w:w="60" w:type="dxa"/>
            </w:tcMar>
            <w:vAlign w:val="center"/>
          </w:tcPr>
          <w:p>
            <w:pPr>
              <w:pStyle w:val="DMETW36633BIPFGL"/>
              <w:jc w:val="right"/>
              <w:rPr>
                <w:rFonts w:ascii="Verdana" w:eastAsia="Verdana" w:hAnsi="Verdana" w:cs="Verdana"/>
                <w:b/>
                <w:noProof/>
                <w:color w:val="000000"/>
                <w:sz w:val="18"/>
              </w:rPr>
            </w:pPr>
            <w:r>
              <w:rPr>
                <w:rFonts w:ascii="Verdana" w:hAnsi="Verdana"/>
                <w:b/>
                <w:noProof/>
                <w:color w:val="000000"/>
                <w:sz w:val="18"/>
              </w:rPr>
              <w:t>1 600</w:t>
            </w:r>
          </w:p>
        </w:tc>
        <w:tc>
          <w:tcPr>
            <w:tcW w:w="1476" w:type="dxa"/>
            <w:tcBorders>
              <w:top w:val="nil"/>
              <w:left w:val="nil"/>
              <w:bottom w:val="nil"/>
              <w:right w:val="nil"/>
              <w:tl2br w:val="nil"/>
              <w:tr2bl w:val="nil"/>
            </w:tcBorders>
            <w:shd w:val="solid" w:color="CCE1EA" w:fill="FFFFFF"/>
            <w:tcMar>
              <w:left w:w="60" w:type="dxa"/>
              <w:right w:w="60" w:type="dxa"/>
            </w:tcMar>
            <w:vAlign w:val="center"/>
          </w:tcPr>
          <w:p>
            <w:pPr>
              <w:pStyle w:val="DMETW36633BIPFGL"/>
              <w:jc w:val="right"/>
              <w:rPr>
                <w:rFonts w:ascii="Verdana" w:eastAsia="Verdana" w:hAnsi="Verdana" w:cs="Verdana"/>
                <w:b/>
                <w:noProof/>
                <w:color w:val="000000"/>
                <w:sz w:val="18"/>
              </w:rPr>
            </w:pPr>
            <w:r>
              <w:rPr>
                <w:rFonts w:ascii="Verdana" w:hAnsi="Verdana"/>
                <w:b/>
                <w:noProof/>
                <w:color w:val="000000"/>
                <w:sz w:val="18"/>
              </w:rPr>
              <w:t>5 707</w:t>
            </w:r>
          </w:p>
        </w:tc>
      </w:tr>
      <w:tr>
        <w:trPr>
          <w:trHeight w:val="255"/>
        </w:trPr>
        <w:tc>
          <w:tcPr>
            <w:tcW w:w="2895" w:type="dxa"/>
            <w:tcBorders>
              <w:top w:val="nil"/>
              <w:left w:val="nil"/>
              <w:bottom w:val="nil"/>
              <w:right w:val="nil"/>
              <w:tl2br w:val="nil"/>
              <w:tr2bl w:val="nil"/>
            </w:tcBorders>
            <w:tcMar>
              <w:left w:w="60" w:type="dxa"/>
              <w:right w:w="60" w:type="dxa"/>
            </w:tcMar>
            <w:vAlign w:val="center"/>
          </w:tcPr>
          <w:p>
            <w:pPr>
              <w:pStyle w:val="DMETW36633BIPFGL"/>
              <w:rPr>
                <w:rFonts w:ascii="Verdana" w:eastAsia="Verdana" w:hAnsi="Verdana" w:cs="Verdana"/>
                <w:i/>
                <w:noProof/>
                <w:color w:val="016794"/>
                <w:sz w:val="18"/>
              </w:rPr>
            </w:pPr>
            <w:r>
              <w:rPr>
                <w:rFonts w:ascii="Verdana" w:hAnsi="Verdana"/>
                <w:i/>
                <w:noProof/>
                <w:color w:val="016794"/>
                <w:sz w:val="18"/>
              </w:rPr>
              <w:t>Programmes d’instruments financiers de l’UE</w:t>
            </w:r>
          </w:p>
        </w:tc>
        <w:tc>
          <w:tcPr>
            <w:tcW w:w="1843"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p>
        </w:tc>
        <w:tc>
          <w:tcPr>
            <w:tcW w:w="1701"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p>
        </w:tc>
        <w:tc>
          <w:tcPr>
            <w:tcW w:w="1843"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p>
        </w:tc>
        <w:tc>
          <w:tcPr>
            <w:tcW w:w="1476"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lang w:bidi="en-GB"/>
              </w:rPr>
            </w:pPr>
          </w:p>
        </w:tc>
      </w:tr>
      <w:tr>
        <w:trPr>
          <w:trHeight w:val="255"/>
        </w:trPr>
        <w:tc>
          <w:tcPr>
            <w:tcW w:w="2895" w:type="dxa"/>
            <w:tcBorders>
              <w:top w:val="nil"/>
              <w:left w:val="nil"/>
              <w:bottom w:val="nil"/>
              <w:right w:val="nil"/>
              <w:tl2br w:val="nil"/>
              <w:tr2bl w:val="nil"/>
            </w:tcBorders>
            <w:tcMar>
              <w:left w:w="60" w:type="dxa"/>
              <w:right w:w="60" w:type="dxa"/>
            </w:tcMar>
            <w:vAlign w:val="center"/>
          </w:tcPr>
          <w:p>
            <w:pPr>
              <w:pStyle w:val="DMETW36633BIPFGL"/>
              <w:rPr>
                <w:rFonts w:ascii="Verdana" w:eastAsia="Verdana" w:hAnsi="Verdana" w:cs="Verdana"/>
                <w:i/>
                <w:noProof/>
                <w:color w:val="000000"/>
                <w:sz w:val="18"/>
              </w:rPr>
            </w:pPr>
            <w:r>
              <w:rPr>
                <w:rFonts w:ascii="Verdana" w:hAnsi="Verdana"/>
                <w:i/>
                <w:noProof/>
                <w:color w:val="000000"/>
                <w:sz w:val="18"/>
              </w:rPr>
              <w:t>COSME</w:t>
            </w:r>
          </w:p>
        </w:tc>
        <w:tc>
          <w:tcPr>
            <w:tcW w:w="1843"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r>
              <w:rPr>
                <w:rFonts w:ascii="Verdana" w:hAnsi="Verdana"/>
                <w:i/>
                <w:noProof/>
                <w:color w:val="000000"/>
                <w:sz w:val="18"/>
              </w:rPr>
              <w:t>–</w:t>
            </w:r>
          </w:p>
        </w:tc>
        <w:tc>
          <w:tcPr>
            <w:tcW w:w="1701"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r>
              <w:rPr>
                <w:rFonts w:ascii="Verdana" w:hAnsi="Verdana"/>
                <w:i/>
                <w:noProof/>
                <w:color w:val="000000"/>
                <w:sz w:val="18"/>
              </w:rPr>
              <w:t xml:space="preserve"> 219</w:t>
            </w:r>
          </w:p>
        </w:tc>
        <w:tc>
          <w:tcPr>
            <w:tcW w:w="1843"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r>
              <w:rPr>
                <w:rFonts w:ascii="Verdana" w:hAnsi="Verdana"/>
                <w:i/>
                <w:noProof/>
                <w:color w:val="000000"/>
                <w:sz w:val="18"/>
              </w:rPr>
              <w:t>–</w:t>
            </w:r>
          </w:p>
        </w:tc>
        <w:tc>
          <w:tcPr>
            <w:tcW w:w="1476"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r>
              <w:rPr>
                <w:rFonts w:ascii="Verdana" w:hAnsi="Verdana"/>
                <w:i/>
                <w:noProof/>
                <w:color w:val="000000"/>
                <w:sz w:val="18"/>
              </w:rPr>
              <w:t xml:space="preserve"> 304</w:t>
            </w:r>
          </w:p>
        </w:tc>
      </w:tr>
      <w:tr>
        <w:trPr>
          <w:trHeight w:val="255"/>
        </w:trPr>
        <w:tc>
          <w:tcPr>
            <w:tcW w:w="2895" w:type="dxa"/>
            <w:tcBorders>
              <w:top w:val="nil"/>
              <w:left w:val="nil"/>
              <w:bottom w:val="nil"/>
              <w:right w:val="nil"/>
              <w:tl2br w:val="nil"/>
              <w:tr2bl w:val="nil"/>
            </w:tcBorders>
            <w:tcMar>
              <w:left w:w="60" w:type="dxa"/>
              <w:right w:w="60" w:type="dxa"/>
            </w:tcMar>
            <w:vAlign w:val="center"/>
          </w:tcPr>
          <w:p>
            <w:pPr>
              <w:pStyle w:val="DMETW36633BIPFGL"/>
              <w:rPr>
                <w:rFonts w:ascii="Verdana" w:eastAsia="Verdana" w:hAnsi="Verdana" w:cs="Verdana"/>
                <w:i/>
                <w:noProof/>
                <w:color w:val="000000"/>
                <w:sz w:val="18"/>
              </w:rPr>
            </w:pPr>
            <w:r>
              <w:rPr>
                <w:rFonts w:ascii="Verdana" w:hAnsi="Verdana"/>
                <w:i/>
                <w:noProof/>
                <w:color w:val="000000"/>
                <w:sz w:val="18"/>
              </w:rPr>
              <w:t>Horizon 2020</w:t>
            </w:r>
          </w:p>
        </w:tc>
        <w:tc>
          <w:tcPr>
            <w:tcW w:w="1843"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r>
              <w:rPr>
                <w:rFonts w:ascii="Verdana" w:hAnsi="Verdana"/>
                <w:i/>
                <w:noProof/>
                <w:color w:val="000000"/>
                <w:sz w:val="18"/>
              </w:rPr>
              <w:t xml:space="preserve"> 4</w:t>
            </w:r>
          </w:p>
        </w:tc>
        <w:tc>
          <w:tcPr>
            <w:tcW w:w="1701"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r>
              <w:rPr>
                <w:rFonts w:ascii="Verdana" w:hAnsi="Verdana"/>
                <w:i/>
                <w:noProof/>
                <w:color w:val="000000"/>
                <w:sz w:val="18"/>
              </w:rPr>
              <w:t xml:space="preserve"> 126</w:t>
            </w:r>
          </w:p>
        </w:tc>
        <w:tc>
          <w:tcPr>
            <w:tcW w:w="1843"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r>
              <w:rPr>
                <w:rFonts w:ascii="Verdana" w:hAnsi="Verdana"/>
                <w:i/>
                <w:noProof/>
                <w:color w:val="000000"/>
                <w:sz w:val="18"/>
              </w:rPr>
              <w:t xml:space="preserve"> 6</w:t>
            </w:r>
          </w:p>
        </w:tc>
        <w:tc>
          <w:tcPr>
            <w:tcW w:w="1476"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r>
              <w:rPr>
                <w:rFonts w:ascii="Verdana" w:hAnsi="Verdana"/>
                <w:i/>
                <w:noProof/>
                <w:color w:val="000000"/>
                <w:sz w:val="18"/>
              </w:rPr>
              <w:t xml:space="preserve"> 198</w:t>
            </w:r>
          </w:p>
        </w:tc>
      </w:tr>
      <w:tr>
        <w:trPr>
          <w:trHeight w:val="255"/>
        </w:trPr>
        <w:tc>
          <w:tcPr>
            <w:tcW w:w="2895" w:type="dxa"/>
            <w:tcBorders>
              <w:top w:val="nil"/>
              <w:left w:val="nil"/>
              <w:bottom w:val="nil"/>
              <w:right w:val="nil"/>
              <w:tl2br w:val="nil"/>
              <w:tr2bl w:val="nil"/>
            </w:tcBorders>
            <w:tcMar>
              <w:left w:w="60" w:type="dxa"/>
              <w:right w:w="60" w:type="dxa"/>
            </w:tcMar>
            <w:vAlign w:val="center"/>
          </w:tcPr>
          <w:p>
            <w:pPr>
              <w:pStyle w:val="DMETW36633BIPFGL"/>
              <w:rPr>
                <w:rFonts w:ascii="Verdana" w:eastAsia="Verdana" w:hAnsi="Verdana" w:cs="Verdana"/>
                <w:i/>
                <w:noProof/>
                <w:color w:val="000000"/>
                <w:sz w:val="18"/>
              </w:rPr>
            </w:pPr>
            <w:r>
              <w:rPr>
                <w:rFonts w:ascii="Verdana" w:hAnsi="Verdana"/>
                <w:i/>
                <w:noProof/>
                <w:color w:val="000000"/>
                <w:sz w:val="18"/>
              </w:rPr>
              <w:t>Autres</w:t>
            </w:r>
          </w:p>
        </w:tc>
        <w:tc>
          <w:tcPr>
            <w:tcW w:w="1843"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r>
              <w:rPr>
                <w:rFonts w:ascii="Verdana" w:hAnsi="Verdana"/>
                <w:i/>
                <w:noProof/>
                <w:color w:val="000000"/>
                <w:sz w:val="18"/>
              </w:rPr>
              <w:t xml:space="preserve"> 18</w:t>
            </w:r>
          </w:p>
        </w:tc>
        <w:tc>
          <w:tcPr>
            <w:tcW w:w="1701"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r>
              <w:rPr>
                <w:rFonts w:ascii="Verdana" w:hAnsi="Verdana"/>
                <w:i/>
                <w:noProof/>
                <w:color w:val="000000"/>
                <w:sz w:val="18"/>
              </w:rPr>
              <w:t xml:space="preserve"> 179</w:t>
            </w:r>
          </w:p>
        </w:tc>
        <w:tc>
          <w:tcPr>
            <w:tcW w:w="1843"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r>
              <w:rPr>
                <w:rFonts w:ascii="Verdana" w:hAnsi="Verdana"/>
                <w:i/>
                <w:noProof/>
                <w:color w:val="000000"/>
                <w:sz w:val="18"/>
              </w:rPr>
              <w:t xml:space="preserve"> 23</w:t>
            </w:r>
          </w:p>
        </w:tc>
        <w:tc>
          <w:tcPr>
            <w:tcW w:w="1476"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r>
              <w:rPr>
                <w:rFonts w:ascii="Verdana" w:hAnsi="Verdana"/>
                <w:i/>
                <w:noProof/>
                <w:color w:val="000000"/>
                <w:sz w:val="18"/>
              </w:rPr>
              <w:t xml:space="preserve"> 171</w:t>
            </w:r>
          </w:p>
        </w:tc>
      </w:tr>
      <w:tr>
        <w:trPr>
          <w:trHeight w:val="255"/>
        </w:trPr>
        <w:tc>
          <w:tcPr>
            <w:tcW w:w="2895" w:type="dxa"/>
            <w:tcBorders>
              <w:top w:val="nil"/>
              <w:left w:val="nil"/>
              <w:bottom w:val="nil"/>
              <w:right w:val="nil"/>
              <w:tl2br w:val="nil"/>
              <w:tr2bl w:val="nil"/>
            </w:tcBorders>
            <w:shd w:val="solid" w:color="CCE1EA" w:fill="FFFFFF"/>
            <w:tcMar>
              <w:left w:w="60" w:type="dxa"/>
              <w:right w:w="60" w:type="dxa"/>
            </w:tcMar>
            <w:vAlign w:val="center"/>
          </w:tcPr>
          <w:p>
            <w:pPr>
              <w:pStyle w:val="DMETW36633BIPFGL"/>
              <w:rPr>
                <w:rFonts w:ascii="Verdana" w:eastAsia="Verdana" w:hAnsi="Verdana" w:cs="Verdana"/>
                <w:b/>
                <w:noProof/>
                <w:color w:val="000000"/>
                <w:sz w:val="18"/>
              </w:rPr>
            </w:pPr>
          </w:p>
        </w:tc>
        <w:tc>
          <w:tcPr>
            <w:tcW w:w="1843" w:type="dxa"/>
            <w:tcBorders>
              <w:top w:val="nil"/>
              <w:left w:val="nil"/>
              <w:bottom w:val="nil"/>
              <w:right w:val="nil"/>
              <w:tl2br w:val="nil"/>
              <w:tr2bl w:val="nil"/>
            </w:tcBorders>
            <w:shd w:val="solid" w:color="CCE1EA" w:fill="FFFFFF"/>
            <w:tcMar>
              <w:left w:w="60" w:type="dxa"/>
              <w:right w:w="60" w:type="dxa"/>
            </w:tcMar>
            <w:vAlign w:val="center"/>
          </w:tcPr>
          <w:p>
            <w:pPr>
              <w:pStyle w:val="DMETW36633BIPFGL"/>
              <w:jc w:val="right"/>
              <w:rPr>
                <w:rFonts w:ascii="Verdana" w:eastAsia="Verdana" w:hAnsi="Verdana" w:cs="Verdana"/>
                <w:b/>
                <w:noProof/>
                <w:color w:val="000000"/>
                <w:sz w:val="18"/>
              </w:rPr>
            </w:pPr>
            <w:r>
              <w:rPr>
                <w:rFonts w:ascii="Verdana" w:hAnsi="Verdana"/>
                <w:b/>
                <w:noProof/>
                <w:color w:val="000000"/>
                <w:sz w:val="18"/>
              </w:rPr>
              <w:t xml:space="preserve"> 22</w:t>
            </w:r>
          </w:p>
        </w:tc>
        <w:tc>
          <w:tcPr>
            <w:tcW w:w="1701" w:type="dxa"/>
            <w:tcBorders>
              <w:top w:val="nil"/>
              <w:left w:val="nil"/>
              <w:bottom w:val="nil"/>
              <w:right w:val="nil"/>
              <w:tl2br w:val="nil"/>
              <w:tr2bl w:val="nil"/>
            </w:tcBorders>
            <w:shd w:val="solid" w:color="CCE1EA" w:fill="FFFFFF"/>
            <w:tcMar>
              <w:left w:w="60" w:type="dxa"/>
              <w:right w:w="60" w:type="dxa"/>
            </w:tcMar>
            <w:vAlign w:val="center"/>
          </w:tcPr>
          <w:p>
            <w:pPr>
              <w:pStyle w:val="DMETW36633BIPFGL"/>
              <w:jc w:val="right"/>
              <w:rPr>
                <w:rFonts w:ascii="Verdana" w:eastAsia="Verdana" w:hAnsi="Verdana" w:cs="Verdana"/>
                <w:b/>
                <w:noProof/>
                <w:color w:val="000000"/>
                <w:sz w:val="18"/>
              </w:rPr>
            </w:pPr>
            <w:r>
              <w:rPr>
                <w:rFonts w:ascii="Verdana" w:hAnsi="Verdana"/>
                <w:b/>
                <w:noProof/>
                <w:color w:val="000000"/>
                <w:sz w:val="18"/>
              </w:rPr>
              <w:t xml:space="preserve"> 523</w:t>
            </w:r>
          </w:p>
        </w:tc>
        <w:tc>
          <w:tcPr>
            <w:tcW w:w="1843" w:type="dxa"/>
            <w:tcBorders>
              <w:top w:val="nil"/>
              <w:left w:val="nil"/>
              <w:bottom w:val="nil"/>
              <w:right w:val="nil"/>
              <w:tl2br w:val="nil"/>
              <w:tr2bl w:val="nil"/>
            </w:tcBorders>
            <w:shd w:val="solid" w:color="CCE1EA" w:fill="FFFFFF"/>
            <w:tcMar>
              <w:left w:w="60" w:type="dxa"/>
              <w:right w:w="60" w:type="dxa"/>
            </w:tcMar>
            <w:vAlign w:val="center"/>
          </w:tcPr>
          <w:p>
            <w:pPr>
              <w:pStyle w:val="DMETW36633BIPFGL"/>
              <w:jc w:val="right"/>
              <w:rPr>
                <w:rFonts w:ascii="Verdana" w:eastAsia="Verdana" w:hAnsi="Verdana" w:cs="Verdana"/>
                <w:b/>
                <w:noProof/>
                <w:color w:val="000000"/>
                <w:sz w:val="18"/>
              </w:rPr>
            </w:pPr>
            <w:r>
              <w:rPr>
                <w:rFonts w:ascii="Verdana" w:hAnsi="Verdana"/>
                <w:b/>
                <w:noProof/>
                <w:color w:val="000000"/>
                <w:sz w:val="18"/>
              </w:rPr>
              <w:t xml:space="preserve"> 29</w:t>
            </w:r>
          </w:p>
        </w:tc>
        <w:tc>
          <w:tcPr>
            <w:tcW w:w="1476" w:type="dxa"/>
            <w:tcBorders>
              <w:top w:val="nil"/>
              <w:left w:val="nil"/>
              <w:bottom w:val="nil"/>
              <w:right w:val="nil"/>
              <w:tl2br w:val="nil"/>
              <w:tr2bl w:val="nil"/>
            </w:tcBorders>
            <w:shd w:val="solid" w:color="CCE1EA" w:fill="FFFFFF"/>
            <w:tcMar>
              <w:left w:w="60" w:type="dxa"/>
              <w:right w:w="60" w:type="dxa"/>
            </w:tcMar>
            <w:vAlign w:val="center"/>
          </w:tcPr>
          <w:p>
            <w:pPr>
              <w:pStyle w:val="DMETW36633BIPFGL"/>
              <w:jc w:val="right"/>
              <w:rPr>
                <w:rFonts w:ascii="Verdana" w:eastAsia="Verdana" w:hAnsi="Verdana" w:cs="Verdana"/>
                <w:b/>
                <w:noProof/>
                <w:color w:val="000000"/>
                <w:sz w:val="18"/>
              </w:rPr>
            </w:pPr>
            <w:r>
              <w:rPr>
                <w:rFonts w:ascii="Verdana" w:hAnsi="Verdana"/>
                <w:b/>
                <w:noProof/>
                <w:color w:val="000000"/>
                <w:sz w:val="18"/>
              </w:rPr>
              <w:t xml:space="preserve"> 673</w:t>
            </w:r>
          </w:p>
        </w:tc>
      </w:tr>
      <w:tr>
        <w:trPr>
          <w:trHeight w:val="255"/>
        </w:trPr>
        <w:tc>
          <w:tcPr>
            <w:tcW w:w="2895" w:type="dxa"/>
            <w:tcBorders>
              <w:top w:val="nil"/>
              <w:left w:val="nil"/>
              <w:bottom w:val="single" w:sz="4" w:space="0" w:color="016794"/>
              <w:right w:val="nil"/>
              <w:tl2br w:val="nil"/>
              <w:tr2bl w:val="nil"/>
            </w:tcBorders>
            <w:tcMar>
              <w:left w:w="60" w:type="dxa"/>
              <w:right w:w="60" w:type="dxa"/>
            </w:tcMar>
            <w:vAlign w:val="center"/>
          </w:tcPr>
          <w:p>
            <w:pPr>
              <w:pStyle w:val="DMETW36633BIPFGL"/>
              <w:rPr>
                <w:rFonts w:ascii="Verdana" w:eastAsia="Verdana" w:hAnsi="Verdana" w:cs="Verdana"/>
                <w:b/>
                <w:noProof/>
                <w:color w:val="000000"/>
                <w:sz w:val="18"/>
              </w:rPr>
            </w:pPr>
            <w:r>
              <w:rPr>
                <w:rFonts w:ascii="Verdana" w:hAnsi="Verdana"/>
                <w:b/>
                <w:noProof/>
                <w:color w:val="000000"/>
                <w:sz w:val="18"/>
              </w:rPr>
              <w:t>Total</w:t>
            </w:r>
          </w:p>
        </w:tc>
        <w:tc>
          <w:tcPr>
            <w:tcW w:w="1843" w:type="dxa"/>
            <w:tcBorders>
              <w:top w:val="nil"/>
              <w:left w:val="nil"/>
              <w:bottom w:val="single" w:sz="4" w:space="0" w:color="016794"/>
              <w:right w:val="nil"/>
              <w:tl2br w:val="nil"/>
              <w:tr2bl w:val="nil"/>
            </w:tcBorders>
            <w:tcMar>
              <w:left w:w="60" w:type="dxa"/>
              <w:right w:w="60" w:type="dxa"/>
            </w:tcMar>
            <w:vAlign w:val="bottom"/>
          </w:tcPr>
          <w:p>
            <w:pPr>
              <w:pStyle w:val="DMETW36633BIPFGL"/>
              <w:jc w:val="right"/>
              <w:rPr>
                <w:rFonts w:ascii="Verdana" w:eastAsia="Verdana" w:hAnsi="Verdana" w:cs="Verdana"/>
                <w:b/>
                <w:noProof/>
                <w:color w:val="000000"/>
                <w:sz w:val="18"/>
              </w:rPr>
            </w:pPr>
            <w:r>
              <w:rPr>
                <w:rFonts w:ascii="Verdana" w:hAnsi="Verdana"/>
                <w:b/>
                <w:noProof/>
                <w:color w:val="000000"/>
                <w:sz w:val="18"/>
              </w:rPr>
              <w:t>1 651</w:t>
            </w:r>
          </w:p>
        </w:tc>
        <w:tc>
          <w:tcPr>
            <w:tcW w:w="1701" w:type="dxa"/>
            <w:tcBorders>
              <w:top w:val="nil"/>
              <w:left w:val="nil"/>
              <w:bottom w:val="single" w:sz="4" w:space="0" w:color="016794"/>
              <w:right w:val="nil"/>
              <w:tl2br w:val="nil"/>
              <w:tr2bl w:val="nil"/>
            </w:tcBorders>
            <w:tcMar>
              <w:left w:w="60" w:type="dxa"/>
              <w:right w:w="60" w:type="dxa"/>
            </w:tcMar>
            <w:vAlign w:val="bottom"/>
          </w:tcPr>
          <w:p>
            <w:pPr>
              <w:pStyle w:val="DMETW36633BIPFGL"/>
              <w:jc w:val="right"/>
              <w:rPr>
                <w:rFonts w:ascii="Verdana" w:eastAsia="Verdana" w:hAnsi="Verdana" w:cs="Verdana"/>
                <w:b/>
                <w:noProof/>
                <w:color w:val="000000"/>
                <w:sz w:val="18"/>
              </w:rPr>
            </w:pPr>
            <w:r>
              <w:rPr>
                <w:rFonts w:ascii="Verdana" w:hAnsi="Verdana"/>
                <w:b/>
                <w:noProof/>
                <w:color w:val="000000"/>
                <w:sz w:val="18"/>
              </w:rPr>
              <w:t>7 729</w:t>
            </w:r>
          </w:p>
        </w:tc>
        <w:tc>
          <w:tcPr>
            <w:tcW w:w="1843" w:type="dxa"/>
            <w:tcBorders>
              <w:top w:val="nil"/>
              <w:left w:val="nil"/>
              <w:bottom w:val="single" w:sz="4" w:space="0" w:color="016794"/>
              <w:right w:val="nil"/>
              <w:tl2br w:val="nil"/>
              <w:tr2bl w:val="nil"/>
            </w:tcBorders>
            <w:tcMar>
              <w:left w:w="60" w:type="dxa"/>
              <w:right w:w="60" w:type="dxa"/>
            </w:tcMar>
            <w:vAlign w:val="bottom"/>
          </w:tcPr>
          <w:p>
            <w:pPr>
              <w:pStyle w:val="DMETW36633BIPFGL"/>
              <w:jc w:val="right"/>
              <w:rPr>
                <w:rFonts w:ascii="Verdana" w:eastAsia="Verdana" w:hAnsi="Verdana" w:cs="Verdana"/>
                <w:b/>
                <w:noProof/>
                <w:color w:val="000000"/>
                <w:sz w:val="18"/>
              </w:rPr>
            </w:pPr>
            <w:r>
              <w:rPr>
                <w:rFonts w:ascii="Verdana" w:hAnsi="Verdana"/>
                <w:b/>
                <w:noProof/>
                <w:color w:val="000000"/>
                <w:sz w:val="18"/>
              </w:rPr>
              <w:t>1 629</w:t>
            </w:r>
          </w:p>
        </w:tc>
        <w:tc>
          <w:tcPr>
            <w:tcW w:w="1476" w:type="dxa"/>
            <w:tcBorders>
              <w:top w:val="nil"/>
              <w:left w:val="nil"/>
              <w:bottom w:val="single" w:sz="4" w:space="0" w:color="016794"/>
              <w:right w:val="nil"/>
              <w:tl2br w:val="nil"/>
              <w:tr2bl w:val="nil"/>
            </w:tcBorders>
            <w:tcMar>
              <w:left w:w="60" w:type="dxa"/>
              <w:right w:w="60" w:type="dxa"/>
            </w:tcMar>
            <w:vAlign w:val="bottom"/>
          </w:tcPr>
          <w:p>
            <w:pPr>
              <w:pStyle w:val="DMETW36633BIPFGL"/>
              <w:jc w:val="right"/>
              <w:rPr>
                <w:rFonts w:ascii="Verdana" w:eastAsia="Verdana" w:hAnsi="Verdana" w:cs="Verdana"/>
                <w:b/>
                <w:noProof/>
                <w:color w:val="000000"/>
                <w:sz w:val="18"/>
              </w:rPr>
            </w:pPr>
            <w:r>
              <w:rPr>
                <w:rFonts w:ascii="Verdana" w:hAnsi="Verdana"/>
                <w:b/>
                <w:noProof/>
                <w:color w:val="000000"/>
                <w:sz w:val="18"/>
              </w:rPr>
              <w:t>6 379</w:t>
            </w:r>
          </w:p>
        </w:tc>
      </w:tr>
      <w:tr>
        <w:trPr>
          <w:trHeight w:val="255"/>
        </w:trPr>
        <w:tc>
          <w:tcPr>
            <w:tcW w:w="2895" w:type="dxa"/>
            <w:tcBorders>
              <w:top w:val="single" w:sz="4" w:space="0" w:color="016794"/>
              <w:left w:val="nil"/>
              <w:bottom w:val="nil"/>
              <w:right w:val="nil"/>
              <w:tl2br w:val="nil"/>
              <w:tr2bl w:val="nil"/>
            </w:tcBorders>
            <w:tcMar>
              <w:left w:w="60" w:type="dxa"/>
              <w:right w:w="60" w:type="dxa"/>
            </w:tcMar>
            <w:vAlign w:val="center"/>
          </w:tcPr>
          <w:p>
            <w:pPr>
              <w:pStyle w:val="DMETW36633BIPFGL"/>
              <w:rPr>
                <w:rFonts w:ascii="Verdana" w:eastAsia="Verdana" w:hAnsi="Verdana" w:cs="Verdana"/>
                <w:i/>
                <w:noProof/>
                <w:color w:val="016794"/>
                <w:sz w:val="18"/>
              </w:rPr>
            </w:pPr>
            <w:r>
              <w:rPr>
                <w:rFonts w:ascii="Verdana" w:hAnsi="Verdana"/>
                <w:i/>
                <w:noProof/>
                <w:color w:val="016794"/>
                <w:sz w:val="18"/>
              </w:rPr>
              <w:t>Non courants</w:t>
            </w:r>
          </w:p>
        </w:tc>
        <w:tc>
          <w:tcPr>
            <w:tcW w:w="1843" w:type="dxa"/>
            <w:tcBorders>
              <w:top w:val="single" w:sz="4" w:space="0" w:color="016794"/>
              <w:left w:val="nil"/>
              <w:bottom w:val="nil"/>
              <w:right w:val="nil"/>
              <w:tl2br w:val="nil"/>
              <w:tr2bl w:val="nil"/>
            </w:tcBorders>
            <w:tcMar>
              <w:left w:w="60" w:type="dxa"/>
              <w:right w:w="60" w:type="dxa"/>
            </w:tcMar>
            <w:vAlign w:val="bottom"/>
          </w:tcPr>
          <w:p>
            <w:pPr>
              <w:pStyle w:val="DMETW36633BIPFGL"/>
              <w:jc w:val="right"/>
              <w:rPr>
                <w:rFonts w:ascii="Verdana" w:eastAsia="Verdana" w:hAnsi="Verdana" w:cs="Verdana"/>
                <w:i/>
                <w:noProof/>
                <w:color w:val="016794"/>
                <w:sz w:val="18"/>
              </w:rPr>
            </w:pPr>
            <w:r>
              <w:rPr>
                <w:rFonts w:ascii="Verdana" w:hAnsi="Verdana"/>
                <w:i/>
                <w:noProof/>
                <w:color w:val="016794"/>
                <w:sz w:val="18"/>
              </w:rPr>
              <w:t>1 359</w:t>
            </w:r>
          </w:p>
        </w:tc>
        <w:tc>
          <w:tcPr>
            <w:tcW w:w="1701" w:type="dxa"/>
            <w:tcBorders>
              <w:top w:val="single" w:sz="4" w:space="0" w:color="016794"/>
              <w:left w:val="nil"/>
              <w:bottom w:val="nil"/>
              <w:right w:val="nil"/>
              <w:tl2br w:val="nil"/>
              <w:tr2bl w:val="nil"/>
            </w:tcBorders>
            <w:tcMar>
              <w:left w:w="60" w:type="dxa"/>
              <w:right w:w="60" w:type="dxa"/>
            </w:tcMar>
            <w:vAlign w:val="bottom"/>
          </w:tcPr>
          <w:p>
            <w:pPr>
              <w:pStyle w:val="DMETW36633BIPFGL"/>
              <w:jc w:val="right"/>
              <w:rPr>
                <w:rFonts w:ascii="Verdana" w:eastAsia="Verdana" w:hAnsi="Verdana" w:cs="Verdana"/>
                <w:i/>
                <w:noProof/>
                <w:color w:val="016794"/>
                <w:sz w:val="18"/>
              </w:rPr>
            </w:pPr>
            <w:r>
              <w:rPr>
                <w:rFonts w:ascii="Verdana" w:hAnsi="Verdana"/>
                <w:i/>
                <w:noProof/>
                <w:color w:val="016794"/>
                <w:sz w:val="18"/>
              </w:rPr>
              <w:t xml:space="preserve"> 81</w:t>
            </w:r>
          </w:p>
        </w:tc>
        <w:tc>
          <w:tcPr>
            <w:tcW w:w="1843" w:type="dxa"/>
            <w:tcBorders>
              <w:top w:val="single" w:sz="4" w:space="0" w:color="016794"/>
              <w:left w:val="nil"/>
              <w:bottom w:val="nil"/>
              <w:right w:val="nil"/>
              <w:tl2br w:val="nil"/>
              <w:tr2bl w:val="nil"/>
            </w:tcBorders>
            <w:tcMar>
              <w:left w:w="60" w:type="dxa"/>
              <w:right w:w="60" w:type="dxa"/>
            </w:tcMar>
            <w:vAlign w:val="bottom"/>
          </w:tcPr>
          <w:p>
            <w:pPr>
              <w:pStyle w:val="DMETW36633BIPFGL"/>
              <w:jc w:val="right"/>
              <w:rPr>
                <w:rFonts w:ascii="Verdana" w:eastAsia="Verdana" w:hAnsi="Verdana" w:cs="Verdana"/>
                <w:i/>
                <w:noProof/>
                <w:color w:val="016794"/>
                <w:sz w:val="18"/>
              </w:rPr>
            </w:pPr>
            <w:r>
              <w:rPr>
                <w:rFonts w:ascii="Verdana" w:hAnsi="Verdana"/>
                <w:i/>
                <w:noProof/>
                <w:color w:val="016794"/>
                <w:sz w:val="18"/>
              </w:rPr>
              <w:t>1 324</w:t>
            </w:r>
          </w:p>
        </w:tc>
        <w:tc>
          <w:tcPr>
            <w:tcW w:w="1476" w:type="dxa"/>
            <w:tcBorders>
              <w:top w:val="single" w:sz="4" w:space="0" w:color="016794"/>
              <w:left w:val="nil"/>
              <w:bottom w:val="nil"/>
              <w:right w:val="nil"/>
              <w:tl2br w:val="nil"/>
              <w:tr2bl w:val="nil"/>
            </w:tcBorders>
            <w:tcMar>
              <w:left w:w="60" w:type="dxa"/>
              <w:right w:w="60" w:type="dxa"/>
            </w:tcMar>
            <w:vAlign w:val="bottom"/>
          </w:tcPr>
          <w:p>
            <w:pPr>
              <w:pStyle w:val="DMETW36633BIPFGL"/>
              <w:jc w:val="right"/>
              <w:rPr>
                <w:rFonts w:ascii="Verdana" w:eastAsia="Verdana" w:hAnsi="Verdana" w:cs="Verdana"/>
                <w:i/>
                <w:noProof/>
                <w:color w:val="016794"/>
                <w:sz w:val="18"/>
              </w:rPr>
            </w:pPr>
            <w:r>
              <w:rPr>
                <w:rFonts w:ascii="Verdana" w:hAnsi="Verdana"/>
                <w:i/>
                <w:noProof/>
                <w:color w:val="016794"/>
                <w:sz w:val="18"/>
              </w:rPr>
              <w:t xml:space="preserve"> 39</w:t>
            </w:r>
          </w:p>
        </w:tc>
      </w:tr>
      <w:tr>
        <w:trPr>
          <w:trHeight w:val="255"/>
        </w:trPr>
        <w:tc>
          <w:tcPr>
            <w:tcW w:w="2895" w:type="dxa"/>
            <w:tcBorders>
              <w:top w:val="nil"/>
              <w:left w:val="nil"/>
              <w:bottom w:val="nil"/>
              <w:right w:val="nil"/>
              <w:tl2br w:val="nil"/>
              <w:tr2bl w:val="nil"/>
            </w:tcBorders>
            <w:tcMar>
              <w:left w:w="60" w:type="dxa"/>
              <w:right w:w="60" w:type="dxa"/>
            </w:tcMar>
            <w:vAlign w:val="center"/>
          </w:tcPr>
          <w:p>
            <w:pPr>
              <w:pStyle w:val="DMETW36633BIPFGL"/>
              <w:rPr>
                <w:rFonts w:ascii="Verdana" w:eastAsia="Verdana" w:hAnsi="Verdana" w:cs="Verdana"/>
                <w:i/>
                <w:noProof/>
                <w:color w:val="016794"/>
                <w:sz w:val="18"/>
              </w:rPr>
            </w:pPr>
            <w:r>
              <w:rPr>
                <w:rFonts w:ascii="Verdana" w:hAnsi="Verdana"/>
                <w:i/>
                <w:noProof/>
                <w:color w:val="016794"/>
                <w:sz w:val="18"/>
              </w:rPr>
              <w:t>Courants</w:t>
            </w:r>
          </w:p>
        </w:tc>
        <w:tc>
          <w:tcPr>
            <w:tcW w:w="1843" w:type="dxa"/>
            <w:tcBorders>
              <w:top w:val="nil"/>
              <w:left w:val="nil"/>
              <w:bottom w:val="nil"/>
              <w:right w:val="nil"/>
              <w:tl2br w:val="nil"/>
              <w:tr2bl w:val="nil"/>
            </w:tcBorders>
            <w:tcMar>
              <w:left w:w="60" w:type="dxa"/>
              <w:right w:w="60" w:type="dxa"/>
            </w:tcMar>
            <w:vAlign w:val="bottom"/>
          </w:tcPr>
          <w:p>
            <w:pPr>
              <w:pStyle w:val="DMETW36633BIPFGL"/>
              <w:jc w:val="right"/>
              <w:rPr>
                <w:rFonts w:ascii="Verdana" w:eastAsia="Verdana" w:hAnsi="Verdana" w:cs="Verdana"/>
                <w:i/>
                <w:noProof/>
                <w:color w:val="016794"/>
                <w:sz w:val="18"/>
              </w:rPr>
            </w:pPr>
            <w:r>
              <w:rPr>
                <w:rFonts w:ascii="Verdana" w:hAnsi="Verdana"/>
                <w:i/>
                <w:noProof/>
                <w:color w:val="016794"/>
                <w:sz w:val="18"/>
              </w:rPr>
              <w:t xml:space="preserve"> 293</w:t>
            </w:r>
          </w:p>
        </w:tc>
        <w:tc>
          <w:tcPr>
            <w:tcW w:w="1701" w:type="dxa"/>
            <w:tcBorders>
              <w:top w:val="nil"/>
              <w:left w:val="nil"/>
              <w:bottom w:val="nil"/>
              <w:right w:val="nil"/>
              <w:tl2br w:val="nil"/>
              <w:tr2bl w:val="nil"/>
            </w:tcBorders>
            <w:tcMar>
              <w:left w:w="60" w:type="dxa"/>
              <w:right w:w="60" w:type="dxa"/>
            </w:tcMar>
            <w:vAlign w:val="bottom"/>
          </w:tcPr>
          <w:p>
            <w:pPr>
              <w:pStyle w:val="DMETW36633BIPFGL"/>
              <w:jc w:val="right"/>
              <w:rPr>
                <w:rFonts w:ascii="Verdana" w:eastAsia="Verdana" w:hAnsi="Verdana" w:cs="Verdana"/>
                <w:i/>
                <w:noProof/>
                <w:color w:val="016794"/>
                <w:sz w:val="18"/>
              </w:rPr>
            </w:pPr>
            <w:r>
              <w:rPr>
                <w:rFonts w:ascii="Verdana" w:hAnsi="Verdana"/>
                <w:i/>
                <w:noProof/>
                <w:color w:val="016794"/>
                <w:sz w:val="18"/>
              </w:rPr>
              <w:t>7 647</w:t>
            </w:r>
          </w:p>
        </w:tc>
        <w:tc>
          <w:tcPr>
            <w:tcW w:w="1843" w:type="dxa"/>
            <w:tcBorders>
              <w:top w:val="nil"/>
              <w:left w:val="nil"/>
              <w:bottom w:val="nil"/>
              <w:right w:val="nil"/>
              <w:tl2br w:val="nil"/>
              <w:tr2bl w:val="nil"/>
            </w:tcBorders>
            <w:tcMar>
              <w:left w:w="60" w:type="dxa"/>
              <w:right w:w="60" w:type="dxa"/>
            </w:tcMar>
            <w:vAlign w:val="bottom"/>
          </w:tcPr>
          <w:p>
            <w:pPr>
              <w:pStyle w:val="DMETW36633BIPFGL"/>
              <w:jc w:val="right"/>
              <w:rPr>
                <w:rFonts w:ascii="Verdana" w:eastAsia="Verdana" w:hAnsi="Verdana" w:cs="Verdana"/>
                <w:i/>
                <w:noProof/>
                <w:color w:val="016794"/>
                <w:sz w:val="18"/>
              </w:rPr>
            </w:pPr>
            <w:r>
              <w:rPr>
                <w:rFonts w:ascii="Verdana" w:hAnsi="Verdana"/>
                <w:i/>
                <w:noProof/>
                <w:color w:val="016794"/>
                <w:sz w:val="18"/>
              </w:rPr>
              <w:t xml:space="preserve"> 306</w:t>
            </w:r>
          </w:p>
        </w:tc>
        <w:tc>
          <w:tcPr>
            <w:tcW w:w="1476" w:type="dxa"/>
            <w:tcBorders>
              <w:top w:val="nil"/>
              <w:left w:val="nil"/>
              <w:bottom w:val="nil"/>
              <w:right w:val="nil"/>
              <w:tl2br w:val="nil"/>
              <w:tr2bl w:val="nil"/>
            </w:tcBorders>
            <w:tcMar>
              <w:left w:w="60" w:type="dxa"/>
              <w:right w:w="60" w:type="dxa"/>
            </w:tcMar>
            <w:vAlign w:val="bottom"/>
          </w:tcPr>
          <w:p>
            <w:pPr>
              <w:pStyle w:val="DMETW36633BIPFGL"/>
              <w:jc w:val="right"/>
              <w:rPr>
                <w:rFonts w:ascii="Verdana" w:eastAsia="Verdana" w:hAnsi="Verdana" w:cs="Verdana"/>
                <w:i/>
                <w:noProof/>
                <w:color w:val="016794"/>
                <w:sz w:val="18"/>
              </w:rPr>
            </w:pPr>
            <w:r>
              <w:rPr>
                <w:rFonts w:ascii="Verdana" w:hAnsi="Verdana"/>
                <w:i/>
                <w:noProof/>
                <w:color w:val="016794"/>
                <w:sz w:val="18"/>
              </w:rPr>
              <w:t>6 340</w:t>
            </w:r>
          </w:p>
        </w:tc>
      </w:tr>
    </w:tbl>
    <w:p>
      <w:pPr>
        <w:pStyle w:val="DGTextstand-alone"/>
      </w:pPr>
      <w:r>
        <w:t>L’UE applique la présentation brute des contrats de garantie financière, dans lesquels les produits restant à recevoir au titre de la garantie sont comptabilisés comme une branche receveur de la garantie financière (présentée dans la rubrique «Créances à recevoir avec contrepartie directe» – voir note </w:t>
      </w:r>
      <w:r>
        <w:rPr>
          <w:b/>
        </w:rPr>
        <w:t>2.6.2</w:t>
      </w:r>
      <w:r>
        <w:t>) et un passif lié à la garantie financière est aussi comptabilisé afin de représenter l’</w:t>
      </w:r>
      <w:bookmarkStart w:id="166" w:name="_Hlk229776259"/>
      <w:r>
        <w:t>obligation de l’UE</w:t>
      </w:r>
      <w:bookmarkEnd w:id="166"/>
      <w:r>
        <w:t xml:space="preserve"> de couvrir les futures demandes de garantie. </w:t>
      </w:r>
    </w:p>
    <w:p>
      <w:pPr>
        <w:pStyle w:val="DGTextstand-alone"/>
      </w:pPr>
      <w:r>
        <w:t xml:space="preserve">Bien que les passifs liés à la garantie financière au titre du MPE et de l’EFSI restent importants, les garanties au titre des nouveaux programmes du présent CFP, à savoir InvestEU, l’IVCDCI et la garantie pour l’Ukraine lancée en 2024, continuent d’augmenter en raison de la signature de nouvelles opérations par les partenaires de l’UE chargés de la mise en œuvre (voir également la note </w:t>
      </w:r>
      <w:r>
        <w:rPr>
          <w:b/>
        </w:rPr>
        <w:t>4.1.1</w:t>
      </w:r>
      <w:r>
        <w:t xml:space="preserve">). </w:t>
      </w:r>
    </w:p>
    <w:p>
      <w:pPr>
        <w:pStyle w:val="DGTextstand-alone"/>
      </w:pPr>
      <w:r>
        <w:t xml:space="preserve">À l’exception de la garantie de l’EFSI, pour laquelle l’UE a droit à une rémunération attendue - comptabilisée en tant que branche receveur de la garantie financière – couvrant dans une large mesure le passif, pour les autres programmes, les recettes attendues ne couvrent qu’une petite partie de la garantie. Cela s’explique par la part élevée du subventionnement de l’UE en faveur de ces programmes, en particulier ceux proposés pour les financements à plus haut risque aux PME ou au secteur de l’innovation, ainsi que par les garanties pour les projets dans les pays en développement. </w:t>
      </w:r>
    </w:p>
    <w:bookmarkEnd w:id="158"/>
    <w:p>
      <w:pPr>
        <w:rPr>
          <w:rFonts w:ascii="Verdana" w:hAnsi="Verdana"/>
          <w:noProof/>
          <w:sz w:val="18"/>
          <w:szCs w:val="18"/>
        </w:rPr>
      </w:pPr>
      <w:r>
        <w:rPr>
          <w:noProof/>
        </w:rPr>
        <w:br w:type="page"/>
      </w:r>
    </w:p>
    <w:p>
      <w:pPr>
        <w:pStyle w:val="DGTextstand-alone"/>
        <w:sectPr>
          <w:headerReference w:type="default" r:id="rId103"/>
          <w:footerReference w:type="default" r:id="rId104"/>
          <w:pgSz w:w="11906" w:h="16838"/>
          <w:pgMar w:top="1134" w:right="1134" w:bottom="1134" w:left="1134" w:header="709" w:footer="709" w:gutter="0"/>
          <w:cols w:space="708"/>
          <w:docGrid w:linePitch="360"/>
        </w:sectPr>
      </w:pPr>
    </w:p>
    <w:p>
      <w:pPr>
        <w:pStyle w:val="HEADER2NOTES"/>
        <w:numPr>
          <w:ilvl w:val="1"/>
          <w:numId w:val="15"/>
        </w:numPr>
        <w:rPr>
          <w:noProof/>
        </w:rPr>
      </w:pPr>
      <w:bookmarkStart w:id="167" w:name="_DMBM_36690"/>
      <w:r>
        <w:rPr>
          <w:noProof/>
        </w:rPr>
        <w:lastRenderedPageBreak/>
        <w:t>SOMMES À PAYER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86"/>
        <w:gridCol w:w="1179"/>
        <w:gridCol w:w="1179"/>
        <w:gridCol w:w="1278"/>
        <w:gridCol w:w="1179"/>
        <w:gridCol w:w="1179"/>
        <w:gridCol w:w="1278"/>
      </w:tblGrid>
      <w:tr>
        <w:trPr>
          <w:trHeight w:val="255"/>
        </w:trPr>
        <w:tc>
          <w:tcPr>
            <w:tcW w:w="2486" w:type="dxa"/>
            <w:tcBorders>
              <w:top w:val="nil"/>
              <w:left w:val="nil"/>
              <w:bottom w:val="nil"/>
              <w:right w:val="nil"/>
              <w:tl2br w:val="nil"/>
              <w:tr2bl w:val="nil"/>
            </w:tcBorders>
            <w:tcMar>
              <w:left w:w="60" w:type="dxa"/>
              <w:right w:w="60" w:type="dxa"/>
            </w:tcMar>
            <w:vAlign w:val="bottom"/>
          </w:tcPr>
          <w:p>
            <w:pPr>
              <w:pStyle w:val="DMETW36748BIPPAYAB"/>
              <w:rPr>
                <w:rFonts w:ascii="Arial" w:eastAsia="Arial" w:hAnsi="Arial" w:cs="Arial"/>
                <w:noProof/>
                <w:color w:val="000000"/>
              </w:rPr>
            </w:pPr>
            <w:bookmarkStart w:id="168" w:name="DOC_TBL00062_1_1"/>
            <w:bookmarkEnd w:id="168"/>
          </w:p>
        </w:tc>
        <w:tc>
          <w:tcPr>
            <w:tcW w:w="1179" w:type="dxa"/>
            <w:tcBorders>
              <w:top w:val="nil"/>
              <w:left w:val="nil"/>
              <w:bottom w:val="nil"/>
              <w:right w:val="nil"/>
              <w:tl2br w:val="nil"/>
              <w:tr2bl w:val="nil"/>
            </w:tcBorders>
            <w:tcMar>
              <w:left w:w="60" w:type="dxa"/>
              <w:right w:w="60" w:type="dxa"/>
            </w:tcMar>
            <w:vAlign w:val="bottom"/>
          </w:tcPr>
          <w:p>
            <w:pPr>
              <w:pStyle w:val="DMETW36748BIPPAYAB"/>
              <w:rPr>
                <w:rFonts w:ascii="Arial" w:eastAsia="Arial" w:hAnsi="Arial" w:cs="Arial"/>
                <w:noProof/>
                <w:color w:val="000000"/>
              </w:rPr>
            </w:pPr>
          </w:p>
        </w:tc>
        <w:tc>
          <w:tcPr>
            <w:tcW w:w="1179" w:type="dxa"/>
            <w:tcBorders>
              <w:top w:val="nil"/>
              <w:left w:val="nil"/>
              <w:bottom w:val="nil"/>
              <w:right w:val="nil"/>
              <w:tl2br w:val="nil"/>
              <w:tr2bl w:val="nil"/>
            </w:tcBorders>
            <w:tcMar>
              <w:left w:w="60" w:type="dxa"/>
              <w:right w:w="60" w:type="dxa"/>
            </w:tcMar>
            <w:vAlign w:val="bottom"/>
          </w:tcPr>
          <w:p>
            <w:pPr>
              <w:pStyle w:val="DMETW36748BIPPAYAB"/>
              <w:rPr>
                <w:rFonts w:ascii="Arial" w:eastAsia="Arial" w:hAnsi="Arial" w:cs="Arial"/>
                <w:noProof/>
                <w:color w:val="000000"/>
              </w:rPr>
            </w:pPr>
          </w:p>
        </w:tc>
        <w:tc>
          <w:tcPr>
            <w:tcW w:w="1278" w:type="dxa"/>
            <w:tcBorders>
              <w:top w:val="nil"/>
              <w:left w:val="nil"/>
              <w:bottom w:val="nil"/>
              <w:right w:val="nil"/>
              <w:tl2br w:val="nil"/>
              <w:tr2bl w:val="nil"/>
            </w:tcBorders>
            <w:tcMar>
              <w:left w:w="60" w:type="dxa"/>
              <w:right w:w="60" w:type="dxa"/>
            </w:tcMar>
            <w:vAlign w:val="bottom"/>
          </w:tcPr>
          <w:p>
            <w:pPr>
              <w:pStyle w:val="DMETW36748BIPPAYAB"/>
              <w:rPr>
                <w:rFonts w:ascii="Arial" w:eastAsia="Arial" w:hAnsi="Arial" w:cs="Arial"/>
                <w:noProof/>
                <w:color w:val="000000"/>
              </w:rPr>
            </w:pPr>
          </w:p>
        </w:tc>
        <w:tc>
          <w:tcPr>
            <w:tcW w:w="1179" w:type="dxa"/>
            <w:tcBorders>
              <w:top w:val="nil"/>
              <w:left w:val="nil"/>
              <w:bottom w:val="nil"/>
              <w:right w:val="nil"/>
              <w:tl2br w:val="nil"/>
              <w:tr2bl w:val="nil"/>
            </w:tcBorders>
            <w:tcMar>
              <w:left w:w="60" w:type="dxa"/>
              <w:right w:w="60" w:type="dxa"/>
            </w:tcMar>
            <w:vAlign w:val="bottom"/>
          </w:tcPr>
          <w:p>
            <w:pPr>
              <w:pStyle w:val="DMETW36748BIPPAYAB"/>
              <w:rPr>
                <w:rFonts w:ascii="Arial" w:eastAsia="Arial" w:hAnsi="Arial" w:cs="Arial"/>
                <w:noProof/>
                <w:color w:val="000000"/>
              </w:rPr>
            </w:pPr>
          </w:p>
        </w:tc>
        <w:tc>
          <w:tcPr>
            <w:tcW w:w="1179" w:type="dxa"/>
            <w:tcBorders>
              <w:top w:val="nil"/>
              <w:left w:val="nil"/>
              <w:bottom w:val="nil"/>
              <w:right w:val="nil"/>
              <w:tl2br w:val="nil"/>
              <w:tr2bl w:val="nil"/>
            </w:tcBorders>
            <w:tcMar>
              <w:left w:w="60" w:type="dxa"/>
              <w:right w:w="60" w:type="dxa"/>
            </w:tcMar>
            <w:vAlign w:val="bottom"/>
          </w:tcPr>
          <w:p>
            <w:pPr>
              <w:pStyle w:val="DMETW36748BIPPAYAB"/>
              <w:rPr>
                <w:rFonts w:ascii="Arial" w:eastAsia="Arial" w:hAnsi="Arial" w:cs="Arial"/>
                <w:noProof/>
                <w:color w:val="000000"/>
              </w:rPr>
            </w:pPr>
          </w:p>
        </w:tc>
        <w:tc>
          <w:tcPr>
            <w:tcW w:w="1278" w:type="dxa"/>
            <w:tcBorders>
              <w:top w:val="nil"/>
              <w:left w:val="nil"/>
              <w:bottom w:val="nil"/>
              <w:right w:val="nil"/>
              <w:tl2br w:val="nil"/>
              <w:tr2bl w:val="nil"/>
            </w:tcBorders>
            <w:tcMar>
              <w:left w:w="60" w:type="dxa"/>
              <w:right w:w="60" w:type="dxa"/>
            </w:tcMar>
            <w:vAlign w:val="bottom"/>
          </w:tcPr>
          <w:p>
            <w:pPr>
              <w:pStyle w:val="DMETW36748BIPPAYAB"/>
              <w:jc w:val="right"/>
              <w:rPr>
                <w:rFonts w:ascii="Verdana" w:eastAsia="Verdana" w:hAnsi="Verdana" w:cs="Verdana"/>
                <w:i/>
                <w:noProof/>
                <w:color w:val="000000"/>
                <w:sz w:val="16"/>
              </w:rPr>
            </w:pPr>
            <w:r>
              <w:rPr>
                <w:rFonts w:ascii="Verdana" w:hAnsi="Verdana"/>
                <w:i/>
                <w:noProof/>
                <w:color w:val="000000"/>
                <w:sz w:val="16"/>
              </w:rPr>
              <w:t>en Mio EUR</w:t>
            </w:r>
          </w:p>
        </w:tc>
      </w:tr>
      <w:tr>
        <w:trPr>
          <w:trHeight w:val="255"/>
        </w:trPr>
        <w:tc>
          <w:tcPr>
            <w:tcW w:w="2486" w:type="dxa"/>
            <w:tcBorders>
              <w:top w:val="nil"/>
              <w:left w:val="nil"/>
              <w:bottom w:val="nil"/>
              <w:right w:val="nil"/>
              <w:tl2br w:val="nil"/>
              <w:tr2bl w:val="nil"/>
            </w:tcBorders>
            <w:shd w:val="solid" w:color="016794" w:fill="FFFFFF"/>
            <w:tcMar>
              <w:left w:w="60" w:type="dxa"/>
              <w:right w:w="60" w:type="dxa"/>
            </w:tcMar>
            <w:vAlign w:val="center"/>
          </w:tcPr>
          <w:p>
            <w:pPr>
              <w:pStyle w:val="DMETW36748BIPPAYAB"/>
              <w:jc w:val="right"/>
              <w:rPr>
                <w:rFonts w:ascii="Verdana" w:eastAsia="Verdana" w:hAnsi="Verdana" w:cs="Verdana"/>
                <w:noProof/>
                <w:color w:val="FFFFFF"/>
                <w:sz w:val="16"/>
              </w:rPr>
            </w:pPr>
          </w:p>
        </w:tc>
        <w:tc>
          <w:tcPr>
            <w:tcW w:w="1179" w:type="dxa"/>
            <w:tcBorders>
              <w:top w:val="nil"/>
              <w:left w:val="nil"/>
              <w:bottom w:val="nil"/>
              <w:right w:val="nil"/>
              <w:tl2br w:val="nil"/>
              <w:tr2bl w:val="nil"/>
            </w:tcBorders>
            <w:shd w:val="solid" w:color="016794" w:fill="FFFFFF"/>
            <w:tcMar>
              <w:left w:w="60" w:type="dxa"/>
              <w:right w:w="60" w:type="dxa"/>
            </w:tcMar>
            <w:vAlign w:val="center"/>
          </w:tcPr>
          <w:p>
            <w:pPr>
              <w:pStyle w:val="DMETW36748BIPPAYAB"/>
              <w:jc w:val="right"/>
              <w:rPr>
                <w:rFonts w:ascii="Verdana" w:eastAsia="Verdana" w:hAnsi="Verdana" w:cs="Verdana"/>
                <w:noProof/>
                <w:color w:val="FFFFFF"/>
                <w:sz w:val="16"/>
              </w:rPr>
            </w:pPr>
            <w:r>
              <w:rPr>
                <w:rFonts w:ascii="Verdana" w:hAnsi="Verdana"/>
                <w:noProof/>
                <w:color w:val="FFFFFF"/>
                <w:sz w:val="16"/>
              </w:rPr>
              <w:t>Valeur brute</w:t>
            </w:r>
          </w:p>
        </w:tc>
        <w:tc>
          <w:tcPr>
            <w:tcW w:w="1179" w:type="dxa"/>
            <w:tcBorders>
              <w:top w:val="nil"/>
              <w:left w:val="nil"/>
              <w:bottom w:val="nil"/>
              <w:right w:val="nil"/>
              <w:tl2br w:val="nil"/>
              <w:tr2bl w:val="nil"/>
            </w:tcBorders>
            <w:shd w:val="solid" w:color="016794" w:fill="FFFFFF"/>
            <w:tcMar>
              <w:left w:w="60" w:type="dxa"/>
              <w:right w:w="60" w:type="dxa"/>
            </w:tcMar>
            <w:vAlign w:val="center"/>
          </w:tcPr>
          <w:p>
            <w:pPr>
              <w:pStyle w:val="DMETW36748BIPPAYAB"/>
              <w:jc w:val="right"/>
              <w:rPr>
                <w:rFonts w:ascii="Verdana" w:eastAsia="Verdana" w:hAnsi="Verdana" w:cs="Verdana"/>
                <w:noProof/>
                <w:color w:val="FFFFFF"/>
                <w:sz w:val="16"/>
              </w:rPr>
            </w:pPr>
            <w:r>
              <w:rPr>
                <w:rFonts w:ascii="Verdana" w:hAnsi="Verdana"/>
                <w:noProof/>
                <w:color w:val="FFFFFF"/>
                <w:sz w:val="16"/>
              </w:rPr>
              <w:t>Ajustements</w:t>
            </w:r>
          </w:p>
        </w:tc>
        <w:tc>
          <w:tcPr>
            <w:tcW w:w="1278" w:type="dxa"/>
            <w:tcBorders>
              <w:top w:val="nil"/>
              <w:left w:val="nil"/>
              <w:bottom w:val="nil"/>
              <w:right w:val="nil"/>
              <w:tl2br w:val="nil"/>
              <w:tr2bl w:val="nil"/>
            </w:tcBorders>
            <w:shd w:val="solid" w:color="016794" w:fill="FFFFFF"/>
            <w:tcMar>
              <w:left w:w="60" w:type="dxa"/>
              <w:right w:w="60" w:type="dxa"/>
            </w:tcMar>
            <w:vAlign w:val="center"/>
          </w:tcPr>
          <w:p>
            <w:pPr>
              <w:pStyle w:val="DMETW36748BIPPAYAB"/>
              <w:jc w:val="right"/>
              <w:rPr>
                <w:rFonts w:ascii="Verdana" w:eastAsia="Verdana" w:hAnsi="Verdana" w:cs="Verdana"/>
                <w:noProof/>
                <w:color w:val="FFFFFF"/>
                <w:sz w:val="16"/>
              </w:rPr>
            </w:pPr>
            <w:r>
              <w:rPr>
                <w:rFonts w:ascii="Verdana" w:hAnsi="Verdana"/>
                <w:noProof/>
                <w:color w:val="FFFFFF"/>
                <w:sz w:val="16"/>
              </w:rPr>
              <w:t>Valeur nette au 31.12.2025</w:t>
            </w:r>
          </w:p>
        </w:tc>
        <w:tc>
          <w:tcPr>
            <w:tcW w:w="1179" w:type="dxa"/>
            <w:tcBorders>
              <w:top w:val="nil"/>
              <w:left w:val="nil"/>
              <w:bottom w:val="nil"/>
              <w:right w:val="nil"/>
              <w:tl2br w:val="nil"/>
              <w:tr2bl w:val="nil"/>
            </w:tcBorders>
            <w:shd w:val="solid" w:color="016794" w:fill="FFFFFF"/>
            <w:tcMar>
              <w:left w:w="60" w:type="dxa"/>
              <w:right w:w="60" w:type="dxa"/>
            </w:tcMar>
            <w:vAlign w:val="center"/>
          </w:tcPr>
          <w:p>
            <w:pPr>
              <w:pStyle w:val="DMETW36748BIPPAYAB"/>
              <w:jc w:val="right"/>
              <w:rPr>
                <w:rFonts w:ascii="Verdana" w:eastAsia="Verdana" w:hAnsi="Verdana" w:cs="Verdana"/>
                <w:noProof/>
                <w:color w:val="FFFFFF"/>
                <w:sz w:val="16"/>
              </w:rPr>
            </w:pPr>
            <w:r>
              <w:rPr>
                <w:rFonts w:ascii="Verdana" w:hAnsi="Verdana"/>
                <w:noProof/>
                <w:color w:val="FFFFFF"/>
                <w:sz w:val="16"/>
              </w:rPr>
              <w:t>Valeur brute</w:t>
            </w:r>
          </w:p>
        </w:tc>
        <w:tc>
          <w:tcPr>
            <w:tcW w:w="1179" w:type="dxa"/>
            <w:tcBorders>
              <w:top w:val="nil"/>
              <w:left w:val="nil"/>
              <w:bottom w:val="nil"/>
              <w:right w:val="nil"/>
              <w:tl2br w:val="nil"/>
              <w:tr2bl w:val="nil"/>
            </w:tcBorders>
            <w:shd w:val="solid" w:color="016794" w:fill="FFFFFF"/>
            <w:tcMar>
              <w:left w:w="60" w:type="dxa"/>
              <w:right w:w="60" w:type="dxa"/>
            </w:tcMar>
            <w:vAlign w:val="center"/>
          </w:tcPr>
          <w:p>
            <w:pPr>
              <w:pStyle w:val="DMETW36748BIPPAYAB"/>
              <w:jc w:val="right"/>
              <w:rPr>
                <w:rFonts w:ascii="Verdana" w:eastAsia="Verdana" w:hAnsi="Verdana" w:cs="Verdana"/>
                <w:noProof/>
                <w:color w:val="FFFFFF"/>
                <w:sz w:val="16"/>
              </w:rPr>
            </w:pPr>
            <w:r>
              <w:rPr>
                <w:rFonts w:ascii="Verdana" w:hAnsi="Verdana"/>
                <w:noProof/>
                <w:color w:val="FFFFFF"/>
                <w:sz w:val="16"/>
              </w:rPr>
              <w:t>Ajustements</w:t>
            </w:r>
          </w:p>
        </w:tc>
        <w:tc>
          <w:tcPr>
            <w:tcW w:w="1278" w:type="dxa"/>
            <w:tcBorders>
              <w:top w:val="nil"/>
              <w:left w:val="nil"/>
              <w:bottom w:val="nil"/>
              <w:right w:val="nil"/>
              <w:tl2br w:val="nil"/>
              <w:tr2bl w:val="nil"/>
            </w:tcBorders>
            <w:shd w:val="solid" w:color="016794" w:fill="FFFFFF"/>
            <w:tcMar>
              <w:left w:w="60" w:type="dxa"/>
              <w:right w:w="60" w:type="dxa"/>
            </w:tcMar>
            <w:vAlign w:val="center"/>
          </w:tcPr>
          <w:p>
            <w:pPr>
              <w:pStyle w:val="DMETW36748BIPPAYAB"/>
              <w:jc w:val="right"/>
              <w:rPr>
                <w:rFonts w:ascii="Verdana" w:eastAsia="Verdana" w:hAnsi="Verdana" w:cs="Verdana"/>
                <w:noProof/>
                <w:color w:val="FFFFFF"/>
                <w:sz w:val="16"/>
              </w:rPr>
            </w:pPr>
            <w:r>
              <w:rPr>
                <w:rFonts w:ascii="Verdana" w:hAnsi="Verdana"/>
                <w:noProof/>
                <w:color w:val="FFFFFF"/>
                <w:sz w:val="16"/>
              </w:rPr>
              <w:t>Valeur nette au 31.12.2024</w:t>
            </w:r>
          </w:p>
        </w:tc>
      </w:tr>
      <w:tr>
        <w:trPr>
          <w:trHeight w:val="255"/>
        </w:trPr>
        <w:tc>
          <w:tcPr>
            <w:tcW w:w="2486" w:type="dxa"/>
            <w:tcBorders>
              <w:top w:val="nil"/>
              <w:left w:val="nil"/>
              <w:bottom w:val="nil"/>
              <w:right w:val="nil"/>
              <w:tl2br w:val="nil"/>
              <w:tr2bl w:val="nil"/>
            </w:tcBorders>
            <w:tcMar>
              <w:left w:w="60" w:type="dxa"/>
              <w:right w:w="60" w:type="dxa"/>
            </w:tcMar>
            <w:vAlign w:val="center"/>
          </w:tcPr>
          <w:p>
            <w:pPr>
              <w:pStyle w:val="DMETW36748BIPPAYAB"/>
              <w:rPr>
                <w:rFonts w:ascii="Verdana" w:eastAsia="Verdana" w:hAnsi="Verdana" w:cs="Verdana"/>
                <w:b/>
                <w:noProof/>
                <w:color w:val="000000"/>
                <w:sz w:val="16"/>
              </w:rPr>
            </w:pPr>
            <w:r>
              <w:rPr>
                <w:rFonts w:ascii="Verdana" w:hAnsi="Verdana"/>
                <w:b/>
                <w:noProof/>
                <w:color w:val="000000"/>
                <w:sz w:val="16"/>
              </w:rPr>
              <w:t>Déclarations de dépenses et factures reçues de:</w:t>
            </w:r>
          </w:p>
        </w:tc>
        <w:tc>
          <w:tcPr>
            <w:tcW w:w="1179" w:type="dxa"/>
            <w:tcBorders>
              <w:top w:val="nil"/>
              <w:left w:val="nil"/>
              <w:bottom w:val="nil"/>
              <w:right w:val="nil"/>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p>
        </w:tc>
        <w:tc>
          <w:tcPr>
            <w:tcW w:w="1179" w:type="dxa"/>
            <w:tcBorders>
              <w:top w:val="nil"/>
              <w:left w:val="nil"/>
              <w:bottom w:val="nil"/>
              <w:right w:val="nil"/>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p>
        </w:tc>
        <w:tc>
          <w:tcPr>
            <w:tcW w:w="1278" w:type="dxa"/>
            <w:tcBorders>
              <w:top w:val="nil"/>
              <w:left w:val="nil"/>
              <w:bottom w:val="nil"/>
              <w:right w:val="single" w:sz="4" w:space="0" w:color="016794"/>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p>
        </w:tc>
        <w:tc>
          <w:tcPr>
            <w:tcW w:w="1179" w:type="dxa"/>
            <w:tcBorders>
              <w:top w:val="nil"/>
              <w:left w:val="single" w:sz="4" w:space="0" w:color="016794"/>
              <w:bottom w:val="nil"/>
              <w:right w:val="nil"/>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p>
        </w:tc>
        <w:tc>
          <w:tcPr>
            <w:tcW w:w="1179" w:type="dxa"/>
            <w:tcBorders>
              <w:top w:val="nil"/>
              <w:left w:val="nil"/>
              <w:bottom w:val="nil"/>
              <w:right w:val="nil"/>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p>
        </w:tc>
        <w:tc>
          <w:tcPr>
            <w:tcW w:w="1278" w:type="dxa"/>
            <w:tcBorders>
              <w:top w:val="nil"/>
              <w:left w:val="nil"/>
              <w:bottom w:val="nil"/>
              <w:right w:val="nil"/>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lang w:bidi="en-GB"/>
              </w:rPr>
            </w:pPr>
          </w:p>
        </w:tc>
      </w:tr>
      <w:tr>
        <w:trPr>
          <w:trHeight w:val="255"/>
        </w:trPr>
        <w:tc>
          <w:tcPr>
            <w:tcW w:w="2486" w:type="dxa"/>
            <w:tcBorders>
              <w:top w:val="nil"/>
              <w:left w:val="nil"/>
              <w:bottom w:val="nil"/>
              <w:right w:val="nil"/>
              <w:tl2br w:val="nil"/>
              <w:tr2bl w:val="nil"/>
            </w:tcBorders>
            <w:tcMar>
              <w:left w:w="60" w:type="dxa"/>
              <w:right w:w="60" w:type="dxa"/>
            </w:tcMar>
            <w:vAlign w:val="center"/>
          </w:tcPr>
          <w:p>
            <w:pPr>
              <w:pStyle w:val="DMETW36748BIPPAYAB"/>
              <w:rPr>
                <w:rFonts w:ascii="Verdana" w:eastAsia="Verdana" w:hAnsi="Verdana" w:cs="Verdana"/>
                <w:i/>
                <w:noProof/>
                <w:color w:val="016794"/>
                <w:sz w:val="16"/>
              </w:rPr>
            </w:pPr>
            <w:r>
              <w:rPr>
                <w:rFonts w:ascii="Verdana" w:hAnsi="Verdana"/>
                <w:i/>
                <w:noProof/>
                <w:color w:val="016794"/>
                <w:sz w:val="16"/>
              </w:rPr>
              <w:t>États membres</w:t>
            </w:r>
          </w:p>
        </w:tc>
        <w:tc>
          <w:tcPr>
            <w:tcW w:w="1179" w:type="dxa"/>
            <w:tcBorders>
              <w:top w:val="nil"/>
              <w:left w:val="nil"/>
              <w:bottom w:val="nil"/>
              <w:right w:val="nil"/>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p>
        </w:tc>
        <w:tc>
          <w:tcPr>
            <w:tcW w:w="1179" w:type="dxa"/>
            <w:tcBorders>
              <w:top w:val="nil"/>
              <w:left w:val="nil"/>
              <w:bottom w:val="nil"/>
              <w:right w:val="nil"/>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p>
        </w:tc>
        <w:tc>
          <w:tcPr>
            <w:tcW w:w="1278" w:type="dxa"/>
            <w:tcBorders>
              <w:top w:val="nil"/>
              <w:left w:val="nil"/>
              <w:bottom w:val="nil"/>
              <w:right w:val="single" w:sz="4" w:space="0" w:color="016794"/>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p>
        </w:tc>
        <w:tc>
          <w:tcPr>
            <w:tcW w:w="1179" w:type="dxa"/>
            <w:tcBorders>
              <w:top w:val="nil"/>
              <w:left w:val="single" w:sz="4" w:space="0" w:color="016794"/>
              <w:bottom w:val="nil"/>
              <w:right w:val="nil"/>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p>
        </w:tc>
        <w:tc>
          <w:tcPr>
            <w:tcW w:w="1179" w:type="dxa"/>
            <w:tcBorders>
              <w:top w:val="nil"/>
              <w:left w:val="nil"/>
              <w:bottom w:val="nil"/>
              <w:right w:val="nil"/>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p>
        </w:tc>
        <w:tc>
          <w:tcPr>
            <w:tcW w:w="1278" w:type="dxa"/>
            <w:tcBorders>
              <w:top w:val="nil"/>
              <w:left w:val="nil"/>
              <w:bottom w:val="nil"/>
              <w:right w:val="nil"/>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lang w:bidi="en-GB"/>
              </w:rPr>
            </w:pPr>
          </w:p>
        </w:tc>
      </w:tr>
      <w:tr>
        <w:trPr>
          <w:trHeight w:val="255"/>
        </w:trPr>
        <w:tc>
          <w:tcPr>
            <w:tcW w:w="2486" w:type="dxa"/>
            <w:tcBorders>
              <w:top w:val="nil"/>
              <w:left w:val="nil"/>
              <w:bottom w:val="nil"/>
              <w:right w:val="nil"/>
              <w:tl2br w:val="nil"/>
              <w:tr2bl w:val="nil"/>
            </w:tcBorders>
            <w:tcMar>
              <w:left w:w="60" w:type="dxa"/>
              <w:right w:w="60" w:type="dxa"/>
            </w:tcMar>
            <w:vAlign w:val="center"/>
          </w:tcPr>
          <w:p>
            <w:pPr>
              <w:pStyle w:val="DMETW36748BIPPAYAB"/>
              <w:rPr>
                <w:rFonts w:ascii="Verdana" w:eastAsia="Verdana" w:hAnsi="Verdana" w:cs="Verdana"/>
                <w:i/>
                <w:noProof/>
                <w:color w:val="000000"/>
                <w:sz w:val="16"/>
              </w:rPr>
            </w:pPr>
            <w:r>
              <w:rPr>
                <w:rFonts w:ascii="Verdana" w:hAnsi="Verdana"/>
                <w:i/>
                <w:noProof/>
                <w:color w:val="000000"/>
                <w:sz w:val="16"/>
              </w:rPr>
              <w:t>Feader et autres instruments de développement rural</w:t>
            </w:r>
          </w:p>
        </w:tc>
        <w:tc>
          <w:tcPr>
            <w:tcW w:w="1179" w:type="dxa"/>
            <w:tcBorders>
              <w:top w:val="nil"/>
              <w:left w:val="nil"/>
              <w:bottom w:val="nil"/>
              <w:right w:val="nil"/>
              <w:tl2br w:val="nil"/>
              <w:tr2bl w:val="nil"/>
            </w:tcBorders>
            <w:tcMar>
              <w:left w:w="60" w:type="dxa"/>
              <w:right w:w="60" w:type="dxa"/>
            </w:tcMar>
            <w:vAlign w:val="center"/>
          </w:tcPr>
          <w:p>
            <w:pPr>
              <w:pStyle w:val="DMETW36748BIPPAYAB"/>
              <w:jc w:val="right"/>
              <w:rPr>
                <w:rFonts w:ascii="Verdana" w:eastAsia="Verdana" w:hAnsi="Verdana" w:cs="Verdana"/>
                <w:i/>
                <w:noProof/>
                <w:color w:val="000000"/>
                <w:sz w:val="16"/>
              </w:rPr>
            </w:pPr>
            <w:r>
              <w:rPr>
                <w:rFonts w:ascii="Verdana" w:hAnsi="Verdana"/>
                <w:i/>
                <w:noProof/>
                <w:color w:val="000000"/>
                <w:sz w:val="16"/>
              </w:rPr>
              <w:t>1 892</w:t>
            </w:r>
          </w:p>
        </w:tc>
        <w:tc>
          <w:tcPr>
            <w:tcW w:w="1179" w:type="dxa"/>
            <w:tcBorders>
              <w:top w:val="nil"/>
              <w:left w:val="nil"/>
              <w:bottom w:val="nil"/>
              <w:right w:val="nil"/>
              <w:tl2br w:val="nil"/>
              <w:tr2bl w:val="nil"/>
            </w:tcBorders>
            <w:tcMar>
              <w:left w:w="60" w:type="dxa"/>
              <w:right w:w="60" w:type="dxa"/>
            </w:tcMar>
            <w:vAlign w:val="center"/>
          </w:tcPr>
          <w:p>
            <w:pPr>
              <w:pStyle w:val="DMETW36748BIPPAYAB"/>
              <w:jc w:val="right"/>
              <w:rPr>
                <w:rFonts w:ascii="Verdana" w:eastAsia="Verdana" w:hAnsi="Verdana" w:cs="Verdana"/>
                <w:i/>
                <w:noProof/>
                <w:color w:val="000000"/>
                <w:sz w:val="16"/>
              </w:rPr>
            </w:pPr>
            <w:r>
              <w:rPr>
                <w:rFonts w:ascii="Verdana" w:hAnsi="Verdana"/>
                <w:i/>
                <w:noProof/>
                <w:color w:val="000000"/>
                <w:sz w:val="16"/>
              </w:rPr>
              <w:t>–</w:t>
            </w:r>
          </w:p>
        </w:tc>
        <w:tc>
          <w:tcPr>
            <w:tcW w:w="1278" w:type="dxa"/>
            <w:tcBorders>
              <w:top w:val="nil"/>
              <w:left w:val="nil"/>
              <w:bottom w:val="nil"/>
              <w:right w:val="single" w:sz="4" w:space="0" w:color="016794"/>
              <w:tl2br w:val="nil"/>
              <w:tr2bl w:val="nil"/>
            </w:tcBorders>
            <w:tcMar>
              <w:left w:w="60" w:type="dxa"/>
              <w:right w:w="60" w:type="dxa"/>
            </w:tcMar>
            <w:vAlign w:val="center"/>
          </w:tcPr>
          <w:p>
            <w:pPr>
              <w:pStyle w:val="DMETW36748BIPPAYAB"/>
              <w:jc w:val="right"/>
              <w:rPr>
                <w:rFonts w:ascii="Verdana" w:eastAsia="Verdana" w:hAnsi="Verdana" w:cs="Verdana"/>
                <w:i/>
                <w:noProof/>
                <w:color w:val="000000"/>
                <w:sz w:val="16"/>
              </w:rPr>
            </w:pPr>
            <w:r>
              <w:rPr>
                <w:rFonts w:ascii="Verdana" w:hAnsi="Verdana"/>
                <w:i/>
                <w:noProof/>
                <w:color w:val="000000"/>
                <w:sz w:val="16"/>
              </w:rPr>
              <w:t>1 892</w:t>
            </w:r>
          </w:p>
        </w:tc>
        <w:tc>
          <w:tcPr>
            <w:tcW w:w="1179" w:type="dxa"/>
            <w:tcBorders>
              <w:top w:val="nil"/>
              <w:left w:val="single" w:sz="4" w:space="0" w:color="016794"/>
              <w:bottom w:val="nil"/>
              <w:right w:val="nil"/>
              <w:tl2br w:val="nil"/>
              <w:tr2bl w:val="nil"/>
            </w:tcBorders>
            <w:tcMar>
              <w:left w:w="60" w:type="dxa"/>
              <w:right w:w="60" w:type="dxa"/>
            </w:tcMar>
            <w:vAlign w:val="center"/>
          </w:tcPr>
          <w:p>
            <w:pPr>
              <w:pStyle w:val="DMETW36748BIPPAYAB"/>
              <w:jc w:val="right"/>
              <w:rPr>
                <w:rFonts w:ascii="Verdana" w:eastAsia="Verdana" w:hAnsi="Verdana" w:cs="Verdana"/>
                <w:i/>
                <w:noProof/>
                <w:color w:val="000000"/>
                <w:sz w:val="16"/>
              </w:rPr>
            </w:pPr>
            <w:r>
              <w:rPr>
                <w:rFonts w:ascii="Verdana" w:hAnsi="Verdana"/>
                <w:i/>
                <w:noProof/>
                <w:color w:val="000000"/>
                <w:sz w:val="16"/>
              </w:rPr>
              <w:t xml:space="preserve"> 269</w:t>
            </w:r>
          </w:p>
        </w:tc>
        <w:tc>
          <w:tcPr>
            <w:tcW w:w="1179" w:type="dxa"/>
            <w:tcBorders>
              <w:top w:val="nil"/>
              <w:left w:val="nil"/>
              <w:bottom w:val="nil"/>
              <w:right w:val="nil"/>
              <w:tl2br w:val="nil"/>
              <w:tr2bl w:val="nil"/>
            </w:tcBorders>
            <w:tcMar>
              <w:left w:w="60" w:type="dxa"/>
              <w:right w:w="60" w:type="dxa"/>
            </w:tcMar>
            <w:vAlign w:val="center"/>
          </w:tcPr>
          <w:p>
            <w:pPr>
              <w:pStyle w:val="DMETW36748BIPPAYAB"/>
              <w:jc w:val="right"/>
              <w:rPr>
                <w:rFonts w:ascii="Verdana" w:eastAsia="Verdana" w:hAnsi="Verdana" w:cs="Verdana"/>
                <w:i/>
                <w:noProof/>
                <w:color w:val="000000"/>
                <w:sz w:val="16"/>
              </w:rPr>
            </w:pPr>
            <w:r>
              <w:rPr>
                <w:rFonts w:ascii="Verdana" w:hAnsi="Verdana"/>
                <w:i/>
                <w:noProof/>
                <w:color w:val="000000"/>
                <w:sz w:val="16"/>
              </w:rPr>
              <w:t xml:space="preserve"> (0)</w:t>
            </w:r>
          </w:p>
        </w:tc>
        <w:tc>
          <w:tcPr>
            <w:tcW w:w="1278" w:type="dxa"/>
            <w:tcBorders>
              <w:top w:val="nil"/>
              <w:left w:val="nil"/>
              <w:bottom w:val="nil"/>
              <w:right w:val="nil"/>
              <w:tl2br w:val="nil"/>
              <w:tr2bl w:val="nil"/>
            </w:tcBorders>
            <w:tcMar>
              <w:left w:w="60" w:type="dxa"/>
              <w:right w:w="60" w:type="dxa"/>
            </w:tcMar>
            <w:vAlign w:val="center"/>
          </w:tcPr>
          <w:p>
            <w:pPr>
              <w:pStyle w:val="DMETW36748BIPPAYAB"/>
              <w:jc w:val="right"/>
              <w:rPr>
                <w:rFonts w:ascii="Verdana" w:eastAsia="Verdana" w:hAnsi="Verdana" w:cs="Verdana"/>
                <w:i/>
                <w:noProof/>
                <w:color w:val="000000"/>
                <w:sz w:val="16"/>
              </w:rPr>
            </w:pPr>
            <w:r>
              <w:rPr>
                <w:rFonts w:ascii="Verdana" w:hAnsi="Verdana"/>
                <w:i/>
                <w:noProof/>
                <w:color w:val="000000"/>
                <w:sz w:val="16"/>
              </w:rPr>
              <w:t xml:space="preserve"> 269</w:t>
            </w:r>
          </w:p>
        </w:tc>
      </w:tr>
      <w:tr>
        <w:trPr>
          <w:trHeight w:val="255"/>
        </w:trPr>
        <w:tc>
          <w:tcPr>
            <w:tcW w:w="2486" w:type="dxa"/>
            <w:tcBorders>
              <w:top w:val="nil"/>
              <w:left w:val="nil"/>
              <w:bottom w:val="nil"/>
              <w:right w:val="nil"/>
              <w:tl2br w:val="nil"/>
              <w:tr2bl w:val="nil"/>
            </w:tcBorders>
            <w:tcMar>
              <w:left w:w="60" w:type="dxa"/>
              <w:right w:w="60" w:type="dxa"/>
            </w:tcMar>
            <w:vAlign w:val="center"/>
          </w:tcPr>
          <w:p>
            <w:pPr>
              <w:pStyle w:val="DMETW36748BIPPAYAB"/>
              <w:rPr>
                <w:rFonts w:ascii="Verdana" w:eastAsia="Verdana" w:hAnsi="Verdana" w:cs="Verdana"/>
                <w:i/>
                <w:noProof/>
                <w:color w:val="000000"/>
                <w:sz w:val="16"/>
              </w:rPr>
            </w:pPr>
            <w:r>
              <w:rPr>
                <w:rFonts w:ascii="Verdana" w:hAnsi="Verdana"/>
                <w:i/>
                <w:noProof/>
                <w:color w:val="000000"/>
                <w:sz w:val="16"/>
              </w:rPr>
              <w:t>FEDER et FC</w:t>
            </w:r>
          </w:p>
        </w:tc>
        <w:tc>
          <w:tcPr>
            <w:tcW w:w="1179" w:type="dxa"/>
            <w:tcBorders>
              <w:top w:val="nil"/>
              <w:left w:val="nil"/>
              <w:bottom w:val="nil"/>
              <w:right w:val="nil"/>
              <w:tl2br w:val="nil"/>
              <w:tr2bl w:val="nil"/>
            </w:tcBorders>
            <w:tcMar>
              <w:left w:w="60" w:type="dxa"/>
              <w:right w:w="60" w:type="dxa"/>
            </w:tcMar>
            <w:vAlign w:val="center"/>
          </w:tcPr>
          <w:p>
            <w:pPr>
              <w:pStyle w:val="DMETW36748BIPPAYAB"/>
              <w:jc w:val="right"/>
              <w:rPr>
                <w:rFonts w:ascii="Verdana" w:eastAsia="Verdana" w:hAnsi="Verdana" w:cs="Verdana"/>
                <w:i/>
                <w:noProof/>
                <w:color w:val="000000"/>
                <w:sz w:val="16"/>
              </w:rPr>
            </w:pPr>
            <w:r>
              <w:rPr>
                <w:rFonts w:ascii="Verdana" w:hAnsi="Verdana"/>
                <w:i/>
                <w:noProof/>
                <w:color w:val="000000"/>
                <w:sz w:val="16"/>
              </w:rPr>
              <w:t>13 463</w:t>
            </w:r>
          </w:p>
        </w:tc>
        <w:tc>
          <w:tcPr>
            <w:tcW w:w="1179" w:type="dxa"/>
            <w:tcBorders>
              <w:top w:val="nil"/>
              <w:left w:val="nil"/>
              <w:bottom w:val="nil"/>
              <w:right w:val="nil"/>
              <w:tl2br w:val="nil"/>
              <w:tr2bl w:val="nil"/>
            </w:tcBorders>
            <w:tcMar>
              <w:left w:w="60" w:type="dxa"/>
              <w:right w:w="60" w:type="dxa"/>
            </w:tcMar>
            <w:vAlign w:val="center"/>
          </w:tcPr>
          <w:p>
            <w:pPr>
              <w:pStyle w:val="DMETW36748BIPPAYAB"/>
              <w:jc w:val="right"/>
              <w:rPr>
                <w:rFonts w:ascii="Verdana" w:eastAsia="Verdana" w:hAnsi="Verdana" w:cs="Verdana"/>
                <w:i/>
                <w:noProof/>
                <w:color w:val="000000"/>
                <w:sz w:val="16"/>
              </w:rPr>
            </w:pPr>
            <w:r>
              <w:rPr>
                <w:rFonts w:ascii="Verdana" w:hAnsi="Verdana"/>
                <w:i/>
                <w:noProof/>
                <w:color w:val="000000"/>
                <w:sz w:val="16"/>
              </w:rPr>
              <w:t>(2 250)</w:t>
            </w:r>
          </w:p>
        </w:tc>
        <w:tc>
          <w:tcPr>
            <w:tcW w:w="1278" w:type="dxa"/>
            <w:tcBorders>
              <w:top w:val="nil"/>
              <w:left w:val="nil"/>
              <w:bottom w:val="nil"/>
              <w:right w:val="single" w:sz="4" w:space="0" w:color="016794"/>
              <w:tl2br w:val="nil"/>
              <w:tr2bl w:val="nil"/>
            </w:tcBorders>
            <w:tcMar>
              <w:left w:w="60" w:type="dxa"/>
              <w:right w:w="60" w:type="dxa"/>
            </w:tcMar>
            <w:vAlign w:val="center"/>
          </w:tcPr>
          <w:p>
            <w:pPr>
              <w:pStyle w:val="DMETW36748BIPPAYAB"/>
              <w:jc w:val="right"/>
              <w:rPr>
                <w:rFonts w:ascii="Verdana" w:eastAsia="Verdana" w:hAnsi="Verdana" w:cs="Verdana"/>
                <w:i/>
                <w:noProof/>
                <w:color w:val="000000"/>
                <w:sz w:val="16"/>
              </w:rPr>
            </w:pPr>
            <w:r>
              <w:rPr>
                <w:rFonts w:ascii="Verdana" w:hAnsi="Verdana"/>
                <w:i/>
                <w:noProof/>
                <w:color w:val="000000"/>
                <w:sz w:val="16"/>
              </w:rPr>
              <w:t>11 213</w:t>
            </w:r>
          </w:p>
        </w:tc>
        <w:tc>
          <w:tcPr>
            <w:tcW w:w="1179" w:type="dxa"/>
            <w:tcBorders>
              <w:top w:val="nil"/>
              <w:left w:val="single" w:sz="4" w:space="0" w:color="016794"/>
              <w:bottom w:val="nil"/>
              <w:right w:val="nil"/>
              <w:tl2br w:val="nil"/>
              <w:tr2bl w:val="nil"/>
            </w:tcBorders>
            <w:tcMar>
              <w:left w:w="60" w:type="dxa"/>
              <w:right w:w="60" w:type="dxa"/>
            </w:tcMar>
            <w:vAlign w:val="center"/>
          </w:tcPr>
          <w:p>
            <w:pPr>
              <w:pStyle w:val="DMETW36748BIPPAYAB"/>
              <w:jc w:val="right"/>
              <w:rPr>
                <w:rFonts w:ascii="Verdana" w:eastAsia="Verdana" w:hAnsi="Verdana" w:cs="Verdana"/>
                <w:i/>
                <w:noProof/>
                <w:color w:val="000000"/>
                <w:sz w:val="16"/>
              </w:rPr>
            </w:pPr>
            <w:r>
              <w:rPr>
                <w:rFonts w:ascii="Verdana" w:hAnsi="Verdana"/>
                <w:i/>
                <w:noProof/>
                <w:color w:val="000000"/>
                <w:sz w:val="16"/>
              </w:rPr>
              <w:t>6 036</w:t>
            </w:r>
          </w:p>
        </w:tc>
        <w:tc>
          <w:tcPr>
            <w:tcW w:w="1179" w:type="dxa"/>
            <w:tcBorders>
              <w:top w:val="nil"/>
              <w:left w:val="nil"/>
              <w:bottom w:val="nil"/>
              <w:right w:val="nil"/>
              <w:tl2br w:val="nil"/>
              <w:tr2bl w:val="nil"/>
            </w:tcBorders>
            <w:tcMar>
              <w:left w:w="60" w:type="dxa"/>
              <w:right w:w="60" w:type="dxa"/>
            </w:tcMar>
            <w:vAlign w:val="center"/>
          </w:tcPr>
          <w:p>
            <w:pPr>
              <w:pStyle w:val="DMETW36748BIPPAYAB"/>
              <w:jc w:val="right"/>
              <w:rPr>
                <w:rFonts w:ascii="Verdana" w:eastAsia="Verdana" w:hAnsi="Verdana" w:cs="Verdana"/>
                <w:i/>
                <w:noProof/>
                <w:color w:val="000000"/>
                <w:sz w:val="16"/>
              </w:rPr>
            </w:pPr>
            <w:r>
              <w:rPr>
                <w:rFonts w:ascii="Verdana" w:hAnsi="Verdana"/>
                <w:i/>
                <w:noProof/>
                <w:color w:val="000000"/>
                <w:sz w:val="16"/>
              </w:rPr>
              <w:t>(2 258)</w:t>
            </w:r>
          </w:p>
        </w:tc>
        <w:tc>
          <w:tcPr>
            <w:tcW w:w="1278" w:type="dxa"/>
            <w:tcBorders>
              <w:top w:val="nil"/>
              <w:left w:val="nil"/>
              <w:bottom w:val="nil"/>
              <w:right w:val="nil"/>
              <w:tl2br w:val="nil"/>
              <w:tr2bl w:val="nil"/>
            </w:tcBorders>
            <w:tcMar>
              <w:left w:w="60" w:type="dxa"/>
              <w:right w:w="60" w:type="dxa"/>
            </w:tcMar>
            <w:vAlign w:val="center"/>
          </w:tcPr>
          <w:p>
            <w:pPr>
              <w:pStyle w:val="DMETW36748BIPPAYAB"/>
              <w:jc w:val="right"/>
              <w:rPr>
                <w:rFonts w:ascii="Verdana" w:eastAsia="Verdana" w:hAnsi="Verdana" w:cs="Verdana"/>
                <w:i/>
                <w:noProof/>
                <w:color w:val="000000"/>
                <w:sz w:val="16"/>
              </w:rPr>
            </w:pPr>
            <w:r>
              <w:rPr>
                <w:rFonts w:ascii="Verdana" w:hAnsi="Verdana"/>
                <w:i/>
                <w:noProof/>
                <w:color w:val="000000"/>
                <w:sz w:val="16"/>
              </w:rPr>
              <w:t>3 778</w:t>
            </w:r>
          </w:p>
        </w:tc>
      </w:tr>
      <w:tr>
        <w:trPr>
          <w:trHeight w:val="255"/>
        </w:trPr>
        <w:tc>
          <w:tcPr>
            <w:tcW w:w="2486" w:type="dxa"/>
            <w:tcBorders>
              <w:top w:val="nil"/>
              <w:left w:val="nil"/>
              <w:bottom w:val="nil"/>
              <w:right w:val="nil"/>
              <w:tl2br w:val="nil"/>
              <w:tr2bl w:val="nil"/>
            </w:tcBorders>
            <w:tcMar>
              <w:left w:w="60" w:type="dxa"/>
              <w:right w:w="60" w:type="dxa"/>
            </w:tcMar>
            <w:vAlign w:val="center"/>
          </w:tcPr>
          <w:p>
            <w:pPr>
              <w:pStyle w:val="DMETW36748BIPPAYAB"/>
              <w:rPr>
                <w:rFonts w:ascii="Verdana" w:eastAsia="Verdana" w:hAnsi="Verdana" w:cs="Verdana"/>
                <w:i/>
                <w:noProof/>
                <w:color w:val="000000"/>
                <w:sz w:val="16"/>
              </w:rPr>
            </w:pPr>
            <w:r>
              <w:rPr>
                <w:rFonts w:ascii="Verdana" w:hAnsi="Verdana"/>
                <w:i/>
                <w:noProof/>
                <w:color w:val="000000"/>
                <w:sz w:val="16"/>
              </w:rPr>
              <w:t>FSE</w:t>
            </w:r>
          </w:p>
        </w:tc>
        <w:tc>
          <w:tcPr>
            <w:tcW w:w="1179" w:type="dxa"/>
            <w:tcBorders>
              <w:top w:val="nil"/>
              <w:left w:val="nil"/>
              <w:bottom w:val="nil"/>
              <w:right w:val="nil"/>
              <w:tl2br w:val="nil"/>
              <w:tr2bl w:val="nil"/>
            </w:tcBorders>
            <w:tcMar>
              <w:left w:w="60" w:type="dxa"/>
              <w:right w:w="60" w:type="dxa"/>
            </w:tcMar>
            <w:vAlign w:val="center"/>
          </w:tcPr>
          <w:p>
            <w:pPr>
              <w:pStyle w:val="DMETW36748BIPPAYAB"/>
              <w:jc w:val="right"/>
              <w:rPr>
                <w:rFonts w:ascii="Verdana" w:eastAsia="Verdana" w:hAnsi="Verdana" w:cs="Verdana"/>
                <w:i/>
                <w:noProof/>
                <w:color w:val="000000"/>
                <w:sz w:val="16"/>
              </w:rPr>
            </w:pPr>
            <w:r>
              <w:rPr>
                <w:rFonts w:ascii="Verdana" w:hAnsi="Verdana"/>
                <w:i/>
                <w:noProof/>
                <w:color w:val="000000"/>
                <w:sz w:val="16"/>
              </w:rPr>
              <w:t>8 720</w:t>
            </w:r>
          </w:p>
        </w:tc>
        <w:tc>
          <w:tcPr>
            <w:tcW w:w="1179" w:type="dxa"/>
            <w:tcBorders>
              <w:top w:val="nil"/>
              <w:left w:val="nil"/>
              <w:bottom w:val="nil"/>
              <w:right w:val="nil"/>
              <w:tl2br w:val="nil"/>
              <w:tr2bl w:val="nil"/>
            </w:tcBorders>
            <w:tcMar>
              <w:left w:w="60" w:type="dxa"/>
              <w:right w:w="60" w:type="dxa"/>
            </w:tcMar>
            <w:vAlign w:val="center"/>
          </w:tcPr>
          <w:p>
            <w:pPr>
              <w:pStyle w:val="DMETW36748BIPPAYAB"/>
              <w:jc w:val="right"/>
              <w:rPr>
                <w:rFonts w:ascii="Verdana" w:eastAsia="Verdana" w:hAnsi="Verdana" w:cs="Verdana"/>
                <w:i/>
                <w:noProof/>
                <w:color w:val="000000"/>
                <w:sz w:val="16"/>
              </w:rPr>
            </w:pPr>
            <w:r>
              <w:rPr>
                <w:rFonts w:ascii="Verdana" w:hAnsi="Verdana"/>
                <w:i/>
                <w:noProof/>
                <w:color w:val="000000"/>
                <w:sz w:val="16"/>
              </w:rPr>
              <w:t xml:space="preserve"> (557)</w:t>
            </w:r>
          </w:p>
        </w:tc>
        <w:tc>
          <w:tcPr>
            <w:tcW w:w="1278" w:type="dxa"/>
            <w:tcBorders>
              <w:top w:val="nil"/>
              <w:left w:val="nil"/>
              <w:bottom w:val="nil"/>
              <w:right w:val="single" w:sz="4" w:space="0" w:color="016794"/>
              <w:tl2br w:val="nil"/>
              <w:tr2bl w:val="nil"/>
            </w:tcBorders>
            <w:tcMar>
              <w:left w:w="60" w:type="dxa"/>
              <w:right w:w="60" w:type="dxa"/>
            </w:tcMar>
            <w:vAlign w:val="center"/>
          </w:tcPr>
          <w:p>
            <w:pPr>
              <w:pStyle w:val="DMETW36748BIPPAYAB"/>
              <w:jc w:val="right"/>
              <w:rPr>
                <w:rFonts w:ascii="Verdana" w:eastAsia="Verdana" w:hAnsi="Verdana" w:cs="Verdana"/>
                <w:i/>
                <w:noProof/>
                <w:color w:val="000000"/>
                <w:sz w:val="16"/>
              </w:rPr>
            </w:pPr>
            <w:r>
              <w:rPr>
                <w:rFonts w:ascii="Verdana" w:hAnsi="Verdana"/>
                <w:i/>
                <w:noProof/>
                <w:color w:val="000000"/>
                <w:sz w:val="16"/>
              </w:rPr>
              <w:t>8 164</w:t>
            </w:r>
          </w:p>
        </w:tc>
        <w:tc>
          <w:tcPr>
            <w:tcW w:w="1179" w:type="dxa"/>
            <w:tcBorders>
              <w:top w:val="nil"/>
              <w:left w:val="single" w:sz="4" w:space="0" w:color="016794"/>
              <w:bottom w:val="nil"/>
              <w:right w:val="nil"/>
              <w:tl2br w:val="nil"/>
              <w:tr2bl w:val="nil"/>
            </w:tcBorders>
            <w:tcMar>
              <w:left w:w="60" w:type="dxa"/>
              <w:right w:w="60" w:type="dxa"/>
            </w:tcMar>
            <w:vAlign w:val="center"/>
          </w:tcPr>
          <w:p>
            <w:pPr>
              <w:pStyle w:val="DMETW36748BIPPAYAB"/>
              <w:jc w:val="right"/>
              <w:rPr>
                <w:rFonts w:ascii="Verdana" w:eastAsia="Verdana" w:hAnsi="Verdana" w:cs="Verdana"/>
                <w:i/>
                <w:noProof/>
                <w:color w:val="000000"/>
                <w:sz w:val="16"/>
              </w:rPr>
            </w:pPr>
            <w:r>
              <w:rPr>
                <w:rFonts w:ascii="Verdana" w:hAnsi="Verdana"/>
                <w:i/>
                <w:noProof/>
                <w:color w:val="000000"/>
                <w:sz w:val="16"/>
              </w:rPr>
              <w:t>2 156</w:t>
            </w:r>
          </w:p>
        </w:tc>
        <w:tc>
          <w:tcPr>
            <w:tcW w:w="1179" w:type="dxa"/>
            <w:tcBorders>
              <w:top w:val="nil"/>
              <w:left w:val="nil"/>
              <w:bottom w:val="nil"/>
              <w:right w:val="nil"/>
              <w:tl2br w:val="nil"/>
              <w:tr2bl w:val="nil"/>
            </w:tcBorders>
            <w:tcMar>
              <w:left w:w="60" w:type="dxa"/>
              <w:right w:w="60" w:type="dxa"/>
            </w:tcMar>
            <w:vAlign w:val="center"/>
          </w:tcPr>
          <w:p>
            <w:pPr>
              <w:pStyle w:val="DMETW36748BIPPAYAB"/>
              <w:jc w:val="right"/>
              <w:rPr>
                <w:rFonts w:ascii="Verdana" w:eastAsia="Verdana" w:hAnsi="Verdana" w:cs="Verdana"/>
                <w:i/>
                <w:noProof/>
                <w:color w:val="000000"/>
                <w:sz w:val="16"/>
              </w:rPr>
            </w:pPr>
            <w:r>
              <w:rPr>
                <w:rFonts w:ascii="Verdana" w:hAnsi="Verdana"/>
                <w:i/>
                <w:noProof/>
                <w:color w:val="000000"/>
                <w:sz w:val="16"/>
              </w:rPr>
              <w:t xml:space="preserve"> (447)</w:t>
            </w:r>
          </w:p>
        </w:tc>
        <w:tc>
          <w:tcPr>
            <w:tcW w:w="1278" w:type="dxa"/>
            <w:tcBorders>
              <w:top w:val="nil"/>
              <w:left w:val="nil"/>
              <w:bottom w:val="nil"/>
              <w:right w:val="nil"/>
              <w:tl2br w:val="nil"/>
              <w:tr2bl w:val="nil"/>
            </w:tcBorders>
            <w:tcMar>
              <w:left w:w="60" w:type="dxa"/>
              <w:right w:w="60" w:type="dxa"/>
            </w:tcMar>
            <w:vAlign w:val="center"/>
          </w:tcPr>
          <w:p>
            <w:pPr>
              <w:pStyle w:val="DMETW36748BIPPAYAB"/>
              <w:jc w:val="right"/>
              <w:rPr>
                <w:rFonts w:ascii="Verdana" w:eastAsia="Verdana" w:hAnsi="Verdana" w:cs="Verdana"/>
                <w:i/>
                <w:noProof/>
                <w:color w:val="000000"/>
                <w:sz w:val="16"/>
              </w:rPr>
            </w:pPr>
            <w:r>
              <w:rPr>
                <w:rFonts w:ascii="Verdana" w:hAnsi="Verdana"/>
                <w:i/>
                <w:noProof/>
                <w:color w:val="000000"/>
                <w:sz w:val="16"/>
              </w:rPr>
              <w:t>1 708</w:t>
            </w:r>
          </w:p>
        </w:tc>
      </w:tr>
      <w:tr>
        <w:trPr>
          <w:trHeight w:val="255"/>
        </w:trPr>
        <w:tc>
          <w:tcPr>
            <w:tcW w:w="2486" w:type="dxa"/>
            <w:tcBorders>
              <w:top w:val="nil"/>
              <w:left w:val="nil"/>
              <w:bottom w:val="nil"/>
              <w:right w:val="nil"/>
              <w:tl2br w:val="nil"/>
              <w:tr2bl w:val="nil"/>
            </w:tcBorders>
            <w:tcMar>
              <w:left w:w="60" w:type="dxa"/>
              <w:right w:w="60" w:type="dxa"/>
            </w:tcMar>
            <w:vAlign w:val="center"/>
          </w:tcPr>
          <w:p>
            <w:pPr>
              <w:pStyle w:val="DMETW36748BIPPAYAB"/>
              <w:rPr>
                <w:rFonts w:ascii="Verdana" w:eastAsia="Verdana" w:hAnsi="Verdana" w:cs="Verdana"/>
                <w:i/>
                <w:noProof/>
                <w:color w:val="000000"/>
                <w:sz w:val="16"/>
              </w:rPr>
            </w:pPr>
            <w:r>
              <w:rPr>
                <w:rFonts w:ascii="Verdana" w:hAnsi="Verdana"/>
                <w:i/>
                <w:noProof/>
                <w:color w:val="000000"/>
                <w:sz w:val="16"/>
              </w:rPr>
              <w:t>FRR (NGEU)</w:t>
            </w:r>
          </w:p>
        </w:tc>
        <w:tc>
          <w:tcPr>
            <w:tcW w:w="1179" w:type="dxa"/>
            <w:tcBorders>
              <w:top w:val="nil"/>
              <w:left w:val="nil"/>
              <w:bottom w:val="nil"/>
              <w:right w:val="nil"/>
              <w:tl2br w:val="nil"/>
              <w:tr2bl w:val="nil"/>
            </w:tcBorders>
            <w:tcMar>
              <w:left w:w="60" w:type="dxa"/>
              <w:right w:w="60" w:type="dxa"/>
            </w:tcMar>
            <w:vAlign w:val="center"/>
          </w:tcPr>
          <w:p>
            <w:pPr>
              <w:pStyle w:val="DMETW36748BIPPAYAB"/>
              <w:jc w:val="right"/>
              <w:rPr>
                <w:rFonts w:ascii="Verdana" w:eastAsia="Verdana" w:hAnsi="Verdana" w:cs="Verdana"/>
                <w:i/>
                <w:noProof/>
                <w:color w:val="000000"/>
                <w:sz w:val="16"/>
              </w:rPr>
            </w:pPr>
            <w:r>
              <w:rPr>
                <w:rFonts w:ascii="Verdana" w:hAnsi="Verdana"/>
                <w:i/>
                <w:noProof/>
                <w:color w:val="000000"/>
                <w:sz w:val="16"/>
              </w:rPr>
              <w:t>22 707</w:t>
            </w:r>
          </w:p>
        </w:tc>
        <w:tc>
          <w:tcPr>
            <w:tcW w:w="1179" w:type="dxa"/>
            <w:tcBorders>
              <w:top w:val="nil"/>
              <w:left w:val="nil"/>
              <w:bottom w:val="nil"/>
              <w:right w:val="nil"/>
              <w:tl2br w:val="nil"/>
              <w:tr2bl w:val="nil"/>
            </w:tcBorders>
            <w:tcMar>
              <w:left w:w="60" w:type="dxa"/>
              <w:right w:w="60" w:type="dxa"/>
            </w:tcMar>
            <w:vAlign w:val="center"/>
          </w:tcPr>
          <w:p>
            <w:pPr>
              <w:pStyle w:val="DMETW36748BIPPAYAB"/>
              <w:jc w:val="right"/>
              <w:rPr>
                <w:rFonts w:ascii="Verdana" w:eastAsia="Verdana" w:hAnsi="Verdana" w:cs="Verdana"/>
                <w:i/>
                <w:noProof/>
                <w:color w:val="000000"/>
                <w:sz w:val="16"/>
              </w:rPr>
            </w:pPr>
            <w:r>
              <w:rPr>
                <w:rFonts w:ascii="Verdana" w:hAnsi="Verdana"/>
                <w:i/>
                <w:noProof/>
                <w:color w:val="000000"/>
                <w:sz w:val="16"/>
              </w:rPr>
              <w:t>(1 646)</w:t>
            </w:r>
          </w:p>
        </w:tc>
        <w:tc>
          <w:tcPr>
            <w:tcW w:w="1278" w:type="dxa"/>
            <w:tcBorders>
              <w:top w:val="nil"/>
              <w:left w:val="nil"/>
              <w:bottom w:val="nil"/>
              <w:right w:val="single" w:sz="4" w:space="0" w:color="016794"/>
              <w:tl2br w:val="nil"/>
              <w:tr2bl w:val="nil"/>
            </w:tcBorders>
            <w:tcMar>
              <w:left w:w="60" w:type="dxa"/>
              <w:right w:w="60" w:type="dxa"/>
            </w:tcMar>
            <w:vAlign w:val="center"/>
          </w:tcPr>
          <w:p>
            <w:pPr>
              <w:pStyle w:val="DMETW36748BIPPAYAB"/>
              <w:jc w:val="right"/>
              <w:rPr>
                <w:rFonts w:ascii="Verdana" w:eastAsia="Verdana" w:hAnsi="Verdana" w:cs="Verdana"/>
                <w:i/>
                <w:noProof/>
                <w:color w:val="000000"/>
                <w:sz w:val="16"/>
              </w:rPr>
            </w:pPr>
            <w:r>
              <w:rPr>
                <w:rFonts w:ascii="Verdana" w:hAnsi="Verdana"/>
                <w:i/>
                <w:noProof/>
                <w:color w:val="000000"/>
                <w:sz w:val="16"/>
              </w:rPr>
              <w:t>21 061</w:t>
            </w:r>
          </w:p>
        </w:tc>
        <w:tc>
          <w:tcPr>
            <w:tcW w:w="1179" w:type="dxa"/>
            <w:tcBorders>
              <w:top w:val="nil"/>
              <w:left w:val="single" w:sz="4" w:space="0" w:color="016794"/>
              <w:bottom w:val="nil"/>
              <w:right w:val="nil"/>
              <w:tl2br w:val="nil"/>
              <w:tr2bl w:val="nil"/>
            </w:tcBorders>
            <w:tcMar>
              <w:left w:w="60" w:type="dxa"/>
              <w:right w:w="60" w:type="dxa"/>
            </w:tcMar>
            <w:vAlign w:val="center"/>
          </w:tcPr>
          <w:p>
            <w:pPr>
              <w:pStyle w:val="DMETW36748BIPPAYAB"/>
              <w:jc w:val="right"/>
              <w:rPr>
                <w:rFonts w:ascii="Verdana" w:eastAsia="Verdana" w:hAnsi="Verdana" w:cs="Verdana"/>
                <w:i/>
                <w:noProof/>
                <w:color w:val="000000"/>
                <w:sz w:val="16"/>
              </w:rPr>
            </w:pPr>
            <w:r>
              <w:rPr>
                <w:rFonts w:ascii="Verdana" w:hAnsi="Verdana"/>
                <w:i/>
                <w:noProof/>
                <w:color w:val="000000"/>
                <w:sz w:val="16"/>
              </w:rPr>
              <w:t>28 016</w:t>
            </w:r>
          </w:p>
        </w:tc>
        <w:tc>
          <w:tcPr>
            <w:tcW w:w="1179" w:type="dxa"/>
            <w:tcBorders>
              <w:top w:val="nil"/>
              <w:left w:val="nil"/>
              <w:bottom w:val="nil"/>
              <w:right w:val="nil"/>
              <w:tl2br w:val="nil"/>
              <w:tr2bl w:val="nil"/>
            </w:tcBorders>
            <w:tcMar>
              <w:left w:w="60" w:type="dxa"/>
              <w:right w:w="60" w:type="dxa"/>
            </w:tcMar>
            <w:vAlign w:val="center"/>
          </w:tcPr>
          <w:p>
            <w:pPr>
              <w:pStyle w:val="DMETW36748BIPPAYAB"/>
              <w:jc w:val="right"/>
              <w:rPr>
                <w:rFonts w:ascii="Verdana" w:eastAsia="Verdana" w:hAnsi="Verdana" w:cs="Verdana"/>
                <w:i/>
                <w:noProof/>
                <w:color w:val="000000"/>
                <w:sz w:val="16"/>
              </w:rPr>
            </w:pPr>
            <w:r>
              <w:rPr>
                <w:rFonts w:ascii="Verdana" w:hAnsi="Verdana"/>
                <w:i/>
                <w:noProof/>
                <w:color w:val="000000"/>
                <w:sz w:val="16"/>
              </w:rPr>
              <w:t xml:space="preserve"> (724)</w:t>
            </w:r>
          </w:p>
        </w:tc>
        <w:tc>
          <w:tcPr>
            <w:tcW w:w="1278" w:type="dxa"/>
            <w:tcBorders>
              <w:top w:val="nil"/>
              <w:left w:val="nil"/>
              <w:bottom w:val="nil"/>
              <w:right w:val="nil"/>
              <w:tl2br w:val="nil"/>
              <w:tr2bl w:val="nil"/>
            </w:tcBorders>
            <w:tcMar>
              <w:left w:w="60" w:type="dxa"/>
              <w:right w:w="60" w:type="dxa"/>
            </w:tcMar>
            <w:vAlign w:val="center"/>
          </w:tcPr>
          <w:p>
            <w:pPr>
              <w:pStyle w:val="DMETW36748BIPPAYAB"/>
              <w:jc w:val="right"/>
              <w:rPr>
                <w:rFonts w:ascii="Verdana" w:eastAsia="Verdana" w:hAnsi="Verdana" w:cs="Verdana"/>
                <w:i/>
                <w:noProof/>
                <w:color w:val="000000"/>
                <w:sz w:val="16"/>
              </w:rPr>
            </w:pPr>
            <w:r>
              <w:rPr>
                <w:rFonts w:ascii="Verdana" w:hAnsi="Verdana"/>
                <w:i/>
                <w:noProof/>
                <w:color w:val="000000"/>
                <w:sz w:val="16"/>
              </w:rPr>
              <w:t>27 292</w:t>
            </w:r>
          </w:p>
        </w:tc>
      </w:tr>
      <w:tr>
        <w:trPr>
          <w:trHeight w:val="255"/>
        </w:trPr>
        <w:tc>
          <w:tcPr>
            <w:tcW w:w="2486" w:type="dxa"/>
            <w:tcBorders>
              <w:top w:val="nil"/>
              <w:left w:val="nil"/>
              <w:bottom w:val="nil"/>
              <w:right w:val="nil"/>
              <w:tl2br w:val="nil"/>
              <w:tr2bl w:val="nil"/>
            </w:tcBorders>
            <w:tcMar>
              <w:left w:w="60" w:type="dxa"/>
              <w:right w:w="60" w:type="dxa"/>
            </w:tcMar>
            <w:vAlign w:val="center"/>
          </w:tcPr>
          <w:p>
            <w:pPr>
              <w:pStyle w:val="DMETW36748BIPPAYAB"/>
              <w:rPr>
                <w:rFonts w:ascii="Verdana" w:eastAsia="Verdana" w:hAnsi="Verdana" w:cs="Verdana"/>
                <w:i/>
                <w:noProof/>
                <w:color w:val="000000"/>
                <w:sz w:val="16"/>
              </w:rPr>
            </w:pPr>
            <w:r>
              <w:rPr>
                <w:rFonts w:ascii="Verdana" w:hAnsi="Verdana"/>
                <w:i/>
                <w:noProof/>
                <w:color w:val="000000"/>
                <w:sz w:val="16"/>
              </w:rPr>
              <w:t>Autres</w:t>
            </w:r>
          </w:p>
        </w:tc>
        <w:tc>
          <w:tcPr>
            <w:tcW w:w="1179" w:type="dxa"/>
            <w:tcBorders>
              <w:top w:val="nil"/>
              <w:left w:val="nil"/>
              <w:bottom w:val="nil"/>
              <w:right w:val="nil"/>
              <w:tl2br w:val="nil"/>
              <w:tr2bl w:val="nil"/>
            </w:tcBorders>
            <w:tcMar>
              <w:left w:w="60" w:type="dxa"/>
              <w:right w:w="60" w:type="dxa"/>
            </w:tcMar>
            <w:vAlign w:val="center"/>
          </w:tcPr>
          <w:p>
            <w:pPr>
              <w:pStyle w:val="DMETW36748BIPPAYAB"/>
              <w:jc w:val="right"/>
              <w:rPr>
                <w:rFonts w:ascii="Verdana" w:eastAsia="Verdana" w:hAnsi="Verdana" w:cs="Verdana"/>
                <w:i/>
                <w:noProof/>
                <w:color w:val="000000"/>
                <w:sz w:val="16"/>
              </w:rPr>
            </w:pPr>
            <w:r>
              <w:rPr>
                <w:rFonts w:ascii="Verdana" w:hAnsi="Verdana"/>
                <w:i/>
                <w:noProof/>
                <w:color w:val="000000"/>
                <w:sz w:val="16"/>
              </w:rPr>
              <w:t>1 463</w:t>
            </w:r>
          </w:p>
        </w:tc>
        <w:tc>
          <w:tcPr>
            <w:tcW w:w="1179" w:type="dxa"/>
            <w:tcBorders>
              <w:top w:val="nil"/>
              <w:left w:val="nil"/>
              <w:bottom w:val="nil"/>
              <w:right w:val="nil"/>
              <w:tl2br w:val="nil"/>
              <w:tr2bl w:val="nil"/>
            </w:tcBorders>
            <w:tcMar>
              <w:left w:w="60" w:type="dxa"/>
              <w:right w:w="60" w:type="dxa"/>
            </w:tcMar>
            <w:vAlign w:val="center"/>
          </w:tcPr>
          <w:p>
            <w:pPr>
              <w:pStyle w:val="DMETW36748BIPPAYAB"/>
              <w:jc w:val="right"/>
              <w:rPr>
                <w:rFonts w:ascii="Verdana" w:eastAsia="Verdana" w:hAnsi="Verdana" w:cs="Verdana"/>
                <w:i/>
                <w:noProof/>
                <w:color w:val="000000"/>
                <w:sz w:val="16"/>
              </w:rPr>
            </w:pPr>
            <w:r>
              <w:rPr>
                <w:rFonts w:ascii="Verdana" w:hAnsi="Verdana"/>
                <w:i/>
                <w:noProof/>
                <w:color w:val="000000"/>
                <w:sz w:val="16"/>
              </w:rPr>
              <w:t xml:space="preserve"> (217)</w:t>
            </w:r>
          </w:p>
        </w:tc>
        <w:tc>
          <w:tcPr>
            <w:tcW w:w="1278" w:type="dxa"/>
            <w:tcBorders>
              <w:top w:val="nil"/>
              <w:left w:val="nil"/>
              <w:bottom w:val="nil"/>
              <w:right w:val="single" w:sz="4" w:space="0" w:color="016794"/>
              <w:tl2br w:val="nil"/>
              <w:tr2bl w:val="nil"/>
            </w:tcBorders>
            <w:tcMar>
              <w:left w:w="60" w:type="dxa"/>
              <w:right w:w="60" w:type="dxa"/>
            </w:tcMar>
            <w:vAlign w:val="center"/>
          </w:tcPr>
          <w:p>
            <w:pPr>
              <w:pStyle w:val="DMETW36748BIPPAYAB"/>
              <w:jc w:val="right"/>
              <w:rPr>
                <w:rFonts w:ascii="Verdana" w:eastAsia="Verdana" w:hAnsi="Verdana" w:cs="Verdana"/>
                <w:i/>
                <w:noProof/>
                <w:color w:val="000000"/>
                <w:sz w:val="16"/>
              </w:rPr>
            </w:pPr>
            <w:r>
              <w:rPr>
                <w:rFonts w:ascii="Verdana" w:hAnsi="Verdana"/>
                <w:i/>
                <w:noProof/>
                <w:color w:val="000000"/>
                <w:sz w:val="16"/>
              </w:rPr>
              <w:t>1 247</w:t>
            </w:r>
          </w:p>
        </w:tc>
        <w:tc>
          <w:tcPr>
            <w:tcW w:w="1179" w:type="dxa"/>
            <w:tcBorders>
              <w:top w:val="nil"/>
              <w:left w:val="single" w:sz="4" w:space="0" w:color="016794"/>
              <w:bottom w:val="nil"/>
              <w:right w:val="nil"/>
              <w:tl2br w:val="nil"/>
              <w:tr2bl w:val="nil"/>
            </w:tcBorders>
            <w:tcMar>
              <w:left w:w="60" w:type="dxa"/>
              <w:right w:w="60" w:type="dxa"/>
            </w:tcMar>
            <w:vAlign w:val="center"/>
          </w:tcPr>
          <w:p>
            <w:pPr>
              <w:pStyle w:val="DMETW36748BIPPAYAB"/>
              <w:jc w:val="right"/>
              <w:rPr>
                <w:rFonts w:ascii="Verdana" w:eastAsia="Verdana" w:hAnsi="Verdana" w:cs="Verdana"/>
                <w:i/>
                <w:noProof/>
                <w:color w:val="000000"/>
                <w:sz w:val="16"/>
              </w:rPr>
            </w:pPr>
            <w:r>
              <w:rPr>
                <w:rFonts w:ascii="Verdana" w:hAnsi="Verdana"/>
                <w:i/>
                <w:noProof/>
                <w:color w:val="000000"/>
                <w:sz w:val="16"/>
              </w:rPr>
              <w:t>1 824</w:t>
            </w:r>
          </w:p>
        </w:tc>
        <w:tc>
          <w:tcPr>
            <w:tcW w:w="1179" w:type="dxa"/>
            <w:tcBorders>
              <w:top w:val="nil"/>
              <w:left w:val="nil"/>
              <w:bottom w:val="nil"/>
              <w:right w:val="nil"/>
              <w:tl2br w:val="nil"/>
              <w:tr2bl w:val="nil"/>
            </w:tcBorders>
            <w:tcMar>
              <w:left w:w="60" w:type="dxa"/>
              <w:right w:w="60" w:type="dxa"/>
            </w:tcMar>
            <w:vAlign w:val="center"/>
          </w:tcPr>
          <w:p>
            <w:pPr>
              <w:pStyle w:val="DMETW36748BIPPAYAB"/>
              <w:jc w:val="right"/>
              <w:rPr>
                <w:rFonts w:ascii="Verdana" w:eastAsia="Verdana" w:hAnsi="Verdana" w:cs="Verdana"/>
                <w:i/>
                <w:noProof/>
                <w:color w:val="000000"/>
                <w:sz w:val="16"/>
              </w:rPr>
            </w:pPr>
            <w:r>
              <w:rPr>
                <w:rFonts w:ascii="Verdana" w:hAnsi="Verdana"/>
                <w:i/>
                <w:noProof/>
                <w:color w:val="000000"/>
                <w:sz w:val="16"/>
              </w:rPr>
              <w:t xml:space="preserve"> (318)</w:t>
            </w:r>
          </w:p>
        </w:tc>
        <w:tc>
          <w:tcPr>
            <w:tcW w:w="1278" w:type="dxa"/>
            <w:tcBorders>
              <w:top w:val="nil"/>
              <w:left w:val="nil"/>
              <w:bottom w:val="nil"/>
              <w:right w:val="nil"/>
              <w:tl2br w:val="nil"/>
              <w:tr2bl w:val="nil"/>
            </w:tcBorders>
            <w:tcMar>
              <w:left w:w="60" w:type="dxa"/>
              <w:right w:w="60" w:type="dxa"/>
            </w:tcMar>
            <w:vAlign w:val="center"/>
          </w:tcPr>
          <w:p>
            <w:pPr>
              <w:pStyle w:val="DMETW36748BIPPAYAB"/>
              <w:jc w:val="right"/>
              <w:rPr>
                <w:rFonts w:ascii="Verdana" w:eastAsia="Verdana" w:hAnsi="Verdana" w:cs="Verdana"/>
                <w:i/>
                <w:noProof/>
                <w:color w:val="000000"/>
                <w:sz w:val="16"/>
              </w:rPr>
            </w:pPr>
            <w:r>
              <w:rPr>
                <w:rFonts w:ascii="Verdana" w:hAnsi="Verdana"/>
                <w:i/>
                <w:noProof/>
                <w:color w:val="000000"/>
                <w:sz w:val="16"/>
              </w:rPr>
              <w:t>1 506</w:t>
            </w:r>
          </w:p>
        </w:tc>
      </w:tr>
      <w:tr>
        <w:trPr>
          <w:trHeight w:val="255"/>
        </w:trPr>
        <w:tc>
          <w:tcPr>
            <w:tcW w:w="2486" w:type="dxa"/>
            <w:tcBorders>
              <w:top w:val="nil"/>
              <w:left w:val="nil"/>
              <w:bottom w:val="single" w:sz="4" w:space="0" w:color="016794"/>
              <w:right w:val="nil"/>
              <w:tl2br w:val="nil"/>
              <w:tr2bl w:val="nil"/>
            </w:tcBorders>
            <w:tcMar>
              <w:left w:w="60" w:type="dxa"/>
              <w:right w:w="60" w:type="dxa"/>
            </w:tcMar>
            <w:vAlign w:val="center"/>
          </w:tcPr>
          <w:p>
            <w:pPr>
              <w:pStyle w:val="DMETW36748BIPPAYAB"/>
              <w:rPr>
                <w:rFonts w:ascii="Verdana" w:eastAsia="Verdana" w:hAnsi="Verdana" w:cs="Verdana"/>
                <w:i/>
                <w:noProof/>
                <w:color w:val="016794"/>
                <w:sz w:val="16"/>
              </w:rPr>
            </w:pPr>
            <w:r>
              <w:rPr>
                <w:rFonts w:ascii="Verdana" w:hAnsi="Verdana"/>
                <w:i/>
                <w:noProof/>
                <w:color w:val="016794"/>
                <w:sz w:val="16"/>
              </w:rPr>
              <w:t>Entités publiques et privées</w:t>
            </w:r>
          </w:p>
        </w:tc>
        <w:tc>
          <w:tcPr>
            <w:tcW w:w="1179" w:type="dxa"/>
            <w:tcBorders>
              <w:top w:val="nil"/>
              <w:left w:val="nil"/>
              <w:bottom w:val="single" w:sz="4" w:space="0" w:color="016794"/>
              <w:right w:val="nil"/>
              <w:tl2br w:val="nil"/>
              <w:tr2bl w:val="nil"/>
            </w:tcBorders>
            <w:tcMar>
              <w:left w:w="60" w:type="dxa"/>
              <w:right w:w="60" w:type="dxa"/>
            </w:tcMar>
            <w:vAlign w:val="center"/>
          </w:tcPr>
          <w:p>
            <w:pPr>
              <w:pStyle w:val="DMETW36748BIPPAYAB"/>
              <w:jc w:val="right"/>
              <w:rPr>
                <w:rFonts w:ascii="Verdana" w:eastAsia="Verdana" w:hAnsi="Verdana" w:cs="Verdana"/>
                <w:i/>
                <w:noProof/>
                <w:color w:val="000000"/>
                <w:sz w:val="16"/>
              </w:rPr>
            </w:pPr>
            <w:r>
              <w:rPr>
                <w:rFonts w:ascii="Verdana" w:hAnsi="Verdana"/>
                <w:i/>
                <w:noProof/>
                <w:color w:val="000000"/>
                <w:sz w:val="16"/>
              </w:rPr>
              <w:t>1 187</w:t>
            </w:r>
          </w:p>
        </w:tc>
        <w:tc>
          <w:tcPr>
            <w:tcW w:w="1179" w:type="dxa"/>
            <w:tcBorders>
              <w:top w:val="nil"/>
              <w:left w:val="nil"/>
              <w:bottom w:val="single" w:sz="4" w:space="0" w:color="016794"/>
              <w:right w:val="nil"/>
              <w:tl2br w:val="nil"/>
              <w:tr2bl w:val="nil"/>
            </w:tcBorders>
            <w:tcMar>
              <w:left w:w="60" w:type="dxa"/>
              <w:right w:w="60" w:type="dxa"/>
            </w:tcMar>
            <w:vAlign w:val="center"/>
          </w:tcPr>
          <w:p>
            <w:pPr>
              <w:pStyle w:val="DMETW36748BIPPAYAB"/>
              <w:jc w:val="right"/>
              <w:rPr>
                <w:rFonts w:ascii="Verdana" w:eastAsia="Verdana" w:hAnsi="Verdana" w:cs="Verdana"/>
                <w:i/>
                <w:noProof/>
                <w:color w:val="000000"/>
                <w:sz w:val="16"/>
              </w:rPr>
            </w:pPr>
            <w:r>
              <w:rPr>
                <w:rFonts w:ascii="Verdana" w:hAnsi="Verdana"/>
                <w:i/>
                <w:noProof/>
                <w:color w:val="000000"/>
                <w:sz w:val="16"/>
              </w:rPr>
              <w:t xml:space="preserve"> (15)</w:t>
            </w:r>
          </w:p>
        </w:tc>
        <w:tc>
          <w:tcPr>
            <w:tcW w:w="1278" w:type="dxa"/>
            <w:tcBorders>
              <w:top w:val="nil"/>
              <w:left w:val="nil"/>
              <w:bottom w:val="single" w:sz="4" w:space="0" w:color="016794"/>
              <w:right w:val="single" w:sz="4" w:space="0" w:color="016794"/>
              <w:tl2br w:val="nil"/>
              <w:tr2bl w:val="nil"/>
            </w:tcBorders>
            <w:tcMar>
              <w:left w:w="60" w:type="dxa"/>
              <w:right w:w="60" w:type="dxa"/>
            </w:tcMar>
            <w:vAlign w:val="center"/>
          </w:tcPr>
          <w:p>
            <w:pPr>
              <w:pStyle w:val="DMETW36748BIPPAYAB"/>
              <w:jc w:val="right"/>
              <w:rPr>
                <w:rFonts w:ascii="Verdana" w:eastAsia="Verdana" w:hAnsi="Verdana" w:cs="Verdana"/>
                <w:i/>
                <w:noProof/>
                <w:color w:val="000000"/>
                <w:sz w:val="16"/>
              </w:rPr>
            </w:pPr>
            <w:r>
              <w:rPr>
                <w:rFonts w:ascii="Verdana" w:hAnsi="Verdana"/>
                <w:i/>
                <w:noProof/>
                <w:color w:val="000000"/>
                <w:sz w:val="16"/>
              </w:rPr>
              <w:t>1 172</w:t>
            </w:r>
          </w:p>
        </w:tc>
        <w:tc>
          <w:tcPr>
            <w:tcW w:w="1179" w:type="dxa"/>
            <w:tcBorders>
              <w:top w:val="nil"/>
              <w:left w:val="single" w:sz="4" w:space="0" w:color="016794"/>
              <w:bottom w:val="single" w:sz="4" w:space="0" w:color="016794"/>
              <w:right w:val="nil"/>
              <w:tl2br w:val="nil"/>
              <w:tr2bl w:val="nil"/>
            </w:tcBorders>
            <w:tcMar>
              <w:left w:w="60" w:type="dxa"/>
              <w:right w:w="60" w:type="dxa"/>
            </w:tcMar>
            <w:vAlign w:val="center"/>
          </w:tcPr>
          <w:p>
            <w:pPr>
              <w:pStyle w:val="DMETW36748BIPPAYAB"/>
              <w:jc w:val="right"/>
              <w:rPr>
                <w:rFonts w:ascii="Verdana" w:eastAsia="Verdana" w:hAnsi="Verdana" w:cs="Verdana"/>
                <w:i/>
                <w:noProof/>
                <w:color w:val="000000"/>
                <w:sz w:val="16"/>
              </w:rPr>
            </w:pPr>
            <w:r>
              <w:rPr>
                <w:rFonts w:ascii="Verdana" w:hAnsi="Verdana"/>
                <w:i/>
                <w:noProof/>
                <w:color w:val="000000"/>
                <w:sz w:val="16"/>
              </w:rPr>
              <w:t>1 957</w:t>
            </w:r>
          </w:p>
        </w:tc>
        <w:tc>
          <w:tcPr>
            <w:tcW w:w="1179" w:type="dxa"/>
            <w:tcBorders>
              <w:top w:val="nil"/>
              <w:left w:val="nil"/>
              <w:bottom w:val="single" w:sz="4" w:space="0" w:color="016794"/>
              <w:right w:val="nil"/>
              <w:tl2br w:val="nil"/>
              <w:tr2bl w:val="nil"/>
            </w:tcBorders>
            <w:tcMar>
              <w:left w:w="60" w:type="dxa"/>
              <w:right w:w="60" w:type="dxa"/>
            </w:tcMar>
            <w:vAlign w:val="center"/>
          </w:tcPr>
          <w:p>
            <w:pPr>
              <w:pStyle w:val="DMETW36748BIPPAYAB"/>
              <w:jc w:val="right"/>
              <w:rPr>
                <w:rFonts w:ascii="Verdana" w:eastAsia="Verdana" w:hAnsi="Verdana" w:cs="Verdana"/>
                <w:i/>
                <w:noProof/>
                <w:color w:val="000000"/>
                <w:sz w:val="16"/>
              </w:rPr>
            </w:pPr>
            <w:r>
              <w:rPr>
                <w:rFonts w:ascii="Verdana" w:hAnsi="Verdana"/>
                <w:i/>
                <w:noProof/>
                <w:color w:val="000000"/>
                <w:sz w:val="16"/>
              </w:rPr>
              <w:t xml:space="preserve"> (334)</w:t>
            </w:r>
          </w:p>
        </w:tc>
        <w:tc>
          <w:tcPr>
            <w:tcW w:w="1278" w:type="dxa"/>
            <w:tcBorders>
              <w:top w:val="nil"/>
              <w:left w:val="nil"/>
              <w:bottom w:val="single" w:sz="4" w:space="0" w:color="016794"/>
              <w:right w:val="nil"/>
              <w:tl2br w:val="nil"/>
              <w:tr2bl w:val="nil"/>
            </w:tcBorders>
            <w:tcMar>
              <w:left w:w="60" w:type="dxa"/>
              <w:right w:w="60" w:type="dxa"/>
            </w:tcMar>
            <w:vAlign w:val="center"/>
          </w:tcPr>
          <w:p>
            <w:pPr>
              <w:pStyle w:val="DMETW36748BIPPAYAB"/>
              <w:jc w:val="right"/>
              <w:rPr>
                <w:rFonts w:ascii="Verdana" w:eastAsia="Verdana" w:hAnsi="Verdana" w:cs="Verdana"/>
                <w:i/>
                <w:noProof/>
                <w:color w:val="000000"/>
                <w:sz w:val="16"/>
              </w:rPr>
            </w:pPr>
            <w:r>
              <w:rPr>
                <w:rFonts w:ascii="Verdana" w:hAnsi="Verdana"/>
                <w:i/>
                <w:noProof/>
                <w:color w:val="000000"/>
                <w:sz w:val="16"/>
              </w:rPr>
              <w:t>1 623</w:t>
            </w:r>
          </w:p>
        </w:tc>
      </w:tr>
      <w:tr>
        <w:trPr>
          <w:trHeight w:val="255"/>
        </w:trPr>
        <w:tc>
          <w:tcPr>
            <w:tcW w:w="248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8BIPPAYAB"/>
              <w:rPr>
                <w:rFonts w:ascii="Verdana" w:eastAsia="Verdana" w:hAnsi="Verdana" w:cs="Verdana"/>
                <w:b/>
                <w:noProof/>
                <w:color w:val="000000"/>
                <w:sz w:val="16"/>
              </w:rPr>
            </w:pPr>
            <w:r>
              <w:rPr>
                <w:rFonts w:ascii="Verdana" w:hAnsi="Verdana"/>
                <w:b/>
                <w:noProof/>
                <w:color w:val="000000"/>
                <w:sz w:val="16"/>
              </w:rPr>
              <w:t>Total des déclarations de dépenses et factures reçues</w:t>
            </w:r>
          </w:p>
        </w:tc>
        <w:tc>
          <w:tcPr>
            <w:tcW w:w="117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r>
              <w:rPr>
                <w:rFonts w:ascii="Verdana" w:hAnsi="Verdana"/>
                <w:b/>
                <w:noProof/>
                <w:color w:val="000000"/>
                <w:sz w:val="16"/>
              </w:rPr>
              <w:t>49 433</w:t>
            </w:r>
          </w:p>
        </w:tc>
        <w:tc>
          <w:tcPr>
            <w:tcW w:w="117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r>
              <w:rPr>
                <w:rFonts w:ascii="Verdana" w:hAnsi="Verdana"/>
                <w:b/>
                <w:noProof/>
                <w:color w:val="000000"/>
                <w:sz w:val="16"/>
              </w:rPr>
              <w:t>(4 684)</w:t>
            </w:r>
          </w:p>
        </w:tc>
        <w:tc>
          <w:tcPr>
            <w:tcW w:w="1278" w:type="dxa"/>
            <w:tcBorders>
              <w:top w:val="single" w:sz="4" w:space="0" w:color="016794"/>
              <w:left w:val="nil"/>
              <w:bottom w:val="single" w:sz="4" w:space="0" w:color="016794"/>
              <w:right w:val="single" w:sz="4" w:space="0" w:color="016794"/>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r>
              <w:rPr>
                <w:rFonts w:ascii="Verdana" w:hAnsi="Verdana"/>
                <w:b/>
                <w:noProof/>
                <w:color w:val="000000"/>
                <w:sz w:val="16"/>
              </w:rPr>
              <w:t>44 749</w:t>
            </w:r>
          </w:p>
        </w:tc>
        <w:tc>
          <w:tcPr>
            <w:tcW w:w="1179" w:type="dxa"/>
            <w:tcBorders>
              <w:top w:val="single" w:sz="4" w:space="0" w:color="016794"/>
              <w:left w:val="single" w:sz="4" w:space="0" w:color="016794"/>
              <w:bottom w:val="single" w:sz="4" w:space="0" w:color="016794"/>
              <w:right w:val="nil"/>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r>
              <w:rPr>
                <w:rFonts w:ascii="Verdana" w:hAnsi="Verdana"/>
                <w:b/>
                <w:noProof/>
                <w:color w:val="000000"/>
                <w:sz w:val="16"/>
              </w:rPr>
              <w:t>40 258</w:t>
            </w:r>
          </w:p>
        </w:tc>
        <w:tc>
          <w:tcPr>
            <w:tcW w:w="117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r>
              <w:rPr>
                <w:rFonts w:ascii="Verdana" w:hAnsi="Verdana"/>
                <w:b/>
                <w:noProof/>
                <w:color w:val="000000"/>
                <w:sz w:val="16"/>
              </w:rPr>
              <w:t>(4 082)</w:t>
            </w:r>
          </w:p>
        </w:tc>
        <w:tc>
          <w:tcPr>
            <w:tcW w:w="127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r>
              <w:rPr>
                <w:rFonts w:ascii="Verdana" w:hAnsi="Verdana"/>
                <w:b/>
                <w:noProof/>
                <w:color w:val="000000"/>
                <w:sz w:val="16"/>
              </w:rPr>
              <w:t>36 176</w:t>
            </w:r>
          </w:p>
        </w:tc>
      </w:tr>
      <w:tr>
        <w:trPr>
          <w:trHeight w:val="255"/>
        </w:trPr>
        <w:tc>
          <w:tcPr>
            <w:tcW w:w="248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8BIPPAYAB"/>
              <w:rPr>
                <w:rFonts w:ascii="Verdana" w:eastAsia="Verdana" w:hAnsi="Verdana" w:cs="Verdana"/>
                <w:b/>
                <w:noProof/>
                <w:color w:val="000000"/>
                <w:sz w:val="16"/>
              </w:rPr>
            </w:pPr>
            <w:r>
              <w:rPr>
                <w:rFonts w:ascii="Verdana" w:hAnsi="Verdana"/>
                <w:b/>
                <w:noProof/>
                <w:color w:val="000000"/>
                <w:sz w:val="16"/>
              </w:rPr>
              <w:t>FEAGA</w:t>
            </w:r>
          </w:p>
        </w:tc>
        <w:tc>
          <w:tcPr>
            <w:tcW w:w="117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r>
              <w:rPr>
                <w:rFonts w:ascii="Verdana" w:hAnsi="Verdana"/>
                <w:b/>
                <w:noProof/>
                <w:color w:val="000000"/>
                <w:sz w:val="16"/>
              </w:rPr>
              <w:t>15 344</w:t>
            </w:r>
          </w:p>
        </w:tc>
        <w:tc>
          <w:tcPr>
            <w:tcW w:w="117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r>
              <w:rPr>
                <w:rFonts w:ascii="Verdana" w:hAnsi="Verdana"/>
                <w:b/>
                <w:noProof/>
                <w:color w:val="000000"/>
                <w:sz w:val="16"/>
              </w:rPr>
              <w:t>s.o.</w:t>
            </w:r>
          </w:p>
        </w:tc>
        <w:tc>
          <w:tcPr>
            <w:tcW w:w="1278" w:type="dxa"/>
            <w:tcBorders>
              <w:top w:val="single" w:sz="4" w:space="0" w:color="016794"/>
              <w:left w:val="nil"/>
              <w:bottom w:val="single" w:sz="4" w:space="0" w:color="016794"/>
              <w:right w:val="single" w:sz="4" w:space="0" w:color="016794"/>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r>
              <w:rPr>
                <w:rFonts w:ascii="Verdana" w:hAnsi="Verdana"/>
                <w:b/>
                <w:noProof/>
                <w:color w:val="000000"/>
                <w:sz w:val="16"/>
              </w:rPr>
              <w:t>15 344</w:t>
            </w:r>
          </w:p>
        </w:tc>
        <w:tc>
          <w:tcPr>
            <w:tcW w:w="1179" w:type="dxa"/>
            <w:tcBorders>
              <w:top w:val="single" w:sz="4" w:space="0" w:color="016794"/>
              <w:left w:val="single" w:sz="4" w:space="0" w:color="016794"/>
              <w:bottom w:val="single" w:sz="4" w:space="0" w:color="016794"/>
              <w:right w:val="nil"/>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r>
              <w:rPr>
                <w:rFonts w:ascii="Verdana" w:hAnsi="Verdana"/>
                <w:b/>
                <w:noProof/>
                <w:color w:val="000000"/>
                <w:sz w:val="16"/>
              </w:rPr>
              <w:t>15 086</w:t>
            </w:r>
          </w:p>
        </w:tc>
        <w:tc>
          <w:tcPr>
            <w:tcW w:w="117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r>
              <w:rPr>
                <w:rFonts w:ascii="Verdana" w:hAnsi="Verdana"/>
                <w:b/>
                <w:noProof/>
                <w:color w:val="000000"/>
                <w:sz w:val="16"/>
              </w:rPr>
              <w:t>s.o.</w:t>
            </w:r>
          </w:p>
        </w:tc>
        <w:tc>
          <w:tcPr>
            <w:tcW w:w="127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r>
              <w:rPr>
                <w:rFonts w:ascii="Verdana" w:hAnsi="Verdana"/>
                <w:b/>
                <w:noProof/>
                <w:color w:val="000000"/>
                <w:sz w:val="16"/>
              </w:rPr>
              <w:t>15 086</w:t>
            </w:r>
          </w:p>
        </w:tc>
      </w:tr>
      <w:tr>
        <w:trPr>
          <w:trHeight w:val="255"/>
        </w:trPr>
        <w:tc>
          <w:tcPr>
            <w:tcW w:w="248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8BIPPAYAB"/>
              <w:rPr>
                <w:rFonts w:ascii="Verdana" w:eastAsia="Verdana" w:hAnsi="Verdana" w:cs="Verdana"/>
                <w:b/>
                <w:noProof/>
                <w:color w:val="000000"/>
                <w:sz w:val="16"/>
              </w:rPr>
            </w:pPr>
            <w:r>
              <w:rPr>
                <w:rFonts w:ascii="Verdana" w:hAnsi="Verdana"/>
                <w:b/>
                <w:noProof/>
                <w:color w:val="000000"/>
                <w:sz w:val="16"/>
              </w:rPr>
              <w:t>Sommes à payer - ressources propres</w:t>
            </w:r>
          </w:p>
        </w:tc>
        <w:tc>
          <w:tcPr>
            <w:tcW w:w="117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r>
              <w:rPr>
                <w:rFonts w:ascii="Verdana" w:hAnsi="Verdana"/>
                <w:b/>
                <w:noProof/>
                <w:color w:val="000000"/>
                <w:sz w:val="16"/>
              </w:rPr>
              <w:t xml:space="preserve"> 47</w:t>
            </w:r>
          </w:p>
        </w:tc>
        <w:tc>
          <w:tcPr>
            <w:tcW w:w="117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r>
              <w:rPr>
                <w:rFonts w:ascii="Verdana" w:hAnsi="Verdana"/>
                <w:b/>
                <w:noProof/>
                <w:color w:val="000000"/>
                <w:sz w:val="16"/>
              </w:rPr>
              <w:t>s.o.</w:t>
            </w:r>
          </w:p>
        </w:tc>
        <w:tc>
          <w:tcPr>
            <w:tcW w:w="1278" w:type="dxa"/>
            <w:tcBorders>
              <w:top w:val="single" w:sz="4" w:space="0" w:color="016794"/>
              <w:left w:val="nil"/>
              <w:bottom w:val="single" w:sz="4" w:space="0" w:color="016794"/>
              <w:right w:val="single" w:sz="4" w:space="0" w:color="016794"/>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r>
              <w:rPr>
                <w:rFonts w:ascii="Verdana" w:hAnsi="Verdana"/>
                <w:b/>
                <w:noProof/>
                <w:color w:val="000000"/>
                <w:sz w:val="16"/>
              </w:rPr>
              <w:t xml:space="preserve"> 47</w:t>
            </w:r>
          </w:p>
        </w:tc>
        <w:tc>
          <w:tcPr>
            <w:tcW w:w="1179" w:type="dxa"/>
            <w:tcBorders>
              <w:top w:val="single" w:sz="4" w:space="0" w:color="016794"/>
              <w:left w:val="single" w:sz="4" w:space="0" w:color="016794"/>
              <w:bottom w:val="single" w:sz="4" w:space="0" w:color="016794"/>
              <w:right w:val="nil"/>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r>
              <w:rPr>
                <w:rFonts w:ascii="Verdana" w:hAnsi="Verdana"/>
                <w:b/>
                <w:noProof/>
                <w:color w:val="000000"/>
                <w:sz w:val="16"/>
              </w:rPr>
              <w:t>–</w:t>
            </w:r>
          </w:p>
        </w:tc>
        <w:tc>
          <w:tcPr>
            <w:tcW w:w="117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r>
              <w:rPr>
                <w:rFonts w:ascii="Verdana" w:hAnsi="Verdana"/>
                <w:b/>
                <w:noProof/>
                <w:color w:val="000000"/>
                <w:sz w:val="16"/>
              </w:rPr>
              <w:t>s.o.</w:t>
            </w:r>
          </w:p>
        </w:tc>
        <w:tc>
          <w:tcPr>
            <w:tcW w:w="127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r>
              <w:rPr>
                <w:rFonts w:ascii="Verdana" w:hAnsi="Verdana"/>
                <w:b/>
                <w:noProof/>
                <w:color w:val="000000"/>
                <w:sz w:val="16"/>
              </w:rPr>
              <w:t>–</w:t>
            </w:r>
          </w:p>
        </w:tc>
      </w:tr>
      <w:tr>
        <w:trPr>
          <w:trHeight w:val="255"/>
        </w:trPr>
        <w:tc>
          <w:tcPr>
            <w:tcW w:w="248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8BIPPAYAB"/>
              <w:rPr>
                <w:rFonts w:ascii="Verdana" w:eastAsia="Verdana" w:hAnsi="Verdana" w:cs="Verdana"/>
                <w:b/>
                <w:noProof/>
                <w:color w:val="000000"/>
                <w:sz w:val="16"/>
              </w:rPr>
            </w:pPr>
            <w:r>
              <w:rPr>
                <w:rFonts w:ascii="Verdana" w:hAnsi="Verdana"/>
                <w:b/>
                <w:noProof/>
                <w:color w:val="000000"/>
                <w:sz w:val="16"/>
              </w:rPr>
              <w:t>Sommes à payer - divers</w:t>
            </w:r>
          </w:p>
        </w:tc>
        <w:tc>
          <w:tcPr>
            <w:tcW w:w="117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r>
              <w:rPr>
                <w:rFonts w:ascii="Verdana" w:hAnsi="Verdana"/>
                <w:b/>
                <w:noProof/>
                <w:color w:val="000000"/>
                <w:sz w:val="16"/>
              </w:rPr>
              <w:t>4 344</w:t>
            </w:r>
          </w:p>
        </w:tc>
        <w:tc>
          <w:tcPr>
            <w:tcW w:w="117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r>
              <w:rPr>
                <w:rFonts w:ascii="Verdana" w:hAnsi="Verdana"/>
                <w:b/>
                <w:noProof/>
                <w:color w:val="000000"/>
                <w:sz w:val="16"/>
              </w:rPr>
              <w:t>s.o.</w:t>
            </w:r>
          </w:p>
        </w:tc>
        <w:tc>
          <w:tcPr>
            <w:tcW w:w="1278" w:type="dxa"/>
            <w:tcBorders>
              <w:top w:val="single" w:sz="4" w:space="0" w:color="016794"/>
              <w:left w:val="nil"/>
              <w:bottom w:val="single" w:sz="4" w:space="0" w:color="016794"/>
              <w:right w:val="single" w:sz="4" w:space="0" w:color="016794"/>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r>
              <w:rPr>
                <w:rFonts w:ascii="Verdana" w:hAnsi="Verdana"/>
                <w:b/>
                <w:noProof/>
                <w:color w:val="000000"/>
                <w:sz w:val="16"/>
              </w:rPr>
              <w:t>4 344</w:t>
            </w:r>
          </w:p>
        </w:tc>
        <w:tc>
          <w:tcPr>
            <w:tcW w:w="1179" w:type="dxa"/>
            <w:tcBorders>
              <w:top w:val="single" w:sz="4" w:space="0" w:color="016794"/>
              <w:left w:val="single" w:sz="4" w:space="0" w:color="016794"/>
              <w:bottom w:val="single" w:sz="4" w:space="0" w:color="016794"/>
              <w:right w:val="nil"/>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r>
              <w:rPr>
                <w:rFonts w:ascii="Verdana" w:hAnsi="Verdana"/>
                <w:b/>
                <w:noProof/>
                <w:color w:val="000000"/>
                <w:sz w:val="16"/>
              </w:rPr>
              <w:t>3 624</w:t>
            </w:r>
          </w:p>
        </w:tc>
        <w:tc>
          <w:tcPr>
            <w:tcW w:w="117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r>
              <w:rPr>
                <w:rFonts w:ascii="Verdana" w:hAnsi="Verdana"/>
                <w:b/>
                <w:noProof/>
                <w:color w:val="000000"/>
                <w:sz w:val="16"/>
              </w:rPr>
              <w:t>s.o.</w:t>
            </w:r>
          </w:p>
        </w:tc>
        <w:tc>
          <w:tcPr>
            <w:tcW w:w="127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r>
              <w:rPr>
                <w:rFonts w:ascii="Verdana" w:hAnsi="Verdana"/>
                <w:b/>
                <w:noProof/>
                <w:color w:val="000000"/>
                <w:sz w:val="16"/>
              </w:rPr>
              <w:t>3 624</w:t>
            </w:r>
          </w:p>
        </w:tc>
      </w:tr>
      <w:tr>
        <w:trPr>
          <w:trHeight w:val="255"/>
        </w:trPr>
        <w:tc>
          <w:tcPr>
            <w:tcW w:w="2486" w:type="dxa"/>
            <w:tcBorders>
              <w:top w:val="single" w:sz="4" w:space="0" w:color="016794"/>
              <w:left w:val="nil"/>
              <w:bottom w:val="nil"/>
              <w:right w:val="nil"/>
              <w:tl2br w:val="nil"/>
              <w:tr2bl w:val="nil"/>
            </w:tcBorders>
            <w:tcMar>
              <w:left w:w="60" w:type="dxa"/>
              <w:right w:w="60" w:type="dxa"/>
            </w:tcMar>
            <w:vAlign w:val="center"/>
          </w:tcPr>
          <w:p>
            <w:pPr>
              <w:pStyle w:val="DMETW36748BIPPAYAB"/>
              <w:rPr>
                <w:rFonts w:ascii="Verdana" w:eastAsia="Verdana" w:hAnsi="Verdana" w:cs="Verdana"/>
                <w:b/>
                <w:noProof/>
                <w:color w:val="000000"/>
                <w:sz w:val="16"/>
              </w:rPr>
            </w:pPr>
            <w:r>
              <w:rPr>
                <w:rFonts w:ascii="Verdana" w:hAnsi="Verdana"/>
                <w:b/>
                <w:noProof/>
                <w:color w:val="000000"/>
                <w:sz w:val="16"/>
              </w:rPr>
              <w:t>Autres</w:t>
            </w:r>
          </w:p>
        </w:tc>
        <w:tc>
          <w:tcPr>
            <w:tcW w:w="1179" w:type="dxa"/>
            <w:tcBorders>
              <w:top w:val="single" w:sz="4" w:space="0" w:color="016794"/>
              <w:left w:val="nil"/>
              <w:bottom w:val="nil"/>
              <w:right w:val="nil"/>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r>
              <w:rPr>
                <w:rFonts w:ascii="Verdana" w:hAnsi="Verdana"/>
                <w:b/>
                <w:noProof/>
                <w:color w:val="000000"/>
                <w:sz w:val="16"/>
              </w:rPr>
              <w:t xml:space="preserve"> 553</w:t>
            </w:r>
          </w:p>
        </w:tc>
        <w:tc>
          <w:tcPr>
            <w:tcW w:w="1179" w:type="dxa"/>
            <w:tcBorders>
              <w:top w:val="single" w:sz="4" w:space="0" w:color="016794"/>
              <w:left w:val="nil"/>
              <w:bottom w:val="nil"/>
              <w:right w:val="nil"/>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r>
              <w:rPr>
                <w:rFonts w:ascii="Verdana" w:hAnsi="Verdana"/>
                <w:b/>
                <w:noProof/>
                <w:color w:val="000000"/>
                <w:sz w:val="16"/>
              </w:rPr>
              <w:t>s.o.</w:t>
            </w:r>
          </w:p>
        </w:tc>
        <w:tc>
          <w:tcPr>
            <w:tcW w:w="1278" w:type="dxa"/>
            <w:tcBorders>
              <w:top w:val="single" w:sz="4" w:space="0" w:color="016794"/>
              <w:left w:val="nil"/>
              <w:bottom w:val="nil"/>
              <w:right w:val="single" w:sz="4" w:space="0" w:color="016794"/>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r>
              <w:rPr>
                <w:rFonts w:ascii="Verdana" w:hAnsi="Verdana"/>
                <w:b/>
                <w:noProof/>
                <w:color w:val="000000"/>
                <w:sz w:val="16"/>
              </w:rPr>
              <w:t xml:space="preserve"> 553</w:t>
            </w:r>
          </w:p>
        </w:tc>
        <w:tc>
          <w:tcPr>
            <w:tcW w:w="1179" w:type="dxa"/>
            <w:tcBorders>
              <w:top w:val="single" w:sz="4" w:space="0" w:color="016794"/>
              <w:left w:val="single" w:sz="4" w:space="0" w:color="016794"/>
              <w:bottom w:val="nil"/>
              <w:right w:val="nil"/>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r>
              <w:rPr>
                <w:rFonts w:ascii="Verdana" w:hAnsi="Verdana"/>
                <w:b/>
                <w:noProof/>
                <w:color w:val="000000"/>
                <w:sz w:val="16"/>
              </w:rPr>
              <w:t xml:space="preserve"> 528</w:t>
            </w:r>
          </w:p>
        </w:tc>
        <w:tc>
          <w:tcPr>
            <w:tcW w:w="1179" w:type="dxa"/>
            <w:tcBorders>
              <w:top w:val="single" w:sz="4" w:space="0" w:color="016794"/>
              <w:left w:val="nil"/>
              <w:bottom w:val="nil"/>
              <w:right w:val="nil"/>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r>
              <w:rPr>
                <w:rFonts w:ascii="Verdana" w:hAnsi="Verdana"/>
                <w:b/>
                <w:noProof/>
                <w:color w:val="000000"/>
                <w:sz w:val="16"/>
              </w:rPr>
              <w:t>s.o.</w:t>
            </w:r>
          </w:p>
        </w:tc>
        <w:tc>
          <w:tcPr>
            <w:tcW w:w="1278" w:type="dxa"/>
            <w:tcBorders>
              <w:top w:val="single" w:sz="4" w:space="0" w:color="016794"/>
              <w:left w:val="nil"/>
              <w:bottom w:val="nil"/>
              <w:right w:val="nil"/>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r>
              <w:rPr>
                <w:rFonts w:ascii="Verdana" w:hAnsi="Verdana"/>
                <w:b/>
                <w:noProof/>
                <w:color w:val="000000"/>
                <w:sz w:val="16"/>
              </w:rPr>
              <w:t xml:space="preserve"> 528</w:t>
            </w:r>
          </w:p>
        </w:tc>
      </w:tr>
      <w:tr>
        <w:trPr>
          <w:trHeight w:val="255"/>
        </w:trPr>
        <w:tc>
          <w:tcPr>
            <w:tcW w:w="2486" w:type="dxa"/>
            <w:tcBorders>
              <w:top w:val="nil"/>
              <w:left w:val="nil"/>
              <w:bottom w:val="nil"/>
              <w:right w:val="nil"/>
              <w:tl2br w:val="nil"/>
              <w:tr2bl w:val="nil"/>
            </w:tcBorders>
            <w:shd w:val="solid" w:color="CCE1EA" w:fill="FFFFFF"/>
            <w:tcMar>
              <w:left w:w="60" w:type="dxa"/>
              <w:right w:w="60" w:type="dxa"/>
            </w:tcMar>
            <w:vAlign w:val="center"/>
          </w:tcPr>
          <w:p>
            <w:pPr>
              <w:pStyle w:val="DMETW36748BIPPAYAB"/>
              <w:rPr>
                <w:rFonts w:ascii="Verdana" w:eastAsia="Verdana" w:hAnsi="Verdana" w:cs="Verdana"/>
                <w:b/>
                <w:noProof/>
                <w:color w:val="000000"/>
                <w:sz w:val="16"/>
              </w:rPr>
            </w:pPr>
            <w:r>
              <w:rPr>
                <w:rFonts w:ascii="Verdana" w:hAnsi="Verdana"/>
                <w:b/>
                <w:noProof/>
                <w:color w:val="000000"/>
                <w:sz w:val="16"/>
              </w:rPr>
              <w:t>Total</w:t>
            </w:r>
          </w:p>
        </w:tc>
        <w:tc>
          <w:tcPr>
            <w:tcW w:w="1179" w:type="dxa"/>
            <w:tcBorders>
              <w:top w:val="nil"/>
              <w:left w:val="nil"/>
              <w:bottom w:val="nil"/>
              <w:right w:val="nil"/>
              <w:tl2br w:val="nil"/>
              <w:tr2bl w:val="nil"/>
            </w:tcBorders>
            <w:shd w:val="solid" w:color="CCE1EA" w:fill="FFFFFF"/>
            <w:tcMar>
              <w:left w:w="60" w:type="dxa"/>
              <w:right w:w="60" w:type="dxa"/>
            </w:tcMar>
            <w:vAlign w:val="center"/>
          </w:tcPr>
          <w:p>
            <w:pPr>
              <w:pStyle w:val="DMETW36748BIPPAYAB"/>
              <w:jc w:val="right"/>
              <w:rPr>
                <w:rFonts w:ascii="Verdana" w:eastAsia="Verdana" w:hAnsi="Verdana" w:cs="Verdana"/>
                <w:b/>
                <w:noProof/>
                <w:color w:val="000000"/>
                <w:sz w:val="16"/>
              </w:rPr>
            </w:pPr>
            <w:r>
              <w:rPr>
                <w:rFonts w:ascii="Verdana" w:hAnsi="Verdana"/>
                <w:b/>
                <w:noProof/>
                <w:color w:val="000000"/>
                <w:sz w:val="16"/>
              </w:rPr>
              <w:t>69 721</w:t>
            </w:r>
          </w:p>
        </w:tc>
        <w:tc>
          <w:tcPr>
            <w:tcW w:w="1179" w:type="dxa"/>
            <w:tcBorders>
              <w:top w:val="nil"/>
              <w:left w:val="nil"/>
              <w:bottom w:val="nil"/>
              <w:right w:val="nil"/>
              <w:tl2br w:val="nil"/>
              <w:tr2bl w:val="nil"/>
            </w:tcBorders>
            <w:shd w:val="solid" w:color="CCE1EA" w:fill="FFFFFF"/>
            <w:tcMar>
              <w:left w:w="60" w:type="dxa"/>
              <w:right w:w="60" w:type="dxa"/>
            </w:tcMar>
            <w:vAlign w:val="center"/>
          </w:tcPr>
          <w:p>
            <w:pPr>
              <w:pStyle w:val="DMETW36748BIPPAYAB"/>
              <w:jc w:val="right"/>
              <w:rPr>
                <w:rFonts w:ascii="Verdana" w:eastAsia="Verdana" w:hAnsi="Verdana" w:cs="Verdana"/>
                <w:b/>
                <w:noProof/>
                <w:color w:val="000000"/>
                <w:sz w:val="16"/>
              </w:rPr>
            </w:pPr>
            <w:r>
              <w:rPr>
                <w:rFonts w:ascii="Verdana" w:hAnsi="Verdana"/>
                <w:b/>
                <w:noProof/>
                <w:color w:val="000000"/>
                <w:sz w:val="16"/>
              </w:rPr>
              <w:t>(4 684)</w:t>
            </w:r>
          </w:p>
        </w:tc>
        <w:tc>
          <w:tcPr>
            <w:tcW w:w="1278" w:type="dxa"/>
            <w:tcBorders>
              <w:top w:val="nil"/>
              <w:left w:val="nil"/>
              <w:bottom w:val="nil"/>
              <w:right w:val="single" w:sz="4" w:space="0" w:color="016794"/>
              <w:tl2br w:val="nil"/>
              <w:tr2bl w:val="nil"/>
            </w:tcBorders>
            <w:shd w:val="solid" w:color="CCE1EA" w:fill="FFFFFF"/>
            <w:tcMar>
              <w:left w:w="60" w:type="dxa"/>
              <w:right w:w="60" w:type="dxa"/>
            </w:tcMar>
            <w:vAlign w:val="center"/>
          </w:tcPr>
          <w:p>
            <w:pPr>
              <w:pStyle w:val="DMETW36748BIPPAYAB"/>
              <w:jc w:val="right"/>
              <w:rPr>
                <w:rFonts w:ascii="Verdana" w:eastAsia="Verdana" w:hAnsi="Verdana" w:cs="Verdana"/>
                <w:b/>
                <w:noProof/>
                <w:color w:val="000000"/>
                <w:sz w:val="16"/>
              </w:rPr>
            </w:pPr>
            <w:r>
              <w:rPr>
                <w:rFonts w:ascii="Verdana" w:hAnsi="Verdana"/>
                <w:b/>
                <w:noProof/>
                <w:color w:val="000000"/>
                <w:sz w:val="16"/>
              </w:rPr>
              <w:t>65 037</w:t>
            </w:r>
          </w:p>
        </w:tc>
        <w:tc>
          <w:tcPr>
            <w:tcW w:w="1179" w:type="dxa"/>
            <w:tcBorders>
              <w:top w:val="nil"/>
              <w:left w:val="single" w:sz="4" w:space="0" w:color="016794"/>
              <w:bottom w:val="nil"/>
              <w:right w:val="nil"/>
              <w:tl2br w:val="nil"/>
              <w:tr2bl w:val="nil"/>
            </w:tcBorders>
            <w:shd w:val="solid" w:color="CCE1EA" w:fill="FFFFFF"/>
            <w:tcMar>
              <w:left w:w="60" w:type="dxa"/>
              <w:right w:w="60" w:type="dxa"/>
            </w:tcMar>
            <w:vAlign w:val="center"/>
          </w:tcPr>
          <w:p>
            <w:pPr>
              <w:pStyle w:val="DMETW36748BIPPAYAB"/>
              <w:jc w:val="right"/>
              <w:rPr>
                <w:rFonts w:ascii="Verdana" w:eastAsia="Verdana" w:hAnsi="Verdana" w:cs="Verdana"/>
                <w:b/>
                <w:noProof/>
                <w:color w:val="000000"/>
                <w:sz w:val="16"/>
              </w:rPr>
            </w:pPr>
            <w:r>
              <w:rPr>
                <w:rFonts w:ascii="Verdana" w:hAnsi="Verdana"/>
                <w:b/>
                <w:noProof/>
                <w:color w:val="000000"/>
                <w:sz w:val="16"/>
              </w:rPr>
              <w:t>59 496</w:t>
            </w:r>
          </w:p>
        </w:tc>
        <w:tc>
          <w:tcPr>
            <w:tcW w:w="1179" w:type="dxa"/>
            <w:tcBorders>
              <w:top w:val="nil"/>
              <w:left w:val="nil"/>
              <w:bottom w:val="nil"/>
              <w:right w:val="nil"/>
              <w:tl2br w:val="nil"/>
              <w:tr2bl w:val="nil"/>
            </w:tcBorders>
            <w:shd w:val="solid" w:color="CCE1EA" w:fill="FFFFFF"/>
            <w:tcMar>
              <w:left w:w="60" w:type="dxa"/>
              <w:right w:w="60" w:type="dxa"/>
            </w:tcMar>
            <w:vAlign w:val="center"/>
          </w:tcPr>
          <w:p>
            <w:pPr>
              <w:pStyle w:val="DMETW36748BIPPAYAB"/>
              <w:jc w:val="right"/>
              <w:rPr>
                <w:rFonts w:ascii="Verdana" w:eastAsia="Verdana" w:hAnsi="Verdana" w:cs="Verdana"/>
                <w:b/>
                <w:noProof/>
                <w:color w:val="000000"/>
                <w:sz w:val="16"/>
              </w:rPr>
            </w:pPr>
            <w:r>
              <w:rPr>
                <w:rFonts w:ascii="Verdana" w:hAnsi="Verdana"/>
                <w:b/>
                <w:noProof/>
                <w:color w:val="000000"/>
                <w:sz w:val="16"/>
              </w:rPr>
              <w:t>(4 082)</w:t>
            </w:r>
          </w:p>
        </w:tc>
        <w:tc>
          <w:tcPr>
            <w:tcW w:w="1278" w:type="dxa"/>
            <w:tcBorders>
              <w:top w:val="nil"/>
              <w:left w:val="nil"/>
              <w:bottom w:val="nil"/>
              <w:right w:val="nil"/>
              <w:tl2br w:val="nil"/>
              <w:tr2bl w:val="nil"/>
            </w:tcBorders>
            <w:shd w:val="solid" w:color="CCE1EA" w:fill="FFFFFF"/>
            <w:tcMar>
              <w:left w:w="60" w:type="dxa"/>
              <w:right w:w="60" w:type="dxa"/>
            </w:tcMar>
            <w:vAlign w:val="center"/>
          </w:tcPr>
          <w:p>
            <w:pPr>
              <w:pStyle w:val="DMETW36748BIPPAYAB"/>
              <w:jc w:val="right"/>
              <w:rPr>
                <w:rFonts w:ascii="Verdana" w:eastAsia="Verdana" w:hAnsi="Verdana" w:cs="Verdana"/>
                <w:b/>
                <w:noProof/>
                <w:color w:val="000000"/>
                <w:sz w:val="16"/>
              </w:rPr>
            </w:pPr>
            <w:r>
              <w:rPr>
                <w:rFonts w:ascii="Verdana" w:hAnsi="Verdana"/>
                <w:b/>
                <w:noProof/>
                <w:color w:val="000000"/>
                <w:sz w:val="16"/>
              </w:rPr>
              <w:t>55 414</w:t>
            </w:r>
          </w:p>
        </w:tc>
      </w:tr>
    </w:tbl>
    <w:p>
      <w:pPr>
        <w:pStyle w:val="DGTextstand-alone"/>
      </w:pPr>
      <w:r>
        <w:t>Les sommes à payer comprennent les factures et les déclarations de dépenses reçues mais n’ayant pas encore fait l’objet de paiements en fin d’exercice. Elles sont comptabilisées initialement à la réception des factures ou déclarations de dépenses pour les montants réclamés. Les sommes à payer sont ensuite ajustées pour ne refléter que les montants acceptés après examen des coûts et les montants considérés comme éligibles. Les montants qui sont considérés comme non éligibles figurent dans la colonne «Ajustements»; les montants les plus élevés concernent les actions structurelles.</w:t>
      </w:r>
    </w:p>
    <w:p>
      <w:pPr>
        <w:pStyle w:val="DGTextstand-alone"/>
        <w:spacing w:after="0"/>
      </w:pPr>
      <w:r>
        <w:t>La diminution de 6,2 milliards d’EUR des sommes à payer au titre de la FRR témoigne d’une baisse du nombre de demandes de paiement reçues vers la fin de l’année pour lesquelles l’évaluation des jalons et cibles était toujours en suspens.</w:t>
      </w:r>
    </w:p>
    <w:p>
      <w:pPr>
        <w:pStyle w:val="DGTextstand-alone"/>
        <w:spacing w:after="0"/>
      </w:pPr>
      <w:r>
        <w:t>L’augmentation des montants à payer au titre du Feader est due au fait que 2025 est la dernière année de mise en œuvre de la période de programmation précédente, la plupart des programmes ayant atteint le plafond de 95 %. En conséquence, le remboursement des déclarations de dépenses correspondantes est suspendu, ce qui se reflète dans le niveau plus élevé des sommes à payer.</w:t>
      </w:r>
    </w:p>
    <w:p>
      <w:pPr>
        <w:pStyle w:val="DGTextstand-alone"/>
        <w:spacing w:after="0"/>
      </w:pPr>
      <w:r>
        <w:t>L’augmentation des sommes à payer dans le domaine de la cohésion est due au nombre plus élevé de déclarations de dépenses reçues pour paiement au 31 décembre par rapport à l’année précédente, pour lesquelles la vérification de l’éligibilité et le paiement étaient toujours en attente.</w:t>
      </w:r>
    </w:p>
    <w:p>
      <w:pPr>
        <w:pStyle w:val="DGTextstand-alone"/>
        <w:spacing w:after="0"/>
      </w:pPr>
      <w:r>
        <w:t>Le RPDC [règlements (UE) 1303/2013</w:t>
      </w:r>
      <w:r>
        <w:rPr>
          <w:rStyle w:val="FootnoteReference"/>
        </w:rPr>
        <w:footnoteReference w:id="33"/>
      </w:r>
      <w:r>
        <w:t xml:space="preserve"> et (UE) 2021/1060</w:t>
      </w:r>
      <w:r>
        <w:rPr>
          <w:rStyle w:val="FootnoteReference"/>
        </w:rPr>
        <w:footnoteReference w:id="34"/>
      </w:r>
      <w:r>
        <w:t xml:space="preserve"> du Parlement européen et du Conseil portant dispositions communes] applicable aux Fonds structurels (FEDER et FSE), au Fonds de cohésion et au Fonds européen pour les affaires maritimes et la pêche (FEAMP) prévoit une protection du budget de l’UE au moyen d’une retenue systématique sur les paiements intermédiaires effectués. Le cycle de contrôle doit être mené à bien avant le mois de février suivant la fin de l’exercice comptable du RPDC (du </w:t>
      </w:r>
      <w:r>
        <w:lastRenderedPageBreak/>
        <w:t>1</w:t>
      </w:r>
      <w:r>
        <w:rPr>
          <w:vertAlign w:val="superscript"/>
        </w:rPr>
        <w:t>er</w:t>
      </w:r>
      <w:r>
        <w:t> juillet au 30 juin), au moyen de vérifications de gestion effectuées par les autorités de gestion et d’audits réalisés par les autorités d’audit. La Commission examine les documents d’assurance et les comptes fournis par les autorités compétentes des États membres. Le paiement/recouvrement du solde n’a lieu qu’après finalisation de l’évaluation et approbation des comptes. Le montant retenu conformément à ces dispositions s’élevait à 11,2 milliards d’EUR à la fin de 2025. Une partie de ce montant (1,3 milliard d’EUR) est considérée comme non éligible selon les informations transmises par les États membres dans leurs comptes et figure également dans la colonne «Ajustements».</w:t>
      </w:r>
    </w:p>
    <w:p>
      <w:pPr>
        <w:pStyle w:val="HEADER5"/>
        <w:spacing w:before="240"/>
        <w:rPr>
          <w:noProof/>
        </w:rPr>
      </w:pPr>
      <w:r>
        <w:rPr>
          <w:noProof/>
        </w:rPr>
        <w:t>Sommes à payer - ressources propres</w:t>
      </w:r>
    </w:p>
    <w:p>
      <w:pPr>
        <w:pStyle w:val="DGTextstand-alone"/>
        <w:spacing w:after="0"/>
      </w:pPr>
      <w:r>
        <w:t>Les sommes à payer au titre des ressources propres correspondent aux contributions des États membres au budget de l’Union à rembourser en fin d’exercice. Les budgets rectificatifs sont exécutés en conformément à l’article 10 </w:t>
      </w:r>
      <w:r>
        <w:rPr>
          <w:i/>
        </w:rPr>
        <w:t>bis</w:t>
      </w:r>
      <w:r>
        <w:t>, paragraphe 3, du règlement (UE, Euratom) nº 609/2014. Le solde au 31 décembre 2025 était dû à l’adoption du budget rectificatif nº 3/2025, le 26 novembre 2025. Conformément à cette disposition légale, les montants qui en résultent ont été restitués aux États membres le premier jour ouvrable de janvier 2026.</w:t>
      </w:r>
    </w:p>
    <w:bookmarkEnd w:id="167"/>
    <w:p>
      <w:pPr>
        <w:pStyle w:val="DGTextstand-alone"/>
        <w:spacing w:after="0"/>
        <w:sectPr>
          <w:headerReference w:type="default" r:id="rId105"/>
          <w:footerReference w:type="default" r:id="rId106"/>
          <w:type w:val="continuous"/>
          <w:pgSz w:w="11906" w:h="16838"/>
          <w:pgMar w:top="1134" w:right="1134" w:bottom="1134" w:left="1134" w:header="709" w:footer="709" w:gutter="0"/>
          <w:cols w:space="708"/>
          <w:docGrid w:linePitch="360"/>
        </w:sectPr>
      </w:pPr>
    </w:p>
    <w:p>
      <w:pPr>
        <w:pStyle w:val="HEADER2NOTES"/>
        <w:numPr>
          <w:ilvl w:val="1"/>
          <w:numId w:val="15"/>
        </w:numPr>
        <w:rPr>
          <w:noProof/>
        </w:rPr>
      </w:pPr>
      <w:bookmarkStart w:id="169" w:name="_DMBM_36723"/>
      <w:r>
        <w:rPr>
          <w:noProof/>
        </w:rPr>
        <w:t>CHARGES À PAYER ET PRODUITS À REPORTER</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4"/>
        <w:gridCol w:w="2072"/>
        <w:gridCol w:w="2072"/>
      </w:tblGrid>
      <w:tr>
        <w:trPr>
          <w:trHeight w:val="255"/>
        </w:trPr>
        <w:tc>
          <w:tcPr>
            <w:tcW w:w="5614" w:type="dxa"/>
            <w:tcBorders>
              <w:top w:val="nil"/>
              <w:left w:val="nil"/>
              <w:bottom w:val="nil"/>
              <w:right w:val="nil"/>
              <w:tl2br w:val="nil"/>
              <w:tr2bl w:val="nil"/>
            </w:tcBorders>
            <w:tcMar>
              <w:left w:w="60" w:type="dxa"/>
              <w:right w:w="60" w:type="dxa"/>
            </w:tcMar>
            <w:vAlign w:val="bottom"/>
          </w:tcPr>
          <w:p>
            <w:pPr>
              <w:pStyle w:val="DMETW36773BIPACCDEF"/>
              <w:rPr>
                <w:rFonts w:ascii="Arial" w:eastAsia="Arial" w:hAnsi="Arial" w:cs="Arial"/>
                <w:noProof/>
                <w:color w:val="000000"/>
              </w:rPr>
            </w:pPr>
            <w:bookmarkStart w:id="170" w:name="DOC_TBL00063_1_1"/>
            <w:bookmarkEnd w:id="170"/>
          </w:p>
        </w:tc>
        <w:tc>
          <w:tcPr>
            <w:tcW w:w="2072" w:type="dxa"/>
            <w:tcBorders>
              <w:top w:val="nil"/>
              <w:left w:val="nil"/>
              <w:bottom w:val="nil"/>
              <w:right w:val="nil"/>
              <w:tl2br w:val="nil"/>
              <w:tr2bl w:val="nil"/>
            </w:tcBorders>
            <w:tcMar>
              <w:left w:w="60" w:type="dxa"/>
              <w:right w:w="60" w:type="dxa"/>
            </w:tcMar>
            <w:vAlign w:val="bottom"/>
          </w:tcPr>
          <w:p>
            <w:pPr>
              <w:pStyle w:val="DMETW36773BIPACCDEF"/>
              <w:rPr>
                <w:rFonts w:ascii="Arial" w:eastAsia="Arial" w:hAnsi="Arial" w:cs="Arial"/>
                <w:noProof/>
                <w:color w:val="000000"/>
              </w:rPr>
            </w:pPr>
          </w:p>
        </w:tc>
        <w:tc>
          <w:tcPr>
            <w:tcW w:w="2072" w:type="dxa"/>
            <w:tcBorders>
              <w:top w:val="nil"/>
              <w:left w:val="nil"/>
              <w:bottom w:val="nil"/>
              <w:right w:val="nil"/>
              <w:tl2br w:val="nil"/>
              <w:tr2bl w:val="nil"/>
            </w:tcBorders>
            <w:tcMar>
              <w:left w:w="60" w:type="dxa"/>
              <w:right w:w="60" w:type="dxa"/>
            </w:tcMar>
            <w:vAlign w:val="bottom"/>
          </w:tcPr>
          <w:p>
            <w:pPr>
              <w:pStyle w:val="DMETW36773BIPACCDEF"/>
              <w:jc w:val="right"/>
              <w:rPr>
                <w:rFonts w:ascii="Verdana" w:eastAsia="Verdana" w:hAnsi="Verdana" w:cs="Verdana"/>
                <w:i/>
                <w:noProof/>
                <w:color w:val="000000"/>
                <w:sz w:val="16"/>
              </w:rPr>
            </w:pPr>
            <w:r>
              <w:rPr>
                <w:rFonts w:ascii="Verdana" w:hAnsi="Verdana"/>
                <w:i/>
                <w:noProof/>
                <w:color w:val="000000"/>
                <w:sz w:val="16"/>
              </w:rPr>
              <w:t>en Mio EUR</w:t>
            </w:r>
          </w:p>
        </w:tc>
      </w:tr>
      <w:tr>
        <w:trPr>
          <w:trHeight w:val="255"/>
        </w:trPr>
        <w:tc>
          <w:tcPr>
            <w:tcW w:w="5614" w:type="dxa"/>
            <w:tcBorders>
              <w:top w:val="nil"/>
              <w:left w:val="nil"/>
              <w:bottom w:val="nil"/>
              <w:right w:val="nil"/>
              <w:tl2br w:val="nil"/>
              <w:tr2bl w:val="nil"/>
            </w:tcBorders>
            <w:shd w:val="solid" w:color="016794" w:fill="FFFFFF"/>
            <w:tcMar>
              <w:left w:w="60" w:type="dxa"/>
              <w:right w:w="60" w:type="dxa"/>
            </w:tcMar>
            <w:vAlign w:val="center"/>
          </w:tcPr>
          <w:p>
            <w:pPr>
              <w:pStyle w:val="DMETW36773BIPACCDEF"/>
              <w:jc w:val="right"/>
              <w:rPr>
                <w:rFonts w:ascii="Verdana" w:eastAsia="Verdana" w:hAnsi="Verdana" w:cs="Verdana"/>
                <w:noProof/>
                <w:color w:val="FFFFFF"/>
                <w:sz w:val="18"/>
              </w:rPr>
            </w:pPr>
          </w:p>
        </w:tc>
        <w:tc>
          <w:tcPr>
            <w:tcW w:w="2072" w:type="dxa"/>
            <w:tcBorders>
              <w:top w:val="nil"/>
              <w:left w:val="nil"/>
              <w:bottom w:val="nil"/>
              <w:right w:val="nil"/>
              <w:tl2br w:val="nil"/>
              <w:tr2bl w:val="nil"/>
            </w:tcBorders>
            <w:shd w:val="solid" w:color="016794" w:fill="FFFFFF"/>
            <w:tcMar>
              <w:left w:w="60" w:type="dxa"/>
              <w:right w:w="60" w:type="dxa"/>
            </w:tcMar>
            <w:vAlign w:val="center"/>
          </w:tcPr>
          <w:p>
            <w:pPr>
              <w:pStyle w:val="DMETW36773BIPACCDEF"/>
              <w:jc w:val="right"/>
              <w:rPr>
                <w:rFonts w:ascii="Verdana" w:eastAsia="Verdana" w:hAnsi="Verdana" w:cs="Verdana"/>
                <w:noProof/>
                <w:color w:val="FFFFFF"/>
              </w:rPr>
            </w:pPr>
            <w:r>
              <w:rPr>
                <w:rFonts w:ascii="Verdana" w:hAnsi="Verdana"/>
                <w:noProof/>
                <w:color w:val="FFFFFF"/>
              </w:rPr>
              <w:t>31.12.2025</w:t>
            </w:r>
          </w:p>
        </w:tc>
        <w:tc>
          <w:tcPr>
            <w:tcW w:w="2072" w:type="dxa"/>
            <w:tcBorders>
              <w:top w:val="nil"/>
              <w:left w:val="nil"/>
              <w:bottom w:val="nil"/>
              <w:right w:val="nil"/>
              <w:tl2br w:val="nil"/>
              <w:tr2bl w:val="nil"/>
            </w:tcBorders>
            <w:shd w:val="solid" w:color="016794" w:fill="FFFFFF"/>
            <w:tcMar>
              <w:left w:w="60" w:type="dxa"/>
              <w:right w:w="60" w:type="dxa"/>
            </w:tcMar>
            <w:vAlign w:val="center"/>
          </w:tcPr>
          <w:p>
            <w:pPr>
              <w:pStyle w:val="DMETW36773BIPACCDEF"/>
              <w:jc w:val="right"/>
              <w:rPr>
                <w:rFonts w:ascii="Verdana" w:eastAsia="Verdana" w:hAnsi="Verdana" w:cs="Verdana"/>
                <w:noProof/>
                <w:color w:val="FFFFFF"/>
              </w:rPr>
            </w:pPr>
            <w:r>
              <w:rPr>
                <w:rFonts w:ascii="Verdana" w:hAnsi="Verdana"/>
                <w:noProof/>
                <w:color w:val="FFFFFF"/>
              </w:rPr>
              <w:t>31.12.2024</w:t>
            </w:r>
          </w:p>
        </w:tc>
      </w:tr>
      <w:tr>
        <w:trPr>
          <w:trHeight w:val="255"/>
        </w:trPr>
        <w:tc>
          <w:tcPr>
            <w:tcW w:w="5614" w:type="dxa"/>
            <w:tcBorders>
              <w:top w:val="nil"/>
              <w:left w:val="nil"/>
              <w:bottom w:val="nil"/>
              <w:right w:val="nil"/>
              <w:tl2br w:val="nil"/>
              <w:tr2bl w:val="nil"/>
            </w:tcBorders>
            <w:tcMar>
              <w:left w:w="60" w:type="dxa"/>
              <w:right w:w="60" w:type="dxa"/>
            </w:tcMar>
            <w:vAlign w:val="center"/>
          </w:tcPr>
          <w:p>
            <w:pPr>
              <w:pStyle w:val="DMETW36773BIPACCDEF"/>
              <w:rPr>
                <w:rFonts w:ascii="Verdana" w:eastAsia="Verdana" w:hAnsi="Verdana" w:cs="Verdana"/>
                <w:i/>
                <w:noProof/>
                <w:color w:val="000000"/>
                <w:sz w:val="18"/>
              </w:rPr>
            </w:pPr>
            <w:r>
              <w:rPr>
                <w:rFonts w:ascii="Verdana" w:hAnsi="Verdana"/>
                <w:i/>
                <w:noProof/>
                <w:color w:val="000000"/>
                <w:sz w:val="18"/>
              </w:rPr>
              <w:t>Charges à payer</w:t>
            </w:r>
          </w:p>
        </w:tc>
        <w:tc>
          <w:tcPr>
            <w:tcW w:w="2072" w:type="dxa"/>
            <w:tcBorders>
              <w:top w:val="nil"/>
              <w:left w:val="nil"/>
              <w:bottom w:val="nil"/>
              <w:right w:val="nil"/>
              <w:tl2br w:val="nil"/>
              <w:tr2bl w:val="nil"/>
            </w:tcBorders>
            <w:tcMar>
              <w:left w:w="60" w:type="dxa"/>
              <w:right w:w="60" w:type="dxa"/>
            </w:tcMar>
            <w:vAlign w:val="bottom"/>
          </w:tcPr>
          <w:p>
            <w:pPr>
              <w:pStyle w:val="DMETW36773BIPACCDEF"/>
              <w:jc w:val="right"/>
              <w:rPr>
                <w:rFonts w:ascii="Verdana" w:eastAsia="Verdana" w:hAnsi="Verdana" w:cs="Verdana"/>
                <w:i/>
                <w:noProof/>
                <w:color w:val="000000"/>
                <w:sz w:val="18"/>
              </w:rPr>
            </w:pPr>
            <w:r>
              <w:rPr>
                <w:rFonts w:ascii="Verdana" w:hAnsi="Verdana"/>
                <w:i/>
                <w:noProof/>
                <w:color w:val="000000"/>
                <w:sz w:val="18"/>
              </w:rPr>
              <w:t>76 785</w:t>
            </w:r>
          </w:p>
        </w:tc>
        <w:tc>
          <w:tcPr>
            <w:tcW w:w="2072" w:type="dxa"/>
            <w:tcBorders>
              <w:top w:val="nil"/>
              <w:left w:val="nil"/>
              <w:bottom w:val="nil"/>
              <w:right w:val="nil"/>
              <w:tl2br w:val="nil"/>
              <w:tr2bl w:val="nil"/>
            </w:tcBorders>
            <w:tcMar>
              <w:left w:w="60" w:type="dxa"/>
              <w:right w:w="60" w:type="dxa"/>
            </w:tcMar>
            <w:vAlign w:val="bottom"/>
          </w:tcPr>
          <w:p>
            <w:pPr>
              <w:pStyle w:val="DMETW36773BIPACCDEF"/>
              <w:jc w:val="right"/>
              <w:rPr>
                <w:rFonts w:ascii="Verdana" w:eastAsia="Verdana" w:hAnsi="Verdana" w:cs="Verdana"/>
                <w:i/>
                <w:noProof/>
                <w:color w:val="000000"/>
                <w:sz w:val="18"/>
              </w:rPr>
            </w:pPr>
            <w:r>
              <w:rPr>
                <w:rFonts w:ascii="Verdana" w:hAnsi="Verdana"/>
                <w:i/>
                <w:noProof/>
                <w:color w:val="000000"/>
                <w:sz w:val="18"/>
              </w:rPr>
              <w:t>66 792</w:t>
            </w:r>
          </w:p>
        </w:tc>
      </w:tr>
      <w:tr>
        <w:trPr>
          <w:trHeight w:val="255"/>
        </w:trPr>
        <w:tc>
          <w:tcPr>
            <w:tcW w:w="5614" w:type="dxa"/>
            <w:tcBorders>
              <w:top w:val="nil"/>
              <w:left w:val="nil"/>
              <w:bottom w:val="nil"/>
              <w:right w:val="nil"/>
              <w:tl2br w:val="nil"/>
              <w:tr2bl w:val="nil"/>
            </w:tcBorders>
            <w:tcMar>
              <w:left w:w="60" w:type="dxa"/>
              <w:right w:w="60" w:type="dxa"/>
            </w:tcMar>
            <w:vAlign w:val="center"/>
          </w:tcPr>
          <w:p>
            <w:pPr>
              <w:pStyle w:val="DMETW36773BIPACCDEF"/>
              <w:rPr>
                <w:rFonts w:ascii="Verdana" w:eastAsia="Verdana" w:hAnsi="Verdana" w:cs="Verdana"/>
                <w:i/>
                <w:noProof/>
                <w:color w:val="000000"/>
                <w:sz w:val="18"/>
              </w:rPr>
            </w:pPr>
            <w:r>
              <w:rPr>
                <w:rFonts w:ascii="Verdana" w:hAnsi="Verdana"/>
                <w:i/>
                <w:noProof/>
                <w:color w:val="000000"/>
                <w:sz w:val="18"/>
              </w:rPr>
              <w:t>Produits à reporter</w:t>
            </w:r>
          </w:p>
        </w:tc>
        <w:tc>
          <w:tcPr>
            <w:tcW w:w="2072" w:type="dxa"/>
            <w:tcBorders>
              <w:top w:val="nil"/>
              <w:left w:val="nil"/>
              <w:bottom w:val="nil"/>
              <w:right w:val="nil"/>
              <w:tl2br w:val="nil"/>
              <w:tr2bl w:val="nil"/>
            </w:tcBorders>
            <w:tcMar>
              <w:left w:w="60" w:type="dxa"/>
              <w:right w:w="60" w:type="dxa"/>
            </w:tcMar>
            <w:vAlign w:val="bottom"/>
          </w:tcPr>
          <w:p>
            <w:pPr>
              <w:pStyle w:val="DMETW36773BIPACCDEF"/>
              <w:jc w:val="right"/>
              <w:rPr>
                <w:rFonts w:ascii="Verdana" w:eastAsia="Verdana" w:hAnsi="Verdana" w:cs="Verdana"/>
                <w:i/>
                <w:noProof/>
                <w:color w:val="000000"/>
                <w:sz w:val="18"/>
              </w:rPr>
            </w:pPr>
            <w:r>
              <w:rPr>
                <w:rFonts w:ascii="Verdana" w:hAnsi="Verdana"/>
                <w:i/>
                <w:noProof/>
                <w:color w:val="000000"/>
                <w:sz w:val="18"/>
              </w:rPr>
              <w:t xml:space="preserve"> 197</w:t>
            </w:r>
          </w:p>
        </w:tc>
        <w:tc>
          <w:tcPr>
            <w:tcW w:w="2072" w:type="dxa"/>
            <w:tcBorders>
              <w:top w:val="nil"/>
              <w:left w:val="nil"/>
              <w:bottom w:val="nil"/>
              <w:right w:val="nil"/>
              <w:tl2br w:val="nil"/>
              <w:tr2bl w:val="nil"/>
            </w:tcBorders>
            <w:tcMar>
              <w:left w:w="60" w:type="dxa"/>
              <w:right w:w="60" w:type="dxa"/>
            </w:tcMar>
            <w:vAlign w:val="bottom"/>
          </w:tcPr>
          <w:p>
            <w:pPr>
              <w:pStyle w:val="DMETW36773BIPACCDEF"/>
              <w:jc w:val="right"/>
              <w:rPr>
                <w:rFonts w:ascii="Verdana" w:eastAsia="Verdana" w:hAnsi="Verdana" w:cs="Verdana"/>
                <w:i/>
                <w:noProof/>
                <w:color w:val="000000"/>
                <w:sz w:val="18"/>
              </w:rPr>
            </w:pPr>
            <w:r>
              <w:rPr>
                <w:rFonts w:ascii="Verdana" w:hAnsi="Verdana"/>
                <w:i/>
                <w:noProof/>
                <w:color w:val="000000"/>
                <w:sz w:val="18"/>
              </w:rPr>
              <w:t xml:space="preserve"> 159</w:t>
            </w:r>
          </w:p>
        </w:tc>
      </w:tr>
      <w:tr>
        <w:trPr>
          <w:trHeight w:val="255"/>
        </w:trPr>
        <w:tc>
          <w:tcPr>
            <w:tcW w:w="5614" w:type="dxa"/>
            <w:tcBorders>
              <w:top w:val="nil"/>
              <w:left w:val="nil"/>
              <w:bottom w:val="nil"/>
              <w:right w:val="nil"/>
              <w:tl2br w:val="nil"/>
              <w:tr2bl w:val="nil"/>
            </w:tcBorders>
            <w:tcMar>
              <w:left w:w="60" w:type="dxa"/>
              <w:right w:w="60" w:type="dxa"/>
            </w:tcMar>
            <w:vAlign w:val="center"/>
          </w:tcPr>
          <w:p>
            <w:pPr>
              <w:pStyle w:val="DMETW36773BIPACCDEF"/>
              <w:rPr>
                <w:rFonts w:ascii="Verdana" w:eastAsia="Verdana" w:hAnsi="Verdana" w:cs="Verdana"/>
                <w:i/>
                <w:noProof/>
                <w:color w:val="000000"/>
                <w:sz w:val="18"/>
              </w:rPr>
            </w:pPr>
            <w:r>
              <w:rPr>
                <w:rFonts w:ascii="Verdana" w:hAnsi="Verdana"/>
                <w:i/>
                <w:noProof/>
                <w:color w:val="000000"/>
                <w:sz w:val="18"/>
              </w:rPr>
              <w:t>Autres</w:t>
            </w:r>
          </w:p>
        </w:tc>
        <w:tc>
          <w:tcPr>
            <w:tcW w:w="2072" w:type="dxa"/>
            <w:tcBorders>
              <w:top w:val="nil"/>
              <w:left w:val="nil"/>
              <w:bottom w:val="nil"/>
              <w:right w:val="nil"/>
              <w:tl2br w:val="nil"/>
              <w:tr2bl w:val="nil"/>
            </w:tcBorders>
            <w:tcMar>
              <w:left w:w="60" w:type="dxa"/>
              <w:right w:w="60" w:type="dxa"/>
            </w:tcMar>
            <w:vAlign w:val="bottom"/>
          </w:tcPr>
          <w:p>
            <w:pPr>
              <w:pStyle w:val="DMETW36773BIPACCDEF"/>
              <w:jc w:val="right"/>
              <w:rPr>
                <w:rFonts w:ascii="Verdana" w:eastAsia="Verdana" w:hAnsi="Verdana" w:cs="Verdana"/>
                <w:i/>
                <w:noProof/>
                <w:color w:val="000000"/>
                <w:sz w:val="18"/>
              </w:rPr>
            </w:pPr>
            <w:r>
              <w:rPr>
                <w:rFonts w:ascii="Verdana" w:hAnsi="Verdana"/>
                <w:i/>
                <w:noProof/>
                <w:color w:val="000000"/>
                <w:sz w:val="18"/>
              </w:rPr>
              <w:t xml:space="preserve"> 66</w:t>
            </w:r>
          </w:p>
        </w:tc>
        <w:tc>
          <w:tcPr>
            <w:tcW w:w="2072" w:type="dxa"/>
            <w:tcBorders>
              <w:top w:val="nil"/>
              <w:left w:val="nil"/>
              <w:bottom w:val="nil"/>
              <w:right w:val="nil"/>
              <w:tl2br w:val="nil"/>
              <w:tr2bl w:val="nil"/>
            </w:tcBorders>
            <w:tcMar>
              <w:left w:w="60" w:type="dxa"/>
              <w:right w:w="60" w:type="dxa"/>
            </w:tcMar>
            <w:vAlign w:val="bottom"/>
          </w:tcPr>
          <w:p>
            <w:pPr>
              <w:pStyle w:val="DMETW36773BIPACCDEF"/>
              <w:jc w:val="right"/>
              <w:rPr>
                <w:rFonts w:ascii="Verdana" w:eastAsia="Verdana" w:hAnsi="Verdana" w:cs="Verdana"/>
                <w:i/>
                <w:noProof/>
                <w:color w:val="000000"/>
                <w:sz w:val="18"/>
              </w:rPr>
            </w:pPr>
            <w:r>
              <w:rPr>
                <w:rFonts w:ascii="Verdana" w:hAnsi="Verdana"/>
                <w:i/>
                <w:noProof/>
                <w:color w:val="000000"/>
                <w:sz w:val="18"/>
              </w:rPr>
              <w:t xml:space="preserve"> 140</w:t>
            </w:r>
          </w:p>
        </w:tc>
      </w:tr>
      <w:tr>
        <w:trPr>
          <w:trHeight w:val="255"/>
        </w:trPr>
        <w:tc>
          <w:tcPr>
            <w:tcW w:w="5614" w:type="dxa"/>
            <w:tcBorders>
              <w:top w:val="nil"/>
              <w:left w:val="nil"/>
              <w:bottom w:val="nil"/>
              <w:right w:val="nil"/>
              <w:tl2br w:val="nil"/>
              <w:tr2bl w:val="nil"/>
            </w:tcBorders>
            <w:shd w:val="solid" w:color="CCE1EA" w:fill="FFFFFF"/>
            <w:tcMar>
              <w:left w:w="60" w:type="dxa"/>
              <w:right w:w="60" w:type="dxa"/>
            </w:tcMar>
            <w:vAlign w:val="center"/>
          </w:tcPr>
          <w:p>
            <w:pPr>
              <w:pStyle w:val="DMETW36773BIPACCDEF"/>
              <w:rPr>
                <w:rFonts w:ascii="Verdana" w:eastAsia="Verdana" w:hAnsi="Verdana" w:cs="Verdana"/>
                <w:b/>
                <w:noProof/>
                <w:color w:val="000000"/>
                <w:sz w:val="18"/>
              </w:rPr>
            </w:pPr>
            <w:r>
              <w:rPr>
                <w:rFonts w:ascii="Verdana" w:hAnsi="Verdana"/>
                <w:b/>
                <w:noProof/>
                <w:color w:val="000000"/>
                <w:sz w:val="18"/>
              </w:rPr>
              <w:t>Total</w:t>
            </w:r>
          </w:p>
        </w:tc>
        <w:tc>
          <w:tcPr>
            <w:tcW w:w="2072" w:type="dxa"/>
            <w:tcBorders>
              <w:top w:val="nil"/>
              <w:left w:val="nil"/>
              <w:bottom w:val="nil"/>
              <w:right w:val="nil"/>
              <w:tl2br w:val="nil"/>
              <w:tr2bl w:val="nil"/>
            </w:tcBorders>
            <w:shd w:val="solid" w:color="CCE1EA" w:fill="FFFFFF"/>
            <w:tcMar>
              <w:left w:w="60" w:type="dxa"/>
              <w:right w:w="60" w:type="dxa"/>
            </w:tcMar>
            <w:vAlign w:val="bottom"/>
          </w:tcPr>
          <w:p>
            <w:pPr>
              <w:pStyle w:val="DMETW36773BIPACCDEF"/>
              <w:jc w:val="right"/>
              <w:rPr>
                <w:rFonts w:ascii="Verdana" w:eastAsia="Verdana" w:hAnsi="Verdana" w:cs="Verdana"/>
                <w:b/>
                <w:noProof/>
                <w:color w:val="000000"/>
                <w:sz w:val="18"/>
              </w:rPr>
            </w:pPr>
            <w:r>
              <w:rPr>
                <w:rFonts w:ascii="Verdana" w:hAnsi="Verdana"/>
                <w:b/>
                <w:noProof/>
                <w:color w:val="000000"/>
                <w:sz w:val="18"/>
              </w:rPr>
              <w:t>77 048</w:t>
            </w:r>
          </w:p>
        </w:tc>
        <w:tc>
          <w:tcPr>
            <w:tcW w:w="2072" w:type="dxa"/>
            <w:tcBorders>
              <w:top w:val="nil"/>
              <w:left w:val="nil"/>
              <w:bottom w:val="nil"/>
              <w:right w:val="nil"/>
              <w:tl2br w:val="nil"/>
              <w:tr2bl w:val="nil"/>
            </w:tcBorders>
            <w:shd w:val="solid" w:color="CCE1EA" w:fill="FFFFFF"/>
            <w:tcMar>
              <w:left w:w="60" w:type="dxa"/>
              <w:right w:w="60" w:type="dxa"/>
            </w:tcMar>
            <w:vAlign w:val="bottom"/>
          </w:tcPr>
          <w:p>
            <w:pPr>
              <w:pStyle w:val="DMETW36773BIPACCDEF"/>
              <w:jc w:val="right"/>
              <w:rPr>
                <w:rFonts w:ascii="Verdana" w:eastAsia="Verdana" w:hAnsi="Verdana" w:cs="Verdana"/>
                <w:b/>
                <w:noProof/>
                <w:color w:val="000000"/>
                <w:sz w:val="18"/>
              </w:rPr>
            </w:pPr>
            <w:r>
              <w:rPr>
                <w:rFonts w:ascii="Verdana" w:hAnsi="Verdana"/>
                <w:b/>
                <w:noProof/>
                <w:color w:val="000000"/>
                <w:sz w:val="18"/>
              </w:rPr>
              <w:t>67 091</w:t>
            </w:r>
          </w:p>
        </w:tc>
      </w:tr>
    </w:tbl>
    <w:p>
      <w:pPr>
        <w:pStyle w:val="DGTextstand-alone"/>
      </w:pPr>
      <w:r>
        <w:t>La ventilation des charges à payer est la suivante: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76"/>
        <w:gridCol w:w="1741"/>
        <w:gridCol w:w="1741"/>
      </w:tblGrid>
      <w:tr>
        <w:trPr>
          <w:trHeight w:hRule="exact" w:val="255"/>
        </w:trPr>
        <w:tc>
          <w:tcPr>
            <w:tcW w:w="6276" w:type="dxa"/>
            <w:tcBorders>
              <w:top w:val="nil"/>
              <w:left w:val="nil"/>
              <w:bottom w:val="nil"/>
              <w:right w:val="nil"/>
              <w:tl2br w:val="nil"/>
              <w:tr2bl w:val="nil"/>
            </w:tcBorders>
            <w:tcMar>
              <w:left w:w="60" w:type="dxa"/>
              <w:right w:w="60" w:type="dxa"/>
            </w:tcMar>
            <w:vAlign w:val="bottom"/>
          </w:tcPr>
          <w:p>
            <w:pPr>
              <w:pStyle w:val="DMETW36773BIPACDISPLIT"/>
              <w:rPr>
                <w:rFonts w:ascii="Arial" w:eastAsia="Arial" w:hAnsi="Arial" w:cs="Arial"/>
                <w:noProof/>
                <w:color w:val="000000"/>
              </w:rPr>
            </w:pPr>
            <w:bookmarkStart w:id="171" w:name="DOC_TBL00064_1_1"/>
            <w:bookmarkEnd w:id="171"/>
          </w:p>
        </w:tc>
        <w:tc>
          <w:tcPr>
            <w:tcW w:w="1741" w:type="dxa"/>
            <w:tcBorders>
              <w:top w:val="nil"/>
              <w:left w:val="nil"/>
              <w:bottom w:val="nil"/>
              <w:right w:val="nil"/>
              <w:tl2br w:val="nil"/>
              <w:tr2bl w:val="nil"/>
            </w:tcBorders>
            <w:tcMar>
              <w:left w:w="60" w:type="dxa"/>
              <w:right w:w="60" w:type="dxa"/>
            </w:tcMar>
            <w:vAlign w:val="bottom"/>
          </w:tcPr>
          <w:p>
            <w:pPr>
              <w:pStyle w:val="DMETW36773BIPACDISPLIT"/>
              <w:rPr>
                <w:rFonts w:ascii="Arial" w:eastAsia="Arial" w:hAnsi="Arial" w:cs="Arial"/>
                <w:noProof/>
                <w:color w:val="000000"/>
              </w:rPr>
            </w:pPr>
          </w:p>
        </w:tc>
        <w:tc>
          <w:tcPr>
            <w:tcW w:w="1741" w:type="dxa"/>
            <w:tcBorders>
              <w:top w:val="nil"/>
              <w:left w:val="nil"/>
              <w:bottom w:val="nil"/>
              <w:right w:val="nil"/>
              <w:tl2br w:val="nil"/>
              <w:tr2bl w:val="nil"/>
            </w:tcBorders>
            <w:tcMar>
              <w:left w:w="60" w:type="dxa"/>
              <w:right w:w="60" w:type="dxa"/>
            </w:tcMar>
            <w:vAlign w:val="bottom"/>
          </w:tcPr>
          <w:p>
            <w:pPr>
              <w:pStyle w:val="DMETW36773BIPACDISPLIT"/>
              <w:jc w:val="right"/>
              <w:rPr>
                <w:rFonts w:ascii="Verdana" w:eastAsia="Verdana" w:hAnsi="Verdana" w:cs="Verdana"/>
                <w:i/>
                <w:noProof/>
                <w:color w:val="000000"/>
                <w:sz w:val="16"/>
              </w:rPr>
            </w:pPr>
            <w:r>
              <w:rPr>
                <w:rFonts w:ascii="Verdana" w:hAnsi="Verdana"/>
                <w:i/>
                <w:noProof/>
                <w:color w:val="000000"/>
                <w:sz w:val="16"/>
              </w:rPr>
              <w:t>en Mio EUR</w:t>
            </w:r>
          </w:p>
        </w:tc>
      </w:tr>
      <w:tr>
        <w:trPr>
          <w:trHeight w:hRule="exact" w:val="255"/>
        </w:trPr>
        <w:tc>
          <w:tcPr>
            <w:tcW w:w="6276" w:type="dxa"/>
            <w:tcBorders>
              <w:top w:val="nil"/>
              <w:left w:val="nil"/>
              <w:bottom w:val="nil"/>
              <w:right w:val="nil"/>
              <w:tl2br w:val="nil"/>
              <w:tr2bl w:val="nil"/>
            </w:tcBorders>
            <w:shd w:val="solid" w:color="016794" w:fill="FFFFFF"/>
            <w:tcMar>
              <w:left w:w="60" w:type="dxa"/>
              <w:right w:w="60" w:type="dxa"/>
            </w:tcMar>
            <w:vAlign w:val="center"/>
          </w:tcPr>
          <w:p>
            <w:pPr>
              <w:pStyle w:val="DMETW36773BIPACDISPLIT"/>
              <w:jc w:val="right"/>
              <w:rPr>
                <w:rFonts w:ascii="Verdana" w:eastAsia="Verdana" w:hAnsi="Verdana" w:cs="Verdana"/>
                <w:noProof/>
                <w:color w:val="FFFFFF"/>
                <w:sz w:val="18"/>
              </w:rPr>
            </w:pPr>
          </w:p>
        </w:tc>
        <w:tc>
          <w:tcPr>
            <w:tcW w:w="1741" w:type="dxa"/>
            <w:tcBorders>
              <w:top w:val="nil"/>
              <w:left w:val="nil"/>
              <w:bottom w:val="nil"/>
              <w:right w:val="nil"/>
              <w:tl2br w:val="nil"/>
              <w:tr2bl w:val="nil"/>
            </w:tcBorders>
            <w:shd w:val="solid" w:color="016794" w:fill="FFFFFF"/>
            <w:tcMar>
              <w:left w:w="60" w:type="dxa"/>
              <w:right w:w="60" w:type="dxa"/>
            </w:tcMar>
            <w:vAlign w:val="center"/>
          </w:tcPr>
          <w:p>
            <w:pPr>
              <w:pStyle w:val="DMETW36773BIPACDISPLIT"/>
              <w:jc w:val="right"/>
              <w:rPr>
                <w:rFonts w:ascii="Verdana" w:eastAsia="Verdana" w:hAnsi="Verdana" w:cs="Verdana"/>
                <w:noProof/>
                <w:color w:val="FFFFFF"/>
              </w:rPr>
            </w:pPr>
            <w:r>
              <w:rPr>
                <w:rFonts w:ascii="Verdana" w:hAnsi="Verdana"/>
                <w:noProof/>
                <w:color w:val="FFFFFF"/>
              </w:rPr>
              <w:t>31.12.2025</w:t>
            </w:r>
          </w:p>
        </w:tc>
        <w:tc>
          <w:tcPr>
            <w:tcW w:w="1741" w:type="dxa"/>
            <w:tcBorders>
              <w:top w:val="nil"/>
              <w:left w:val="nil"/>
              <w:bottom w:val="nil"/>
              <w:right w:val="nil"/>
              <w:tl2br w:val="nil"/>
              <w:tr2bl w:val="nil"/>
            </w:tcBorders>
            <w:shd w:val="solid" w:color="016794" w:fill="FFFFFF"/>
            <w:tcMar>
              <w:left w:w="60" w:type="dxa"/>
              <w:right w:w="60" w:type="dxa"/>
            </w:tcMar>
            <w:vAlign w:val="center"/>
          </w:tcPr>
          <w:p>
            <w:pPr>
              <w:pStyle w:val="DMETW36773BIPACDISPLIT"/>
              <w:jc w:val="right"/>
              <w:rPr>
                <w:rFonts w:ascii="Verdana" w:eastAsia="Verdana" w:hAnsi="Verdana" w:cs="Verdana"/>
                <w:noProof/>
                <w:color w:val="FFFFFF"/>
              </w:rPr>
            </w:pPr>
            <w:r>
              <w:rPr>
                <w:rFonts w:ascii="Verdana" w:hAnsi="Verdana"/>
                <w:noProof/>
                <w:color w:val="FFFFFF"/>
              </w:rPr>
              <w:t>31.12.2024</w:t>
            </w:r>
          </w:p>
        </w:tc>
      </w:tr>
      <w:tr>
        <w:trPr>
          <w:trHeight w:hRule="exact" w:val="255"/>
        </w:trPr>
        <w:tc>
          <w:tcPr>
            <w:tcW w:w="6276" w:type="dxa"/>
            <w:tcBorders>
              <w:top w:val="nil"/>
              <w:left w:val="nil"/>
              <w:bottom w:val="nil"/>
              <w:right w:val="nil"/>
              <w:tl2br w:val="nil"/>
              <w:tr2bl w:val="nil"/>
            </w:tcBorders>
            <w:tcMar>
              <w:left w:w="60" w:type="dxa"/>
              <w:right w:w="60" w:type="dxa"/>
            </w:tcMar>
            <w:vAlign w:val="center"/>
          </w:tcPr>
          <w:p>
            <w:pPr>
              <w:pStyle w:val="DMETW36773BIPACDISPLIT"/>
              <w:rPr>
                <w:rFonts w:ascii="Verdana" w:eastAsia="Verdana" w:hAnsi="Verdana" w:cs="Verdana"/>
                <w:i/>
                <w:noProof/>
                <w:color w:val="000000"/>
                <w:sz w:val="18"/>
              </w:rPr>
            </w:pPr>
            <w:r>
              <w:rPr>
                <w:rFonts w:ascii="Verdana" w:hAnsi="Verdana"/>
                <w:i/>
                <w:noProof/>
                <w:color w:val="000000"/>
                <w:sz w:val="18"/>
              </w:rPr>
              <w:t>FRR (NGEU)</w:t>
            </w:r>
          </w:p>
        </w:tc>
        <w:tc>
          <w:tcPr>
            <w:tcW w:w="1741" w:type="dxa"/>
            <w:tcBorders>
              <w:top w:val="nil"/>
              <w:left w:val="nil"/>
              <w:bottom w:val="nil"/>
              <w:right w:val="nil"/>
              <w:tl2br w:val="nil"/>
              <w:tr2bl w:val="nil"/>
            </w:tcBorders>
            <w:tcMar>
              <w:left w:w="60" w:type="dxa"/>
              <w:right w:w="60" w:type="dxa"/>
            </w:tcMar>
            <w:vAlign w:val="bottom"/>
          </w:tcPr>
          <w:p>
            <w:pPr>
              <w:pStyle w:val="DMETW36773BIPACDISPLIT"/>
              <w:jc w:val="right"/>
              <w:rPr>
                <w:rFonts w:ascii="Verdana" w:eastAsia="Verdana" w:hAnsi="Verdana" w:cs="Verdana"/>
                <w:i/>
                <w:noProof/>
                <w:color w:val="000000"/>
                <w:sz w:val="18"/>
              </w:rPr>
            </w:pPr>
            <w:r>
              <w:rPr>
                <w:rFonts w:ascii="Verdana" w:hAnsi="Verdana"/>
                <w:i/>
                <w:noProof/>
                <w:color w:val="000000"/>
                <w:sz w:val="18"/>
              </w:rPr>
              <w:t>12 688</w:t>
            </w:r>
          </w:p>
        </w:tc>
        <w:tc>
          <w:tcPr>
            <w:tcW w:w="1741" w:type="dxa"/>
            <w:tcBorders>
              <w:top w:val="nil"/>
              <w:left w:val="nil"/>
              <w:bottom w:val="nil"/>
              <w:right w:val="nil"/>
              <w:tl2br w:val="nil"/>
              <w:tr2bl w:val="nil"/>
            </w:tcBorders>
            <w:tcMar>
              <w:left w:w="60" w:type="dxa"/>
              <w:right w:w="60" w:type="dxa"/>
            </w:tcMar>
            <w:vAlign w:val="bottom"/>
          </w:tcPr>
          <w:p>
            <w:pPr>
              <w:pStyle w:val="DMETW36773BIPACDISPLIT"/>
              <w:jc w:val="right"/>
              <w:rPr>
                <w:rFonts w:ascii="Verdana" w:eastAsia="Verdana" w:hAnsi="Verdana" w:cs="Verdana"/>
                <w:i/>
                <w:noProof/>
                <w:color w:val="000000"/>
                <w:sz w:val="18"/>
              </w:rPr>
            </w:pPr>
            <w:r>
              <w:rPr>
                <w:rFonts w:ascii="Verdana" w:hAnsi="Verdana"/>
                <w:i/>
                <w:noProof/>
                <w:color w:val="000000"/>
                <w:sz w:val="18"/>
              </w:rPr>
              <w:t>4 371</w:t>
            </w:r>
          </w:p>
        </w:tc>
      </w:tr>
      <w:tr>
        <w:trPr>
          <w:trHeight w:hRule="exact" w:val="255"/>
        </w:trPr>
        <w:tc>
          <w:tcPr>
            <w:tcW w:w="6276" w:type="dxa"/>
            <w:tcBorders>
              <w:top w:val="nil"/>
              <w:left w:val="nil"/>
              <w:bottom w:val="nil"/>
              <w:right w:val="nil"/>
              <w:tl2br w:val="nil"/>
              <w:tr2bl w:val="nil"/>
            </w:tcBorders>
            <w:tcMar>
              <w:left w:w="60" w:type="dxa"/>
              <w:right w:w="60" w:type="dxa"/>
            </w:tcMar>
            <w:vAlign w:val="center"/>
          </w:tcPr>
          <w:p>
            <w:pPr>
              <w:pStyle w:val="DMETW36773BIPACDISPLIT"/>
              <w:rPr>
                <w:rFonts w:ascii="Verdana" w:eastAsia="Verdana" w:hAnsi="Verdana" w:cs="Verdana"/>
                <w:i/>
                <w:noProof/>
                <w:color w:val="000000"/>
                <w:sz w:val="18"/>
              </w:rPr>
            </w:pPr>
            <w:r>
              <w:rPr>
                <w:rFonts w:ascii="Verdana" w:hAnsi="Verdana"/>
                <w:i/>
                <w:noProof/>
                <w:color w:val="000000"/>
                <w:sz w:val="18"/>
              </w:rPr>
              <w:t>FEAGA</w:t>
            </w:r>
          </w:p>
        </w:tc>
        <w:tc>
          <w:tcPr>
            <w:tcW w:w="1741" w:type="dxa"/>
            <w:tcBorders>
              <w:top w:val="nil"/>
              <w:left w:val="nil"/>
              <w:bottom w:val="nil"/>
              <w:right w:val="nil"/>
              <w:tl2br w:val="nil"/>
              <w:tr2bl w:val="nil"/>
            </w:tcBorders>
            <w:tcMar>
              <w:left w:w="60" w:type="dxa"/>
              <w:right w:w="60" w:type="dxa"/>
            </w:tcMar>
            <w:vAlign w:val="bottom"/>
          </w:tcPr>
          <w:p>
            <w:pPr>
              <w:pStyle w:val="DMETW36773BIPACDISPLIT"/>
              <w:jc w:val="right"/>
              <w:rPr>
                <w:rFonts w:ascii="Verdana" w:eastAsia="Verdana" w:hAnsi="Verdana" w:cs="Verdana"/>
                <w:i/>
                <w:noProof/>
                <w:color w:val="000000"/>
                <w:sz w:val="18"/>
              </w:rPr>
            </w:pPr>
            <w:r>
              <w:rPr>
                <w:rFonts w:ascii="Verdana" w:hAnsi="Verdana"/>
                <w:i/>
                <w:noProof/>
                <w:color w:val="000000"/>
                <w:sz w:val="18"/>
              </w:rPr>
              <w:t>25 337</w:t>
            </w:r>
          </w:p>
        </w:tc>
        <w:tc>
          <w:tcPr>
            <w:tcW w:w="1741" w:type="dxa"/>
            <w:tcBorders>
              <w:top w:val="nil"/>
              <w:left w:val="nil"/>
              <w:bottom w:val="nil"/>
              <w:right w:val="nil"/>
              <w:tl2br w:val="nil"/>
              <w:tr2bl w:val="nil"/>
            </w:tcBorders>
            <w:tcMar>
              <w:left w:w="60" w:type="dxa"/>
              <w:right w:w="60" w:type="dxa"/>
            </w:tcMar>
            <w:vAlign w:val="bottom"/>
          </w:tcPr>
          <w:p>
            <w:pPr>
              <w:pStyle w:val="DMETW36773BIPACDISPLIT"/>
              <w:jc w:val="right"/>
              <w:rPr>
                <w:rFonts w:ascii="Verdana" w:eastAsia="Verdana" w:hAnsi="Verdana" w:cs="Verdana"/>
                <w:i/>
                <w:noProof/>
                <w:color w:val="000000"/>
                <w:sz w:val="18"/>
              </w:rPr>
            </w:pPr>
            <w:r>
              <w:rPr>
                <w:rFonts w:ascii="Verdana" w:hAnsi="Verdana"/>
                <w:i/>
                <w:noProof/>
                <w:color w:val="000000"/>
                <w:sz w:val="18"/>
              </w:rPr>
              <w:t>25 586</w:t>
            </w:r>
          </w:p>
        </w:tc>
      </w:tr>
      <w:tr>
        <w:trPr>
          <w:trHeight w:hRule="exact" w:val="255"/>
        </w:trPr>
        <w:tc>
          <w:tcPr>
            <w:tcW w:w="6276" w:type="dxa"/>
            <w:tcBorders>
              <w:top w:val="nil"/>
              <w:left w:val="nil"/>
              <w:bottom w:val="nil"/>
              <w:right w:val="nil"/>
              <w:tl2br w:val="nil"/>
              <w:tr2bl w:val="nil"/>
            </w:tcBorders>
            <w:tcMar>
              <w:left w:w="60" w:type="dxa"/>
              <w:right w:w="60" w:type="dxa"/>
            </w:tcMar>
            <w:vAlign w:val="center"/>
          </w:tcPr>
          <w:p>
            <w:pPr>
              <w:pStyle w:val="DMETW36773BIPACDISPLIT"/>
              <w:rPr>
                <w:rFonts w:ascii="Verdana" w:eastAsia="Verdana" w:hAnsi="Verdana" w:cs="Verdana"/>
                <w:i/>
                <w:noProof/>
                <w:color w:val="000000"/>
                <w:sz w:val="18"/>
              </w:rPr>
            </w:pPr>
            <w:r>
              <w:rPr>
                <w:rFonts w:ascii="Verdana" w:hAnsi="Verdana"/>
                <w:i/>
                <w:noProof/>
                <w:color w:val="000000"/>
                <w:sz w:val="18"/>
              </w:rPr>
              <w:t>Feader et autres instruments de développement rural</w:t>
            </w:r>
          </w:p>
        </w:tc>
        <w:tc>
          <w:tcPr>
            <w:tcW w:w="1741" w:type="dxa"/>
            <w:tcBorders>
              <w:top w:val="nil"/>
              <w:left w:val="nil"/>
              <w:bottom w:val="nil"/>
              <w:right w:val="nil"/>
              <w:tl2br w:val="nil"/>
              <w:tr2bl w:val="nil"/>
            </w:tcBorders>
            <w:tcMar>
              <w:left w:w="60" w:type="dxa"/>
              <w:right w:w="60" w:type="dxa"/>
            </w:tcMar>
            <w:vAlign w:val="bottom"/>
          </w:tcPr>
          <w:p>
            <w:pPr>
              <w:pStyle w:val="DMETW36773BIPACDISPLIT"/>
              <w:jc w:val="right"/>
              <w:rPr>
                <w:rFonts w:ascii="Verdana" w:eastAsia="Verdana" w:hAnsi="Verdana" w:cs="Verdana"/>
                <w:i/>
                <w:noProof/>
                <w:color w:val="000000"/>
                <w:sz w:val="18"/>
              </w:rPr>
            </w:pPr>
            <w:r>
              <w:rPr>
                <w:rFonts w:ascii="Verdana" w:hAnsi="Verdana"/>
                <w:i/>
                <w:noProof/>
                <w:color w:val="000000"/>
                <w:sz w:val="18"/>
              </w:rPr>
              <w:t>15 786</w:t>
            </w:r>
          </w:p>
        </w:tc>
        <w:tc>
          <w:tcPr>
            <w:tcW w:w="1741" w:type="dxa"/>
            <w:tcBorders>
              <w:top w:val="nil"/>
              <w:left w:val="nil"/>
              <w:bottom w:val="nil"/>
              <w:right w:val="nil"/>
              <w:tl2br w:val="nil"/>
              <w:tr2bl w:val="nil"/>
            </w:tcBorders>
            <w:tcMar>
              <w:left w:w="60" w:type="dxa"/>
              <w:right w:w="60" w:type="dxa"/>
            </w:tcMar>
            <w:vAlign w:val="bottom"/>
          </w:tcPr>
          <w:p>
            <w:pPr>
              <w:pStyle w:val="DMETW36773BIPACDISPLIT"/>
              <w:jc w:val="right"/>
              <w:rPr>
                <w:rFonts w:ascii="Verdana" w:eastAsia="Verdana" w:hAnsi="Verdana" w:cs="Verdana"/>
                <w:i/>
                <w:noProof/>
                <w:color w:val="000000"/>
                <w:sz w:val="18"/>
              </w:rPr>
            </w:pPr>
            <w:r>
              <w:rPr>
                <w:rFonts w:ascii="Verdana" w:hAnsi="Verdana"/>
                <w:i/>
                <w:noProof/>
                <w:color w:val="000000"/>
                <w:sz w:val="18"/>
              </w:rPr>
              <w:t>17 374</w:t>
            </w:r>
          </w:p>
        </w:tc>
      </w:tr>
      <w:tr>
        <w:trPr>
          <w:trHeight w:hRule="exact" w:val="255"/>
        </w:trPr>
        <w:tc>
          <w:tcPr>
            <w:tcW w:w="6276" w:type="dxa"/>
            <w:tcBorders>
              <w:top w:val="nil"/>
              <w:left w:val="nil"/>
              <w:bottom w:val="nil"/>
              <w:right w:val="nil"/>
              <w:tl2br w:val="nil"/>
              <w:tr2bl w:val="nil"/>
            </w:tcBorders>
            <w:tcMar>
              <w:left w:w="60" w:type="dxa"/>
              <w:right w:w="60" w:type="dxa"/>
            </w:tcMar>
            <w:vAlign w:val="center"/>
          </w:tcPr>
          <w:p>
            <w:pPr>
              <w:pStyle w:val="DMETW36773BIPACDISPLIT"/>
              <w:rPr>
                <w:rFonts w:ascii="Verdana" w:eastAsia="Verdana" w:hAnsi="Verdana" w:cs="Verdana"/>
                <w:i/>
                <w:noProof/>
                <w:color w:val="000000"/>
                <w:sz w:val="18"/>
              </w:rPr>
            </w:pPr>
            <w:r>
              <w:rPr>
                <w:rFonts w:ascii="Verdana" w:hAnsi="Verdana"/>
                <w:i/>
                <w:noProof/>
                <w:color w:val="000000"/>
                <w:sz w:val="18"/>
              </w:rPr>
              <w:t>FEDER et FC</w:t>
            </w:r>
          </w:p>
        </w:tc>
        <w:tc>
          <w:tcPr>
            <w:tcW w:w="1741" w:type="dxa"/>
            <w:tcBorders>
              <w:top w:val="nil"/>
              <w:left w:val="nil"/>
              <w:bottom w:val="nil"/>
              <w:right w:val="nil"/>
              <w:tl2br w:val="nil"/>
              <w:tr2bl w:val="nil"/>
            </w:tcBorders>
            <w:tcMar>
              <w:left w:w="60" w:type="dxa"/>
              <w:right w:w="60" w:type="dxa"/>
            </w:tcMar>
            <w:vAlign w:val="bottom"/>
          </w:tcPr>
          <w:p>
            <w:pPr>
              <w:pStyle w:val="DMETW36773BIPACDISPLIT"/>
              <w:jc w:val="right"/>
              <w:rPr>
                <w:rFonts w:ascii="Verdana" w:eastAsia="Verdana" w:hAnsi="Verdana" w:cs="Verdana"/>
                <w:i/>
                <w:noProof/>
                <w:color w:val="000000"/>
                <w:sz w:val="18"/>
              </w:rPr>
            </w:pPr>
            <w:r>
              <w:rPr>
                <w:rFonts w:ascii="Verdana" w:hAnsi="Verdana"/>
                <w:i/>
                <w:noProof/>
                <w:color w:val="000000"/>
                <w:sz w:val="18"/>
              </w:rPr>
              <w:t>3 670</w:t>
            </w:r>
          </w:p>
        </w:tc>
        <w:tc>
          <w:tcPr>
            <w:tcW w:w="1741" w:type="dxa"/>
            <w:tcBorders>
              <w:top w:val="nil"/>
              <w:left w:val="nil"/>
              <w:bottom w:val="nil"/>
              <w:right w:val="nil"/>
              <w:tl2br w:val="nil"/>
              <w:tr2bl w:val="nil"/>
            </w:tcBorders>
            <w:tcMar>
              <w:left w:w="60" w:type="dxa"/>
              <w:right w:w="60" w:type="dxa"/>
            </w:tcMar>
            <w:vAlign w:val="bottom"/>
          </w:tcPr>
          <w:p>
            <w:pPr>
              <w:pStyle w:val="DMETW36773BIPACDISPLIT"/>
              <w:jc w:val="right"/>
              <w:rPr>
                <w:rFonts w:ascii="Verdana" w:eastAsia="Verdana" w:hAnsi="Verdana" w:cs="Verdana"/>
                <w:i/>
                <w:noProof/>
                <w:color w:val="000000"/>
                <w:sz w:val="18"/>
              </w:rPr>
            </w:pPr>
            <w:r>
              <w:rPr>
                <w:rFonts w:ascii="Verdana" w:hAnsi="Verdana"/>
                <w:i/>
                <w:noProof/>
                <w:color w:val="000000"/>
                <w:sz w:val="18"/>
              </w:rPr>
              <w:t>3 101</w:t>
            </w:r>
          </w:p>
        </w:tc>
      </w:tr>
      <w:tr>
        <w:trPr>
          <w:trHeight w:hRule="exact" w:val="255"/>
        </w:trPr>
        <w:tc>
          <w:tcPr>
            <w:tcW w:w="6276" w:type="dxa"/>
            <w:tcBorders>
              <w:top w:val="nil"/>
              <w:left w:val="nil"/>
              <w:bottom w:val="nil"/>
              <w:right w:val="nil"/>
              <w:tl2br w:val="nil"/>
              <w:tr2bl w:val="nil"/>
            </w:tcBorders>
            <w:tcMar>
              <w:left w:w="60" w:type="dxa"/>
              <w:right w:w="60" w:type="dxa"/>
            </w:tcMar>
            <w:vAlign w:val="center"/>
          </w:tcPr>
          <w:p>
            <w:pPr>
              <w:pStyle w:val="DMETW36773BIPACDISPLIT"/>
              <w:rPr>
                <w:rFonts w:ascii="Verdana" w:eastAsia="Verdana" w:hAnsi="Verdana" w:cs="Verdana"/>
                <w:i/>
                <w:noProof/>
                <w:color w:val="000000"/>
                <w:sz w:val="18"/>
              </w:rPr>
            </w:pPr>
            <w:r>
              <w:rPr>
                <w:rFonts w:ascii="Verdana" w:hAnsi="Verdana"/>
                <w:i/>
                <w:noProof/>
                <w:color w:val="000000"/>
                <w:sz w:val="18"/>
              </w:rPr>
              <w:t>FSE</w:t>
            </w:r>
          </w:p>
        </w:tc>
        <w:tc>
          <w:tcPr>
            <w:tcW w:w="1741" w:type="dxa"/>
            <w:tcBorders>
              <w:top w:val="nil"/>
              <w:left w:val="nil"/>
              <w:bottom w:val="nil"/>
              <w:right w:val="nil"/>
              <w:tl2br w:val="nil"/>
              <w:tr2bl w:val="nil"/>
            </w:tcBorders>
            <w:tcMar>
              <w:left w:w="60" w:type="dxa"/>
              <w:right w:w="60" w:type="dxa"/>
            </w:tcMar>
            <w:vAlign w:val="bottom"/>
          </w:tcPr>
          <w:p>
            <w:pPr>
              <w:pStyle w:val="DMETW36773BIPACDISPLIT"/>
              <w:jc w:val="right"/>
              <w:rPr>
                <w:rFonts w:ascii="Verdana" w:eastAsia="Verdana" w:hAnsi="Verdana" w:cs="Verdana"/>
                <w:i/>
                <w:noProof/>
                <w:color w:val="000000"/>
                <w:sz w:val="18"/>
              </w:rPr>
            </w:pPr>
            <w:r>
              <w:rPr>
                <w:rFonts w:ascii="Verdana" w:hAnsi="Verdana"/>
                <w:i/>
                <w:noProof/>
                <w:color w:val="000000"/>
                <w:sz w:val="18"/>
              </w:rPr>
              <w:t>2 929</w:t>
            </w:r>
          </w:p>
        </w:tc>
        <w:tc>
          <w:tcPr>
            <w:tcW w:w="1741" w:type="dxa"/>
            <w:tcBorders>
              <w:top w:val="nil"/>
              <w:left w:val="nil"/>
              <w:bottom w:val="nil"/>
              <w:right w:val="nil"/>
              <w:tl2br w:val="nil"/>
              <w:tr2bl w:val="nil"/>
            </w:tcBorders>
            <w:tcMar>
              <w:left w:w="60" w:type="dxa"/>
              <w:right w:w="60" w:type="dxa"/>
            </w:tcMar>
            <w:vAlign w:val="bottom"/>
          </w:tcPr>
          <w:p>
            <w:pPr>
              <w:pStyle w:val="DMETW36773BIPACDISPLIT"/>
              <w:jc w:val="right"/>
              <w:rPr>
                <w:rFonts w:ascii="Verdana" w:eastAsia="Verdana" w:hAnsi="Verdana" w:cs="Verdana"/>
                <w:i/>
                <w:noProof/>
                <w:color w:val="000000"/>
                <w:sz w:val="18"/>
              </w:rPr>
            </w:pPr>
            <w:r>
              <w:rPr>
                <w:rFonts w:ascii="Verdana" w:hAnsi="Verdana"/>
                <w:i/>
                <w:noProof/>
                <w:color w:val="000000"/>
                <w:sz w:val="18"/>
              </w:rPr>
              <w:t>2 318</w:t>
            </w:r>
          </w:p>
        </w:tc>
      </w:tr>
      <w:tr>
        <w:trPr>
          <w:trHeight w:hRule="exact" w:val="255"/>
        </w:trPr>
        <w:tc>
          <w:tcPr>
            <w:tcW w:w="6276" w:type="dxa"/>
            <w:tcBorders>
              <w:top w:val="nil"/>
              <w:left w:val="nil"/>
              <w:bottom w:val="single" w:sz="4" w:space="0" w:color="016794"/>
              <w:right w:val="nil"/>
              <w:tl2br w:val="nil"/>
              <w:tr2bl w:val="nil"/>
            </w:tcBorders>
            <w:tcMar>
              <w:left w:w="60" w:type="dxa"/>
              <w:right w:w="60" w:type="dxa"/>
            </w:tcMar>
            <w:vAlign w:val="center"/>
          </w:tcPr>
          <w:p>
            <w:pPr>
              <w:pStyle w:val="DMETW36773BIPACDISPLIT"/>
              <w:rPr>
                <w:rFonts w:ascii="Verdana" w:eastAsia="Verdana" w:hAnsi="Verdana" w:cs="Verdana"/>
                <w:i/>
                <w:noProof/>
                <w:color w:val="000000"/>
                <w:sz w:val="18"/>
              </w:rPr>
            </w:pPr>
            <w:r>
              <w:rPr>
                <w:rFonts w:ascii="Verdana" w:hAnsi="Verdana"/>
                <w:i/>
                <w:noProof/>
                <w:color w:val="000000"/>
                <w:sz w:val="18"/>
              </w:rPr>
              <w:t>Autres</w:t>
            </w:r>
          </w:p>
        </w:tc>
        <w:tc>
          <w:tcPr>
            <w:tcW w:w="1741" w:type="dxa"/>
            <w:tcBorders>
              <w:top w:val="nil"/>
              <w:left w:val="nil"/>
              <w:bottom w:val="single" w:sz="4" w:space="0" w:color="016794"/>
              <w:right w:val="nil"/>
              <w:tl2br w:val="nil"/>
              <w:tr2bl w:val="nil"/>
            </w:tcBorders>
            <w:tcMar>
              <w:left w:w="60" w:type="dxa"/>
              <w:right w:w="60" w:type="dxa"/>
            </w:tcMar>
            <w:vAlign w:val="bottom"/>
          </w:tcPr>
          <w:p>
            <w:pPr>
              <w:pStyle w:val="DMETW36773BIPACDISPLIT"/>
              <w:jc w:val="right"/>
              <w:rPr>
                <w:rFonts w:ascii="Verdana" w:eastAsia="Verdana" w:hAnsi="Verdana" w:cs="Verdana"/>
                <w:i/>
                <w:noProof/>
                <w:color w:val="000000"/>
                <w:sz w:val="18"/>
              </w:rPr>
            </w:pPr>
            <w:r>
              <w:rPr>
                <w:rFonts w:ascii="Verdana" w:hAnsi="Verdana"/>
                <w:i/>
                <w:noProof/>
                <w:color w:val="000000"/>
                <w:sz w:val="18"/>
              </w:rPr>
              <w:t>16 376</w:t>
            </w:r>
          </w:p>
        </w:tc>
        <w:tc>
          <w:tcPr>
            <w:tcW w:w="1741" w:type="dxa"/>
            <w:tcBorders>
              <w:top w:val="nil"/>
              <w:left w:val="nil"/>
              <w:bottom w:val="single" w:sz="4" w:space="0" w:color="016794"/>
              <w:right w:val="nil"/>
              <w:tl2br w:val="nil"/>
              <w:tr2bl w:val="nil"/>
            </w:tcBorders>
            <w:tcMar>
              <w:left w:w="60" w:type="dxa"/>
              <w:right w:w="60" w:type="dxa"/>
            </w:tcMar>
            <w:vAlign w:val="bottom"/>
          </w:tcPr>
          <w:p>
            <w:pPr>
              <w:pStyle w:val="DMETW36773BIPACDISPLIT"/>
              <w:jc w:val="right"/>
              <w:rPr>
                <w:rFonts w:ascii="Verdana" w:eastAsia="Verdana" w:hAnsi="Verdana" w:cs="Verdana"/>
                <w:i/>
                <w:noProof/>
                <w:color w:val="000000"/>
                <w:sz w:val="18"/>
              </w:rPr>
            </w:pPr>
            <w:r>
              <w:rPr>
                <w:rFonts w:ascii="Verdana" w:hAnsi="Verdana"/>
                <w:i/>
                <w:noProof/>
                <w:color w:val="000000"/>
                <w:sz w:val="18"/>
              </w:rPr>
              <w:t>14 042</w:t>
            </w:r>
          </w:p>
        </w:tc>
      </w:tr>
      <w:tr>
        <w:trPr>
          <w:trHeight w:hRule="exact" w:val="255"/>
        </w:trPr>
        <w:tc>
          <w:tcPr>
            <w:tcW w:w="627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73BIPACDISPLIT"/>
              <w:rPr>
                <w:rFonts w:ascii="Verdana" w:eastAsia="Verdana" w:hAnsi="Verdana" w:cs="Verdana"/>
                <w:b/>
                <w:noProof/>
                <w:color w:val="000000"/>
                <w:sz w:val="18"/>
              </w:rPr>
            </w:pPr>
            <w:r>
              <w:rPr>
                <w:rFonts w:ascii="Verdana" w:hAnsi="Verdana"/>
                <w:b/>
                <w:noProof/>
                <w:color w:val="000000"/>
                <w:sz w:val="18"/>
              </w:rPr>
              <w:t>Total</w:t>
            </w:r>
          </w:p>
        </w:tc>
        <w:tc>
          <w:tcPr>
            <w:tcW w:w="1741"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73BIPACDISPLIT"/>
              <w:jc w:val="right"/>
              <w:rPr>
                <w:rFonts w:ascii="Verdana" w:eastAsia="Verdana" w:hAnsi="Verdana" w:cs="Verdana"/>
                <w:b/>
                <w:noProof/>
                <w:color w:val="000000"/>
                <w:sz w:val="18"/>
              </w:rPr>
            </w:pPr>
            <w:r>
              <w:rPr>
                <w:rFonts w:ascii="Verdana" w:hAnsi="Verdana"/>
                <w:b/>
                <w:noProof/>
                <w:color w:val="000000"/>
                <w:sz w:val="18"/>
              </w:rPr>
              <w:t>76 785</w:t>
            </w:r>
          </w:p>
        </w:tc>
        <w:tc>
          <w:tcPr>
            <w:tcW w:w="1741"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73BIPACDISPLIT"/>
              <w:jc w:val="right"/>
              <w:rPr>
                <w:rFonts w:ascii="Verdana" w:eastAsia="Verdana" w:hAnsi="Verdana" w:cs="Verdana"/>
                <w:b/>
                <w:noProof/>
                <w:color w:val="000000"/>
                <w:sz w:val="18"/>
              </w:rPr>
            </w:pPr>
            <w:r>
              <w:rPr>
                <w:rFonts w:ascii="Verdana" w:hAnsi="Verdana"/>
                <w:b/>
                <w:noProof/>
                <w:color w:val="000000"/>
                <w:sz w:val="18"/>
              </w:rPr>
              <w:t>66 792</w:t>
            </w:r>
          </w:p>
        </w:tc>
      </w:tr>
    </w:tbl>
    <w:p>
      <w:pPr>
        <w:pStyle w:val="DGTextstand-alone"/>
        <w:spacing w:after="0"/>
        <w:rPr>
          <w:strike/>
        </w:rPr>
      </w:pPr>
      <w:r>
        <w:t>Les charges à payer correspondent aux dépenses comptabilisées pour lesquelles l’Union doit encore recevoir des déclarations de dépenses.  Le plus grand mouvement concerne la FRR, pour laquelle l’augmentation reflète le rythme de mise en œuvre de l'instrument, étant donné que l’estimation est fondée sur les prévisions de paiements à court terme. En ce qui concerne le Feader, les États membres ont déclaré des dépenses plus élevées au titre des programmes de la période couverte par le CFP précédent, étant donné qu'il s’agissait de la dernière année de mise en œuvre, ce qui a entraîné une diminution des charges à payer.</w:t>
      </w:r>
    </w:p>
    <w:p>
      <w:pPr>
        <w:pStyle w:val="DGTextstand-alone"/>
        <w:spacing w:after="0"/>
        <w:sectPr>
          <w:headerReference w:type="default" r:id="rId107"/>
          <w:footerReference w:type="default" r:id="rId108"/>
          <w:type w:val="continuous"/>
          <w:pgSz w:w="11906" w:h="16838"/>
          <w:pgMar w:top="1134" w:right="1134" w:bottom="1134" w:left="1134" w:header="709" w:footer="709" w:gutter="0"/>
          <w:cols w:space="708"/>
          <w:docGrid w:linePitch="360"/>
        </w:sectPr>
      </w:pPr>
      <w:r>
        <w:t xml:space="preserve"> </w:t>
      </w:r>
      <w:bookmarkEnd w:id="169"/>
    </w:p>
    <w:p>
      <w:pPr>
        <w:pStyle w:val="HEADERTABLE"/>
        <w:rPr>
          <w:noProof/>
        </w:rPr>
      </w:pPr>
      <w:bookmarkStart w:id="172" w:name="_DMBM_36696"/>
      <w:r>
        <w:rPr>
          <w:noProof/>
        </w:rPr>
        <w:lastRenderedPageBreak/>
        <w:t>ACTIF NET</w:t>
      </w:r>
    </w:p>
    <w:p>
      <w:pPr>
        <w:pStyle w:val="HEADER2NOTES"/>
        <w:numPr>
          <w:ilvl w:val="1"/>
          <w:numId w:val="15"/>
        </w:numPr>
        <w:rPr>
          <w:noProof/>
        </w:rPr>
      </w:pPr>
      <w:r>
        <w:rPr>
          <w:noProof/>
        </w:rPr>
        <w:t>RÉSERVES</w:t>
      </w:r>
    </w:p>
    <w:p>
      <w:pPr>
        <w:pStyle w:val="DGTextstand-alone"/>
        <w:spacing w:after="0"/>
      </w:pPr>
      <w:bookmarkStart w:id="173" w:name="DOC_TBL00003_1_1_0"/>
      <w:bookmarkEnd w:id="173"/>
      <w:r>
        <w:t>Le montant des réserves de l’UE s’élève à 941 millions d’EUR (contre 986 millions d’EUR en 2024). Ce montant concerne principalement les réserves de la CECA en liquidation, d’un montant total de 533 millions d’EUR (contre 593 millions d’EUR en 2024) en ce qui concerne les avoirs du Fonds de recherche du charbon et de l’acier, leur création étant intervenue dans le cadre de la CECA en liquidation. Il concerne également le fonds de réserve de l’Office de l’Union européenne pour la propriété intellectuelle, destiné à assurer la continuité de ses activités, d’un montant de 292 millions d’EUR (contre 293 millions d’EUR en 2024)</w:t>
      </w:r>
    </w:p>
    <w:p>
      <w:pPr>
        <w:pStyle w:val="HEADER2NOTES"/>
        <w:numPr>
          <w:ilvl w:val="1"/>
          <w:numId w:val="15"/>
        </w:numPr>
        <w:rPr>
          <w:noProof/>
        </w:rPr>
      </w:pPr>
      <w:r>
        <w:rPr>
          <w:noProof/>
        </w:rPr>
        <w:t>MONTANTS À APPELER AUPRÈS DES ÉTATS MEMBRES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16"/>
        <w:gridCol w:w="3342"/>
      </w:tblGrid>
      <w:tr>
        <w:trPr>
          <w:trHeight w:hRule="exact" w:val="255"/>
        </w:trPr>
        <w:tc>
          <w:tcPr>
            <w:tcW w:w="6416" w:type="dxa"/>
            <w:tcBorders>
              <w:top w:val="nil"/>
              <w:left w:val="nil"/>
              <w:bottom w:val="nil"/>
              <w:right w:val="nil"/>
              <w:tl2br w:val="nil"/>
              <w:tr2bl w:val="nil"/>
            </w:tcBorders>
            <w:shd w:val="solid" w:color="FFFFFF" w:fill="FFFFFF"/>
            <w:tcMar>
              <w:left w:w="60" w:type="dxa"/>
              <w:right w:w="60" w:type="dxa"/>
            </w:tcMar>
            <w:vAlign w:val="bottom"/>
          </w:tcPr>
          <w:p>
            <w:pPr>
              <w:pStyle w:val="DMETW36774BIPMEMST1"/>
              <w:jc w:val="right"/>
              <w:rPr>
                <w:rFonts w:ascii="Verdana" w:eastAsia="Verdana" w:hAnsi="Verdana" w:cs="Verdana"/>
                <w:i/>
                <w:noProof/>
                <w:color w:val="000000"/>
                <w:sz w:val="16"/>
              </w:rPr>
            </w:pPr>
            <w:bookmarkStart w:id="174" w:name="DOC_TBL00065_1_1"/>
            <w:bookmarkEnd w:id="174"/>
          </w:p>
        </w:tc>
        <w:tc>
          <w:tcPr>
            <w:tcW w:w="3342" w:type="dxa"/>
            <w:tcBorders>
              <w:top w:val="nil"/>
              <w:left w:val="nil"/>
              <w:bottom w:val="nil"/>
              <w:right w:val="nil"/>
              <w:tl2br w:val="nil"/>
              <w:tr2bl w:val="nil"/>
            </w:tcBorders>
            <w:shd w:val="solid" w:color="FFFFFF" w:fill="FFFFFF"/>
            <w:tcMar>
              <w:left w:w="60" w:type="dxa"/>
              <w:right w:w="60" w:type="dxa"/>
            </w:tcMar>
            <w:vAlign w:val="bottom"/>
          </w:tcPr>
          <w:p>
            <w:pPr>
              <w:pStyle w:val="DMETW36774BIPMEMST1"/>
              <w:jc w:val="right"/>
              <w:rPr>
                <w:rFonts w:ascii="Verdana" w:eastAsia="Verdana" w:hAnsi="Verdana" w:cs="Verdana"/>
                <w:i/>
                <w:noProof/>
                <w:color w:val="000000"/>
                <w:sz w:val="16"/>
              </w:rPr>
            </w:pPr>
            <w:r>
              <w:rPr>
                <w:rFonts w:ascii="Verdana" w:hAnsi="Verdana"/>
                <w:i/>
                <w:noProof/>
                <w:color w:val="000000"/>
                <w:sz w:val="16"/>
              </w:rPr>
              <w:t>en Mio EUR</w:t>
            </w:r>
          </w:p>
        </w:tc>
      </w:tr>
      <w:tr>
        <w:trPr>
          <w:trHeight w:hRule="exact" w:val="255"/>
        </w:trPr>
        <w:tc>
          <w:tcPr>
            <w:tcW w:w="6416" w:type="dxa"/>
            <w:tcBorders>
              <w:top w:val="nil"/>
              <w:left w:val="nil"/>
              <w:bottom w:val="nil"/>
              <w:right w:val="nil"/>
              <w:tl2br w:val="nil"/>
              <w:tr2bl w:val="nil"/>
            </w:tcBorders>
            <w:shd w:val="solid" w:color="016794" w:fill="FFFFFF"/>
            <w:tcMar>
              <w:left w:w="60" w:type="dxa"/>
              <w:right w:w="60" w:type="dxa"/>
            </w:tcMar>
            <w:vAlign w:val="center"/>
          </w:tcPr>
          <w:p>
            <w:pPr>
              <w:pStyle w:val="DMETW36774BIPMEMST1"/>
              <w:jc w:val="right"/>
              <w:rPr>
                <w:rFonts w:ascii="Verdana" w:eastAsia="Verdana" w:hAnsi="Verdana" w:cs="Verdana"/>
                <w:noProof/>
                <w:color w:val="FFFFFF"/>
              </w:rPr>
            </w:pPr>
          </w:p>
        </w:tc>
        <w:tc>
          <w:tcPr>
            <w:tcW w:w="3342" w:type="dxa"/>
            <w:tcBorders>
              <w:top w:val="nil"/>
              <w:left w:val="nil"/>
              <w:bottom w:val="nil"/>
              <w:right w:val="nil"/>
              <w:tl2br w:val="nil"/>
              <w:tr2bl w:val="nil"/>
            </w:tcBorders>
            <w:shd w:val="solid" w:color="016794" w:fill="FFFFFF"/>
            <w:tcMar>
              <w:left w:w="60" w:type="dxa"/>
              <w:right w:w="60" w:type="dxa"/>
            </w:tcMar>
            <w:vAlign w:val="center"/>
          </w:tcPr>
          <w:p>
            <w:pPr>
              <w:pStyle w:val="DMETW36774BIPMEMST1"/>
              <w:jc w:val="right"/>
              <w:rPr>
                <w:rFonts w:ascii="Verdana" w:eastAsia="Verdana" w:hAnsi="Verdana" w:cs="Verdana"/>
                <w:noProof/>
                <w:color w:val="FFFFFF"/>
                <w:lang w:bidi="en-GB"/>
              </w:rPr>
            </w:pPr>
          </w:p>
        </w:tc>
      </w:tr>
      <w:tr>
        <w:trPr>
          <w:trHeight w:hRule="exact" w:val="255"/>
        </w:trPr>
        <w:tc>
          <w:tcPr>
            <w:tcW w:w="6416" w:type="dxa"/>
            <w:tcBorders>
              <w:top w:val="nil"/>
              <w:left w:val="nil"/>
              <w:bottom w:val="nil"/>
              <w:right w:val="nil"/>
              <w:tl2br w:val="nil"/>
              <w:tr2bl w:val="nil"/>
            </w:tcBorders>
            <w:shd w:val="solid" w:color="CCE1EA" w:fill="FFFFFF"/>
            <w:tcMar>
              <w:left w:w="60" w:type="dxa"/>
              <w:right w:w="60" w:type="dxa"/>
            </w:tcMar>
            <w:vAlign w:val="center"/>
          </w:tcPr>
          <w:p>
            <w:pPr>
              <w:pStyle w:val="DMETW36774BIPMEMST1"/>
              <w:rPr>
                <w:rFonts w:ascii="Verdana" w:eastAsia="Verdana" w:hAnsi="Verdana" w:cs="Verdana"/>
                <w:b/>
                <w:noProof/>
                <w:color w:val="000000"/>
                <w:sz w:val="18"/>
              </w:rPr>
            </w:pPr>
            <w:r>
              <w:rPr>
                <w:rFonts w:ascii="Verdana" w:hAnsi="Verdana"/>
                <w:b/>
                <w:noProof/>
                <w:color w:val="000000"/>
                <w:sz w:val="18"/>
              </w:rPr>
              <w:t>Montants à appeler auprès des États membres au 31.12.2024</w:t>
            </w:r>
          </w:p>
        </w:tc>
        <w:tc>
          <w:tcPr>
            <w:tcW w:w="3342" w:type="dxa"/>
            <w:tcBorders>
              <w:top w:val="nil"/>
              <w:left w:val="nil"/>
              <w:bottom w:val="nil"/>
              <w:right w:val="nil"/>
              <w:tl2br w:val="nil"/>
              <w:tr2bl w:val="nil"/>
            </w:tcBorders>
            <w:shd w:val="solid" w:color="CCE1EA" w:fill="FFFFFF"/>
            <w:tcMar>
              <w:left w:w="60" w:type="dxa"/>
              <w:right w:w="60" w:type="dxa"/>
            </w:tcMar>
            <w:vAlign w:val="center"/>
          </w:tcPr>
          <w:p>
            <w:pPr>
              <w:pStyle w:val="DMETW36774BIPMEMST1"/>
              <w:jc w:val="right"/>
              <w:rPr>
                <w:rFonts w:ascii="Verdana" w:eastAsia="Verdana" w:hAnsi="Verdana" w:cs="Verdana"/>
                <w:b/>
                <w:noProof/>
                <w:color w:val="000000"/>
                <w:sz w:val="18"/>
              </w:rPr>
            </w:pPr>
            <w:r>
              <w:rPr>
                <w:rFonts w:ascii="Verdana" w:hAnsi="Verdana"/>
                <w:b/>
                <w:noProof/>
                <w:color w:val="000000"/>
                <w:sz w:val="18"/>
              </w:rPr>
              <w:t>309 810</w:t>
            </w:r>
          </w:p>
        </w:tc>
      </w:tr>
      <w:tr>
        <w:trPr>
          <w:trHeight w:hRule="exact" w:val="255"/>
        </w:trPr>
        <w:tc>
          <w:tcPr>
            <w:tcW w:w="6416" w:type="dxa"/>
            <w:tcBorders>
              <w:top w:val="nil"/>
              <w:left w:val="nil"/>
              <w:bottom w:val="nil"/>
              <w:right w:val="nil"/>
              <w:tl2br w:val="nil"/>
              <w:tr2bl w:val="nil"/>
            </w:tcBorders>
            <w:shd w:val="solid" w:color="FFFFFF" w:fill="FFFFFF"/>
            <w:tcMar>
              <w:left w:w="60" w:type="dxa"/>
              <w:right w:w="60" w:type="dxa"/>
            </w:tcMar>
            <w:vAlign w:val="center"/>
          </w:tcPr>
          <w:p>
            <w:pPr>
              <w:pStyle w:val="DMETW36774BIPMEMST1"/>
              <w:rPr>
                <w:rFonts w:ascii="Verdana" w:eastAsia="Verdana" w:hAnsi="Verdana" w:cs="Verdana"/>
                <w:i/>
                <w:noProof/>
                <w:color w:val="000000"/>
                <w:sz w:val="18"/>
              </w:rPr>
            </w:pPr>
            <w:r>
              <w:rPr>
                <w:rFonts w:ascii="Verdana" w:hAnsi="Verdana"/>
                <w:i/>
                <w:noProof/>
                <w:color w:val="000000"/>
                <w:sz w:val="18"/>
              </w:rPr>
              <w:t>Résultat de l’exécution budgétaire 2024 crédité aux États membres</w:t>
            </w:r>
          </w:p>
        </w:tc>
        <w:tc>
          <w:tcPr>
            <w:tcW w:w="3342" w:type="dxa"/>
            <w:tcBorders>
              <w:top w:val="nil"/>
              <w:left w:val="nil"/>
              <w:bottom w:val="nil"/>
              <w:right w:val="nil"/>
              <w:tl2br w:val="nil"/>
              <w:tr2bl w:val="nil"/>
            </w:tcBorders>
            <w:shd w:val="solid" w:color="FFFFFF" w:fill="FFFFFF"/>
            <w:tcMar>
              <w:left w:w="60" w:type="dxa"/>
              <w:right w:w="60" w:type="dxa"/>
            </w:tcMar>
            <w:vAlign w:val="center"/>
          </w:tcPr>
          <w:p>
            <w:pPr>
              <w:pStyle w:val="DMETW36774BIPMEMST1"/>
              <w:jc w:val="right"/>
              <w:rPr>
                <w:rFonts w:ascii="Verdana" w:eastAsia="Verdana" w:hAnsi="Verdana" w:cs="Verdana"/>
                <w:i/>
                <w:noProof/>
                <w:color w:val="000000"/>
                <w:sz w:val="18"/>
              </w:rPr>
            </w:pPr>
            <w:r>
              <w:rPr>
                <w:rFonts w:ascii="Verdana" w:hAnsi="Verdana"/>
                <w:i/>
                <w:noProof/>
                <w:color w:val="000000"/>
                <w:sz w:val="18"/>
              </w:rPr>
              <w:t>1 348</w:t>
            </w:r>
          </w:p>
        </w:tc>
      </w:tr>
      <w:tr>
        <w:trPr>
          <w:trHeight w:hRule="exact" w:val="255"/>
        </w:trPr>
        <w:tc>
          <w:tcPr>
            <w:tcW w:w="6416" w:type="dxa"/>
            <w:tcBorders>
              <w:top w:val="nil"/>
              <w:left w:val="nil"/>
              <w:bottom w:val="nil"/>
              <w:right w:val="nil"/>
              <w:tl2br w:val="nil"/>
              <w:tr2bl w:val="nil"/>
            </w:tcBorders>
            <w:shd w:val="solid" w:color="FFFFFF" w:fill="FFFFFF"/>
            <w:tcMar>
              <w:left w:w="60" w:type="dxa"/>
              <w:right w:w="60" w:type="dxa"/>
            </w:tcMar>
            <w:vAlign w:val="center"/>
          </w:tcPr>
          <w:p>
            <w:pPr>
              <w:pStyle w:val="DMETW36774BIPMEMST1"/>
              <w:rPr>
                <w:rFonts w:ascii="Verdana" w:eastAsia="Verdana" w:hAnsi="Verdana" w:cs="Verdana"/>
                <w:i/>
                <w:noProof/>
                <w:color w:val="000000"/>
                <w:sz w:val="18"/>
              </w:rPr>
            </w:pPr>
            <w:r>
              <w:rPr>
                <w:rFonts w:ascii="Verdana" w:hAnsi="Verdana"/>
                <w:i/>
                <w:noProof/>
                <w:color w:val="000000"/>
                <w:sz w:val="18"/>
              </w:rPr>
              <w:t>Réévaluations des passifs liés aux avantages du personnel</w:t>
            </w:r>
          </w:p>
        </w:tc>
        <w:tc>
          <w:tcPr>
            <w:tcW w:w="3342" w:type="dxa"/>
            <w:tcBorders>
              <w:top w:val="nil"/>
              <w:left w:val="nil"/>
              <w:bottom w:val="nil"/>
              <w:right w:val="nil"/>
              <w:tl2br w:val="nil"/>
              <w:tr2bl w:val="nil"/>
            </w:tcBorders>
            <w:shd w:val="solid" w:color="FFFFFF" w:fill="FFFFFF"/>
            <w:tcMar>
              <w:left w:w="60" w:type="dxa"/>
              <w:right w:w="60" w:type="dxa"/>
            </w:tcMar>
            <w:vAlign w:val="center"/>
          </w:tcPr>
          <w:p>
            <w:pPr>
              <w:pStyle w:val="DMETW36774BIPMEMST1"/>
              <w:jc w:val="right"/>
              <w:rPr>
                <w:rFonts w:ascii="Verdana" w:eastAsia="Verdana" w:hAnsi="Verdana" w:cs="Verdana"/>
                <w:i/>
                <w:noProof/>
                <w:color w:val="000000"/>
                <w:sz w:val="18"/>
              </w:rPr>
            </w:pPr>
            <w:r>
              <w:rPr>
                <w:rFonts w:ascii="Verdana" w:hAnsi="Verdana"/>
                <w:i/>
                <w:noProof/>
                <w:color w:val="000000"/>
                <w:sz w:val="18"/>
              </w:rPr>
              <w:t>(5 603)</w:t>
            </w:r>
          </w:p>
        </w:tc>
      </w:tr>
      <w:tr>
        <w:trPr>
          <w:trHeight w:hRule="exact" w:val="255"/>
        </w:trPr>
        <w:tc>
          <w:tcPr>
            <w:tcW w:w="6416" w:type="dxa"/>
            <w:tcBorders>
              <w:top w:val="nil"/>
              <w:left w:val="nil"/>
              <w:bottom w:val="nil"/>
              <w:right w:val="nil"/>
              <w:tl2br w:val="nil"/>
              <w:tr2bl w:val="nil"/>
            </w:tcBorders>
            <w:tcMar>
              <w:left w:w="60" w:type="dxa"/>
              <w:right w:w="60" w:type="dxa"/>
            </w:tcMar>
            <w:vAlign w:val="bottom"/>
          </w:tcPr>
          <w:p>
            <w:pPr>
              <w:pStyle w:val="DMETW36774BIPMEMST1"/>
              <w:rPr>
                <w:rFonts w:ascii="Arial" w:eastAsia="Arial" w:hAnsi="Arial" w:cs="Arial"/>
                <w:i/>
                <w:noProof/>
                <w:color w:val="000000"/>
              </w:rPr>
            </w:pPr>
            <w:r>
              <w:rPr>
                <w:rFonts w:ascii="Arial" w:hAnsi="Arial"/>
                <w:i/>
                <w:noProof/>
                <w:color w:val="000000"/>
              </w:rPr>
              <w:t>Autres</w:t>
            </w:r>
          </w:p>
        </w:tc>
        <w:tc>
          <w:tcPr>
            <w:tcW w:w="3342" w:type="dxa"/>
            <w:tcBorders>
              <w:top w:val="nil"/>
              <w:left w:val="nil"/>
              <w:bottom w:val="nil"/>
              <w:right w:val="nil"/>
              <w:tl2br w:val="nil"/>
              <w:tr2bl w:val="nil"/>
            </w:tcBorders>
            <w:shd w:val="solid" w:color="FFFFFF" w:fill="FFFFFF"/>
            <w:tcMar>
              <w:left w:w="60" w:type="dxa"/>
              <w:right w:w="60" w:type="dxa"/>
            </w:tcMar>
            <w:vAlign w:val="center"/>
          </w:tcPr>
          <w:p>
            <w:pPr>
              <w:pStyle w:val="DMETW36774BIPMEMST1"/>
              <w:jc w:val="right"/>
              <w:rPr>
                <w:rFonts w:ascii="Verdana" w:eastAsia="Verdana" w:hAnsi="Verdana" w:cs="Verdana"/>
                <w:i/>
                <w:noProof/>
                <w:color w:val="000000"/>
                <w:sz w:val="18"/>
              </w:rPr>
            </w:pPr>
            <w:r>
              <w:rPr>
                <w:rFonts w:ascii="Verdana" w:hAnsi="Verdana"/>
                <w:i/>
                <w:noProof/>
                <w:color w:val="000000"/>
                <w:sz w:val="18"/>
              </w:rPr>
              <w:t xml:space="preserve"> (85)</w:t>
            </w:r>
          </w:p>
        </w:tc>
      </w:tr>
      <w:tr>
        <w:trPr>
          <w:trHeight w:hRule="exact" w:val="255"/>
        </w:trPr>
        <w:tc>
          <w:tcPr>
            <w:tcW w:w="6416" w:type="dxa"/>
            <w:tcBorders>
              <w:top w:val="nil"/>
              <w:left w:val="nil"/>
              <w:bottom w:val="nil"/>
              <w:right w:val="nil"/>
              <w:tl2br w:val="nil"/>
              <w:tr2bl w:val="nil"/>
            </w:tcBorders>
            <w:shd w:val="solid" w:color="FFFFFF" w:fill="FFFFFF"/>
            <w:tcMar>
              <w:left w:w="60" w:type="dxa"/>
              <w:right w:w="60" w:type="dxa"/>
            </w:tcMar>
            <w:vAlign w:val="center"/>
          </w:tcPr>
          <w:p>
            <w:pPr>
              <w:pStyle w:val="DMETW36774BIPMEMST1"/>
              <w:rPr>
                <w:rFonts w:ascii="Verdana" w:eastAsia="Verdana" w:hAnsi="Verdana" w:cs="Verdana"/>
                <w:i/>
                <w:noProof/>
                <w:color w:val="000000"/>
                <w:sz w:val="18"/>
              </w:rPr>
            </w:pPr>
            <w:r>
              <w:rPr>
                <w:rFonts w:ascii="Verdana" w:hAnsi="Verdana"/>
                <w:i/>
                <w:noProof/>
                <w:color w:val="000000"/>
                <w:sz w:val="18"/>
              </w:rPr>
              <w:t>Résultat économique de l’exercice</w:t>
            </w:r>
          </w:p>
        </w:tc>
        <w:tc>
          <w:tcPr>
            <w:tcW w:w="3342" w:type="dxa"/>
            <w:tcBorders>
              <w:top w:val="nil"/>
              <w:left w:val="nil"/>
              <w:bottom w:val="nil"/>
              <w:right w:val="nil"/>
              <w:tl2br w:val="nil"/>
              <w:tr2bl w:val="nil"/>
            </w:tcBorders>
            <w:shd w:val="solid" w:color="FFFFFF" w:fill="FFFFFF"/>
            <w:tcMar>
              <w:left w:w="60" w:type="dxa"/>
              <w:right w:w="60" w:type="dxa"/>
            </w:tcMar>
            <w:vAlign w:val="center"/>
          </w:tcPr>
          <w:p>
            <w:pPr>
              <w:pStyle w:val="DMETW36774BIPMEMST1"/>
              <w:jc w:val="right"/>
              <w:rPr>
                <w:rFonts w:ascii="Verdana" w:eastAsia="Verdana" w:hAnsi="Verdana" w:cs="Verdana"/>
                <w:i/>
                <w:noProof/>
                <w:color w:val="000000"/>
                <w:sz w:val="18"/>
              </w:rPr>
            </w:pPr>
            <w:r>
              <w:rPr>
                <w:rFonts w:ascii="Verdana" w:hAnsi="Verdana"/>
                <w:i/>
                <w:noProof/>
                <w:color w:val="000000"/>
                <w:sz w:val="18"/>
              </w:rPr>
              <w:t>54 639</w:t>
            </w:r>
          </w:p>
        </w:tc>
      </w:tr>
      <w:tr>
        <w:trPr>
          <w:trHeight w:hRule="exact" w:val="255"/>
        </w:trPr>
        <w:tc>
          <w:tcPr>
            <w:tcW w:w="6416" w:type="dxa"/>
            <w:tcBorders>
              <w:top w:val="nil"/>
              <w:left w:val="nil"/>
              <w:bottom w:val="nil"/>
              <w:right w:val="nil"/>
              <w:tl2br w:val="nil"/>
              <w:tr2bl w:val="nil"/>
            </w:tcBorders>
            <w:shd w:val="solid" w:color="CCE1EA" w:fill="FFFFFF"/>
            <w:tcMar>
              <w:left w:w="60" w:type="dxa"/>
              <w:right w:w="60" w:type="dxa"/>
            </w:tcMar>
            <w:vAlign w:val="center"/>
          </w:tcPr>
          <w:p>
            <w:pPr>
              <w:pStyle w:val="DMETW36774BIPMEMST1"/>
              <w:rPr>
                <w:rFonts w:ascii="Verdana" w:eastAsia="Verdana" w:hAnsi="Verdana" w:cs="Verdana"/>
                <w:b/>
                <w:noProof/>
                <w:color w:val="000000"/>
                <w:sz w:val="18"/>
              </w:rPr>
            </w:pPr>
            <w:r>
              <w:rPr>
                <w:rFonts w:ascii="Verdana" w:hAnsi="Verdana"/>
                <w:b/>
                <w:noProof/>
                <w:color w:val="000000"/>
                <w:sz w:val="18"/>
              </w:rPr>
              <w:t>Total des montants à appeler auprès des États membres au 31.12.2025</w:t>
            </w:r>
          </w:p>
        </w:tc>
        <w:tc>
          <w:tcPr>
            <w:tcW w:w="3342" w:type="dxa"/>
            <w:tcBorders>
              <w:top w:val="nil"/>
              <w:left w:val="nil"/>
              <w:bottom w:val="nil"/>
              <w:right w:val="nil"/>
              <w:tl2br w:val="nil"/>
              <w:tr2bl w:val="nil"/>
            </w:tcBorders>
            <w:shd w:val="solid" w:color="CCE1EA" w:fill="FFFFFF"/>
            <w:tcMar>
              <w:left w:w="60" w:type="dxa"/>
              <w:right w:w="60" w:type="dxa"/>
            </w:tcMar>
            <w:vAlign w:val="center"/>
          </w:tcPr>
          <w:p>
            <w:pPr>
              <w:pStyle w:val="DMETW36774BIPMEMST1"/>
              <w:jc w:val="right"/>
              <w:rPr>
                <w:rFonts w:ascii="Verdana" w:eastAsia="Verdana" w:hAnsi="Verdana" w:cs="Verdana"/>
                <w:b/>
                <w:noProof/>
                <w:color w:val="000000"/>
                <w:sz w:val="18"/>
              </w:rPr>
            </w:pPr>
            <w:r>
              <w:rPr>
                <w:rFonts w:ascii="Verdana" w:hAnsi="Verdana"/>
                <w:b/>
                <w:noProof/>
                <w:color w:val="000000"/>
                <w:sz w:val="18"/>
              </w:rPr>
              <w:t>360 108</w:t>
            </w:r>
          </w:p>
        </w:tc>
      </w:tr>
    </w:tbl>
    <w:p>
      <w:pPr>
        <w:pStyle w:val="DGTextstand-alone"/>
      </w:pPr>
      <w:r>
        <w:t>Ce montant représente la part des dépenses encourues par l’UE jusqu’au 31 décembre à financer par des budgets ultérieurs. Nombre de dépenses sont comptabilisées conformément aux règles de comptabilité d’exercice au cours de l’exercice N, alors qu’il se peut qu'elles soient en réalité payées au cours de l’exercice N+1 (ou ultérieurement) et donc financées sur le budget de l’exercice N+1 (ou ultérieurement). Compte tenu de cette inscription au passif et du fait que les montants correspondants seront financés sur des budgets ultérieurs, le passif est de loin supérieur à l’actif en fin d’exercice. Les montants les plus significatifs à mettre en évidence concernent les emprunts liés au soutien non remboursable contractés dans le cadre de NextGenerationEU, les activités du FEAGA et les passifs liés aux avantages du personnel.</w:t>
      </w:r>
    </w:p>
    <w:p>
      <w:pPr>
        <w:pStyle w:val="DGTextstand-alone"/>
      </w:pPr>
      <w:r>
        <w:t>On notera également que les éléments susmentionnés n’ont aucun effet sur le résultat de l’exécution du budget. Les recettes budgétaires doivent toujours être égales ou supérieures aux dépenses budgétaires, tout excédent de recettes étant restitué aux États membres.</w:t>
      </w:r>
    </w:p>
    <w:p>
      <w:pPr>
        <w:pStyle w:val="DGTextstand-alone"/>
        <w:spacing w:before="0" w:after="0"/>
      </w:pPr>
      <w:r>
        <w:t>Les réévaluations des passifs liés aux avantages du personnel concernent les écarts actuariels découlant de l’évaluation actuarielle de ces passifs.</w:t>
      </w:r>
    </w:p>
    <w:p>
      <w:pPr>
        <w:pStyle w:val="DGTextstand-alone"/>
        <w:spacing w:before="0" w:after="0"/>
      </w:pPr>
    </w:p>
    <w:p>
      <w:pPr>
        <w:pStyle w:val="DGTextstand-alone"/>
        <w:spacing w:before="0" w:after="0"/>
      </w:pPr>
      <w:r>
        <w:t>L’augmentation considérable des montants à appeler auprès des États membres au cours des dernières années est principalement due aux emprunts liés au soutien non remboursable contractés au cours de cette période dans le cadre de NextGenerationEU.</w:t>
      </w:r>
    </w:p>
    <w:p>
      <w:pPr>
        <w:pStyle w:val="DGTextstand-alone"/>
        <w:spacing w:before="0" w:after="0"/>
        <w:sectPr>
          <w:headerReference w:type="default" r:id="rId109"/>
          <w:footerReference w:type="default" r:id="rId110"/>
          <w:pgSz w:w="11906" w:h="16838"/>
          <w:pgMar w:top="1134" w:right="1134" w:bottom="1134" w:left="1134" w:header="709" w:footer="709" w:gutter="0"/>
          <w:cols w:space="708"/>
          <w:docGrid w:linePitch="360"/>
        </w:sectPr>
      </w:pPr>
      <w:r>
        <w:t xml:space="preserve"> </w:t>
      </w:r>
      <w:bookmarkEnd w:id="172"/>
    </w:p>
    <w:p>
      <w:pPr>
        <w:pStyle w:val="HEADER1NOTES"/>
        <w:jc w:val="left"/>
        <w:rPr>
          <w:noProof/>
        </w:rPr>
        <w:sectPr>
          <w:headerReference w:type="default" r:id="rId111"/>
          <w:footerReference w:type="default" r:id="rId112"/>
          <w:pgSz w:w="11906" w:h="16838"/>
          <w:pgMar w:top="1134" w:right="1134" w:bottom="1134" w:left="1134" w:header="709" w:footer="709" w:gutter="0"/>
          <w:cols w:space="708"/>
          <w:docGrid w:linePitch="360"/>
        </w:sectPr>
      </w:pPr>
      <w:bookmarkStart w:id="175" w:name="_Toc237350935"/>
      <w:bookmarkStart w:id="176" w:name="_DMBM_36707"/>
      <w:r>
        <w:rPr>
          <w:noProof/>
        </w:rPr>
        <w:lastRenderedPageBreak/>
        <w:t>NOTES ANNEXES AU COMPTE DE RÉSULTAT ÉCONOMIQUE</w:t>
      </w:r>
      <w:bookmarkEnd w:id="175"/>
      <w:r>
        <w:rPr>
          <w:noProof/>
        </w:rPr>
        <w:t xml:space="preserve"> </w:t>
      </w:r>
      <w:bookmarkEnd w:id="176"/>
    </w:p>
    <w:p>
      <w:pPr>
        <w:pStyle w:val="HEADERTABLE"/>
        <w:rPr>
          <w:noProof/>
        </w:rPr>
      </w:pPr>
      <w:bookmarkStart w:id="177" w:name="_DMBM_36722"/>
      <w:r>
        <w:rPr>
          <w:noProof/>
        </w:rPr>
        <w:t>PRODUITS</w:t>
      </w:r>
    </w:p>
    <w:p>
      <w:pPr>
        <w:pStyle w:val="HEADERTABLE"/>
        <w:spacing w:after="0"/>
        <w:rPr>
          <w:noProof/>
        </w:rPr>
      </w:pPr>
      <w:r>
        <w:rPr>
          <w:noProof/>
        </w:rPr>
        <w:t>PRODUITS DES OPÉRATIONS SANS CONTREPARTIE DIRECTE:</w:t>
      </w:r>
      <w:r>
        <w:rPr>
          <w:noProof/>
        </w:rPr>
        <w:br/>
        <w:t>RESSOURCES PROPRES</w:t>
      </w:r>
    </w:p>
    <w:p>
      <w:pPr>
        <w:numPr>
          <w:ilvl w:val="1"/>
          <w:numId w:val="15"/>
        </w:numPr>
        <w:tabs>
          <w:tab w:val="left" w:pos="907"/>
        </w:tabs>
        <w:spacing w:before="360" w:after="360"/>
        <w:rPr>
          <w:rFonts w:ascii="Verdana" w:hAnsi="Verdana"/>
          <w:b/>
          <w:noProof/>
          <w:color w:val="016794"/>
          <w:sz w:val="28"/>
          <w:szCs w:val="28"/>
        </w:rPr>
      </w:pPr>
      <w:r>
        <w:rPr>
          <w:rFonts w:ascii="Verdana" w:hAnsi="Verdana"/>
          <w:b/>
          <w:noProof/>
          <w:color w:val="016794"/>
          <w:sz w:val="28"/>
        </w:rPr>
        <w:t>RESSOURCES RNB</w:t>
      </w:r>
    </w:p>
    <w:p>
      <w:pPr>
        <w:pStyle w:val="DGTextstand-alone"/>
        <w:spacing w:after="0"/>
      </w:pPr>
      <w:r>
        <w:t>Les produits des ressources propres constituent l’élément principal des produits opérationnels de l’UE.</w:t>
      </w:r>
      <w:r>
        <w:rPr>
          <w:color w:val="000000"/>
        </w:rPr>
        <w:t xml:space="preserve"> Les recettes issues du RNB (revenu national brut) constituent la plus importante des quatre catégories de ressources propres. Un pourcentage uniforme est prélevé sur le RNB de chaque État membre. La ressource fondée sur le RNB équilibre les recettes et les dépenses, autrement dit elle finance la partie du budget qui n’est pas couverte par d’autres sources de recettes. L’augmentation des recettes issues du RNB entre 2024 et 2025 s’explique dans une large mesure par une hausse des besoins en crédits de paiement.</w:t>
      </w:r>
      <w:r>
        <w:t xml:space="preserve"> </w:t>
      </w:r>
    </w:p>
    <w:p>
      <w:pPr>
        <w:numPr>
          <w:ilvl w:val="1"/>
          <w:numId w:val="15"/>
        </w:numPr>
        <w:tabs>
          <w:tab w:val="left" w:pos="907"/>
        </w:tabs>
        <w:spacing w:before="360" w:after="360"/>
        <w:rPr>
          <w:rFonts w:ascii="Verdana" w:hAnsi="Verdana"/>
          <w:b/>
          <w:noProof/>
          <w:color w:val="016794"/>
          <w:sz w:val="28"/>
          <w:szCs w:val="28"/>
        </w:rPr>
      </w:pPr>
      <w:r>
        <w:rPr>
          <w:rFonts w:ascii="Verdana" w:hAnsi="Verdana"/>
          <w:b/>
          <w:noProof/>
          <w:color w:val="016794"/>
          <w:sz w:val="28"/>
        </w:rPr>
        <w:t>RESSOURCES PROPRES TRADITIONNELLES</w:t>
      </w:r>
    </w:p>
    <w:p>
      <w:pPr>
        <w:pStyle w:val="DGTextstand-alone"/>
        <w:spacing w:after="0"/>
      </w:pPr>
      <w:r>
        <w:t>Les ressources propres traditionnelles ont principalement trait aux droits de douane, dès lors que les États membres retiennent, à titre de frais de perception, 25 % des montants. Les chiffres ci-dessus sont présentés après déduction de ces frais. Le niveau des droits à l’importation résulte principalement de l’effet combiné des fluctuations de la valeur des importations en provenance de pays tiers et des modifications du tarif commun, qui a été abaissé à de nombreuses reprises à la suite des négociations au sein de l’Organisation mondiale du commerce (OMC), et d’accords spécifiques octroyant des préférences tarifaires à certains partenaires commerciaux ou à certains produits. Le niveau dépend donc également de la situation économique générale, du niveau des prix mondiaux et de l’incidence des taux de change.</w:t>
      </w:r>
    </w:p>
    <w:p>
      <w:pPr>
        <w:numPr>
          <w:ilvl w:val="1"/>
          <w:numId w:val="15"/>
        </w:numPr>
        <w:tabs>
          <w:tab w:val="left" w:pos="907"/>
        </w:tabs>
        <w:spacing w:before="360" w:after="360"/>
        <w:rPr>
          <w:rFonts w:ascii="Verdana" w:hAnsi="Verdana"/>
          <w:b/>
          <w:noProof/>
          <w:color w:val="016794"/>
          <w:sz w:val="28"/>
          <w:szCs w:val="28"/>
        </w:rPr>
      </w:pPr>
      <w:r>
        <w:rPr>
          <w:rFonts w:ascii="Verdana" w:hAnsi="Verdana"/>
          <w:b/>
          <w:noProof/>
          <w:color w:val="016794"/>
          <w:sz w:val="28"/>
        </w:rPr>
        <w:t>RESSOURCES TVA</w:t>
      </w:r>
    </w:p>
    <w:p>
      <w:pPr>
        <w:pStyle w:val="DGTextstand-alone"/>
        <w:spacing w:after="0"/>
        <w:rPr>
          <w:color w:val="000000" w:themeColor="text1"/>
        </w:rPr>
      </w:pPr>
      <w:r>
        <w:rPr>
          <w:color w:val="000000"/>
        </w:rPr>
        <w:t>La ressource propre fondée sur la TVA est calculée sur la base des assiettes TVA des États membres, qui sont harmonisées à cette fin conformément aux règles de l’UE. Un taux d’appel uniforme de 0,30 % s’applique au montant total des recettes TVA perçues par chaque État membre pour toutes les opérations imposables, divisé par le taux moyen pondéré de la TVA. L’assiette TVA est écrêtée à 50 % du RNB de chaque État membre.</w:t>
      </w:r>
    </w:p>
    <w:p>
      <w:pPr>
        <w:numPr>
          <w:ilvl w:val="1"/>
          <w:numId w:val="15"/>
        </w:numPr>
        <w:tabs>
          <w:tab w:val="left" w:pos="907"/>
        </w:tabs>
        <w:spacing w:before="360" w:after="360"/>
        <w:rPr>
          <w:rFonts w:ascii="Verdana" w:hAnsi="Verdana"/>
          <w:b/>
          <w:noProof/>
          <w:color w:val="016794"/>
          <w:sz w:val="28"/>
          <w:szCs w:val="28"/>
        </w:rPr>
      </w:pPr>
      <w:r>
        <w:rPr>
          <w:rFonts w:ascii="Verdana" w:hAnsi="Verdana"/>
          <w:b/>
          <w:noProof/>
          <w:color w:val="016794"/>
          <w:sz w:val="28"/>
        </w:rPr>
        <w:t>RESSOURCES PROPRES FONDÉES SUR LES MATIÈRES PLASTIQUES</w:t>
      </w:r>
    </w:p>
    <w:p>
      <w:pPr>
        <w:pStyle w:val="DGTextstand-alone"/>
      </w:pPr>
      <w:r>
        <w:t xml:space="preserve">Un taux d’appel uniforme de 0,80 EUR par kilogramme s’applique au poids des déchets d’emballages en plastique non recyclés produits dans chaque État membre. Les déchets d’emballages en plastique qui ne sont pas recyclés au cours d’une année donnée sont calculés comme la différence entre les déchets d’emballages en plastique produits et les déchets d’emballages en plastique recyclés cette année-là dans un État membre. La Bulgarie, la Tchéquie, l’Estonie, la Grèce, l’Espagne, la Croatie, l’Italie, Chypre, la Lettonie, la Lituanie, la Hongrie, Malte, la Pologne, le Portugal, la Roumanie, la Slovénie et la Slovaquie ont droit à des réductions forfaitaires annuelles spécifiques de leurs contributions respectives aux ressources propres fondées sur les matières plastiques. Il s’agit d’une ressource propre relativement </w:t>
      </w:r>
      <w:r>
        <w:lastRenderedPageBreak/>
        <w:t>nouvelle introduite en 2021 avec l’entrée en vigueur de la nouvelle décision relative aux ressources propres [décision (UE, Euratom) 2020/2053 du Conseil]</w:t>
      </w:r>
      <w:r>
        <w:rPr>
          <w:rStyle w:val="FootnoteReference"/>
        </w:rPr>
        <w:footnoteReference w:id="35"/>
      </w:r>
      <w:r>
        <w:t>.</w:t>
      </w:r>
    </w:p>
    <w:p>
      <w:pPr>
        <w:rPr>
          <w:rFonts w:ascii="Verdana" w:hAnsi="Verdana"/>
          <w:b/>
          <w:noProof/>
          <w:color w:val="016794"/>
          <w:sz w:val="28"/>
          <w:szCs w:val="28"/>
        </w:rPr>
      </w:pPr>
      <w:r>
        <w:rPr>
          <w:noProof/>
        </w:rPr>
        <w:br w:type="page"/>
      </w:r>
    </w:p>
    <w:p>
      <w:pPr>
        <w:pStyle w:val="HEADERTABLE"/>
        <w:spacing w:before="360" w:after="360"/>
        <w:rPr>
          <w:noProof/>
        </w:rPr>
      </w:pPr>
      <w:r>
        <w:rPr>
          <w:noProof/>
        </w:rPr>
        <w:lastRenderedPageBreak/>
        <w:t>PRODUITS DES OPÉRATIONS SANS CONTREPARTIE DIRECTE:</w:t>
      </w:r>
      <w:r>
        <w:rPr>
          <w:noProof/>
        </w:rPr>
        <w:br/>
        <w:t>TRANSFERTS</w:t>
      </w:r>
    </w:p>
    <w:p>
      <w:pPr>
        <w:numPr>
          <w:ilvl w:val="1"/>
          <w:numId w:val="15"/>
        </w:numPr>
        <w:tabs>
          <w:tab w:val="left" w:pos="907"/>
        </w:tabs>
        <w:spacing w:before="360" w:after="360"/>
        <w:rPr>
          <w:rFonts w:ascii="Verdana" w:hAnsi="Verdana"/>
          <w:b/>
          <w:noProof/>
          <w:color w:val="016794"/>
          <w:sz w:val="28"/>
          <w:szCs w:val="28"/>
        </w:rPr>
      </w:pPr>
      <w:r>
        <w:rPr>
          <w:rFonts w:ascii="Verdana" w:hAnsi="Verdana"/>
          <w:b/>
          <w:noProof/>
          <w:color w:val="016794"/>
          <w:sz w:val="28"/>
        </w:rPr>
        <w:t>AMENDES</w:t>
      </w:r>
    </w:p>
    <w:p>
      <w:pPr>
        <w:pStyle w:val="DGTextstand-alone"/>
        <w:spacing w:after="0"/>
      </w:pPr>
      <w:r>
        <w:t>Les recettes de 5,370 milliards d’EUR (contre 4,039 milliards d’EUR en 2024) correspondent principalement aux amendes infligées par la Commission aux entreprises ayant enfreint les règles de l’UE en matière de concurrence (3,971 milliards d’EUR) et à d’autres amendes imposées aux entreprises (837 millions d’EUR).</w:t>
      </w:r>
    </w:p>
    <w:p>
      <w:pPr>
        <w:numPr>
          <w:ilvl w:val="1"/>
          <w:numId w:val="15"/>
        </w:numPr>
        <w:tabs>
          <w:tab w:val="left" w:pos="907"/>
        </w:tabs>
        <w:spacing w:before="360" w:after="360"/>
        <w:rPr>
          <w:rFonts w:ascii="Verdana" w:hAnsi="Verdana"/>
          <w:b/>
          <w:noProof/>
          <w:color w:val="016794"/>
          <w:sz w:val="28"/>
          <w:szCs w:val="28"/>
        </w:rPr>
      </w:pPr>
      <w:r>
        <w:rPr>
          <w:rFonts w:ascii="Verdana" w:hAnsi="Verdana"/>
          <w:b/>
          <w:noProof/>
          <w:color w:val="016794"/>
          <w:sz w:val="28"/>
        </w:rPr>
        <w:t>RÉCUPÉRATION DE DÉPENSES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06"/>
        <w:gridCol w:w="1778"/>
        <w:gridCol w:w="2074"/>
      </w:tblGrid>
      <w:tr>
        <w:trPr>
          <w:trHeight w:hRule="exact" w:val="255"/>
        </w:trPr>
        <w:tc>
          <w:tcPr>
            <w:tcW w:w="5906" w:type="dxa"/>
            <w:tcBorders>
              <w:top w:val="nil"/>
              <w:left w:val="nil"/>
              <w:bottom w:val="nil"/>
              <w:right w:val="nil"/>
              <w:tl2br w:val="nil"/>
              <w:tr2bl w:val="nil"/>
            </w:tcBorders>
            <w:tcMar>
              <w:left w:w="60" w:type="dxa"/>
              <w:right w:w="60" w:type="dxa"/>
            </w:tcMar>
            <w:vAlign w:val="bottom"/>
          </w:tcPr>
          <w:p>
            <w:pPr>
              <w:pStyle w:val="DMETW36775BIPRECOVEXP"/>
              <w:rPr>
                <w:rFonts w:ascii="Arial" w:eastAsia="Arial" w:hAnsi="Arial" w:cs="Arial"/>
                <w:noProof/>
                <w:color w:val="000000"/>
              </w:rPr>
            </w:pPr>
            <w:bookmarkStart w:id="178" w:name="DOC_TBL00066_1_1"/>
            <w:bookmarkEnd w:id="178"/>
          </w:p>
        </w:tc>
        <w:tc>
          <w:tcPr>
            <w:tcW w:w="1778" w:type="dxa"/>
            <w:tcBorders>
              <w:top w:val="nil"/>
              <w:left w:val="nil"/>
              <w:bottom w:val="nil"/>
              <w:right w:val="nil"/>
              <w:tl2br w:val="nil"/>
              <w:tr2bl w:val="nil"/>
            </w:tcBorders>
            <w:tcMar>
              <w:left w:w="60" w:type="dxa"/>
              <w:right w:w="60" w:type="dxa"/>
            </w:tcMar>
            <w:vAlign w:val="bottom"/>
          </w:tcPr>
          <w:p>
            <w:pPr>
              <w:pStyle w:val="DMETW36775BIPRECOVEXP"/>
              <w:rPr>
                <w:rFonts w:ascii="Arial" w:eastAsia="Arial" w:hAnsi="Arial" w:cs="Arial"/>
                <w:noProof/>
                <w:color w:val="000000"/>
              </w:rPr>
            </w:pPr>
          </w:p>
        </w:tc>
        <w:tc>
          <w:tcPr>
            <w:tcW w:w="2074" w:type="dxa"/>
            <w:tcBorders>
              <w:top w:val="nil"/>
              <w:left w:val="nil"/>
              <w:bottom w:val="nil"/>
              <w:right w:val="nil"/>
              <w:tl2br w:val="nil"/>
              <w:tr2bl w:val="nil"/>
            </w:tcBorders>
            <w:tcMar>
              <w:left w:w="60" w:type="dxa"/>
              <w:right w:w="60" w:type="dxa"/>
            </w:tcMar>
            <w:vAlign w:val="bottom"/>
          </w:tcPr>
          <w:p>
            <w:pPr>
              <w:pStyle w:val="DMETW36775BIPRECOVEXP"/>
              <w:jc w:val="right"/>
              <w:rPr>
                <w:rFonts w:ascii="Verdana" w:eastAsia="Verdana" w:hAnsi="Verdana" w:cs="Verdana"/>
                <w:i/>
                <w:noProof/>
                <w:color w:val="000000"/>
                <w:sz w:val="16"/>
              </w:rPr>
            </w:pPr>
            <w:r>
              <w:rPr>
                <w:rFonts w:ascii="Verdana" w:hAnsi="Verdana"/>
                <w:i/>
                <w:noProof/>
                <w:color w:val="000000"/>
                <w:sz w:val="16"/>
              </w:rPr>
              <w:t>en Mio EUR</w:t>
            </w:r>
          </w:p>
        </w:tc>
      </w:tr>
      <w:tr>
        <w:trPr>
          <w:trHeight w:hRule="exact" w:val="255"/>
        </w:trPr>
        <w:tc>
          <w:tcPr>
            <w:tcW w:w="5906" w:type="dxa"/>
            <w:tcBorders>
              <w:top w:val="nil"/>
              <w:left w:val="nil"/>
              <w:bottom w:val="nil"/>
              <w:right w:val="nil"/>
              <w:tl2br w:val="nil"/>
              <w:tr2bl w:val="nil"/>
            </w:tcBorders>
            <w:shd w:val="solid" w:color="016794" w:fill="FFFFFF"/>
            <w:tcMar>
              <w:left w:w="60" w:type="dxa"/>
              <w:right w:w="60" w:type="dxa"/>
            </w:tcMar>
            <w:vAlign w:val="center"/>
          </w:tcPr>
          <w:p>
            <w:pPr>
              <w:pStyle w:val="DMETW36775BIPRECOVEXP"/>
              <w:jc w:val="right"/>
              <w:rPr>
                <w:rFonts w:ascii="Verdana" w:eastAsia="Verdana" w:hAnsi="Verdana" w:cs="Verdana"/>
                <w:noProof/>
                <w:color w:val="FFFFFF"/>
              </w:rPr>
            </w:pPr>
          </w:p>
        </w:tc>
        <w:tc>
          <w:tcPr>
            <w:tcW w:w="1778" w:type="dxa"/>
            <w:tcBorders>
              <w:top w:val="nil"/>
              <w:left w:val="nil"/>
              <w:bottom w:val="nil"/>
              <w:right w:val="nil"/>
              <w:tl2br w:val="nil"/>
              <w:tr2bl w:val="nil"/>
            </w:tcBorders>
            <w:shd w:val="solid" w:color="016794" w:fill="FFFFFF"/>
            <w:tcMar>
              <w:left w:w="60" w:type="dxa"/>
              <w:right w:w="60" w:type="dxa"/>
            </w:tcMar>
            <w:vAlign w:val="center"/>
          </w:tcPr>
          <w:p>
            <w:pPr>
              <w:pStyle w:val="DMETW36775BIPRECOVEXP"/>
              <w:jc w:val="right"/>
              <w:rPr>
                <w:rFonts w:ascii="Verdana" w:eastAsia="Verdana" w:hAnsi="Verdana" w:cs="Verdana"/>
                <w:noProof/>
                <w:color w:val="FFFFFF"/>
              </w:rPr>
            </w:pPr>
            <w:r>
              <w:rPr>
                <w:rFonts w:ascii="Verdana" w:hAnsi="Verdana"/>
                <w:noProof/>
                <w:color w:val="FFFFFF"/>
              </w:rPr>
              <w:t>2025</w:t>
            </w:r>
          </w:p>
        </w:tc>
        <w:tc>
          <w:tcPr>
            <w:tcW w:w="2074" w:type="dxa"/>
            <w:tcBorders>
              <w:top w:val="nil"/>
              <w:left w:val="nil"/>
              <w:bottom w:val="nil"/>
              <w:right w:val="nil"/>
              <w:tl2br w:val="nil"/>
              <w:tr2bl w:val="nil"/>
            </w:tcBorders>
            <w:shd w:val="solid" w:color="016794" w:fill="FFFFFF"/>
            <w:tcMar>
              <w:left w:w="60" w:type="dxa"/>
              <w:right w:w="60" w:type="dxa"/>
            </w:tcMar>
            <w:vAlign w:val="center"/>
          </w:tcPr>
          <w:p>
            <w:pPr>
              <w:pStyle w:val="DMETW36775BIPRECOVEXP"/>
              <w:jc w:val="right"/>
              <w:rPr>
                <w:rFonts w:ascii="Verdana" w:eastAsia="Verdana" w:hAnsi="Verdana" w:cs="Verdana"/>
                <w:noProof/>
                <w:color w:val="FFFFFF"/>
              </w:rPr>
            </w:pPr>
            <w:r>
              <w:rPr>
                <w:rFonts w:ascii="Verdana" w:hAnsi="Verdana"/>
                <w:noProof/>
                <w:color w:val="FFFFFF"/>
              </w:rPr>
              <w:t>2024</w:t>
            </w:r>
          </w:p>
        </w:tc>
      </w:tr>
      <w:tr>
        <w:trPr>
          <w:trHeight w:hRule="exact" w:val="255"/>
        </w:trPr>
        <w:tc>
          <w:tcPr>
            <w:tcW w:w="5906" w:type="dxa"/>
            <w:tcBorders>
              <w:top w:val="nil"/>
              <w:left w:val="nil"/>
              <w:bottom w:val="nil"/>
              <w:right w:val="nil"/>
              <w:tl2br w:val="nil"/>
              <w:tr2bl w:val="nil"/>
            </w:tcBorders>
            <w:tcMar>
              <w:left w:w="60" w:type="dxa"/>
              <w:right w:w="60" w:type="dxa"/>
            </w:tcMar>
            <w:vAlign w:val="center"/>
          </w:tcPr>
          <w:p>
            <w:pPr>
              <w:pStyle w:val="DMETW36775BIPRECOVEXP"/>
              <w:rPr>
                <w:rFonts w:ascii="Verdana" w:eastAsia="Verdana" w:hAnsi="Verdana" w:cs="Verdana"/>
                <w:i/>
                <w:noProof/>
                <w:color w:val="000000"/>
                <w:sz w:val="18"/>
              </w:rPr>
            </w:pPr>
            <w:r>
              <w:rPr>
                <w:rFonts w:ascii="Verdana" w:hAnsi="Verdana"/>
                <w:i/>
                <w:noProof/>
                <w:color w:val="000000"/>
                <w:sz w:val="18"/>
              </w:rPr>
              <w:t>Dépenses déléguées aux États membres</w:t>
            </w:r>
          </w:p>
        </w:tc>
        <w:tc>
          <w:tcPr>
            <w:tcW w:w="1778" w:type="dxa"/>
            <w:tcBorders>
              <w:top w:val="nil"/>
              <w:left w:val="nil"/>
              <w:bottom w:val="nil"/>
              <w:right w:val="nil"/>
              <w:tl2br w:val="nil"/>
              <w:tr2bl w:val="nil"/>
            </w:tcBorders>
            <w:tcMar>
              <w:left w:w="60" w:type="dxa"/>
              <w:right w:w="60" w:type="dxa"/>
            </w:tcMar>
            <w:vAlign w:val="center"/>
          </w:tcPr>
          <w:p>
            <w:pPr>
              <w:pStyle w:val="DMETW36775BIPRECOVEXP"/>
              <w:jc w:val="right"/>
              <w:rPr>
                <w:rFonts w:ascii="Verdana" w:eastAsia="Verdana" w:hAnsi="Verdana" w:cs="Verdana"/>
                <w:i/>
                <w:noProof/>
                <w:color w:val="000000"/>
                <w:sz w:val="18"/>
              </w:rPr>
            </w:pPr>
            <w:r>
              <w:rPr>
                <w:rFonts w:ascii="Verdana" w:hAnsi="Verdana"/>
                <w:i/>
                <w:noProof/>
                <w:color w:val="000000"/>
                <w:sz w:val="18"/>
              </w:rPr>
              <w:t>1 291</w:t>
            </w:r>
          </w:p>
        </w:tc>
        <w:tc>
          <w:tcPr>
            <w:tcW w:w="2074" w:type="dxa"/>
            <w:tcBorders>
              <w:top w:val="nil"/>
              <w:left w:val="nil"/>
              <w:bottom w:val="nil"/>
              <w:right w:val="nil"/>
              <w:tl2br w:val="nil"/>
              <w:tr2bl w:val="nil"/>
            </w:tcBorders>
            <w:tcMar>
              <w:left w:w="60" w:type="dxa"/>
              <w:right w:w="60" w:type="dxa"/>
            </w:tcMar>
            <w:vAlign w:val="center"/>
          </w:tcPr>
          <w:p>
            <w:pPr>
              <w:pStyle w:val="DMETW36775BIPRECOVEXP"/>
              <w:jc w:val="right"/>
              <w:rPr>
                <w:rFonts w:ascii="Verdana" w:eastAsia="Verdana" w:hAnsi="Verdana" w:cs="Verdana"/>
                <w:i/>
                <w:noProof/>
                <w:color w:val="000000"/>
                <w:sz w:val="18"/>
              </w:rPr>
            </w:pPr>
            <w:r>
              <w:rPr>
                <w:rFonts w:ascii="Verdana" w:hAnsi="Verdana"/>
                <w:i/>
                <w:noProof/>
                <w:color w:val="000000"/>
                <w:sz w:val="18"/>
              </w:rPr>
              <w:t xml:space="preserve"> 755</w:t>
            </w:r>
          </w:p>
        </w:tc>
      </w:tr>
      <w:tr>
        <w:trPr>
          <w:trHeight w:hRule="exact" w:val="255"/>
        </w:trPr>
        <w:tc>
          <w:tcPr>
            <w:tcW w:w="5906" w:type="dxa"/>
            <w:tcBorders>
              <w:top w:val="nil"/>
              <w:left w:val="nil"/>
              <w:bottom w:val="nil"/>
              <w:right w:val="nil"/>
              <w:tl2br w:val="nil"/>
              <w:tr2bl w:val="nil"/>
            </w:tcBorders>
            <w:tcMar>
              <w:left w:w="60" w:type="dxa"/>
              <w:right w:w="60" w:type="dxa"/>
            </w:tcMar>
            <w:vAlign w:val="center"/>
          </w:tcPr>
          <w:p>
            <w:pPr>
              <w:pStyle w:val="DMETW36775BIPRECOVEXP"/>
              <w:rPr>
                <w:rFonts w:ascii="Verdana" w:eastAsia="Verdana" w:hAnsi="Verdana" w:cs="Verdana"/>
                <w:i/>
                <w:noProof/>
                <w:color w:val="000000"/>
                <w:sz w:val="18"/>
              </w:rPr>
            </w:pPr>
            <w:r>
              <w:rPr>
                <w:rFonts w:ascii="Verdana" w:hAnsi="Verdana"/>
                <w:i/>
                <w:noProof/>
                <w:color w:val="000000"/>
                <w:sz w:val="18"/>
              </w:rPr>
              <w:t>Subventions</w:t>
            </w:r>
          </w:p>
        </w:tc>
        <w:tc>
          <w:tcPr>
            <w:tcW w:w="1778" w:type="dxa"/>
            <w:tcBorders>
              <w:top w:val="nil"/>
              <w:left w:val="nil"/>
              <w:bottom w:val="nil"/>
              <w:right w:val="nil"/>
              <w:tl2br w:val="nil"/>
              <w:tr2bl w:val="nil"/>
            </w:tcBorders>
            <w:tcMar>
              <w:left w:w="60" w:type="dxa"/>
              <w:right w:w="60" w:type="dxa"/>
            </w:tcMar>
            <w:vAlign w:val="center"/>
          </w:tcPr>
          <w:p>
            <w:pPr>
              <w:pStyle w:val="DMETW36775BIPRECOVEXP"/>
              <w:jc w:val="right"/>
              <w:rPr>
                <w:rFonts w:ascii="Verdana" w:eastAsia="Verdana" w:hAnsi="Verdana" w:cs="Verdana"/>
                <w:i/>
                <w:noProof/>
                <w:color w:val="000000"/>
                <w:sz w:val="18"/>
              </w:rPr>
            </w:pPr>
            <w:r>
              <w:rPr>
                <w:rFonts w:ascii="Verdana" w:hAnsi="Verdana"/>
                <w:i/>
                <w:noProof/>
                <w:color w:val="000000"/>
                <w:sz w:val="18"/>
              </w:rPr>
              <w:t xml:space="preserve"> 34</w:t>
            </w:r>
          </w:p>
        </w:tc>
        <w:tc>
          <w:tcPr>
            <w:tcW w:w="2074" w:type="dxa"/>
            <w:tcBorders>
              <w:top w:val="nil"/>
              <w:left w:val="nil"/>
              <w:bottom w:val="nil"/>
              <w:right w:val="nil"/>
              <w:tl2br w:val="nil"/>
              <w:tr2bl w:val="nil"/>
            </w:tcBorders>
            <w:tcMar>
              <w:left w:w="60" w:type="dxa"/>
              <w:right w:w="60" w:type="dxa"/>
            </w:tcMar>
            <w:vAlign w:val="center"/>
          </w:tcPr>
          <w:p>
            <w:pPr>
              <w:pStyle w:val="DMETW36775BIPRECOVEXP"/>
              <w:jc w:val="right"/>
              <w:rPr>
                <w:rFonts w:ascii="Verdana" w:eastAsia="Verdana" w:hAnsi="Verdana" w:cs="Verdana"/>
                <w:i/>
                <w:noProof/>
                <w:color w:val="000000"/>
                <w:sz w:val="18"/>
              </w:rPr>
            </w:pPr>
            <w:r>
              <w:rPr>
                <w:rFonts w:ascii="Verdana" w:hAnsi="Verdana"/>
                <w:i/>
                <w:noProof/>
                <w:color w:val="000000"/>
                <w:sz w:val="18"/>
              </w:rPr>
              <w:t xml:space="preserve"> 157</w:t>
            </w:r>
          </w:p>
        </w:tc>
      </w:tr>
      <w:tr>
        <w:trPr>
          <w:trHeight w:hRule="exact" w:val="255"/>
        </w:trPr>
        <w:tc>
          <w:tcPr>
            <w:tcW w:w="5906" w:type="dxa"/>
            <w:tcBorders>
              <w:top w:val="nil"/>
              <w:left w:val="nil"/>
              <w:bottom w:val="nil"/>
              <w:right w:val="nil"/>
              <w:tl2br w:val="nil"/>
              <w:tr2bl w:val="nil"/>
            </w:tcBorders>
            <w:tcMar>
              <w:left w:w="60" w:type="dxa"/>
              <w:right w:w="60" w:type="dxa"/>
            </w:tcMar>
            <w:vAlign w:val="center"/>
          </w:tcPr>
          <w:p>
            <w:pPr>
              <w:pStyle w:val="DMETW36775BIPRECOVEXP"/>
              <w:rPr>
                <w:rFonts w:ascii="Verdana" w:eastAsia="Verdana" w:hAnsi="Verdana" w:cs="Verdana"/>
                <w:i/>
                <w:noProof/>
                <w:color w:val="000000"/>
                <w:sz w:val="18"/>
              </w:rPr>
            </w:pPr>
            <w:r>
              <w:rPr>
                <w:rFonts w:ascii="Verdana" w:hAnsi="Verdana"/>
                <w:i/>
                <w:noProof/>
                <w:color w:val="000000"/>
                <w:sz w:val="18"/>
              </w:rPr>
              <w:t>Conventions de contribution/délégation</w:t>
            </w:r>
          </w:p>
        </w:tc>
        <w:tc>
          <w:tcPr>
            <w:tcW w:w="1778" w:type="dxa"/>
            <w:tcBorders>
              <w:top w:val="nil"/>
              <w:left w:val="nil"/>
              <w:bottom w:val="nil"/>
              <w:right w:val="nil"/>
              <w:tl2br w:val="nil"/>
              <w:tr2bl w:val="nil"/>
            </w:tcBorders>
            <w:tcMar>
              <w:left w:w="60" w:type="dxa"/>
              <w:right w:w="60" w:type="dxa"/>
            </w:tcMar>
            <w:vAlign w:val="center"/>
          </w:tcPr>
          <w:p>
            <w:pPr>
              <w:pStyle w:val="DMETW36775BIPRECOVEXP"/>
              <w:jc w:val="right"/>
              <w:rPr>
                <w:rFonts w:ascii="Verdana" w:eastAsia="Verdana" w:hAnsi="Verdana" w:cs="Verdana"/>
                <w:i/>
                <w:noProof/>
                <w:color w:val="000000"/>
                <w:sz w:val="18"/>
              </w:rPr>
            </w:pPr>
            <w:r>
              <w:rPr>
                <w:rFonts w:ascii="Verdana" w:hAnsi="Verdana"/>
                <w:i/>
                <w:noProof/>
                <w:color w:val="000000"/>
                <w:sz w:val="18"/>
              </w:rPr>
              <w:t xml:space="preserve"> 50</w:t>
            </w:r>
          </w:p>
        </w:tc>
        <w:tc>
          <w:tcPr>
            <w:tcW w:w="2074" w:type="dxa"/>
            <w:tcBorders>
              <w:top w:val="nil"/>
              <w:left w:val="nil"/>
              <w:bottom w:val="nil"/>
              <w:right w:val="nil"/>
              <w:tl2br w:val="nil"/>
              <w:tr2bl w:val="nil"/>
            </w:tcBorders>
            <w:tcMar>
              <w:left w:w="60" w:type="dxa"/>
              <w:right w:w="60" w:type="dxa"/>
            </w:tcMar>
            <w:vAlign w:val="center"/>
          </w:tcPr>
          <w:p>
            <w:pPr>
              <w:pStyle w:val="DMETW36775BIPRECOVEXP"/>
              <w:jc w:val="right"/>
              <w:rPr>
                <w:rFonts w:ascii="Verdana" w:eastAsia="Verdana" w:hAnsi="Verdana" w:cs="Verdana"/>
                <w:i/>
                <w:noProof/>
                <w:color w:val="000000"/>
                <w:sz w:val="18"/>
              </w:rPr>
            </w:pPr>
            <w:r>
              <w:rPr>
                <w:rFonts w:ascii="Verdana" w:hAnsi="Verdana"/>
                <w:i/>
                <w:noProof/>
                <w:color w:val="000000"/>
                <w:sz w:val="18"/>
              </w:rPr>
              <w:t xml:space="preserve"> 44</w:t>
            </w:r>
          </w:p>
        </w:tc>
      </w:tr>
      <w:tr>
        <w:trPr>
          <w:trHeight w:hRule="exact" w:val="255"/>
        </w:trPr>
        <w:tc>
          <w:tcPr>
            <w:tcW w:w="5906" w:type="dxa"/>
            <w:tcBorders>
              <w:top w:val="nil"/>
              <w:left w:val="nil"/>
              <w:bottom w:val="nil"/>
              <w:right w:val="nil"/>
              <w:tl2br w:val="nil"/>
              <w:tr2bl w:val="nil"/>
            </w:tcBorders>
            <w:tcMar>
              <w:left w:w="60" w:type="dxa"/>
              <w:right w:w="60" w:type="dxa"/>
            </w:tcMar>
            <w:vAlign w:val="center"/>
          </w:tcPr>
          <w:p>
            <w:pPr>
              <w:pStyle w:val="DMETW36775BIPRECOVEXP"/>
              <w:rPr>
                <w:rFonts w:ascii="Verdana" w:eastAsia="Verdana" w:hAnsi="Verdana" w:cs="Verdana"/>
                <w:i/>
                <w:noProof/>
                <w:color w:val="000000"/>
                <w:sz w:val="18"/>
              </w:rPr>
            </w:pPr>
            <w:r>
              <w:rPr>
                <w:rFonts w:ascii="Verdana" w:hAnsi="Verdana"/>
                <w:i/>
                <w:noProof/>
                <w:color w:val="000000"/>
                <w:sz w:val="18"/>
              </w:rPr>
              <w:t>Autres</w:t>
            </w:r>
          </w:p>
        </w:tc>
        <w:tc>
          <w:tcPr>
            <w:tcW w:w="1778" w:type="dxa"/>
            <w:tcBorders>
              <w:top w:val="nil"/>
              <w:left w:val="nil"/>
              <w:bottom w:val="nil"/>
              <w:right w:val="nil"/>
              <w:tl2br w:val="nil"/>
              <w:tr2bl w:val="nil"/>
            </w:tcBorders>
            <w:tcMar>
              <w:left w:w="60" w:type="dxa"/>
              <w:right w:w="60" w:type="dxa"/>
            </w:tcMar>
            <w:vAlign w:val="center"/>
          </w:tcPr>
          <w:p>
            <w:pPr>
              <w:pStyle w:val="DMETW36775BIPRECOVEXP"/>
              <w:jc w:val="right"/>
              <w:rPr>
                <w:rFonts w:ascii="Verdana" w:eastAsia="Verdana" w:hAnsi="Verdana" w:cs="Verdana"/>
                <w:i/>
                <w:noProof/>
                <w:color w:val="000000"/>
                <w:sz w:val="18"/>
              </w:rPr>
            </w:pPr>
            <w:r>
              <w:rPr>
                <w:rFonts w:ascii="Verdana" w:hAnsi="Verdana"/>
                <w:i/>
                <w:noProof/>
                <w:color w:val="000000"/>
                <w:sz w:val="18"/>
              </w:rPr>
              <w:t xml:space="preserve"> 1</w:t>
            </w:r>
          </w:p>
        </w:tc>
        <w:tc>
          <w:tcPr>
            <w:tcW w:w="2074" w:type="dxa"/>
            <w:tcBorders>
              <w:top w:val="nil"/>
              <w:left w:val="nil"/>
              <w:bottom w:val="nil"/>
              <w:right w:val="nil"/>
              <w:tl2br w:val="nil"/>
              <w:tr2bl w:val="nil"/>
            </w:tcBorders>
            <w:tcMar>
              <w:left w:w="60" w:type="dxa"/>
              <w:right w:w="60" w:type="dxa"/>
            </w:tcMar>
            <w:vAlign w:val="center"/>
          </w:tcPr>
          <w:p>
            <w:pPr>
              <w:pStyle w:val="DMETW36775BIPRECOVEXP"/>
              <w:jc w:val="right"/>
              <w:rPr>
                <w:rFonts w:ascii="Verdana" w:eastAsia="Verdana" w:hAnsi="Verdana" w:cs="Verdana"/>
                <w:i/>
                <w:noProof/>
                <w:color w:val="000000"/>
                <w:sz w:val="18"/>
              </w:rPr>
            </w:pPr>
            <w:r>
              <w:rPr>
                <w:rFonts w:ascii="Verdana" w:hAnsi="Verdana"/>
                <w:i/>
                <w:noProof/>
                <w:color w:val="000000"/>
                <w:sz w:val="18"/>
              </w:rPr>
              <w:t>-</w:t>
            </w:r>
          </w:p>
        </w:tc>
      </w:tr>
      <w:tr>
        <w:trPr>
          <w:trHeight w:hRule="exact" w:val="255"/>
        </w:trPr>
        <w:tc>
          <w:tcPr>
            <w:tcW w:w="5906" w:type="dxa"/>
            <w:tcBorders>
              <w:top w:val="nil"/>
              <w:left w:val="nil"/>
              <w:bottom w:val="nil"/>
              <w:right w:val="nil"/>
              <w:tl2br w:val="nil"/>
              <w:tr2bl w:val="nil"/>
            </w:tcBorders>
            <w:shd w:val="solid" w:color="CCE1EA" w:fill="FFFFFF"/>
            <w:tcMar>
              <w:left w:w="60" w:type="dxa"/>
              <w:right w:w="60" w:type="dxa"/>
            </w:tcMar>
            <w:vAlign w:val="center"/>
          </w:tcPr>
          <w:p>
            <w:pPr>
              <w:pStyle w:val="DMETW36775BIPRECOVEXP"/>
              <w:rPr>
                <w:rFonts w:ascii="Verdana" w:eastAsia="Verdana" w:hAnsi="Verdana" w:cs="Verdana"/>
                <w:b/>
                <w:noProof/>
                <w:color w:val="000000"/>
                <w:sz w:val="18"/>
              </w:rPr>
            </w:pPr>
            <w:r>
              <w:rPr>
                <w:rFonts w:ascii="Verdana" w:hAnsi="Verdana"/>
                <w:b/>
                <w:noProof/>
                <w:color w:val="000000"/>
                <w:sz w:val="18"/>
              </w:rPr>
              <w:t>Total</w:t>
            </w:r>
          </w:p>
        </w:tc>
        <w:tc>
          <w:tcPr>
            <w:tcW w:w="1778" w:type="dxa"/>
            <w:tcBorders>
              <w:top w:val="nil"/>
              <w:left w:val="nil"/>
              <w:bottom w:val="nil"/>
              <w:right w:val="nil"/>
              <w:tl2br w:val="nil"/>
              <w:tr2bl w:val="nil"/>
            </w:tcBorders>
            <w:shd w:val="solid" w:color="CCE1EA" w:fill="FFFFFF"/>
            <w:tcMar>
              <w:left w:w="60" w:type="dxa"/>
              <w:right w:w="60" w:type="dxa"/>
            </w:tcMar>
            <w:vAlign w:val="center"/>
          </w:tcPr>
          <w:p>
            <w:pPr>
              <w:pStyle w:val="DMETW36775BIPRECOVEXP"/>
              <w:jc w:val="right"/>
              <w:rPr>
                <w:rFonts w:ascii="Verdana" w:eastAsia="Verdana" w:hAnsi="Verdana" w:cs="Verdana"/>
                <w:b/>
                <w:noProof/>
                <w:color w:val="000000"/>
                <w:sz w:val="18"/>
              </w:rPr>
            </w:pPr>
            <w:r>
              <w:rPr>
                <w:rFonts w:ascii="Verdana" w:hAnsi="Verdana"/>
                <w:b/>
                <w:noProof/>
                <w:color w:val="000000"/>
                <w:sz w:val="18"/>
              </w:rPr>
              <w:t>1 376</w:t>
            </w:r>
          </w:p>
        </w:tc>
        <w:tc>
          <w:tcPr>
            <w:tcW w:w="2074" w:type="dxa"/>
            <w:tcBorders>
              <w:top w:val="nil"/>
              <w:left w:val="nil"/>
              <w:bottom w:val="nil"/>
              <w:right w:val="nil"/>
              <w:tl2br w:val="nil"/>
              <w:tr2bl w:val="nil"/>
            </w:tcBorders>
            <w:shd w:val="solid" w:color="CCE1EA" w:fill="FFFFFF"/>
            <w:tcMar>
              <w:left w:w="60" w:type="dxa"/>
              <w:right w:w="60" w:type="dxa"/>
            </w:tcMar>
            <w:vAlign w:val="center"/>
          </w:tcPr>
          <w:p>
            <w:pPr>
              <w:pStyle w:val="DMETW36775BIPRECOVEXP"/>
              <w:jc w:val="right"/>
              <w:rPr>
                <w:rFonts w:ascii="Verdana" w:eastAsia="Verdana" w:hAnsi="Verdana" w:cs="Verdana"/>
                <w:b/>
                <w:noProof/>
                <w:color w:val="000000"/>
                <w:sz w:val="18"/>
              </w:rPr>
            </w:pPr>
            <w:r>
              <w:rPr>
                <w:rFonts w:ascii="Verdana" w:hAnsi="Verdana"/>
                <w:b/>
                <w:noProof/>
                <w:color w:val="000000"/>
                <w:sz w:val="18"/>
              </w:rPr>
              <w:t xml:space="preserve"> 957</w:t>
            </w:r>
          </w:p>
        </w:tc>
      </w:tr>
    </w:tbl>
    <w:p>
      <w:pPr>
        <w:pStyle w:val="DGTextstand-alone"/>
      </w:pPr>
      <w:r>
        <w:t>Cette rubrique représente principalement les ordres de recouvrement émis par la Commission qui sont encaissés ou qui font l’objet d’une compensation (c’est-à-dire d’une déduction) par rapport à des paiements ultérieurs enregistrés dans le système comptable de la Commission. Les ordres de recouvrement sont émis de manière à permettre le recouvrement des montants précédemment payés sur le budget de l’UE. Les recouvrements sont fondés sur des contrôles, des audits ou des analyses d’éligibilité, si bien que ces opérations protègent le budget de l’Union contre les dépenses engagées en violation du droit.</w:t>
      </w:r>
    </w:p>
    <w:p>
      <w:pPr>
        <w:pStyle w:val="DGTextstand-alone"/>
      </w:pPr>
      <w:r>
        <w:t>Les ordres de recouvrement émis par les États membres à l’intention des bénéficiaires des dépenses du FEAGA, ainsi que les fluctuations des estimations des produits à recevoir entre la fin de l’exercice précédent et la fin de l’exercice en cours, sont également inclus.</w:t>
      </w:r>
    </w:p>
    <w:p>
      <w:pPr>
        <w:pStyle w:val="Textstand-alone"/>
        <w:spacing w:before="0"/>
      </w:pPr>
      <w:r>
        <w:t xml:space="preserve">Les montants repris dans le tableau ci-dessus représentent les recettes perçues au moyen de l’émission d’ordres de recouvrement. Ces chiffres ne peuvent exprimer et n’expriment donc pas toute l’ampleur des mesures prises pour protéger le budget de l’UE, en particulier pour la politique de cohésion, où des mécanismes spécifiques ont été mis en place pour assurer la correction des dépenses inéligibles, et dont la plupart n’impliquent pas l’émission d’un ordre de recouvrement. Le budget de l’UE est également protégé par des retraits de dépenses et la récupération de préfinancements. Les recouvrements liés aux dépenses déléguées aux États membres </w:t>
      </w:r>
      <w:r>
        <w:rPr>
          <w:rStyle w:val="DGTextstand-aloneChar"/>
        </w:rPr>
        <w:t>représentent l’essentiel du total:</w:t>
      </w:r>
    </w:p>
    <w:p>
      <w:pPr>
        <w:pStyle w:val="HEADER5"/>
        <w:rPr>
          <w:noProof/>
        </w:rPr>
      </w:pPr>
      <w:r>
        <w:rPr>
          <w:noProof/>
        </w:rPr>
        <w:t>Agriculture: FEAGA et développement rural</w:t>
      </w:r>
    </w:p>
    <w:p>
      <w:pPr>
        <w:pStyle w:val="DGTextstand-alone"/>
      </w:pPr>
      <w:r>
        <w:t xml:space="preserve">Dans le cadre du FEAGA et du Feader, les montants inscrits en produits de l’exercice sous cette rubrique sont des corrections financières de l’exercice et des remboursements déclarés par les États membres et perçus au cours de l’exercice, auxquels s’ajoute l’augmentation nette des montants en suspens déclarés par les États membres à recouvrer en fin d'exercice au titre des fraudes et irrégularités. </w:t>
      </w:r>
    </w:p>
    <w:p>
      <w:pPr>
        <w:pStyle w:val="HEADER5"/>
        <w:rPr>
          <w:noProof/>
        </w:rPr>
      </w:pPr>
      <w:r>
        <w:rPr>
          <w:noProof/>
        </w:rPr>
        <w:t>Politique de cohésion</w:t>
      </w:r>
    </w:p>
    <w:p>
      <w:pPr>
        <w:pStyle w:val="DGTextstand-alone"/>
        <w:spacing w:after="0"/>
        <w:rPr>
          <w:color w:val="000000" w:themeColor="text1"/>
        </w:rPr>
      </w:pPr>
      <w:r>
        <w:rPr>
          <w:color w:val="000000" w:themeColor="text1"/>
        </w:rPr>
        <w:t xml:space="preserve">Les principaux montants liés à la politique de cohésion sont ceux que la Commission s’attend à recouvrer auprès des États membres. Le recouvrement aura lieu à la suite de l’examen et de l’acceptation des comptes annuels présentés par les États membres au début de 2026. Les montants à recouvrer représentent essentiellement la différence entre les montants initialement déclarés comme éligibles au cours de l’année comptable et les montants confirmés comme éligibles dans les comptes annuels des États membres. Un montant faible signifie que les contrôles pratiqués au niveau de l’État membre ont permis la détection de montants inéligibles au début du processus. </w:t>
      </w:r>
    </w:p>
    <w:p>
      <w:pPr>
        <w:numPr>
          <w:ilvl w:val="1"/>
          <w:numId w:val="15"/>
        </w:numPr>
        <w:tabs>
          <w:tab w:val="left" w:pos="907"/>
        </w:tabs>
        <w:spacing w:before="360" w:after="360"/>
        <w:rPr>
          <w:rFonts w:ascii="Verdana" w:hAnsi="Verdana"/>
          <w:b/>
          <w:noProof/>
          <w:color w:val="016794"/>
          <w:sz w:val="28"/>
          <w:szCs w:val="28"/>
        </w:rPr>
      </w:pPr>
      <w:r>
        <w:rPr>
          <w:rFonts w:ascii="Verdana" w:hAnsi="Verdana"/>
          <w:b/>
          <w:noProof/>
          <w:color w:val="016794"/>
          <w:sz w:val="28"/>
        </w:rPr>
        <w:lastRenderedPageBreak/>
        <w:t>ACCORD DE RETRAIT DU ROYAUME-UNI</w:t>
      </w:r>
    </w:p>
    <w:p>
      <w:pPr>
        <w:pStyle w:val="DGTextstand-alone"/>
      </w:pPr>
      <w:bookmarkStart w:id="179" w:name="_Hlk162264662"/>
      <w:r>
        <w:t>Ces recettes correspondent aux montants nets dus par le Royaume-Uni au titre de l’accord de retrait signé à la suite de son départ de l’Union en 2020 (voir note </w:t>
      </w:r>
      <w:r>
        <w:rPr>
          <w:b/>
        </w:rPr>
        <w:t>2.6.1.2</w:t>
      </w:r>
      <w:r>
        <w:t>), ajustés chaque année conformément aux exigences dudit accord. En 2025, il n’y a pas eu de recettes résultant de l’accord de retrait du Royaume-Uni; au lieu de cela, une charge de 465 millions d’EUR a été comptabilisée.</w:t>
      </w:r>
    </w:p>
    <w:bookmarkEnd w:id="179"/>
    <w:p>
      <w:pPr>
        <w:numPr>
          <w:ilvl w:val="1"/>
          <w:numId w:val="15"/>
        </w:numPr>
        <w:tabs>
          <w:tab w:val="left" w:pos="907"/>
        </w:tabs>
        <w:spacing w:before="360" w:after="360"/>
        <w:rPr>
          <w:rFonts w:ascii="Verdana" w:hAnsi="Verdana"/>
          <w:b/>
          <w:noProof/>
          <w:color w:val="016794"/>
          <w:sz w:val="28"/>
          <w:szCs w:val="28"/>
        </w:rPr>
      </w:pPr>
      <w:r>
        <w:rPr>
          <w:rFonts w:ascii="Verdana" w:hAnsi="Verdana"/>
          <w:b/>
          <w:noProof/>
          <w:color w:val="016794"/>
          <w:sz w:val="28"/>
        </w:rPr>
        <w:t>AUTRES PRODUITS DES OPÉRATIONS SANS CONTREPARTIE DIRECTE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89"/>
        <w:gridCol w:w="1511"/>
        <w:gridCol w:w="2258"/>
      </w:tblGrid>
      <w:tr>
        <w:trPr>
          <w:trHeight w:hRule="exact" w:val="255"/>
        </w:trPr>
        <w:tc>
          <w:tcPr>
            <w:tcW w:w="5989" w:type="dxa"/>
            <w:tcBorders>
              <w:top w:val="nil"/>
              <w:left w:val="nil"/>
              <w:bottom w:val="nil"/>
              <w:right w:val="nil"/>
              <w:tl2br w:val="nil"/>
              <w:tr2bl w:val="nil"/>
            </w:tcBorders>
            <w:tcMar>
              <w:left w:w="60" w:type="dxa"/>
              <w:right w:w="60" w:type="dxa"/>
            </w:tcMar>
            <w:vAlign w:val="bottom"/>
          </w:tcPr>
          <w:p>
            <w:pPr>
              <w:pStyle w:val="DMETW36749BIPONER"/>
              <w:rPr>
                <w:rFonts w:ascii="Arial" w:eastAsia="Arial" w:hAnsi="Arial" w:cs="Arial"/>
                <w:noProof/>
                <w:color w:val="000000"/>
              </w:rPr>
            </w:pPr>
            <w:bookmarkStart w:id="180" w:name="DOC_TBL00067_1_1"/>
            <w:bookmarkEnd w:id="180"/>
          </w:p>
        </w:tc>
        <w:tc>
          <w:tcPr>
            <w:tcW w:w="1511" w:type="dxa"/>
            <w:tcBorders>
              <w:top w:val="nil"/>
              <w:left w:val="nil"/>
              <w:bottom w:val="nil"/>
              <w:right w:val="nil"/>
              <w:tl2br w:val="nil"/>
              <w:tr2bl w:val="nil"/>
            </w:tcBorders>
            <w:tcMar>
              <w:left w:w="60" w:type="dxa"/>
              <w:right w:w="60" w:type="dxa"/>
            </w:tcMar>
            <w:vAlign w:val="bottom"/>
          </w:tcPr>
          <w:p>
            <w:pPr>
              <w:pStyle w:val="DMETW36749BIPONER"/>
              <w:rPr>
                <w:rFonts w:ascii="Arial" w:eastAsia="Arial" w:hAnsi="Arial" w:cs="Arial"/>
                <w:noProof/>
                <w:color w:val="000000"/>
              </w:rPr>
            </w:pPr>
          </w:p>
        </w:tc>
        <w:tc>
          <w:tcPr>
            <w:tcW w:w="2258" w:type="dxa"/>
            <w:tcBorders>
              <w:top w:val="nil"/>
              <w:left w:val="nil"/>
              <w:bottom w:val="nil"/>
              <w:right w:val="nil"/>
              <w:tl2br w:val="nil"/>
              <w:tr2bl w:val="nil"/>
            </w:tcBorders>
            <w:tcMar>
              <w:left w:w="60" w:type="dxa"/>
              <w:right w:w="60" w:type="dxa"/>
            </w:tcMar>
            <w:vAlign w:val="bottom"/>
          </w:tcPr>
          <w:p>
            <w:pPr>
              <w:pStyle w:val="DMETW36749BIPONER"/>
              <w:jc w:val="right"/>
              <w:rPr>
                <w:rFonts w:ascii="Verdana" w:eastAsia="Verdana" w:hAnsi="Verdana" w:cs="Verdana"/>
                <w:i/>
                <w:noProof/>
                <w:color w:val="000000"/>
                <w:sz w:val="16"/>
              </w:rPr>
            </w:pPr>
            <w:r>
              <w:rPr>
                <w:rFonts w:ascii="Verdana" w:hAnsi="Verdana"/>
                <w:i/>
                <w:noProof/>
                <w:color w:val="000000"/>
                <w:sz w:val="16"/>
              </w:rPr>
              <w:t>en Mio EUR</w:t>
            </w:r>
          </w:p>
        </w:tc>
      </w:tr>
      <w:tr>
        <w:trPr>
          <w:trHeight w:hRule="exact" w:val="255"/>
        </w:trPr>
        <w:tc>
          <w:tcPr>
            <w:tcW w:w="5989" w:type="dxa"/>
            <w:tcBorders>
              <w:top w:val="nil"/>
              <w:left w:val="nil"/>
              <w:bottom w:val="nil"/>
              <w:right w:val="nil"/>
              <w:tl2br w:val="nil"/>
              <w:tr2bl w:val="nil"/>
            </w:tcBorders>
            <w:shd w:val="solid" w:color="016794" w:fill="FFFFFF"/>
            <w:tcMar>
              <w:left w:w="60" w:type="dxa"/>
              <w:right w:w="60" w:type="dxa"/>
            </w:tcMar>
            <w:vAlign w:val="center"/>
          </w:tcPr>
          <w:p>
            <w:pPr>
              <w:pStyle w:val="DMETW36749BIPONER"/>
              <w:jc w:val="right"/>
              <w:rPr>
                <w:rFonts w:ascii="Verdana" w:eastAsia="Verdana" w:hAnsi="Verdana" w:cs="Verdana"/>
                <w:noProof/>
                <w:color w:val="FFFFFF"/>
              </w:rPr>
            </w:pPr>
          </w:p>
        </w:tc>
        <w:tc>
          <w:tcPr>
            <w:tcW w:w="1511" w:type="dxa"/>
            <w:tcBorders>
              <w:top w:val="nil"/>
              <w:left w:val="nil"/>
              <w:bottom w:val="nil"/>
              <w:right w:val="nil"/>
              <w:tl2br w:val="nil"/>
              <w:tr2bl w:val="nil"/>
            </w:tcBorders>
            <w:shd w:val="solid" w:color="016794" w:fill="FFFFFF"/>
            <w:tcMar>
              <w:left w:w="60" w:type="dxa"/>
              <w:right w:w="60" w:type="dxa"/>
            </w:tcMar>
            <w:vAlign w:val="center"/>
          </w:tcPr>
          <w:p>
            <w:pPr>
              <w:pStyle w:val="DMETW36749BIPONER"/>
              <w:jc w:val="right"/>
              <w:rPr>
                <w:rFonts w:ascii="Verdana" w:eastAsia="Verdana" w:hAnsi="Verdana" w:cs="Verdana"/>
                <w:noProof/>
                <w:color w:val="FFFFFF"/>
              </w:rPr>
            </w:pPr>
            <w:r>
              <w:rPr>
                <w:rFonts w:ascii="Verdana" w:hAnsi="Verdana"/>
                <w:noProof/>
                <w:color w:val="FFFFFF"/>
              </w:rPr>
              <w:t>2025</w:t>
            </w:r>
          </w:p>
        </w:tc>
        <w:tc>
          <w:tcPr>
            <w:tcW w:w="2258" w:type="dxa"/>
            <w:tcBorders>
              <w:top w:val="nil"/>
              <w:left w:val="nil"/>
              <w:bottom w:val="nil"/>
              <w:right w:val="nil"/>
              <w:tl2br w:val="nil"/>
              <w:tr2bl w:val="nil"/>
            </w:tcBorders>
            <w:shd w:val="solid" w:color="016794" w:fill="FFFFFF"/>
            <w:tcMar>
              <w:left w:w="60" w:type="dxa"/>
              <w:right w:w="60" w:type="dxa"/>
            </w:tcMar>
            <w:vAlign w:val="center"/>
          </w:tcPr>
          <w:p>
            <w:pPr>
              <w:pStyle w:val="DMETW36749BIPONER"/>
              <w:jc w:val="right"/>
              <w:rPr>
                <w:rFonts w:ascii="Verdana" w:eastAsia="Verdana" w:hAnsi="Verdana" w:cs="Verdana"/>
                <w:noProof/>
                <w:color w:val="FFFFFF"/>
              </w:rPr>
            </w:pPr>
            <w:r>
              <w:rPr>
                <w:rFonts w:ascii="Verdana" w:hAnsi="Verdana"/>
                <w:noProof/>
                <w:color w:val="FFFFFF"/>
              </w:rPr>
              <w:t>2024</w:t>
            </w:r>
          </w:p>
        </w:tc>
      </w:tr>
      <w:tr>
        <w:trPr>
          <w:trHeight w:hRule="exact" w:val="255"/>
        </w:trPr>
        <w:tc>
          <w:tcPr>
            <w:tcW w:w="5989" w:type="dxa"/>
            <w:tcBorders>
              <w:top w:val="nil"/>
              <w:left w:val="nil"/>
              <w:bottom w:val="nil"/>
              <w:right w:val="nil"/>
              <w:tl2br w:val="nil"/>
              <w:tr2bl w:val="nil"/>
            </w:tcBorders>
            <w:tcMar>
              <w:left w:w="60" w:type="dxa"/>
              <w:right w:w="60" w:type="dxa"/>
            </w:tcMar>
            <w:vAlign w:val="center"/>
          </w:tcPr>
          <w:p>
            <w:pPr>
              <w:pStyle w:val="DMETW36749BIPONER"/>
              <w:rPr>
                <w:rFonts w:ascii="Verdana" w:eastAsia="Verdana" w:hAnsi="Verdana" w:cs="Verdana"/>
                <w:i/>
                <w:noProof/>
                <w:color w:val="000000"/>
                <w:sz w:val="18"/>
              </w:rPr>
            </w:pPr>
            <w:r>
              <w:rPr>
                <w:rFonts w:ascii="Verdana" w:hAnsi="Verdana"/>
                <w:i/>
                <w:noProof/>
                <w:color w:val="000000"/>
                <w:sz w:val="18"/>
              </w:rPr>
              <w:t>Contributions des États membres:</w:t>
            </w:r>
          </w:p>
        </w:tc>
        <w:tc>
          <w:tcPr>
            <w:tcW w:w="1511" w:type="dxa"/>
            <w:tcBorders>
              <w:top w:val="nil"/>
              <w:left w:val="nil"/>
              <w:bottom w:val="nil"/>
              <w:right w:val="nil"/>
              <w:tl2br w:val="nil"/>
              <w:tr2bl w:val="nil"/>
            </w:tcBorders>
            <w:tcMar>
              <w:left w:w="60" w:type="dxa"/>
              <w:right w:w="60" w:type="dxa"/>
            </w:tcMar>
            <w:vAlign w:val="center"/>
          </w:tcPr>
          <w:p>
            <w:pPr>
              <w:pStyle w:val="DMETW36749BIPONER"/>
              <w:jc w:val="right"/>
              <w:rPr>
                <w:rFonts w:ascii="Verdana" w:eastAsia="Verdana" w:hAnsi="Verdana" w:cs="Verdana"/>
                <w:i/>
                <w:noProof/>
                <w:color w:val="000000"/>
                <w:sz w:val="18"/>
              </w:rPr>
            </w:pPr>
          </w:p>
        </w:tc>
        <w:tc>
          <w:tcPr>
            <w:tcW w:w="2258" w:type="dxa"/>
            <w:tcBorders>
              <w:top w:val="nil"/>
              <w:left w:val="nil"/>
              <w:bottom w:val="nil"/>
              <w:right w:val="nil"/>
              <w:tl2br w:val="nil"/>
              <w:tr2bl w:val="nil"/>
            </w:tcBorders>
            <w:tcMar>
              <w:left w:w="60" w:type="dxa"/>
              <w:right w:w="60" w:type="dxa"/>
            </w:tcMar>
            <w:vAlign w:val="center"/>
          </w:tcPr>
          <w:p>
            <w:pPr>
              <w:pStyle w:val="DMETW36749BIPONER"/>
              <w:jc w:val="right"/>
              <w:rPr>
                <w:rFonts w:ascii="Verdana" w:eastAsia="Verdana" w:hAnsi="Verdana" w:cs="Verdana"/>
                <w:i/>
                <w:noProof/>
                <w:color w:val="000000"/>
                <w:sz w:val="18"/>
                <w:lang w:bidi="en-GB"/>
              </w:rPr>
            </w:pPr>
          </w:p>
        </w:tc>
      </w:tr>
      <w:tr>
        <w:trPr>
          <w:trHeight w:hRule="exact" w:val="255"/>
        </w:trPr>
        <w:tc>
          <w:tcPr>
            <w:tcW w:w="5989" w:type="dxa"/>
            <w:tcBorders>
              <w:top w:val="nil"/>
              <w:left w:val="nil"/>
              <w:bottom w:val="nil"/>
              <w:right w:val="nil"/>
              <w:tl2br w:val="nil"/>
              <w:tr2bl w:val="nil"/>
            </w:tcBorders>
            <w:tcMar>
              <w:left w:w="60" w:type="dxa"/>
              <w:right w:w="60" w:type="dxa"/>
            </w:tcMar>
            <w:vAlign w:val="center"/>
          </w:tcPr>
          <w:p>
            <w:pPr>
              <w:pStyle w:val="DMETW36749BIPONER"/>
              <w:rPr>
                <w:rFonts w:ascii="Verdana" w:eastAsia="Verdana" w:hAnsi="Verdana" w:cs="Verdana"/>
                <w:i/>
                <w:noProof/>
                <w:color w:val="000000"/>
                <w:sz w:val="18"/>
              </w:rPr>
            </w:pPr>
            <w:r>
              <w:rPr>
                <w:rFonts w:ascii="Verdana" w:hAnsi="Verdana"/>
                <w:i/>
                <w:noProof/>
                <w:color w:val="000000"/>
                <w:sz w:val="18"/>
              </w:rPr>
              <w:t xml:space="preserve">     Fonds pour l’innovation</w:t>
            </w:r>
          </w:p>
        </w:tc>
        <w:tc>
          <w:tcPr>
            <w:tcW w:w="1511" w:type="dxa"/>
            <w:tcBorders>
              <w:top w:val="nil"/>
              <w:left w:val="nil"/>
              <w:bottom w:val="nil"/>
              <w:right w:val="nil"/>
              <w:tl2br w:val="nil"/>
              <w:tr2bl w:val="nil"/>
            </w:tcBorders>
            <w:tcMar>
              <w:left w:w="60" w:type="dxa"/>
              <w:right w:w="60" w:type="dxa"/>
            </w:tcMar>
            <w:vAlign w:val="center"/>
          </w:tcPr>
          <w:p>
            <w:pPr>
              <w:pStyle w:val="DMETW36749BIPONER"/>
              <w:jc w:val="right"/>
              <w:rPr>
                <w:rFonts w:ascii="Verdana" w:eastAsia="Verdana" w:hAnsi="Verdana" w:cs="Verdana"/>
                <w:i/>
                <w:noProof/>
                <w:color w:val="000000"/>
                <w:sz w:val="18"/>
              </w:rPr>
            </w:pPr>
            <w:r>
              <w:rPr>
                <w:rFonts w:ascii="Verdana" w:hAnsi="Verdana"/>
                <w:i/>
                <w:noProof/>
                <w:color w:val="000000"/>
                <w:sz w:val="18"/>
              </w:rPr>
              <w:t>2 614</w:t>
            </w:r>
          </w:p>
        </w:tc>
        <w:tc>
          <w:tcPr>
            <w:tcW w:w="2258" w:type="dxa"/>
            <w:tcBorders>
              <w:top w:val="nil"/>
              <w:left w:val="nil"/>
              <w:bottom w:val="nil"/>
              <w:right w:val="nil"/>
              <w:tl2br w:val="nil"/>
              <w:tr2bl w:val="nil"/>
            </w:tcBorders>
            <w:tcMar>
              <w:left w:w="60" w:type="dxa"/>
              <w:right w:w="60" w:type="dxa"/>
            </w:tcMar>
            <w:vAlign w:val="center"/>
          </w:tcPr>
          <w:p>
            <w:pPr>
              <w:pStyle w:val="DMETW36749BIPONER"/>
              <w:jc w:val="right"/>
              <w:rPr>
                <w:rFonts w:ascii="Verdana" w:eastAsia="Verdana" w:hAnsi="Verdana" w:cs="Verdana"/>
                <w:i/>
                <w:noProof/>
                <w:color w:val="000000"/>
                <w:sz w:val="18"/>
              </w:rPr>
            </w:pPr>
            <w:r>
              <w:rPr>
                <w:rFonts w:ascii="Verdana" w:hAnsi="Verdana"/>
                <w:i/>
                <w:noProof/>
                <w:color w:val="000000"/>
                <w:sz w:val="18"/>
              </w:rPr>
              <w:t>2 297</w:t>
            </w:r>
          </w:p>
        </w:tc>
      </w:tr>
      <w:tr>
        <w:trPr>
          <w:trHeight w:hRule="exact" w:val="255"/>
        </w:trPr>
        <w:tc>
          <w:tcPr>
            <w:tcW w:w="5989" w:type="dxa"/>
            <w:tcBorders>
              <w:top w:val="nil"/>
              <w:left w:val="nil"/>
              <w:bottom w:val="nil"/>
              <w:right w:val="nil"/>
              <w:tl2br w:val="nil"/>
              <w:tr2bl w:val="nil"/>
            </w:tcBorders>
            <w:tcMar>
              <w:left w:w="60" w:type="dxa"/>
              <w:right w:w="60" w:type="dxa"/>
            </w:tcMar>
            <w:vAlign w:val="center"/>
          </w:tcPr>
          <w:p>
            <w:pPr>
              <w:pStyle w:val="DMETW36749BIPONER"/>
              <w:rPr>
                <w:rFonts w:ascii="Verdana" w:eastAsia="Verdana" w:hAnsi="Verdana" w:cs="Verdana"/>
                <w:i/>
                <w:noProof/>
                <w:color w:val="000000"/>
                <w:sz w:val="18"/>
              </w:rPr>
            </w:pPr>
            <w:r>
              <w:rPr>
                <w:rFonts w:ascii="Verdana" w:hAnsi="Verdana"/>
                <w:i/>
                <w:noProof/>
                <w:color w:val="000000"/>
                <w:sz w:val="18"/>
              </w:rPr>
              <w:t xml:space="preserve">     REPowerEU</w:t>
            </w:r>
          </w:p>
        </w:tc>
        <w:tc>
          <w:tcPr>
            <w:tcW w:w="1511" w:type="dxa"/>
            <w:tcBorders>
              <w:top w:val="nil"/>
              <w:left w:val="nil"/>
              <w:bottom w:val="nil"/>
              <w:right w:val="nil"/>
              <w:tl2br w:val="nil"/>
              <w:tr2bl w:val="nil"/>
            </w:tcBorders>
            <w:tcMar>
              <w:left w:w="60" w:type="dxa"/>
              <w:right w:w="60" w:type="dxa"/>
            </w:tcMar>
            <w:vAlign w:val="center"/>
          </w:tcPr>
          <w:p>
            <w:pPr>
              <w:pStyle w:val="DMETW36749BIPONER"/>
              <w:jc w:val="right"/>
              <w:rPr>
                <w:rFonts w:ascii="Verdana" w:eastAsia="Verdana" w:hAnsi="Verdana" w:cs="Verdana"/>
                <w:i/>
                <w:noProof/>
                <w:color w:val="000000"/>
                <w:sz w:val="18"/>
              </w:rPr>
            </w:pPr>
            <w:r>
              <w:rPr>
                <w:rFonts w:ascii="Verdana" w:hAnsi="Verdana"/>
                <w:i/>
                <w:noProof/>
                <w:color w:val="000000"/>
                <w:sz w:val="18"/>
              </w:rPr>
              <w:t>6 360</w:t>
            </w:r>
          </w:p>
        </w:tc>
        <w:tc>
          <w:tcPr>
            <w:tcW w:w="2258" w:type="dxa"/>
            <w:tcBorders>
              <w:top w:val="nil"/>
              <w:left w:val="nil"/>
              <w:bottom w:val="nil"/>
              <w:right w:val="nil"/>
              <w:tl2br w:val="nil"/>
              <w:tr2bl w:val="nil"/>
            </w:tcBorders>
            <w:tcMar>
              <w:left w:w="60" w:type="dxa"/>
              <w:right w:w="60" w:type="dxa"/>
            </w:tcMar>
            <w:vAlign w:val="center"/>
          </w:tcPr>
          <w:p>
            <w:pPr>
              <w:pStyle w:val="DMETW36749BIPONER"/>
              <w:jc w:val="right"/>
              <w:rPr>
                <w:rFonts w:ascii="Verdana" w:eastAsia="Verdana" w:hAnsi="Verdana" w:cs="Verdana"/>
                <w:i/>
                <w:noProof/>
                <w:color w:val="000000"/>
                <w:sz w:val="18"/>
              </w:rPr>
            </w:pPr>
            <w:r>
              <w:rPr>
                <w:rFonts w:ascii="Verdana" w:hAnsi="Verdana"/>
                <w:i/>
                <w:noProof/>
                <w:color w:val="000000"/>
                <w:sz w:val="18"/>
              </w:rPr>
              <w:t>5 869</w:t>
            </w:r>
          </w:p>
        </w:tc>
      </w:tr>
      <w:tr>
        <w:trPr>
          <w:trHeight w:hRule="exact" w:val="255"/>
        </w:trPr>
        <w:tc>
          <w:tcPr>
            <w:tcW w:w="5989" w:type="dxa"/>
            <w:tcBorders>
              <w:top w:val="nil"/>
              <w:left w:val="nil"/>
              <w:bottom w:val="nil"/>
              <w:right w:val="nil"/>
              <w:tl2br w:val="nil"/>
              <w:tr2bl w:val="nil"/>
            </w:tcBorders>
            <w:tcMar>
              <w:left w:w="60" w:type="dxa"/>
              <w:right w:w="60" w:type="dxa"/>
            </w:tcMar>
            <w:vAlign w:val="center"/>
          </w:tcPr>
          <w:p>
            <w:pPr>
              <w:pStyle w:val="DMETW36749BIPONER"/>
              <w:rPr>
                <w:rFonts w:ascii="Verdana" w:eastAsia="Verdana" w:hAnsi="Verdana" w:cs="Verdana"/>
                <w:i/>
                <w:noProof/>
                <w:color w:val="000000"/>
                <w:sz w:val="18"/>
              </w:rPr>
            </w:pPr>
            <w:r>
              <w:rPr>
                <w:rFonts w:ascii="Verdana" w:hAnsi="Verdana"/>
                <w:i/>
                <w:noProof/>
                <w:color w:val="000000"/>
                <w:sz w:val="18"/>
              </w:rPr>
              <w:t xml:space="preserve">     Fonds social pour le climat</w:t>
            </w:r>
          </w:p>
        </w:tc>
        <w:tc>
          <w:tcPr>
            <w:tcW w:w="1511" w:type="dxa"/>
            <w:tcBorders>
              <w:top w:val="nil"/>
              <w:left w:val="nil"/>
              <w:bottom w:val="nil"/>
              <w:right w:val="nil"/>
              <w:tl2br w:val="nil"/>
              <w:tr2bl w:val="nil"/>
            </w:tcBorders>
            <w:tcMar>
              <w:left w:w="60" w:type="dxa"/>
              <w:right w:w="60" w:type="dxa"/>
            </w:tcMar>
            <w:vAlign w:val="center"/>
          </w:tcPr>
          <w:p>
            <w:pPr>
              <w:pStyle w:val="DMETW36749BIPONER"/>
              <w:jc w:val="right"/>
              <w:rPr>
                <w:rFonts w:ascii="Verdana" w:eastAsia="Verdana" w:hAnsi="Verdana" w:cs="Verdana"/>
                <w:i/>
                <w:noProof/>
                <w:color w:val="000000"/>
                <w:sz w:val="18"/>
              </w:rPr>
            </w:pPr>
            <w:r>
              <w:rPr>
                <w:rFonts w:ascii="Verdana" w:hAnsi="Verdana"/>
                <w:i/>
                <w:noProof/>
                <w:color w:val="000000"/>
                <w:sz w:val="18"/>
              </w:rPr>
              <w:t>3 668</w:t>
            </w:r>
          </w:p>
        </w:tc>
        <w:tc>
          <w:tcPr>
            <w:tcW w:w="2258" w:type="dxa"/>
            <w:tcBorders>
              <w:top w:val="nil"/>
              <w:left w:val="nil"/>
              <w:bottom w:val="nil"/>
              <w:right w:val="nil"/>
              <w:tl2br w:val="nil"/>
              <w:tr2bl w:val="nil"/>
            </w:tcBorders>
            <w:tcMar>
              <w:left w:w="60" w:type="dxa"/>
              <w:right w:w="60" w:type="dxa"/>
            </w:tcMar>
            <w:vAlign w:val="bottom"/>
          </w:tcPr>
          <w:p>
            <w:pPr>
              <w:pStyle w:val="DMETW36749BIPONER"/>
              <w:jc w:val="right"/>
              <w:rPr>
                <w:rFonts w:cs="Calibri"/>
                <w:noProof/>
                <w:color w:val="000000"/>
              </w:rPr>
            </w:pPr>
            <w:r>
              <w:rPr>
                <w:noProof/>
                <w:color w:val="000000"/>
              </w:rPr>
              <w:t>-</w:t>
            </w:r>
          </w:p>
        </w:tc>
      </w:tr>
      <w:tr>
        <w:trPr>
          <w:trHeight w:hRule="exact" w:val="255"/>
        </w:trPr>
        <w:tc>
          <w:tcPr>
            <w:tcW w:w="5989" w:type="dxa"/>
            <w:tcBorders>
              <w:top w:val="nil"/>
              <w:left w:val="nil"/>
              <w:bottom w:val="nil"/>
              <w:right w:val="nil"/>
              <w:tl2br w:val="nil"/>
              <w:tr2bl w:val="nil"/>
            </w:tcBorders>
            <w:tcMar>
              <w:left w:w="60" w:type="dxa"/>
              <w:right w:w="60" w:type="dxa"/>
            </w:tcMar>
            <w:vAlign w:val="center"/>
          </w:tcPr>
          <w:p>
            <w:pPr>
              <w:pStyle w:val="DMETW36749BIPONER"/>
              <w:rPr>
                <w:rFonts w:ascii="Verdana" w:eastAsia="Verdana" w:hAnsi="Verdana" w:cs="Verdana"/>
                <w:i/>
                <w:noProof/>
                <w:color w:val="000000"/>
                <w:sz w:val="18"/>
              </w:rPr>
            </w:pPr>
            <w:r>
              <w:rPr>
                <w:rFonts w:ascii="Verdana" w:hAnsi="Verdana"/>
                <w:i/>
                <w:noProof/>
                <w:color w:val="000000"/>
                <w:sz w:val="18"/>
              </w:rPr>
              <w:t xml:space="preserve">     Aide extérieure</w:t>
            </w:r>
          </w:p>
        </w:tc>
        <w:tc>
          <w:tcPr>
            <w:tcW w:w="1511" w:type="dxa"/>
            <w:tcBorders>
              <w:top w:val="nil"/>
              <w:left w:val="nil"/>
              <w:bottom w:val="nil"/>
              <w:right w:val="nil"/>
              <w:tl2br w:val="nil"/>
              <w:tr2bl w:val="nil"/>
            </w:tcBorders>
            <w:tcMar>
              <w:left w:w="60" w:type="dxa"/>
              <w:right w:w="60" w:type="dxa"/>
            </w:tcMar>
            <w:vAlign w:val="center"/>
          </w:tcPr>
          <w:p>
            <w:pPr>
              <w:pStyle w:val="DMETW36749BIPONER"/>
              <w:jc w:val="right"/>
              <w:rPr>
                <w:rFonts w:ascii="Verdana" w:eastAsia="Verdana" w:hAnsi="Verdana" w:cs="Verdana"/>
                <w:i/>
                <w:noProof/>
                <w:color w:val="000000"/>
                <w:sz w:val="18"/>
              </w:rPr>
            </w:pPr>
            <w:r>
              <w:rPr>
                <w:rFonts w:ascii="Verdana" w:hAnsi="Verdana"/>
                <w:i/>
                <w:noProof/>
                <w:color w:val="000000"/>
                <w:sz w:val="18"/>
              </w:rPr>
              <w:t>1 001</w:t>
            </w:r>
          </w:p>
        </w:tc>
        <w:tc>
          <w:tcPr>
            <w:tcW w:w="2258" w:type="dxa"/>
            <w:tcBorders>
              <w:top w:val="nil"/>
              <w:left w:val="nil"/>
              <w:bottom w:val="nil"/>
              <w:right w:val="nil"/>
              <w:tl2br w:val="nil"/>
              <w:tr2bl w:val="nil"/>
            </w:tcBorders>
            <w:tcMar>
              <w:left w:w="60" w:type="dxa"/>
              <w:right w:w="60" w:type="dxa"/>
            </w:tcMar>
            <w:vAlign w:val="center"/>
          </w:tcPr>
          <w:p>
            <w:pPr>
              <w:pStyle w:val="DMETW36749BIPONER"/>
              <w:jc w:val="right"/>
              <w:rPr>
                <w:rFonts w:ascii="Verdana" w:eastAsia="Verdana" w:hAnsi="Verdana" w:cs="Verdana"/>
                <w:i/>
                <w:noProof/>
                <w:color w:val="000000"/>
                <w:sz w:val="18"/>
              </w:rPr>
            </w:pPr>
            <w:r>
              <w:rPr>
                <w:rFonts w:ascii="Verdana" w:hAnsi="Verdana"/>
                <w:i/>
                <w:noProof/>
                <w:color w:val="000000"/>
                <w:sz w:val="18"/>
              </w:rPr>
              <w:t xml:space="preserve"> 671</w:t>
            </w:r>
          </w:p>
        </w:tc>
      </w:tr>
      <w:tr>
        <w:trPr>
          <w:trHeight w:hRule="exact" w:val="255"/>
        </w:trPr>
        <w:tc>
          <w:tcPr>
            <w:tcW w:w="5989" w:type="dxa"/>
            <w:tcBorders>
              <w:top w:val="nil"/>
              <w:left w:val="nil"/>
              <w:bottom w:val="nil"/>
              <w:right w:val="nil"/>
              <w:tl2br w:val="nil"/>
              <w:tr2bl w:val="nil"/>
            </w:tcBorders>
            <w:tcMar>
              <w:left w:w="60" w:type="dxa"/>
              <w:right w:w="60" w:type="dxa"/>
            </w:tcMar>
            <w:vAlign w:val="center"/>
          </w:tcPr>
          <w:p>
            <w:pPr>
              <w:pStyle w:val="DMETW36749BIPONER"/>
              <w:rPr>
                <w:rFonts w:ascii="Verdana" w:eastAsia="Verdana" w:hAnsi="Verdana" w:cs="Verdana"/>
                <w:i/>
                <w:noProof/>
                <w:color w:val="000000"/>
                <w:sz w:val="18"/>
              </w:rPr>
            </w:pPr>
            <w:r>
              <w:rPr>
                <w:rFonts w:ascii="Verdana" w:hAnsi="Verdana"/>
                <w:i/>
                <w:noProof/>
                <w:color w:val="000000"/>
                <w:sz w:val="18"/>
              </w:rPr>
              <w:t xml:space="preserve">     InvestEU</w:t>
            </w:r>
          </w:p>
        </w:tc>
        <w:tc>
          <w:tcPr>
            <w:tcW w:w="1511" w:type="dxa"/>
            <w:tcBorders>
              <w:top w:val="nil"/>
              <w:left w:val="nil"/>
              <w:bottom w:val="nil"/>
              <w:right w:val="nil"/>
              <w:tl2br w:val="nil"/>
              <w:tr2bl w:val="nil"/>
            </w:tcBorders>
            <w:tcMar>
              <w:left w:w="60" w:type="dxa"/>
              <w:right w:w="60" w:type="dxa"/>
            </w:tcMar>
            <w:vAlign w:val="center"/>
          </w:tcPr>
          <w:p>
            <w:pPr>
              <w:pStyle w:val="DMETW36749BIPONER"/>
              <w:jc w:val="right"/>
              <w:rPr>
                <w:rFonts w:ascii="Verdana" w:eastAsia="Verdana" w:hAnsi="Verdana" w:cs="Verdana"/>
                <w:i/>
                <w:noProof/>
                <w:color w:val="000000"/>
                <w:sz w:val="18"/>
              </w:rPr>
            </w:pPr>
            <w:r>
              <w:rPr>
                <w:rFonts w:ascii="Verdana" w:hAnsi="Verdana"/>
                <w:i/>
                <w:noProof/>
                <w:color w:val="000000"/>
                <w:sz w:val="18"/>
              </w:rPr>
              <w:t xml:space="preserve"> 58</w:t>
            </w:r>
          </w:p>
        </w:tc>
        <w:tc>
          <w:tcPr>
            <w:tcW w:w="2258" w:type="dxa"/>
            <w:tcBorders>
              <w:top w:val="nil"/>
              <w:left w:val="nil"/>
              <w:bottom w:val="nil"/>
              <w:right w:val="nil"/>
              <w:tl2br w:val="nil"/>
              <w:tr2bl w:val="nil"/>
            </w:tcBorders>
            <w:tcMar>
              <w:left w:w="60" w:type="dxa"/>
              <w:right w:w="60" w:type="dxa"/>
            </w:tcMar>
            <w:vAlign w:val="center"/>
          </w:tcPr>
          <w:p>
            <w:pPr>
              <w:pStyle w:val="DMETW36749BIPONER"/>
              <w:jc w:val="right"/>
              <w:rPr>
                <w:rFonts w:ascii="Verdana" w:eastAsia="Verdana" w:hAnsi="Verdana" w:cs="Verdana"/>
                <w:i/>
                <w:noProof/>
                <w:color w:val="000000"/>
                <w:sz w:val="18"/>
              </w:rPr>
            </w:pPr>
            <w:r>
              <w:rPr>
                <w:rFonts w:ascii="Verdana" w:hAnsi="Verdana"/>
                <w:i/>
                <w:noProof/>
                <w:color w:val="000000"/>
                <w:sz w:val="18"/>
              </w:rPr>
              <w:t xml:space="preserve"> 207</w:t>
            </w:r>
          </w:p>
        </w:tc>
      </w:tr>
      <w:tr>
        <w:trPr>
          <w:trHeight w:hRule="exact" w:val="255"/>
        </w:trPr>
        <w:tc>
          <w:tcPr>
            <w:tcW w:w="5989" w:type="dxa"/>
            <w:tcBorders>
              <w:top w:val="nil"/>
              <w:left w:val="nil"/>
              <w:bottom w:val="nil"/>
              <w:right w:val="nil"/>
              <w:tl2br w:val="nil"/>
              <w:tr2bl w:val="nil"/>
            </w:tcBorders>
            <w:tcMar>
              <w:left w:w="60" w:type="dxa"/>
              <w:right w:w="60" w:type="dxa"/>
            </w:tcMar>
            <w:vAlign w:val="center"/>
          </w:tcPr>
          <w:p>
            <w:pPr>
              <w:pStyle w:val="DMETW36749BIPONER"/>
              <w:rPr>
                <w:rFonts w:ascii="Verdana" w:eastAsia="Verdana" w:hAnsi="Verdana" w:cs="Verdana"/>
                <w:i/>
                <w:noProof/>
                <w:color w:val="000000"/>
                <w:sz w:val="18"/>
              </w:rPr>
            </w:pPr>
            <w:r>
              <w:rPr>
                <w:rFonts w:ascii="Verdana" w:hAnsi="Verdana"/>
                <w:i/>
                <w:noProof/>
                <w:color w:val="000000"/>
                <w:sz w:val="18"/>
              </w:rPr>
              <w:t>Impôts et cotisations du personnel</w:t>
            </w:r>
          </w:p>
        </w:tc>
        <w:tc>
          <w:tcPr>
            <w:tcW w:w="1511" w:type="dxa"/>
            <w:tcBorders>
              <w:top w:val="nil"/>
              <w:left w:val="nil"/>
              <w:bottom w:val="nil"/>
              <w:right w:val="nil"/>
              <w:tl2br w:val="nil"/>
              <w:tr2bl w:val="nil"/>
            </w:tcBorders>
            <w:tcMar>
              <w:left w:w="60" w:type="dxa"/>
              <w:right w:w="60" w:type="dxa"/>
            </w:tcMar>
            <w:vAlign w:val="center"/>
          </w:tcPr>
          <w:p>
            <w:pPr>
              <w:pStyle w:val="DMETW36749BIPONER"/>
              <w:jc w:val="right"/>
              <w:rPr>
                <w:rFonts w:ascii="Verdana" w:eastAsia="Verdana" w:hAnsi="Verdana" w:cs="Verdana"/>
                <w:i/>
                <w:noProof/>
                <w:color w:val="000000"/>
                <w:sz w:val="18"/>
              </w:rPr>
            </w:pPr>
            <w:r>
              <w:rPr>
                <w:rFonts w:ascii="Verdana" w:hAnsi="Verdana"/>
                <w:i/>
                <w:noProof/>
                <w:color w:val="000000"/>
                <w:sz w:val="18"/>
              </w:rPr>
              <w:t>1 882</w:t>
            </w:r>
          </w:p>
        </w:tc>
        <w:tc>
          <w:tcPr>
            <w:tcW w:w="2258" w:type="dxa"/>
            <w:tcBorders>
              <w:top w:val="nil"/>
              <w:left w:val="nil"/>
              <w:bottom w:val="nil"/>
              <w:right w:val="nil"/>
              <w:tl2br w:val="nil"/>
              <w:tr2bl w:val="nil"/>
            </w:tcBorders>
            <w:tcMar>
              <w:left w:w="60" w:type="dxa"/>
              <w:right w:w="60" w:type="dxa"/>
            </w:tcMar>
            <w:vAlign w:val="center"/>
          </w:tcPr>
          <w:p>
            <w:pPr>
              <w:pStyle w:val="DMETW36749BIPONER"/>
              <w:jc w:val="right"/>
              <w:rPr>
                <w:rFonts w:ascii="Verdana" w:eastAsia="Verdana" w:hAnsi="Verdana" w:cs="Verdana"/>
                <w:i/>
                <w:noProof/>
                <w:color w:val="000000"/>
                <w:sz w:val="18"/>
              </w:rPr>
            </w:pPr>
            <w:r>
              <w:rPr>
                <w:rFonts w:ascii="Verdana" w:hAnsi="Verdana"/>
                <w:i/>
                <w:noProof/>
                <w:color w:val="000000"/>
                <w:sz w:val="18"/>
              </w:rPr>
              <w:t>1 754</w:t>
            </w:r>
          </w:p>
        </w:tc>
      </w:tr>
      <w:tr>
        <w:trPr>
          <w:trHeight w:hRule="exact" w:val="255"/>
        </w:trPr>
        <w:tc>
          <w:tcPr>
            <w:tcW w:w="5989" w:type="dxa"/>
            <w:tcBorders>
              <w:top w:val="nil"/>
              <w:left w:val="nil"/>
              <w:bottom w:val="nil"/>
              <w:right w:val="nil"/>
              <w:tl2br w:val="nil"/>
              <w:tr2bl w:val="nil"/>
            </w:tcBorders>
            <w:tcMar>
              <w:left w:w="60" w:type="dxa"/>
              <w:right w:w="60" w:type="dxa"/>
            </w:tcMar>
            <w:vAlign w:val="center"/>
          </w:tcPr>
          <w:p>
            <w:pPr>
              <w:pStyle w:val="DMETW36749BIPONER"/>
              <w:rPr>
                <w:rFonts w:ascii="Verdana" w:eastAsia="Verdana" w:hAnsi="Verdana" w:cs="Verdana"/>
                <w:i/>
                <w:noProof/>
                <w:color w:val="000000"/>
                <w:sz w:val="18"/>
              </w:rPr>
            </w:pPr>
            <w:r>
              <w:rPr>
                <w:rFonts w:ascii="Verdana" w:hAnsi="Verdana"/>
                <w:i/>
                <w:noProof/>
                <w:color w:val="000000"/>
                <w:sz w:val="18"/>
              </w:rPr>
              <w:t>Contributions d’autres entités à la CE</w:t>
            </w:r>
          </w:p>
        </w:tc>
        <w:tc>
          <w:tcPr>
            <w:tcW w:w="1511" w:type="dxa"/>
            <w:tcBorders>
              <w:top w:val="nil"/>
              <w:left w:val="nil"/>
              <w:bottom w:val="nil"/>
              <w:right w:val="nil"/>
              <w:tl2br w:val="nil"/>
              <w:tr2bl w:val="nil"/>
            </w:tcBorders>
            <w:tcMar>
              <w:left w:w="60" w:type="dxa"/>
              <w:right w:w="60" w:type="dxa"/>
            </w:tcMar>
            <w:vAlign w:val="center"/>
          </w:tcPr>
          <w:p>
            <w:pPr>
              <w:pStyle w:val="DMETW36749BIPONER"/>
              <w:jc w:val="right"/>
              <w:rPr>
                <w:rFonts w:ascii="Verdana" w:eastAsia="Verdana" w:hAnsi="Verdana" w:cs="Verdana"/>
                <w:i/>
                <w:noProof/>
                <w:color w:val="000000"/>
                <w:sz w:val="18"/>
              </w:rPr>
            </w:pPr>
            <w:r>
              <w:rPr>
                <w:rFonts w:ascii="Verdana" w:hAnsi="Verdana"/>
                <w:i/>
                <w:noProof/>
                <w:color w:val="000000"/>
                <w:sz w:val="18"/>
              </w:rPr>
              <w:t>3 293</w:t>
            </w:r>
          </w:p>
        </w:tc>
        <w:tc>
          <w:tcPr>
            <w:tcW w:w="2258" w:type="dxa"/>
            <w:tcBorders>
              <w:top w:val="nil"/>
              <w:left w:val="nil"/>
              <w:bottom w:val="nil"/>
              <w:right w:val="nil"/>
              <w:tl2br w:val="nil"/>
              <w:tr2bl w:val="nil"/>
            </w:tcBorders>
            <w:tcMar>
              <w:left w:w="60" w:type="dxa"/>
              <w:right w:w="60" w:type="dxa"/>
            </w:tcMar>
            <w:vAlign w:val="bottom"/>
          </w:tcPr>
          <w:p>
            <w:pPr>
              <w:pStyle w:val="DMETW36749BIPONER"/>
              <w:jc w:val="right"/>
              <w:rPr>
                <w:rFonts w:ascii="Verdana" w:eastAsia="Verdana" w:hAnsi="Verdana" w:cs="Verdana"/>
                <w:i/>
                <w:noProof/>
                <w:color w:val="000000"/>
                <w:sz w:val="18"/>
              </w:rPr>
            </w:pPr>
            <w:r>
              <w:rPr>
                <w:rFonts w:ascii="Verdana" w:hAnsi="Verdana"/>
                <w:i/>
                <w:noProof/>
                <w:color w:val="000000"/>
                <w:sz w:val="18"/>
              </w:rPr>
              <w:t xml:space="preserve"> 524</w:t>
            </w:r>
          </w:p>
        </w:tc>
      </w:tr>
      <w:tr>
        <w:trPr>
          <w:trHeight w:hRule="exact" w:val="260"/>
        </w:trPr>
        <w:tc>
          <w:tcPr>
            <w:tcW w:w="5989" w:type="dxa"/>
            <w:tcBorders>
              <w:top w:val="nil"/>
              <w:left w:val="nil"/>
              <w:bottom w:val="nil"/>
              <w:right w:val="nil"/>
              <w:tl2br w:val="nil"/>
              <w:tr2bl w:val="nil"/>
            </w:tcBorders>
            <w:tcMar>
              <w:left w:w="60" w:type="dxa"/>
              <w:right w:w="60" w:type="dxa"/>
            </w:tcMar>
            <w:vAlign w:val="center"/>
          </w:tcPr>
          <w:p>
            <w:pPr>
              <w:pStyle w:val="DMETW36749BIPONER"/>
              <w:rPr>
                <w:rFonts w:ascii="Verdana" w:eastAsia="Verdana" w:hAnsi="Verdana" w:cs="Verdana"/>
                <w:i/>
                <w:noProof/>
                <w:color w:val="000000"/>
                <w:sz w:val="18"/>
              </w:rPr>
            </w:pPr>
            <w:r>
              <w:rPr>
                <w:rFonts w:ascii="Verdana" w:hAnsi="Verdana"/>
                <w:i/>
                <w:noProof/>
                <w:color w:val="000000"/>
                <w:sz w:val="18"/>
              </w:rPr>
              <w:t>Contributions de l’AELE, des pays tiers et des pays en voie d’adhésion</w:t>
            </w:r>
          </w:p>
        </w:tc>
        <w:tc>
          <w:tcPr>
            <w:tcW w:w="1511" w:type="dxa"/>
            <w:tcBorders>
              <w:top w:val="nil"/>
              <w:left w:val="nil"/>
              <w:bottom w:val="nil"/>
              <w:right w:val="nil"/>
              <w:tl2br w:val="nil"/>
              <w:tr2bl w:val="nil"/>
            </w:tcBorders>
            <w:tcMar>
              <w:left w:w="60" w:type="dxa"/>
              <w:right w:w="60" w:type="dxa"/>
            </w:tcMar>
            <w:vAlign w:val="center"/>
          </w:tcPr>
          <w:p>
            <w:pPr>
              <w:pStyle w:val="DMETW36749BIPONER"/>
              <w:jc w:val="right"/>
              <w:rPr>
                <w:rFonts w:ascii="Verdana" w:eastAsia="Verdana" w:hAnsi="Verdana" w:cs="Verdana"/>
                <w:i/>
                <w:noProof/>
                <w:color w:val="000000"/>
                <w:sz w:val="18"/>
              </w:rPr>
            </w:pPr>
            <w:r>
              <w:rPr>
                <w:rFonts w:ascii="Verdana" w:hAnsi="Verdana"/>
                <w:i/>
                <w:noProof/>
                <w:color w:val="000000"/>
                <w:sz w:val="18"/>
              </w:rPr>
              <w:t>4 874</w:t>
            </w:r>
          </w:p>
        </w:tc>
        <w:tc>
          <w:tcPr>
            <w:tcW w:w="2258" w:type="dxa"/>
            <w:tcBorders>
              <w:top w:val="nil"/>
              <w:left w:val="nil"/>
              <w:bottom w:val="nil"/>
              <w:right w:val="nil"/>
              <w:tl2br w:val="nil"/>
              <w:tr2bl w:val="nil"/>
            </w:tcBorders>
            <w:tcMar>
              <w:left w:w="60" w:type="dxa"/>
              <w:right w:w="60" w:type="dxa"/>
            </w:tcMar>
            <w:vAlign w:val="center"/>
          </w:tcPr>
          <w:p>
            <w:pPr>
              <w:pStyle w:val="DMETW36749BIPONER"/>
              <w:jc w:val="right"/>
              <w:rPr>
                <w:rFonts w:ascii="Verdana" w:eastAsia="Verdana" w:hAnsi="Verdana" w:cs="Verdana"/>
                <w:i/>
                <w:noProof/>
                <w:color w:val="000000"/>
                <w:sz w:val="18"/>
              </w:rPr>
            </w:pPr>
            <w:r>
              <w:rPr>
                <w:rFonts w:ascii="Verdana" w:hAnsi="Verdana"/>
                <w:i/>
                <w:noProof/>
                <w:color w:val="000000"/>
                <w:sz w:val="18"/>
              </w:rPr>
              <w:t>4 527</w:t>
            </w:r>
          </w:p>
        </w:tc>
      </w:tr>
      <w:tr>
        <w:trPr>
          <w:trHeight w:hRule="exact" w:val="255"/>
        </w:trPr>
        <w:tc>
          <w:tcPr>
            <w:tcW w:w="5989" w:type="dxa"/>
            <w:tcBorders>
              <w:top w:val="nil"/>
              <w:left w:val="nil"/>
              <w:bottom w:val="nil"/>
              <w:right w:val="nil"/>
              <w:tl2br w:val="nil"/>
              <w:tr2bl w:val="nil"/>
            </w:tcBorders>
            <w:tcMar>
              <w:left w:w="60" w:type="dxa"/>
              <w:right w:w="60" w:type="dxa"/>
            </w:tcMar>
            <w:vAlign w:val="center"/>
          </w:tcPr>
          <w:p>
            <w:pPr>
              <w:pStyle w:val="DMETW36749BIPONER"/>
              <w:rPr>
                <w:rFonts w:ascii="Verdana" w:eastAsia="Verdana" w:hAnsi="Verdana" w:cs="Verdana"/>
                <w:i/>
                <w:noProof/>
                <w:color w:val="000000"/>
                <w:sz w:val="18"/>
              </w:rPr>
            </w:pPr>
            <w:r>
              <w:rPr>
                <w:rFonts w:ascii="Verdana" w:hAnsi="Verdana"/>
                <w:i/>
                <w:noProof/>
                <w:color w:val="000000"/>
                <w:sz w:val="18"/>
              </w:rPr>
              <w:t>Transfert d’actifs</w:t>
            </w:r>
          </w:p>
        </w:tc>
        <w:tc>
          <w:tcPr>
            <w:tcW w:w="1511" w:type="dxa"/>
            <w:tcBorders>
              <w:top w:val="nil"/>
              <w:left w:val="nil"/>
              <w:bottom w:val="nil"/>
              <w:right w:val="nil"/>
              <w:tl2br w:val="nil"/>
              <w:tr2bl w:val="nil"/>
            </w:tcBorders>
            <w:tcMar>
              <w:left w:w="60" w:type="dxa"/>
              <w:right w:w="60" w:type="dxa"/>
            </w:tcMar>
            <w:vAlign w:val="center"/>
          </w:tcPr>
          <w:p>
            <w:pPr>
              <w:pStyle w:val="DMETW36749BIPONER"/>
              <w:jc w:val="right"/>
              <w:rPr>
                <w:rFonts w:ascii="Verdana" w:eastAsia="Verdana" w:hAnsi="Verdana" w:cs="Verdana"/>
                <w:i/>
                <w:noProof/>
                <w:color w:val="000000"/>
                <w:sz w:val="18"/>
              </w:rPr>
            </w:pPr>
            <w:r>
              <w:rPr>
                <w:rFonts w:ascii="Verdana" w:hAnsi="Verdana"/>
                <w:i/>
                <w:noProof/>
                <w:color w:val="000000"/>
                <w:sz w:val="18"/>
              </w:rPr>
              <w:t>–</w:t>
            </w:r>
          </w:p>
        </w:tc>
        <w:tc>
          <w:tcPr>
            <w:tcW w:w="2258" w:type="dxa"/>
            <w:tcBorders>
              <w:top w:val="nil"/>
              <w:left w:val="nil"/>
              <w:bottom w:val="nil"/>
              <w:right w:val="nil"/>
              <w:tl2br w:val="nil"/>
              <w:tr2bl w:val="nil"/>
            </w:tcBorders>
            <w:tcMar>
              <w:left w:w="60" w:type="dxa"/>
              <w:right w:w="60" w:type="dxa"/>
            </w:tcMar>
            <w:vAlign w:val="center"/>
          </w:tcPr>
          <w:p>
            <w:pPr>
              <w:pStyle w:val="DMETW36749BIPONER"/>
              <w:jc w:val="right"/>
              <w:rPr>
                <w:rFonts w:ascii="Verdana" w:eastAsia="Verdana" w:hAnsi="Verdana" w:cs="Verdana"/>
                <w:i/>
                <w:noProof/>
                <w:color w:val="000000"/>
                <w:sz w:val="18"/>
              </w:rPr>
            </w:pPr>
            <w:r>
              <w:rPr>
                <w:rFonts w:ascii="Verdana" w:hAnsi="Verdana"/>
                <w:i/>
                <w:noProof/>
                <w:color w:val="000000"/>
                <w:sz w:val="18"/>
              </w:rPr>
              <w:t xml:space="preserve"> 307</w:t>
            </w:r>
          </w:p>
        </w:tc>
      </w:tr>
      <w:tr>
        <w:trPr>
          <w:trHeight w:hRule="exact" w:val="255"/>
        </w:trPr>
        <w:tc>
          <w:tcPr>
            <w:tcW w:w="5989" w:type="dxa"/>
            <w:tcBorders>
              <w:top w:val="nil"/>
              <w:left w:val="nil"/>
              <w:bottom w:val="nil"/>
              <w:right w:val="nil"/>
              <w:tl2br w:val="nil"/>
              <w:tr2bl w:val="nil"/>
            </w:tcBorders>
            <w:tcMar>
              <w:left w:w="60" w:type="dxa"/>
              <w:right w:w="60" w:type="dxa"/>
            </w:tcMar>
            <w:vAlign w:val="center"/>
          </w:tcPr>
          <w:p>
            <w:pPr>
              <w:pStyle w:val="DMETW36749BIPONER"/>
              <w:rPr>
                <w:rFonts w:ascii="Verdana" w:eastAsia="Verdana" w:hAnsi="Verdana" w:cs="Verdana"/>
                <w:i/>
                <w:noProof/>
                <w:color w:val="000000"/>
                <w:sz w:val="18"/>
              </w:rPr>
            </w:pPr>
            <w:r>
              <w:rPr>
                <w:rFonts w:ascii="Verdana" w:hAnsi="Verdana"/>
                <w:i/>
                <w:noProof/>
                <w:color w:val="000000"/>
                <w:sz w:val="18"/>
              </w:rPr>
              <w:t>Ajustements budgétaires</w:t>
            </w:r>
          </w:p>
        </w:tc>
        <w:tc>
          <w:tcPr>
            <w:tcW w:w="1511" w:type="dxa"/>
            <w:tcBorders>
              <w:top w:val="nil"/>
              <w:left w:val="nil"/>
              <w:bottom w:val="nil"/>
              <w:right w:val="nil"/>
              <w:tl2br w:val="nil"/>
              <w:tr2bl w:val="nil"/>
            </w:tcBorders>
            <w:tcMar>
              <w:left w:w="60" w:type="dxa"/>
              <w:right w:w="60" w:type="dxa"/>
            </w:tcMar>
            <w:vAlign w:val="center"/>
          </w:tcPr>
          <w:p>
            <w:pPr>
              <w:pStyle w:val="DMETW36749BIPONER"/>
              <w:jc w:val="right"/>
              <w:rPr>
                <w:rFonts w:ascii="Verdana" w:eastAsia="Verdana" w:hAnsi="Verdana" w:cs="Verdana"/>
                <w:i/>
                <w:noProof/>
                <w:color w:val="000000"/>
                <w:sz w:val="18"/>
              </w:rPr>
            </w:pPr>
            <w:r>
              <w:rPr>
                <w:rFonts w:ascii="Verdana" w:hAnsi="Verdana"/>
                <w:i/>
                <w:noProof/>
                <w:color w:val="000000"/>
                <w:sz w:val="18"/>
              </w:rPr>
              <w:t>(5 811)</w:t>
            </w:r>
          </w:p>
        </w:tc>
        <w:tc>
          <w:tcPr>
            <w:tcW w:w="2258" w:type="dxa"/>
            <w:tcBorders>
              <w:top w:val="nil"/>
              <w:left w:val="nil"/>
              <w:bottom w:val="nil"/>
              <w:right w:val="nil"/>
              <w:tl2br w:val="nil"/>
              <w:tr2bl w:val="nil"/>
            </w:tcBorders>
            <w:tcMar>
              <w:left w:w="60" w:type="dxa"/>
              <w:right w:w="60" w:type="dxa"/>
            </w:tcMar>
            <w:vAlign w:val="center"/>
          </w:tcPr>
          <w:p>
            <w:pPr>
              <w:pStyle w:val="DMETW36749BIPONER"/>
              <w:jc w:val="right"/>
              <w:rPr>
                <w:rFonts w:ascii="Verdana" w:eastAsia="Verdana" w:hAnsi="Verdana" w:cs="Verdana"/>
                <w:i/>
                <w:noProof/>
                <w:color w:val="000000"/>
                <w:sz w:val="18"/>
              </w:rPr>
            </w:pPr>
            <w:r>
              <w:rPr>
                <w:rFonts w:ascii="Verdana" w:hAnsi="Verdana"/>
                <w:i/>
                <w:noProof/>
                <w:color w:val="000000"/>
                <w:sz w:val="18"/>
              </w:rPr>
              <w:t>(6 169)</w:t>
            </w:r>
          </w:p>
        </w:tc>
      </w:tr>
      <w:tr>
        <w:trPr>
          <w:trHeight w:hRule="exact" w:val="270"/>
        </w:trPr>
        <w:tc>
          <w:tcPr>
            <w:tcW w:w="5989" w:type="dxa"/>
            <w:tcBorders>
              <w:top w:val="nil"/>
              <w:left w:val="nil"/>
              <w:bottom w:val="nil"/>
              <w:right w:val="nil"/>
              <w:tl2br w:val="nil"/>
              <w:tr2bl w:val="nil"/>
            </w:tcBorders>
            <w:tcMar>
              <w:left w:w="60" w:type="dxa"/>
              <w:right w:w="60" w:type="dxa"/>
            </w:tcMar>
            <w:vAlign w:val="center"/>
          </w:tcPr>
          <w:p>
            <w:pPr>
              <w:pStyle w:val="DMETW36749BIPONER"/>
              <w:rPr>
                <w:rFonts w:ascii="Verdana" w:eastAsia="Verdana" w:hAnsi="Verdana" w:cs="Verdana"/>
                <w:i/>
                <w:noProof/>
                <w:color w:val="000000"/>
                <w:sz w:val="18"/>
              </w:rPr>
            </w:pPr>
            <w:r>
              <w:rPr>
                <w:rFonts w:ascii="Verdana" w:hAnsi="Verdana"/>
                <w:i/>
                <w:noProof/>
                <w:color w:val="000000"/>
                <w:sz w:val="18"/>
              </w:rPr>
              <w:t>Ajustements des provisions</w:t>
            </w:r>
          </w:p>
        </w:tc>
        <w:tc>
          <w:tcPr>
            <w:tcW w:w="1511" w:type="dxa"/>
            <w:tcBorders>
              <w:top w:val="nil"/>
              <w:left w:val="nil"/>
              <w:bottom w:val="nil"/>
              <w:right w:val="nil"/>
              <w:tl2br w:val="nil"/>
              <w:tr2bl w:val="nil"/>
            </w:tcBorders>
            <w:tcMar>
              <w:left w:w="60" w:type="dxa"/>
              <w:right w:w="60" w:type="dxa"/>
            </w:tcMar>
            <w:vAlign w:val="center"/>
          </w:tcPr>
          <w:p>
            <w:pPr>
              <w:pStyle w:val="DMETW36749BIPONER"/>
              <w:jc w:val="right"/>
              <w:rPr>
                <w:rFonts w:ascii="Verdana" w:eastAsia="Verdana" w:hAnsi="Verdana" w:cs="Verdana"/>
                <w:i/>
                <w:noProof/>
                <w:color w:val="000000"/>
                <w:sz w:val="18"/>
              </w:rPr>
            </w:pPr>
            <w:r>
              <w:rPr>
                <w:rFonts w:ascii="Verdana" w:hAnsi="Verdana"/>
                <w:i/>
                <w:noProof/>
                <w:color w:val="000000"/>
                <w:sz w:val="18"/>
              </w:rPr>
              <w:t xml:space="preserve"> 459</w:t>
            </w:r>
          </w:p>
        </w:tc>
        <w:tc>
          <w:tcPr>
            <w:tcW w:w="2258" w:type="dxa"/>
            <w:tcBorders>
              <w:top w:val="nil"/>
              <w:left w:val="nil"/>
              <w:bottom w:val="nil"/>
              <w:right w:val="nil"/>
              <w:tl2br w:val="nil"/>
              <w:tr2bl w:val="nil"/>
            </w:tcBorders>
            <w:tcMar>
              <w:left w:w="60" w:type="dxa"/>
              <w:right w:w="60" w:type="dxa"/>
            </w:tcMar>
            <w:vAlign w:val="center"/>
          </w:tcPr>
          <w:p>
            <w:pPr>
              <w:pStyle w:val="DMETW36749BIPONER"/>
              <w:jc w:val="right"/>
              <w:rPr>
                <w:rFonts w:ascii="Verdana" w:eastAsia="Verdana" w:hAnsi="Verdana" w:cs="Verdana"/>
                <w:i/>
                <w:noProof/>
                <w:color w:val="000000"/>
                <w:sz w:val="18"/>
              </w:rPr>
            </w:pPr>
            <w:r>
              <w:rPr>
                <w:rFonts w:ascii="Verdana" w:hAnsi="Verdana"/>
                <w:i/>
                <w:noProof/>
                <w:color w:val="000000"/>
                <w:sz w:val="18"/>
              </w:rPr>
              <w:t xml:space="preserve"> 426</w:t>
            </w:r>
          </w:p>
        </w:tc>
      </w:tr>
      <w:tr>
        <w:trPr>
          <w:trHeight w:hRule="exact" w:val="266"/>
        </w:trPr>
        <w:tc>
          <w:tcPr>
            <w:tcW w:w="5989" w:type="dxa"/>
            <w:tcBorders>
              <w:top w:val="nil"/>
              <w:left w:val="nil"/>
              <w:bottom w:val="nil"/>
              <w:right w:val="nil"/>
              <w:tl2br w:val="nil"/>
              <w:tr2bl w:val="nil"/>
            </w:tcBorders>
            <w:tcMar>
              <w:left w:w="60" w:type="dxa"/>
              <w:right w:w="60" w:type="dxa"/>
            </w:tcMar>
            <w:vAlign w:val="center"/>
          </w:tcPr>
          <w:p>
            <w:pPr>
              <w:pStyle w:val="DMETW36749BIPONER"/>
              <w:rPr>
                <w:rFonts w:ascii="Verdana" w:eastAsia="Verdana" w:hAnsi="Verdana" w:cs="Verdana"/>
                <w:i/>
                <w:noProof/>
                <w:color w:val="000000"/>
                <w:sz w:val="18"/>
              </w:rPr>
            </w:pPr>
            <w:r>
              <w:rPr>
                <w:rFonts w:ascii="Verdana" w:hAnsi="Verdana"/>
                <w:i/>
                <w:noProof/>
                <w:color w:val="000000"/>
                <w:sz w:val="18"/>
              </w:rPr>
              <w:t>Autres</w:t>
            </w:r>
          </w:p>
        </w:tc>
        <w:tc>
          <w:tcPr>
            <w:tcW w:w="1511" w:type="dxa"/>
            <w:tcBorders>
              <w:top w:val="nil"/>
              <w:left w:val="nil"/>
              <w:bottom w:val="nil"/>
              <w:right w:val="nil"/>
              <w:tl2br w:val="nil"/>
              <w:tr2bl w:val="nil"/>
            </w:tcBorders>
            <w:tcMar>
              <w:left w:w="60" w:type="dxa"/>
              <w:right w:w="60" w:type="dxa"/>
            </w:tcMar>
            <w:vAlign w:val="center"/>
          </w:tcPr>
          <w:p>
            <w:pPr>
              <w:pStyle w:val="DMETW36749BIPONER"/>
              <w:jc w:val="right"/>
              <w:rPr>
                <w:rFonts w:ascii="Verdana" w:eastAsia="Verdana" w:hAnsi="Verdana" w:cs="Verdana"/>
                <w:i/>
                <w:noProof/>
                <w:color w:val="000000"/>
                <w:sz w:val="18"/>
              </w:rPr>
            </w:pPr>
            <w:r>
              <w:rPr>
                <w:rFonts w:ascii="Verdana" w:hAnsi="Verdana"/>
                <w:i/>
                <w:noProof/>
                <w:color w:val="000000"/>
                <w:sz w:val="18"/>
              </w:rPr>
              <w:t xml:space="preserve"> 175</w:t>
            </w:r>
          </w:p>
        </w:tc>
        <w:tc>
          <w:tcPr>
            <w:tcW w:w="2258" w:type="dxa"/>
            <w:tcBorders>
              <w:top w:val="nil"/>
              <w:left w:val="nil"/>
              <w:bottom w:val="nil"/>
              <w:right w:val="nil"/>
              <w:tl2br w:val="nil"/>
              <w:tr2bl w:val="nil"/>
            </w:tcBorders>
            <w:tcMar>
              <w:left w:w="60" w:type="dxa"/>
              <w:right w:w="60" w:type="dxa"/>
            </w:tcMar>
            <w:vAlign w:val="center"/>
          </w:tcPr>
          <w:p>
            <w:pPr>
              <w:pStyle w:val="DMETW36749BIPONER"/>
              <w:jc w:val="right"/>
              <w:rPr>
                <w:rFonts w:ascii="Verdana" w:eastAsia="Verdana" w:hAnsi="Verdana" w:cs="Verdana"/>
                <w:i/>
                <w:noProof/>
                <w:color w:val="000000"/>
                <w:sz w:val="18"/>
              </w:rPr>
            </w:pPr>
            <w:r>
              <w:rPr>
                <w:rFonts w:ascii="Verdana" w:hAnsi="Verdana"/>
                <w:i/>
                <w:noProof/>
                <w:color w:val="000000"/>
                <w:sz w:val="18"/>
              </w:rPr>
              <w:t xml:space="preserve"> 261</w:t>
            </w:r>
          </w:p>
        </w:tc>
      </w:tr>
      <w:tr>
        <w:trPr>
          <w:trHeight w:hRule="exact" w:val="266"/>
        </w:trPr>
        <w:tc>
          <w:tcPr>
            <w:tcW w:w="5989" w:type="dxa"/>
            <w:tcBorders>
              <w:top w:val="nil"/>
              <w:left w:val="nil"/>
              <w:bottom w:val="nil"/>
              <w:right w:val="nil"/>
              <w:tl2br w:val="nil"/>
              <w:tr2bl w:val="nil"/>
            </w:tcBorders>
            <w:shd w:val="solid" w:color="CCE1EA" w:fill="FFFFFF"/>
            <w:tcMar>
              <w:left w:w="60" w:type="dxa"/>
              <w:right w:w="60" w:type="dxa"/>
            </w:tcMar>
            <w:vAlign w:val="center"/>
          </w:tcPr>
          <w:p>
            <w:pPr>
              <w:pStyle w:val="DMETW36749BIPONER"/>
              <w:rPr>
                <w:rFonts w:ascii="Verdana" w:eastAsia="Verdana" w:hAnsi="Verdana" w:cs="Verdana"/>
                <w:b/>
                <w:noProof/>
                <w:color w:val="000000"/>
                <w:sz w:val="18"/>
              </w:rPr>
            </w:pPr>
            <w:r>
              <w:rPr>
                <w:rFonts w:ascii="Verdana" w:hAnsi="Verdana"/>
                <w:b/>
                <w:noProof/>
                <w:color w:val="000000"/>
                <w:sz w:val="18"/>
              </w:rPr>
              <w:t>Total</w:t>
            </w:r>
          </w:p>
        </w:tc>
        <w:tc>
          <w:tcPr>
            <w:tcW w:w="1511" w:type="dxa"/>
            <w:tcBorders>
              <w:top w:val="nil"/>
              <w:left w:val="nil"/>
              <w:bottom w:val="nil"/>
              <w:right w:val="nil"/>
              <w:tl2br w:val="nil"/>
              <w:tr2bl w:val="nil"/>
            </w:tcBorders>
            <w:shd w:val="solid" w:color="CCE1EA" w:fill="FFFFFF"/>
            <w:tcMar>
              <w:left w:w="60" w:type="dxa"/>
              <w:right w:w="60" w:type="dxa"/>
            </w:tcMar>
            <w:vAlign w:val="center"/>
          </w:tcPr>
          <w:p>
            <w:pPr>
              <w:pStyle w:val="DMETW36749BIPONER"/>
              <w:jc w:val="right"/>
              <w:rPr>
                <w:rFonts w:ascii="Verdana" w:eastAsia="Verdana" w:hAnsi="Verdana" w:cs="Verdana"/>
                <w:b/>
                <w:noProof/>
                <w:color w:val="000000"/>
                <w:sz w:val="18"/>
              </w:rPr>
            </w:pPr>
            <w:r>
              <w:rPr>
                <w:rFonts w:ascii="Verdana" w:hAnsi="Verdana"/>
                <w:b/>
                <w:noProof/>
                <w:color w:val="000000"/>
                <w:sz w:val="18"/>
              </w:rPr>
              <w:t>18 572</w:t>
            </w:r>
          </w:p>
        </w:tc>
        <w:tc>
          <w:tcPr>
            <w:tcW w:w="2258" w:type="dxa"/>
            <w:tcBorders>
              <w:top w:val="nil"/>
              <w:left w:val="nil"/>
              <w:bottom w:val="nil"/>
              <w:right w:val="nil"/>
              <w:tl2br w:val="nil"/>
              <w:tr2bl w:val="nil"/>
            </w:tcBorders>
            <w:shd w:val="solid" w:color="CCE1EA" w:fill="FFFFFF"/>
            <w:tcMar>
              <w:left w:w="60" w:type="dxa"/>
              <w:right w:w="60" w:type="dxa"/>
            </w:tcMar>
            <w:vAlign w:val="center"/>
          </w:tcPr>
          <w:p>
            <w:pPr>
              <w:pStyle w:val="DMETW36749BIPONER"/>
              <w:jc w:val="right"/>
              <w:rPr>
                <w:rFonts w:ascii="Verdana" w:eastAsia="Verdana" w:hAnsi="Verdana" w:cs="Verdana"/>
                <w:b/>
                <w:noProof/>
                <w:color w:val="000000"/>
                <w:sz w:val="18"/>
              </w:rPr>
            </w:pPr>
            <w:r>
              <w:rPr>
                <w:rFonts w:ascii="Verdana" w:hAnsi="Verdana"/>
                <w:b/>
                <w:noProof/>
                <w:color w:val="000000"/>
                <w:sz w:val="18"/>
              </w:rPr>
              <w:t>10 673</w:t>
            </w:r>
          </w:p>
        </w:tc>
      </w:tr>
    </w:tbl>
    <w:p>
      <w:pPr>
        <w:pStyle w:val="DGTextstand-alone"/>
        <w:spacing w:after="0"/>
      </w:pPr>
      <w:r>
        <w:t>Les contributions des États membres au Fonds pour l’innovation sont des recettes relatives essentiellement à la vente de quotas d’émission qui doivent être utilisés afin de soutenir l’innovation dans les technologies à faibles émissions de carbone. L’augmentation par rapport à 2024 est principalement liée à une hausse du prix du carbone. Les recettes tirées de la mise aux enchères des quotas du SEQE ont également été utilisées pour apporter un soutien supplémentaire aux États membres dans le cadre des chapitres REPowerEU (6,4 milliards d’EUR) ainsi que pour financer le Fonds social pour le climat, qui apportera un soutien financier aux États membres pour les mesures et les investissements inclus dans leurs plans sociaux pour le climat relatifs à la période 2026-2032 (3,7 milliards d’EUR). Les contributions des États membres au titre de l’aide extérieure comprennent principalement les contributions au taux d’intérêt pour les prêts AMF + à l’Ukraine (0,6 milliard d’EUR).</w:t>
      </w:r>
    </w:p>
    <w:p>
      <w:pPr>
        <w:pStyle w:val="DGTextstand-alone"/>
        <w:spacing w:after="0"/>
      </w:pPr>
      <w:r>
        <w:t>Les produits issus des impôts et cotisations du personnel correspondent essentiellement aux prélèvements sur les traitements du personnel. Les cotisations de retraite et l’impôt sur le revenu représentent les principaux montants de cette catégorie.</w:t>
      </w:r>
    </w:p>
    <w:p>
      <w:pPr>
        <w:pStyle w:val="DGTextstand-alone"/>
        <w:spacing w:after="0"/>
      </w:pPr>
      <w:r>
        <w:t>Les contributions des pays de l’AELE s’élèvent à 1,5 milliard d’EUR et les contributions des pays tiers et des pays en voie d’adhésion comprennent essentiellement des contributions financières à Horizon Europe (2,8 milliards d’EUR).</w:t>
      </w:r>
    </w:p>
    <w:p>
      <w:pPr>
        <w:pStyle w:val="DGTextstand-alone"/>
        <w:spacing w:after="0"/>
      </w:pPr>
      <w:r>
        <w:t xml:space="preserve">L’ajustement budgétaire est principalement lié aux ajustements des ressources propres TVA et RNB remontant aux exercices précédents. Par cette opération, la Commission redistribue les soldes TVA et RNB totaux, positifs ou négatifs, aux États membres en fonction de leur clé RNB. La légère augmentation est liée essentiellement à une hausse de l’excédent budgétaire par rapport à l’exercice précédent partiellement compensé par une hausse des montants à redistribuer pour les ressources propres RNB, TVA et matières plastiques. </w:t>
      </w:r>
    </w:p>
    <w:p>
      <w:pPr>
        <w:rPr>
          <w:rFonts w:ascii="Verdana" w:hAnsi="Verdana"/>
          <w:b/>
          <w:noProof/>
          <w:color w:val="016794"/>
          <w:sz w:val="28"/>
          <w:szCs w:val="28"/>
        </w:rPr>
      </w:pPr>
      <w:r>
        <w:rPr>
          <w:noProof/>
        </w:rPr>
        <w:br w:type="page"/>
      </w:r>
    </w:p>
    <w:p>
      <w:pPr>
        <w:pStyle w:val="HEADERTABLE"/>
        <w:spacing w:before="360" w:after="360"/>
        <w:rPr>
          <w:noProof/>
        </w:rPr>
      </w:pPr>
      <w:r>
        <w:rPr>
          <w:noProof/>
        </w:rPr>
        <w:lastRenderedPageBreak/>
        <w:t>PRODUITS DES OPÉRATIONS AVEC CONTREPARTIE DIRECTE</w:t>
      </w:r>
    </w:p>
    <w:p>
      <w:pPr>
        <w:numPr>
          <w:ilvl w:val="1"/>
          <w:numId w:val="15"/>
        </w:numPr>
        <w:tabs>
          <w:tab w:val="left" w:pos="907"/>
        </w:tabs>
        <w:spacing w:before="360" w:after="360"/>
        <w:rPr>
          <w:rFonts w:ascii="Verdana" w:hAnsi="Verdana"/>
          <w:b/>
          <w:noProof/>
          <w:color w:val="016794"/>
          <w:sz w:val="28"/>
          <w:szCs w:val="28"/>
        </w:rPr>
      </w:pPr>
      <w:r>
        <w:rPr>
          <w:rFonts w:ascii="Verdana" w:hAnsi="Verdana"/>
          <w:b/>
          <w:noProof/>
          <w:color w:val="016794"/>
          <w:sz w:val="28"/>
        </w:rPr>
        <w:t>PRODUIT FINANCIER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3"/>
        <w:gridCol w:w="1257"/>
        <w:gridCol w:w="1358"/>
      </w:tblGrid>
      <w:tr>
        <w:trPr>
          <w:trHeight w:hRule="exact" w:val="255"/>
        </w:trPr>
        <w:tc>
          <w:tcPr>
            <w:tcW w:w="7143" w:type="dxa"/>
            <w:tcBorders>
              <w:top w:val="nil"/>
              <w:left w:val="nil"/>
              <w:bottom w:val="nil"/>
              <w:right w:val="nil"/>
              <w:tl2br w:val="nil"/>
              <w:tr2bl w:val="nil"/>
            </w:tcBorders>
            <w:shd w:val="solid" w:color="FFFFFF" w:fill="FFFFFF"/>
            <w:tcMar>
              <w:left w:w="60" w:type="dxa"/>
              <w:right w:w="60" w:type="dxa"/>
            </w:tcMar>
            <w:vAlign w:val="bottom"/>
          </w:tcPr>
          <w:p>
            <w:pPr>
              <w:pStyle w:val="DMETW36759BIPFINREV"/>
              <w:rPr>
                <w:rFonts w:ascii="Arial" w:eastAsia="Arial" w:hAnsi="Arial" w:cs="Arial"/>
                <w:noProof/>
                <w:color w:val="000000"/>
              </w:rPr>
            </w:pPr>
            <w:bookmarkStart w:id="181" w:name="DOC_TBL00068_1_1"/>
            <w:bookmarkEnd w:id="181"/>
          </w:p>
        </w:tc>
        <w:tc>
          <w:tcPr>
            <w:tcW w:w="1257" w:type="dxa"/>
            <w:tcBorders>
              <w:top w:val="nil"/>
              <w:left w:val="nil"/>
              <w:bottom w:val="nil"/>
              <w:right w:val="nil"/>
              <w:tl2br w:val="nil"/>
              <w:tr2bl w:val="nil"/>
            </w:tcBorders>
            <w:shd w:val="solid" w:color="FFFFFF" w:fill="FFFFFF"/>
            <w:tcMar>
              <w:left w:w="60" w:type="dxa"/>
              <w:right w:w="60" w:type="dxa"/>
            </w:tcMar>
            <w:vAlign w:val="bottom"/>
          </w:tcPr>
          <w:p>
            <w:pPr>
              <w:pStyle w:val="DMETW36759BIPFINREV"/>
              <w:rPr>
                <w:rFonts w:ascii="Arial" w:eastAsia="Arial" w:hAnsi="Arial" w:cs="Arial"/>
                <w:noProof/>
                <w:color w:val="000000"/>
              </w:rPr>
            </w:pPr>
          </w:p>
        </w:tc>
        <w:tc>
          <w:tcPr>
            <w:tcW w:w="1358" w:type="dxa"/>
            <w:tcBorders>
              <w:top w:val="nil"/>
              <w:left w:val="nil"/>
              <w:bottom w:val="nil"/>
              <w:right w:val="nil"/>
              <w:tl2br w:val="nil"/>
              <w:tr2bl w:val="nil"/>
            </w:tcBorders>
            <w:shd w:val="solid" w:color="FFFFFF" w:fill="FFFFFF"/>
            <w:tcMar>
              <w:left w:w="60" w:type="dxa"/>
              <w:right w:w="60" w:type="dxa"/>
            </w:tcMar>
            <w:vAlign w:val="bottom"/>
          </w:tcPr>
          <w:p>
            <w:pPr>
              <w:pStyle w:val="DMETW36759BIPFINREV"/>
              <w:jc w:val="right"/>
              <w:rPr>
                <w:rFonts w:ascii="Verdana" w:eastAsia="Verdana" w:hAnsi="Verdana" w:cs="Verdana"/>
                <w:i/>
                <w:noProof/>
                <w:color w:val="000000"/>
                <w:sz w:val="16"/>
              </w:rPr>
            </w:pPr>
            <w:r>
              <w:rPr>
                <w:rFonts w:ascii="Verdana" w:hAnsi="Verdana"/>
                <w:i/>
                <w:noProof/>
                <w:color w:val="000000"/>
                <w:sz w:val="16"/>
              </w:rPr>
              <w:t>en Mio EUR</w:t>
            </w:r>
          </w:p>
        </w:tc>
      </w:tr>
      <w:tr>
        <w:trPr>
          <w:trHeight w:hRule="exact" w:val="255"/>
        </w:trPr>
        <w:tc>
          <w:tcPr>
            <w:tcW w:w="7143" w:type="dxa"/>
            <w:tcBorders>
              <w:top w:val="nil"/>
              <w:left w:val="nil"/>
              <w:bottom w:val="nil"/>
              <w:right w:val="nil"/>
              <w:tl2br w:val="nil"/>
              <w:tr2bl w:val="nil"/>
            </w:tcBorders>
            <w:shd w:val="solid" w:color="016794" w:fill="FFFFFF"/>
            <w:tcMar>
              <w:left w:w="60" w:type="dxa"/>
              <w:right w:w="60" w:type="dxa"/>
            </w:tcMar>
            <w:vAlign w:val="center"/>
          </w:tcPr>
          <w:p>
            <w:pPr>
              <w:pStyle w:val="DMETW36759BIPFINREV"/>
              <w:jc w:val="right"/>
              <w:rPr>
                <w:rFonts w:ascii="Verdana" w:eastAsia="Verdana" w:hAnsi="Verdana" w:cs="Verdana"/>
                <w:noProof/>
                <w:color w:val="FFFFFF"/>
              </w:rPr>
            </w:pPr>
          </w:p>
        </w:tc>
        <w:tc>
          <w:tcPr>
            <w:tcW w:w="1257" w:type="dxa"/>
            <w:tcBorders>
              <w:top w:val="nil"/>
              <w:left w:val="nil"/>
              <w:bottom w:val="nil"/>
              <w:right w:val="nil"/>
              <w:tl2br w:val="nil"/>
              <w:tr2bl w:val="nil"/>
            </w:tcBorders>
            <w:shd w:val="solid" w:color="016794" w:fill="FFFFFF"/>
            <w:tcMar>
              <w:left w:w="60" w:type="dxa"/>
              <w:right w:w="60" w:type="dxa"/>
            </w:tcMar>
            <w:vAlign w:val="center"/>
          </w:tcPr>
          <w:p>
            <w:pPr>
              <w:pStyle w:val="DMETW36759BIPFINREV"/>
              <w:jc w:val="right"/>
              <w:rPr>
                <w:rFonts w:ascii="Verdana" w:eastAsia="Verdana" w:hAnsi="Verdana" w:cs="Verdana"/>
                <w:noProof/>
                <w:color w:val="FFFFFF"/>
              </w:rPr>
            </w:pPr>
            <w:r>
              <w:rPr>
                <w:rFonts w:ascii="Verdana" w:hAnsi="Verdana"/>
                <w:noProof/>
                <w:color w:val="FFFFFF"/>
              </w:rPr>
              <w:t>2025</w:t>
            </w:r>
          </w:p>
        </w:tc>
        <w:tc>
          <w:tcPr>
            <w:tcW w:w="1358" w:type="dxa"/>
            <w:tcBorders>
              <w:top w:val="nil"/>
              <w:left w:val="nil"/>
              <w:bottom w:val="nil"/>
              <w:right w:val="nil"/>
              <w:tl2br w:val="nil"/>
              <w:tr2bl w:val="nil"/>
            </w:tcBorders>
            <w:shd w:val="solid" w:color="016794" w:fill="FFFFFF"/>
            <w:tcMar>
              <w:left w:w="60" w:type="dxa"/>
              <w:right w:w="60" w:type="dxa"/>
            </w:tcMar>
            <w:vAlign w:val="center"/>
          </w:tcPr>
          <w:p>
            <w:pPr>
              <w:pStyle w:val="DMETW36759BIPFINREV"/>
              <w:jc w:val="right"/>
              <w:rPr>
                <w:rFonts w:ascii="Verdana" w:eastAsia="Verdana" w:hAnsi="Verdana" w:cs="Verdana"/>
                <w:noProof/>
                <w:color w:val="FFFFFF"/>
              </w:rPr>
            </w:pPr>
            <w:r>
              <w:rPr>
                <w:rFonts w:ascii="Verdana" w:hAnsi="Verdana"/>
                <w:noProof/>
                <w:color w:val="FFFFFF"/>
              </w:rPr>
              <w:t>2024</w:t>
            </w:r>
          </w:p>
        </w:tc>
      </w:tr>
      <w:tr>
        <w:trPr>
          <w:trHeight w:hRule="exact" w:val="255"/>
        </w:trPr>
        <w:tc>
          <w:tcPr>
            <w:tcW w:w="7143" w:type="dxa"/>
            <w:tcBorders>
              <w:top w:val="nil"/>
              <w:left w:val="nil"/>
              <w:bottom w:val="nil"/>
              <w:right w:val="nil"/>
              <w:tl2br w:val="nil"/>
              <w:tr2bl w:val="nil"/>
            </w:tcBorders>
            <w:shd w:val="solid" w:color="FFFFFF" w:fill="FFFFFF"/>
            <w:tcMar>
              <w:left w:w="60" w:type="dxa"/>
              <w:right w:w="60" w:type="dxa"/>
            </w:tcMar>
            <w:vAlign w:val="center"/>
          </w:tcPr>
          <w:p>
            <w:pPr>
              <w:pStyle w:val="DMETW36759BIPFINREV"/>
              <w:rPr>
                <w:rFonts w:ascii="Verdana" w:eastAsia="Verdana" w:hAnsi="Verdana" w:cs="Verdana"/>
                <w:i/>
                <w:noProof/>
                <w:color w:val="000000"/>
                <w:sz w:val="18"/>
              </w:rPr>
            </w:pPr>
            <w:r>
              <w:rPr>
                <w:rFonts w:ascii="Verdana" w:hAnsi="Verdana"/>
                <w:i/>
                <w:noProof/>
                <w:color w:val="000000"/>
                <w:sz w:val="18"/>
              </w:rPr>
              <w:t>Intérêts sur:</w:t>
            </w:r>
          </w:p>
        </w:tc>
        <w:tc>
          <w:tcPr>
            <w:tcW w:w="1257" w:type="dxa"/>
            <w:tcBorders>
              <w:top w:val="nil"/>
              <w:left w:val="nil"/>
              <w:bottom w:val="nil"/>
              <w:right w:val="nil"/>
              <w:tl2br w:val="nil"/>
              <w:tr2bl w:val="nil"/>
            </w:tcBorders>
            <w:shd w:val="solid" w:color="FFFFFF" w:fill="FFFFFF"/>
            <w:tcMar>
              <w:left w:w="60" w:type="dxa"/>
              <w:right w:w="60" w:type="dxa"/>
            </w:tcMar>
            <w:vAlign w:val="center"/>
          </w:tcPr>
          <w:p>
            <w:pPr>
              <w:pStyle w:val="DMETW36759BIPFINREV"/>
              <w:jc w:val="right"/>
              <w:rPr>
                <w:rFonts w:ascii="Verdana" w:eastAsia="Verdana" w:hAnsi="Verdana" w:cs="Verdana"/>
                <w:i/>
                <w:noProof/>
                <w:color w:val="000000"/>
                <w:sz w:val="18"/>
              </w:rPr>
            </w:pPr>
          </w:p>
        </w:tc>
        <w:tc>
          <w:tcPr>
            <w:tcW w:w="1358" w:type="dxa"/>
            <w:tcBorders>
              <w:top w:val="nil"/>
              <w:left w:val="nil"/>
              <w:bottom w:val="nil"/>
              <w:right w:val="nil"/>
              <w:tl2br w:val="nil"/>
              <w:tr2bl w:val="nil"/>
            </w:tcBorders>
            <w:shd w:val="solid" w:color="FFFFFF" w:fill="FFFFFF"/>
            <w:tcMar>
              <w:left w:w="60" w:type="dxa"/>
              <w:right w:w="60" w:type="dxa"/>
            </w:tcMar>
            <w:vAlign w:val="center"/>
          </w:tcPr>
          <w:p>
            <w:pPr>
              <w:pStyle w:val="DMETW36759BIPFINREV"/>
              <w:jc w:val="right"/>
              <w:rPr>
                <w:rFonts w:ascii="Verdana" w:eastAsia="Verdana" w:hAnsi="Verdana" w:cs="Verdana"/>
                <w:i/>
                <w:noProof/>
                <w:color w:val="000000"/>
                <w:sz w:val="18"/>
                <w:lang w:bidi="en-GB"/>
              </w:rPr>
            </w:pPr>
          </w:p>
        </w:tc>
      </w:tr>
      <w:tr>
        <w:trPr>
          <w:trHeight w:hRule="exact" w:val="255"/>
        </w:trPr>
        <w:tc>
          <w:tcPr>
            <w:tcW w:w="7143" w:type="dxa"/>
            <w:tcBorders>
              <w:top w:val="nil"/>
              <w:left w:val="nil"/>
              <w:bottom w:val="nil"/>
              <w:right w:val="nil"/>
              <w:tl2br w:val="nil"/>
              <w:tr2bl w:val="nil"/>
            </w:tcBorders>
            <w:shd w:val="solid" w:color="FFFFFF" w:fill="FFFFFF"/>
            <w:tcMar>
              <w:left w:w="60" w:type="dxa"/>
              <w:right w:w="60" w:type="dxa"/>
            </w:tcMar>
            <w:vAlign w:val="center"/>
          </w:tcPr>
          <w:p>
            <w:pPr>
              <w:pStyle w:val="DMETW36759BIPFINREV"/>
              <w:rPr>
                <w:rFonts w:ascii="Verdana" w:eastAsia="Verdana" w:hAnsi="Verdana" w:cs="Verdana"/>
                <w:i/>
                <w:noProof/>
                <w:color w:val="000000"/>
                <w:sz w:val="18"/>
              </w:rPr>
            </w:pPr>
            <w:r>
              <w:rPr>
                <w:rFonts w:ascii="Verdana" w:hAnsi="Verdana"/>
                <w:i/>
                <w:noProof/>
                <w:color w:val="000000"/>
                <w:sz w:val="18"/>
              </w:rPr>
              <w:t xml:space="preserve">     Prêts</w:t>
            </w:r>
          </w:p>
        </w:tc>
        <w:tc>
          <w:tcPr>
            <w:tcW w:w="1257" w:type="dxa"/>
            <w:tcBorders>
              <w:top w:val="nil"/>
              <w:left w:val="nil"/>
              <w:bottom w:val="nil"/>
              <w:right w:val="nil"/>
              <w:tl2br w:val="nil"/>
              <w:tr2bl w:val="nil"/>
            </w:tcBorders>
            <w:shd w:val="solid" w:color="FFFFFF" w:fill="FFFFFF"/>
            <w:tcMar>
              <w:left w:w="60" w:type="dxa"/>
              <w:right w:w="60" w:type="dxa"/>
            </w:tcMar>
            <w:vAlign w:val="center"/>
          </w:tcPr>
          <w:p>
            <w:pPr>
              <w:pStyle w:val="DMETW36759BIPFINREV"/>
              <w:jc w:val="right"/>
              <w:rPr>
                <w:rFonts w:ascii="Verdana" w:eastAsia="Verdana" w:hAnsi="Verdana" w:cs="Verdana"/>
                <w:i/>
                <w:noProof/>
                <w:color w:val="000000"/>
                <w:sz w:val="18"/>
              </w:rPr>
            </w:pPr>
            <w:r>
              <w:rPr>
                <w:rFonts w:ascii="Verdana" w:hAnsi="Verdana"/>
                <w:i/>
                <w:noProof/>
                <w:color w:val="000000"/>
                <w:sz w:val="18"/>
              </w:rPr>
              <w:t>5 720</w:t>
            </w:r>
          </w:p>
        </w:tc>
        <w:tc>
          <w:tcPr>
            <w:tcW w:w="1358" w:type="dxa"/>
            <w:tcBorders>
              <w:top w:val="nil"/>
              <w:left w:val="nil"/>
              <w:bottom w:val="nil"/>
              <w:right w:val="nil"/>
              <w:tl2br w:val="nil"/>
              <w:tr2bl w:val="nil"/>
            </w:tcBorders>
            <w:shd w:val="solid" w:color="FFFFFF" w:fill="FFFFFF"/>
            <w:tcMar>
              <w:left w:w="60" w:type="dxa"/>
              <w:right w:w="60" w:type="dxa"/>
            </w:tcMar>
            <w:vAlign w:val="center"/>
          </w:tcPr>
          <w:p>
            <w:pPr>
              <w:pStyle w:val="DMETW36759BIPFINREV"/>
              <w:jc w:val="right"/>
              <w:rPr>
                <w:rFonts w:ascii="Verdana" w:eastAsia="Verdana" w:hAnsi="Verdana" w:cs="Verdana"/>
                <w:i/>
                <w:noProof/>
                <w:color w:val="000000"/>
                <w:sz w:val="18"/>
              </w:rPr>
            </w:pPr>
            <w:r>
              <w:rPr>
                <w:rFonts w:ascii="Verdana" w:hAnsi="Verdana"/>
                <w:i/>
                <w:noProof/>
                <w:color w:val="000000"/>
                <w:sz w:val="18"/>
              </w:rPr>
              <w:t>4 129</w:t>
            </w:r>
          </w:p>
        </w:tc>
      </w:tr>
      <w:tr>
        <w:trPr>
          <w:trHeight w:hRule="exact" w:val="255"/>
        </w:trPr>
        <w:tc>
          <w:tcPr>
            <w:tcW w:w="7143" w:type="dxa"/>
            <w:tcBorders>
              <w:top w:val="nil"/>
              <w:left w:val="nil"/>
              <w:bottom w:val="nil"/>
              <w:right w:val="nil"/>
              <w:tl2br w:val="nil"/>
              <w:tr2bl w:val="nil"/>
            </w:tcBorders>
            <w:shd w:val="solid" w:color="FFFFFF" w:fill="FFFFFF"/>
            <w:tcMar>
              <w:left w:w="60" w:type="dxa"/>
              <w:right w:w="60" w:type="dxa"/>
            </w:tcMar>
            <w:vAlign w:val="center"/>
          </w:tcPr>
          <w:p>
            <w:pPr>
              <w:pStyle w:val="DMETW36759BIPFINREV"/>
              <w:rPr>
                <w:rFonts w:ascii="Verdana" w:eastAsia="Verdana" w:hAnsi="Verdana" w:cs="Verdana"/>
                <w:i/>
                <w:noProof/>
                <w:color w:val="000000"/>
                <w:sz w:val="18"/>
              </w:rPr>
            </w:pPr>
            <w:r>
              <w:rPr>
                <w:rFonts w:ascii="Verdana" w:hAnsi="Verdana"/>
                <w:i/>
                <w:noProof/>
                <w:color w:val="000000"/>
                <w:sz w:val="18"/>
              </w:rPr>
              <w:t xml:space="preserve">     Trésorerie et équivalents de trésorerie</w:t>
            </w:r>
          </w:p>
        </w:tc>
        <w:tc>
          <w:tcPr>
            <w:tcW w:w="1257" w:type="dxa"/>
            <w:tcBorders>
              <w:top w:val="nil"/>
              <w:left w:val="nil"/>
              <w:bottom w:val="nil"/>
              <w:right w:val="nil"/>
              <w:tl2br w:val="nil"/>
              <w:tr2bl w:val="nil"/>
            </w:tcBorders>
            <w:shd w:val="solid" w:color="FFFFFF" w:fill="FFFFFF"/>
            <w:tcMar>
              <w:left w:w="60" w:type="dxa"/>
              <w:right w:w="60" w:type="dxa"/>
            </w:tcMar>
            <w:vAlign w:val="center"/>
          </w:tcPr>
          <w:p>
            <w:pPr>
              <w:pStyle w:val="DMETW36759BIPFINREV"/>
              <w:jc w:val="right"/>
              <w:rPr>
                <w:rFonts w:ascii="Verdana" w:eastAsia="Verdana" w:hAnsi="Verdana" w:cs="Verdana"/>
                <w:i/>
                <w:noProof/>
                <w:color w:val="000000"/>
                <w:sz w:val="18"/>
              </w:rPr>
            </w:pPr>
            <w:r>
              <w:rPr>
                <w:rFonts w:ascii="Verdana" w:hAnsi="Verdana"/>
                <w:i/>
                <w:noProof/>
                <w:color w:val="000000"/>
                <w:sz w:val="18"/>
              </w:rPr>
              <w:t>1 823</w:t>
            </w:r>
          </w:p>
        </w:tc>
        <w:tc>
          <w:tcPr>
            <w:tcW w:w="1358" w:type="dxa"/>
            <w:tcBorders>
              <w:top w:val="nil"/>
              <w:left w:val="nil"/>
              <w:bottom w:val="nil"/>
              <w:right w:val="nil"/>
              <w:tl2br w:val="nil"/>
              <w:tr2bl w:val="nil"/>
            </w:tcBorders>
            <w:shd w:val="solid" w:color="FFFFFF" w:fill="FFFFFF"/>
            <w:tcMar>
              <w:left w:w="60" w:type="dxa"/>
              <w:right w:w="60" w:type="dxa"/>
            </w:tcMar>
            <w:vAlign w:val="center"/>
          </w:tcPr>
          <w:p>
            <w:pPr>
              <w:pStyle w:val="DMETW36759BIPFINREV"/>
              <w:jc w:val="right"/>
              <w:rPr>
                <w:rFonts w:ascii="Verdana" w:eastAsia="Verdana" w:hAnsi="Verdana" w:cs="Verdana"/>
                <w:i/>
                <w:noProof/>
                <w:color w:val="000000"/>
                <w:sz w:val="18"/>
              </w:rPr>
            </w:pPr>
            <w:r>
              <w:rPr>
                <w:rFonts w:ascii="Verdana" w:hAnsi="Verdana"/>
                <w:i/>
                <w:noProof/>
                <w:color w:val="000000"/>
                <w:sz w:val="18"/>
              </w:rPr>
              <w:t>1 726</w:t>
            </w:r>
          </w:p>
        </w:tc>
      </w:tr>
      <w:tr>
        <w:trPr>
          <w:trHeight w:hRule="exact" w:val="255"/>
        </w:trPr>
        <w:tc>
          <w:tcPr>
            <w:tcW w:w="7143" w:type="dxa"/>
            <w:tcBorders>
              <w:top w:val="nil"/>
              <w:left w:val="nil"/>
              <w:bottom w:val="nil"/>
              <w:right w:val="nil"/>
              <w:tl2br w:val="nil"/>
              <w:tr2bl w:val="nil"/>
            </w:tcBorders>
            <w:shd w:val="solid" w:color="FFFFFF" w:fill="FFFFFF"/>
            <w:tcMar>
              <w:left w:w="60" w:type="dxa"/>
              <w:right w:w="60" w:type="dxa"/>
            </w:tcMar>
            <w:vAlign w:val="center"/>
          </w:tcPr>
          <w:p>
            <w:pPr>
              <w:pStyle w:val="DMETW36759BIPFINREV"/>
              <w:rPr>
                <w:rFonts w:ascii="Verdana" w:eastAsia="Verdana" w:hAnsi="Verdana" w:cs="Verdana"/>
                <w:i/>
                <w:noProof/>
                <w:color w:val="000000"/>
                <w:sz w:val="18"/>
              </w:rPr>
            </w:pPr>
            <w:r>
              <w:rPr>
                <w:rFonts w:ascii="Verdana" w:hAnsi="Verdana"/>
                <w:i/>
                <w:noProof/>
                <w:color w:val="000000"/>
                <w:sz w:val="18"/>
              </w:rPr>
              <w:t xml:space="preserve">     Retards de paiement</w:t>
            </w:r>
          </w:p>
        </w:tc>
        <w:tc>
          <w:tcPr>
            <w:tcW w:w="1257" w:type="dxa"/>
            <w:tcBorders>
              <w:top w:val="nil"/>
              <w:left w:val="nil"/>
              <w:bottom w:val="nil"/>
              <w:right w:val="nil"/>
              <w:tl2br w:val="nil"/>
              <w:tr2bl w:val="nil"/>
            </w:tcBorders>
            <w:shd w:val="solid" w:color="FFFFFF" w:fill="FFFFFF"/>
            <w:tcMar>
              <w:left w:w="60" w:type="dxa"/>
              <w:right w:w="60" w:type="dxa"/>
            </w:tcMar>
            <w:vAlign w:val="center"/>
          </w:tcPr>
          <w:p>
            <w:pPr>
              <w:pStyle w:val="DMETW36759BIPFINREV"/>
              <w:jc w:val="right"/>
              <w:rPr>
                <w:rFonts w:ascii="Verdana" w:eastAsia="Verdana" w:hAnsi="Verdana" w:cs="Verdana"/>
                <w:i/>
                <w:noProof/>
                <w:color w:val="000000"/>
                <w:sz w:val="18"/>
              </w:rPr>
            </w:pPr>
            <w:r>
              <w:rPr>
                <w:rFonts w:ascii="Verdana" w:hAnsi="Verdana"/>
                <w:i/>
                <w:noProof/>
                <w:color w:val="000000"/>
                <w:sz w:val="18"/>
              </w:rPr>
              <w:t xml:space="preserve"> 237</w:t>
            </w:r>
          </w:p>
        </w:tc>
        <w:tc>
          <w:tcPr>
            <w:tcW w:w="1358" w:type="dxa"/>
            <w:tcBorders>
              <w:top w:val="nil"/>
              <w:left w:val="nil"/>
              <w:bottom w:val="nil"/>
              <w:right w:val="nil"/>
              <w:tl2br w:val="nil"/>
              <w:tr2bl w:val="nil"/>
            </w:tcBorders>
            <w:shd w:val="solid" w:color="FFFFFF" w:fill="FFFFFF"/>
            <w:tcMar>
              <w:left w:w="60" w:type="dxa"/>
              <w:right w:w="60" w:type="dxa"/>
            </w:tcMar>
            <w:vAlign w:val="center"/>
          </w:tcPr>
          <w:p>
            <w:pPr>
              <w:pStyle w:val="DMETW36759BIPFINREV"/>
              <w:jc w:val="right"/>
              <w:rPr>
                <w:rFonts w:ascii="Verdana" w:eastAsia="Verdana" w:hAnsi="Verdana" w:cs="Verdana"/>
                <w:i/>
                <w:noProof/>
                <w:color w:val="000000"/>
                <w:sz w:val="18"/>
              </w:rPr>
            </w:pPr>
            <w:r>
              <w:rPr>
                <w:rFonts w:ascii="Verdana" w:hAnsi="Verdana"/>
                <w:i/>
                <w:noProof/>
                <w:color w:val="000000"/>
                <w:sz w:val="18"/>
              </w:rPr>
              <w:t xml:space="preserve"> 224</w:t>
            </w:r>
          </w:p>
        </w:tc>
      </w:tr>
      <w:tr>
        <w:trPr>
          <w:trHeight w:hRule="exact" w:val="255"/>
        </w:trPr>
        <w:tc>
          <w:tcPr>
            <w:tcW w:w="7143" w:type="dxa"/>
            <w:tcBorders>
              <w:top w:val="nil"/>
              <w:left w:val="nil"/>
              <w:bottom w:val="nil"/>
              <w:right w:val="nil"/>
              <w:tl2br w:val="nil"/>
              <w:tr2bl w:val="nil"/>
            </w:tcBorders>
            <w:shd w:val="solid" w:color="FFFFFF" w:fill="FFFFFF"/>
            <w:tcMar>
              <w:left w:w="60" w:type="dxa"/>
              <w:right w:w="60" w:type="dxa"/>
            </w:tcMar>
            <w:vAlign w:val="center"/>
          </w:tcPr>
          <w:p>
            <w:pPr>
              <w:pStyle w:val="DMETW36759BIPFINREV"/>
              <w:rPr>
                <w:rFonts w:ascii="Verdana" w:eastAsia="Verdana" w:hAnsi="Verdana" w:cs="Verdana"/>
                <w:i/>
                <w:noProof/>
                <w:color w:val="000000"/>
                <w:sz w:val="18"/>
              </w:rPr>
            </w:pPr>
            <w:r>
              <w:rPr>
                <w:rFonts w:ascii="Verdana" w:hAnsi="Verdana"/>
                <w:i/>
                <w:noProof/>
                <w:color w:val="000000"/>
                <w:sz w:val="18"/>
              </w:rPr>
              <w:t xml:space="preserve">     Emprunts</w:t>
            </w:r>
          </w:p>
        </w:tc>
        <w:tc>
          <w:tcPr>
            <w:tcW w:w="1257" w:type="dxa"/>
            <w:tcBorders>
              <w:top w:val="nil"/>
              <w:left w:val="nil"/>
              <w:bottom w:val="nil"/>
              <w:right w:val="nil"/>
              <w:tl2br w:val="nil"/>
              <w:tr2bl w:val="nil"/>
            </w:tcBorders>
            <w:shd w:val="solid" w:color="FFFFFF" w:fill="FFFFFF"/>
            <w:tcMar>
              <w:left w:w="60" w:type="dxa"/>
              <w:right w:w="60" w:type="dxa"/>
            </w:tcMar>
            <w:vAlign w:val="center"/>
          </w:tcPr>
          <w:p>
            <w:pPr>
              <w:pStyle w:val="DMETW36759BIPFINREV"/>
              <w:jc w:val="right"/>
              <w:rPr>
                <w:rFonts w:ascii="Verdana" w:eastAsia="Verdana" w:hAnsi="Verdana" w:cs="Verdana"/>
                <w:i/>
                <w:noProof/>
                <w:color w:val="000000"/>
                <w:sz w:val="18"/>
              </w:rPr>
            </w:pPr>
            <w:r>
              <w:rPr>
                <w:rFonts w:ascii="Verdana" w:hAnsi="Verdana"/>
                <w:i/>
                <w:noProof/>
                <w:color w:val="000000"/>
                <w:sz w:val="18"/>
              </w:rPr>
              <w:t xml:space="preserve"> 217</w:t>
            </w:r>
          </w:p>
        </w:tc>
        <w:tc>
          <w:tcPr>
            <w:tcW w:w="1358" w:type="dxa"/>
            <w:tcBorders>
              <w:top w:val="nil"/>
              <w:left w:val="nil"/>
              <w:bottom w:val="nil"/>
              <w:right w:val="nil"/>
              <w:tl2br w:val="nil"/>
              <w:tr2bl w:val="nil"/>
            </w:tcBorders>
            <w:shd w:val="solid" w:color="FFFFFF" w:fill="FFFFFF"/>
            <w:tcMar>
              <w:left w:w="60" w:type="dxa"/>
              <w:right w:w="60" w:type="dxa"/>
            </w:tcMar>
            <w:vAlign w:val="center"/>
          </w:tcPr>
          <w:p>
            <w:pPr>
              <w:pStyle w:val="DMETW36759BIPFINREV"/>
              <w:jc w:val="right"/>
              <w:rPr>
                <w:rFonts w:ascii="Verdana" w:eastAsia="Verdana" w:hAnsi="Verdana" w:cs="Verdana"/>
                <w:i/>
                <w:noProof/>
                <w:color w:val="000000"/>
                <w:sz w:val="18"/>
              </w:rPr>
            </w:pPr>
            <w:r>
              <w:rPr>
                <w:rFonts w:ascii="Verdana" w:hAnsi="Verdana"/>
                <w:i/>
                <w:noProof/>
                <w:color w:val="000000"/>
                <w:sz w:val="18"/>
              </w:rPr>
              <w:t xml:space="preserve"> 228</w:t>
            </w:r>
          </w:p>
        </w:tc>
      </w:tr>
      <w:tr>
        <w:trPr>
          <w:trHeight w:hRule="exact" w:val="255"/>
        </w:trPr>
        <w:tc>
          <w:tcPr>
            <w:tcW w:w="7143" w:type="dxa"/>
            <w:tcBorders>
              <w:top w:val="nil"/>
              <w:left w:val="nil"/>
              <w:bottom w:val="nil"/>
              <w:right w:val="nil"/>
              <w:tl2br w:val="nil"/>
              <w:tr2bl w:val="nil"/>
            </w:tcBorders>
            <w:shd w:val="solid" w:color="FFFFFF" w:fill="FFFFFF"/>
            <w:tcMar>
              <w:left w:w="60" w:type="dxa"/>
              <w:right w:w="60" w:type="dxa"/>
            </w:tcMar>
            <w:vAlign w:val="center"/>
          </w:tcPr>
          <w:p>
            <w:pPr>
              <w:pStyle w:val="DMETW36759BIPFINREV"/>
              <w:rPr>
                <w:rFonts w:ascii="Verdana" w:eastAsia="Verdana" w:hAnsi="Verdana" w:cs="Verdana"/>
                <w:i/>
                <w:noProof/>
                <w:color w:val="000000"/>
                <w:sz w:val="18"/>
              </w:rPr>
            </w:pPr>
            <w:r>
              <w:rPr>
                <w:rFonts w:ascii="Verdana" w:hAnsi="Verdana"/>
                <w:i/>
                <w:noProof/>
                <w:color w:val="000000"/>
                <w:sz w:val="18"/>
              </w:rPr>
              <w:t xml:space="preserve">     Autres </w:t>
            </w:r>
          </w:p>
        </w:tc>
        <w:tc>
          <w:tcPr>
            <w:tcW w:w="1257" w:type="dxa"/>
            <w:tcBorders>
              <w:top w:val="nil"/>
              <w:left w:val="nil"/>
              <w:bottom w:val="nil"/>
              <w:right w:val="nil"/>
              <w:tl2br w:val="nil"/>
              <w:tr2bl w:val="nil"/>
            </w:tcBorders>
            <w:shd w:val="solid" w:color="FFFFFF" w:fill="FFFFFF"/>
            <w:tcMar>
              <w:left w:w="60" w:type="dxa"/>
              <w:right w:w="60" w:type="dxa"/>
            </w:tcMar>
            <w:vAlign w:val="center"/>
          </w:tcPr>
          <w:p>
            <w:pPr>
              <w:pStyle w:val="DMETW36759BIPFINREV"/>
              <w:jc w:val="right"/>
              <w:rPr>
                <w:rFonts w:ascii="Verdana" w:eastAsia="Verdana" w:hAnsi="Verdana" w:cs="Verdana"/>
                <w:i/>
                <w:noProof/>
                <w:color w:val="000000"/>
                <w:sz w:val="18"/>
              </w:rPr>
            </w:pPr>
            <w:r>
              <w:rPr>
                <w:rFonts w:ascii="Verdana" w:hAnsi="Verdana"/>
                <w:i/>
                <w:noProof/>
                <w:color w:val="000000"/>
                <w:sz w:val="18"/>
              </w:rPr>
              <w:t xml:space="preserve"> 39</w:t>
            </w:r>
          </w:p>
        </w:tc>
        <w:tc>
          <w:tcPr>
            <w:tcW w:w="1358" w:type="dxa"/>
            <w:tcBorders>
              <w:top w:val="nil"/>
              <w:left w:val="nil"/>
              <w:bottom w:val="nil"/>
              <w:right w:val="nil"/>
              <w:tl2br w:val="nil"/>
              <w:tr2bl w:val="nil"/>
            </w:tcBorders>
            <w:shd w:val="solid" w:color="FFFFFF" w:fill="FFFFFF"/>
            <w:tcMar>
              <w:left w:w="60" w:type="dxa"/>
              <w:right w:w="60" w:type="dxa"/>
            </w:tcMar>
            <w:vAlign w:val="center"/>
          </w:tcPr>
          <w:p>
            <w:pPr>
              <w:pStyle w:val="DMETW36759BIPFINREV"/>
              <w:jc w:val="right"/>
              <w:rPr>
                <w:rFonts w:ascii="Verdana" w:eastAsia="Verdana" w:hAnsi="Verdana" w:cs="Verdana"/>
                <w:i/>
                <w:noProof/>
                <w:color w:val="000000"/>
                <w:sz w:val="18"/>
              </w:rPr>
            </w:pPr>
            <w:r>
              <w:rPr>
                <w:rFonts w:ascii="Verdana" w:hAnsi="Verdana"/>
                <w:i/>
                <w:noProof/>
                <w:color w:val="000000"/>
                <w:sz w:val="18"/>
              </w:rPr>
              <w:t xml:space="preserve"> 38</w:t>
            </w:r>
          </w:p>
        </w:tc>
      </w:tr>
      <w:tr>
        <w:trPr>
          <w:trHeight w:hRule="exact" w:val="255"/>
        </w:trPr>
        <w:tc>
          <w:tcPr>
            <w:tcW w:w="7143" w:type="dxa"/>
            <w:tcBorders>
              <w:top w:val="nil"/>
              <w:left w:val="nil"/>
              <w:bottom w:val="nil"/>
              <w:right w:val="nil"/>
              <w:tl2br w:val="nil"/>
              <w:tr2bl w:val="nil"/>
            </w:tcBorders>
            <w:tcMar>
              <w:left w:w="60" w:type="dxa"/>
              <w:right w:w="60" w:type="dxa"/>
            </w:tcMar>
            <w:vAlign w:val="center"/>
          </w:tcPr>
          <w:p>
            <w:pPr>
              <w:pStyle w:val="DMETW36759BIPFINREV"/>
              <w:rPr>
                <w:rFonts w:ascii="Verdana" w:eastAsia="Verdana" w:hAnsi="Verdana" w:cs="Verdana"/>
                <w:i/>
                <w:noProof/>
                <w:color w:val="000000"/>
                <w:sz w:val="18"/>
              </w:rPr>
            </w:pPr>
            <w:r>
              <w:rPr>
                <w:rFonts w:ascii="Verdana" w:hAnsi="Verdana"/>
                <w:i/>
                <w:noProof/>
                <w:color w:val="000000"/>
                <w:sz w:val="18"/>
              </w:rPr>
              <w:t>Produits provenant des CGF</w:t>
            </w:r>
          </w:p>
        </w:tc>
        <w:tc>
          <w:tcPr>
            <w:tcW w:w="1257" w:type="dxa"/>
            <w:tcBorders>
              <w:top w:val="nil"/>
              <w:left w:val="nil"/>
              <w:bottom w:val="nil"/>
              <w:right w:val="nil"/>
              <w:tl2br w:val="nil"/>
              <w:tr2bl w:val="nil"/>
            </w:tcBorders>
            <w:shd w:val="solid" w:color="FFFFFF" w:fill="FFFFFF"/>
            <w:tcMar>
              <w:left w:w="60" w:type="dxa"/>
              <w:right w:w="60" w:type="dxa"/>
            </w:tcMar>
            <w:vAlign w:val="center"/>
          </w:tcPr>
          <w:p>
            <w:pPr>
              <w:pStyle w:val="DMETW36759BIPFINREV"/>
              <w:jc w:val="right"/>
              <w:rPr>
                <w:rFonts w:ascii="Verdana" w:eastAsia="Verdana" w:hAnsi="Verdana" w:cs="Verdana"/>
                <w:i/>
                <w:noProof/>
                <w:color w:val="000000"/>
                <w:sz w:val="18"/>
              </w:rPr>
            </w:pPr>
            <w:r>
              <w:rPr>
                <w:rFonts w:ascii="Verdana" w:hAnsi="Verdana"/>
                <w:i/>
                <w:noProof/>
                <w:color w:val="000000"/>
                <w:sz w:val="18"/>
              </w:rPr>
              <w:t>1 245</w:t>
            </w:r>
          </w:p>
        </w:tc>
        <w:tc>
          <w:tcPr>
            <w:tcW w:w="1358" w:type="dxa"/>
            <w:tcBorders>
              <w:top w:val="nil"/>
              <w:left w:val="nil"/>
              <w:bottom w:val="nil"/>
              <w:right w:val="nil"/>
              <w:tl2br w:val="nil"/>
              <w:tr2bl w:val="nil"/>
            </w:tcBorders>
            <w:shd w:val="solid" w:color="FFFFFF" w:fill="FFFFFF"/>
            <w:tcMar>
              <w:left w:w="60" w:type="dxa"/>
              <w:right w:w="60" w:type="dxa"/>
            </w:tcMar>
            <w:vAlign w:val="center"/>
          </w:tcPr>
          <w:p>
            <w:pPr>
              <w:pStyle w:val="DMETW36759BIPFINREV"/>
              <w:jc w:val="right"/>
              <w:rPr>
                <w:rFonts w:ascii="Verdana" w:eastAsia="Verdana" w:hAnsi="Verdana" w:cs="Verdana"/>
                <w:i/>
                <w:noProof/>
                <w:color w:val="000000"/>
                <w:sz w:val="18"/>
              </w:rPr>
            </w:pPr>
            <w:r>
              <w:rPr>
                <w:rFonts w:ascii="Verdana" w:hAnsi="Verdana"/>
                <w:i/>
                <w:noProof/>
                <w:color w:val="000000"/>
                <w:sz w:val="18"/>
              </w:rPr>
              <w:t xml:space="preserve"> 971</w:t>
            </w:r>
          </w:p>
        </w:tc>
      </w:tr>
      <w:tr>
        <w:trPr>
          <w:trHeight w:hRule="exact" w:val="255"/>
        </w:trPr>
        <w:tc>
          <w:tcPr>
            <w:tcW w:w="7143" w:type="dxa"/>
            <w:tcBorders>
              <w:top w:val="nil"/>
              <w:left w:val="nil"/>
              <w:bottom w:val="nil"/>
              <w:right w:val="nil"/>
              <w:tl2br w:val="nil"/>
              <w:tr2bl w:val="nil"/>
            </w:tcBorders>
            <w:tcMar>
              <w:left w:w="60" w:type="dxa"/>
              <w:right w:w="60" w:type="dxa"/>
            </w:tcMar>
            <w:vAlign w:val="center"/>
          </w:tcPr>
          <w:p>
            <w:pPr>
              <w:pStyle w:val="DMETW36759BIPFINREV"/>
              <w:rPr>
                <w:rFonts w:ascii="Verdana" w:eastAsia="Verdana" w:hAnsi="Verdana" w:cs="Verdana"/>
                <w:i/>
                <w:noProof/>
                <w:color w:val="000000"/>
                <w:sz w:val="18"/>
              </w:rPr>
            </w:pPr>
            <w:r>
              <w:rPr>
                <w:rFonts w:ascii="Verdana" w:hAnsi="Verdana"/>
                <w:i/>
                <w:noProof/>
                <w:color w:val="000000"/>
                <w:sz w:val="18"/>
              </w:rPr>
              <w:t>Plus-values sur actifs ou passifs financiers à la JVCR:</w:t>
            </w:r>
          </w:p>
        </w:tc>
        <w:tc>
          <w:tcPr>
            <w:tcW w:w="1257" w:type="dxa"/>
            <w:tcBorders>
              <w:top w:val="nil"/>
              <w:left w:val="nil"/>
              <w:bottom w:val="nil"/>
              <w:right w:val="nil"/>
              <w:tl2br w:val="nil"/>
              <w:tr2bl w:val="nil"/>
            </w:tcBorders>
            <w:shd w:val="solid" w:color="FFFFFF" w:fill="FFFFFF"/>
            <w:tcMar>
              <w:left w:w="60" w:type="dxa"/>
              <w:right w:w="60" w:type="dxa"/>
            </w:tcMar>
            <w:vAlign w:val="center"/>
          </w:tcPr>
          <w:p>
            <w:pPr>
              <w:pStyle w:val="DMETW36759BIPFINREV"/>
              <w:jc w:val="right"/>
              <w:rPr>
                <w:rFonts w:ascii="Verdana" w:eastAsia="Verdana" w:hAnsi="Verdana" w:cs="Verdana"/>
                <w:i/>
                <w:noProof/>
                <w:color w:val="000000"/>
                <w:sz w:val="18"/>
              </w:rPr>
            </w:pPr>
          </w:p>
        </w:tc>
        <w:tc>
          <w:tcPr>
            <w:tcW w:w="1358" w:type="dxa"/>
            <w:tcBorders>
              <w:top w:val="nil"/>
              <w:left w:val="nil"/>
              <w:bottom w:val="nil"/>
              <w:right w:val="nil"/>
              <w:tl2br w:val="nil"/>
              <w:tr2bl w:val="nil"/>
            </w:tcBorders>
            <w:shd w:val="solid" w:color="FFFFFF" w:fill="FFFFFF"/>
            <w:tcMar>
              <w:left w:w="60" w:type="dxa"/>
              <w:right w:w="60" w:type="dxa"/>
            </w:tcMar>
            <w:vAlign w:val="center"/>
          </w:tcPr>
          <w:p>
            <w:pPr>
              <w:pStyle w:val="DMETW36759BIPFINREV"/>
              <w:jc w:val="right"/>
              <w:rPr>
                <w:rFonts w:ascii="Verdana" w:eastAsia="Verdana" w:hAnsi="Verdana" w:cs="Verdana"/>
                <w:i/>
                <w:noProof/>
                <w:color w:val="000000"/>
                <w:sz w:val="18"/>
                <w:lang w:bidi="en-GB"/>
              </w:rPr>
            </w:pPr>
          </w:p>
        </w:tc>
      </w:tr>
      <w:tr>
        <w:trPr>
          <w:trHeight w:hRule="exact" w:val="255"/>
        </w:trPr>
        <w:tc>
          <w:tcPr>
            <w:tcW w:w="7143" w:type="dxa"/>
            <w:tcBorders>
              <w:top w:val="nil"/>
              <w:left w:val="nil"/>
              <w:bottom w:val="nil"/>
              <w:right w:val="nil"/>
              <w:tl2br w:val="nil"/>
              <w:tr2bl w:val="nil"/>
            </w:tcBorders>
            <w:tcMar>
              <w:left w:w="60" w:type="dxa"/>
              <w:right w:w="60" w:type="dxa"/>
            </w:tcMar>
            <w:vAlign w:val="center"/>
          </w:tcPr>
          <w:p>
            <w:pPr>
              <w:pStyle w:val="DMETW36759BIPFINREV"/>
              <w:rPr>
                <w:rFonts w:ascii="Verdana" w:eastAsia="Verdana" w:hAnsi="Verdana" w:cs="Verdana"/>
                <w:i/>
                <w:noProof/>
                <w:color w:val="000000"/>
                <w:sz w:val="18"/>
              </w:rPr>
            </w:pPr>
            <w:r>
              <w:rPr>
                <w:rFonts w:ascii="Verdana" w:hAnsi="Verdana"/>
                <w:i/>
                <w:noProof/>
                <w:color w:val="000000"/>
                <w:sz w:val="18"/>
              </w:rPr>
              <w:t xml:space="preserve">     non dérivés </w:t>
            </w:r>
          </w:p>
        </w:tc>
        <w:tc>
          <w:tcPr>
            <w:tcW w:w="1257" w:type="dxa"/>
            <w:tcBorders>
              <w:top w:val="nil"/>
              <w:left w:val="nil"/>
              <w:bottom w:val="nil"/>
              <w:right w:val="nil"/>
              <w:tl2br w:val="nil"/>
              <w:tr2bl w:val="nil"/>
            </w:tcBorders>
            <w:shd w:val="solid" w:color="FFFFFF" w:fill="FFFFFF"/>
            <w:tcMar>
              <w:left w:w="60" w:type="dxa"/>
              <w:right w:w="60" w:type="dxa"/>
            </w:tcMar>
            <w:vAlign w:val="center"/>
          </w:tcPr>
          <w:p>
            <w:pPr>
              <w:pStyle w:val="DMETW36759BIPFINREV"/>
              <w:jc w:val="right"/>
              <w:rPr>
                <w:rFonts w:ascii="Verdana" w:eastAsia="Verdana" w:hAnsi="Verdana" w:cs="Verdana"/>
                <w:i/>
                <w:noProof/>
                <w:color w:val="000000"/>
                <w:sz w:val="18"/>
              </w:rPr>
            </w:pPr>
            <w:r>
              <w:rPr>
                <w:rFonts w:ascii="Verdana" w:hAnsi="Verdana"/>
                <w:i/>
                <w:noProof/>
                <w:color w:val="000000"/>
                <w:sz w:val="18"/>
              </w:rPr>
              <w:t>1 357</w:t>
            </w:r>
          </w:p>
        </w:tc>
        <w:tc>
          <w:tcPr>
            <w:tcW w:w="1358" w:type="dxa"/>
            <w:tcBorders>
              <w:top w:val="nil"/>
              <w:left w:val="nil"/>
              <w:bottom w:val="nil"/>
              <w:right w:val="nil"/>
              <w:tl2br w:val="nil"/>
              <w:tr2bl w:val="nil"/>
            </w:tcBorders>
            <w:shd w:val="solid" w:color="FFFFFF" w:fill="FFFFFF"/>
            <w:tcMar>
              <w:left w:w="60" w:type="dxa"/>
              <w:right w:w="60" w:type="dxa"/>
            </w:tcMar>
            <w:vAlign w:val="center"/>
          </w:tcPr>
          <w:p>
            <w:pPr>
              <w:pStyle w:val="DMETW36759BIPFINREV"/>
              <w:jc w:val="right"/>
              <w:rPr>
                <w:rFonts w:ascii="Verdana" w:eastAsia="Verdana" w:hAnsi="Verdana" w:cs="Verdana"/>
                <w:i/>
                <w:noProof/>
                <w:color w:val="000000"/>
                <w:sz w:val="18"/>
              </w:rPr>
            </w:pPr>
            <w:r>
              <w:rPr>
                <w:rFonts w:ascii="Verdana" w:hAnsi="Verdana"/>
                <w:i/>
                <w:noProof/>
                <w:color w:val="000000"/>
                <w:sz w:val="18"/>
              </w:rPr>
              <w:t>1 490</w:t>
            </w:r>
          </w:p>
        </w:tc>
      </w:tr>
      <w:tr>
        <w:trPr>
          <w:trHeight w:hRule="exact" w:val="255"/>
        </w:trPr>
        <w:tc>
          <w:tcPr>
            <w:tcW w:w="7143" w:type="dxa"/>
            <w:tcBorders>
              <w:top w:val="nil"/>
              <w:left w:val="nil"/>
              <w:bottom w:val="nil"/>
              <w:right w:val="nil"/>
              <w:tl2br w:val="nil"/>
              <w:tr2bl w:val="nil"/>
            </w:tcBorders>
            <w:tcMar>
              <w:left w:w="60" w:type="dxa"/>
              <w:right w:w="60" w:type="dxa"/>
            </w:tcMar>
            <w:vAlign w:val="center"/>
          </w:tcPr>
          <w:p>
            <w:pPr>
              <w:pStyle w:val="DMETW36759BIPFINREV"/>
              <w:rPr>
                <w:rFonts w:ascii="Verdana" w:eastAsia="Verdana" w:hAnsi="Verdana" w:cs="Verdana"/>
                <w:i/>
                <w:noProof/>
                <w:color w:val="000000"/>
                <w:sz w:val="18"/>
              </w:rPr>
            </w:pPr>
            <w:r>
              <w:rPr>
                <w:rFonts w:ascii="Verdana" w:hAnsi="Verdana"/>
                <w:i/>
                <w:noProof/>
                <w:color w:val="000000"/>
                <w:sz w:val="18"/>
              </w:rPr>
              <w:t xml:space="preserve">     Dérivés</w:t>
            </w:r>
          </w:p>
        </w:tc>
        <w:tc>
          <w:tcPr>
            <w:tcW w:w="1257" w:type="dxa"/>
            <w:tcBorders>
              <w:top w:val="nil"/>
              <w:left w:val="nil"/>
              <w:bottom w:val="nil"/>
              <w:right w:val="nil"/>
              <w:tl2br w:val="nil"/>
              <w:tr2bl w:val="nil"/>
            </w:tcBorders>
            <w:shd w:val="solid" w:color="FFFFFF" w:fill="FFFFFF"/>
            <w:tcMar>
              <w:left w:w="60" w:type="dxa"/>
              <w:right w:w="60" w:type="dxa"/>
            </w:tcMar>
            <w:vAlign w:val="center"/>
          </w:tcPr>
          <w:p>
            <w:pPr>
              <w:pStyle w:val="DMETW36759BIPFINREV"/>
              <w:jc w:val="right"/>
              <w:rPr>
                <w:rFonts w:ascii="Verdana" w:eastAsia="Verdana" w:hAnsi="Verdana" w:cs="Verdana"/>
                <w:i/>
                <w:noProof/>
                <w:color w:val="000000"/>
                <w:sz w:val="18"/>
              </w:rPr>
            </w:pPr>
            <w:r>
              <w:rPr>
                <w:rFonts w:ascii="Verdana" w:hAnsi="Verdana"/>
                <w:i/>
                <w:noProof/>
                <w:color w:val="000000"/>
                <w:sz w:val="18"/>
              </w:rPr>
              <w:t xml:space="preserve"> 772</w:t>
            </w:r>
          </w:p>
        </w:tc>
        <w:tc>
          <w:tcPr>
            <w:tcW w:w="1358" w:type="dxa"/>
            <w:tcBorders>
              <w:top w:val="nil"/>
              <w:left w:val="nil"/>
              <w:bottom w:val="nil"/>
              <w:right w:val="nil"/>
              <w:tl2br w:val="nil"/>
              <w:tr2bl w:val="nil"/>
            </w:tcBorders>
            <w:shd w:val="solid" w:color="FFFFFF" w:fill="FFFFFF"/>
            <w:tcMar>
              <w:left w:w="60" w:type="dxa"/>
              <w:right w:w="60" w:type="dxa"/>
            </w:tcMar>
            <w:vAlign w:val="center"/>
          </w:tcPr>
          <w:p>
            <w:pPr>
              <w:pStyle w:val="DMETW36759BIPFINREV"/>
              <w:jc w:val="right"/>
              <w:rPr>
                <w:rFonts w:ascii="Verdana" w:eastAsia="Verdana" w:hAnsi="Verdana" w:cs="Verdana"/>
                <w:i/>
                <w:noProof/>
                <w:color w:val="000000"/>
                <w:sz w:val="18"/>
              </w:rPr>
            </w:pPr>
            <w:r>
              <w:rPr>
                <w:rFonts w:ascii="Verdana" w:hAnsi="Verdana"/>
                <w:i/>
                <w:noProof/>
                <w:color w:val="000000"/>
                <w:sz w:val="18"/>
              </w:rPr>
              <w:t xml:space="preserve"> 165</w:t>
            </w:r>
          </w:p>
        </w:tc>
      </w:tr>
      <w:tr>
        <w:trPr>
          <w:trHeight w:hRule="exact" w:val="255"/>
        </w:trPr>
        <w:tc>
          <w:tcPr>
            <w:tcW w:w="7143" w:type="dxa"/>
            <w:tcBorders>
              <w:top w:val="nil"/>
              <w:left w:val="nil"/>
              <w:bottom w:val="nil"/>
              <w:right w:val="nil"/>
              <w:tl2br w:val="nil"/>
              <w:tr2bl w:val="nil"/>
            </w:tcBorders>
            <w:shd w:val="solid" w:color="FFFFFF" w:fill="FFFFFF"/>
            <w:tcMar>
              <w:left w:w="60" w:type="dxa"/>
              <w:right w:w="60" w:type="dxa"/>
            </w:tcMar>
            <w:vAlign w:val="center"/>
          </w:tcPr>
          <w:p>
            <w:pPr>
              <w:pStyle w:val="DMETW36759BIPFINREV"/>
              <w:rPr>
                <w:rFonts w:ascii="Verdana" w:eastAsia="Verdana" w:hAnsi="Verdana" w:cs="Verdana"/>
                <w:i/>
                <w:noProof/>
                <w:color w:val="000000"/>
                <w:sz w:val="18"/>
              </w:rPr>
            </w:pPr>
            <w:r>
              <w:rPr>
                <w:rFonts w:ascii="Verdana" w:hAnsi="Verdana"/>
                <w:i/>
                <w:noProof/>
                <w:color w:val="000000"/>
                <w:sz w:val="18"/>
              </w:rPr>
              <w:t>Plus-value résultant de la décomptabilisation de prêts</w:t>
            </w:r>
          </w:p>
        </w:tc>
        <w:tc>
          <w:tcPr>
            <w:tcW w:w="1257" w:type="dxa"/>
            <w:tcBorders>
              <w:top w:val="nil"/>
              <w:left w:val="nil"/>
              <w:bottom w:val="nil"/>
              <w:right w:val="nil"/>
              <w:tl2br w:val="nil"/>
              <w:tr2bl w:val="nil"/>
            </w:tcBorders>
            <w:shd w:val="solid" w:color="FFFFFF" w:fill="FFFFFF"/>
            <w:tcMar>
              <w:left w:w="60" w:type="dxa"/>
              <w:right w:w="60" w:type="dxa"/>
            </w:tcMar>
            <w:vAlign w:val="center"/>
          </w:tcPr>
          <w:p>
            <w:pPr>
              <w:pStyle w:val="DMETW36759BIPFINREV"/>
              <w:jc w:val="right"/>
              <w:rPr>
                <w:rFonts w:ascii="Verdana" w:eastAsia="Verdana" w:hAnsi="Verdana" w:cs="Verdana"/>
                <w:i/>
                <w:noProof/>
                <w:color w:val="000000"/>
                <w:sz w:val="18"/>
              </w:rPr>
            </w:pPr>
            <w:r>
              <w:rPr>
                <w:rFonts w:ascii="Verdana" w:hAnsi="Verdana"/>
                <w:i/>
                <w:noProof/>
                <w:color w:val="000000"/>
                <w:sz w:val="18"/>
              </w:rPr>
              <w:t xml:space="preserve"> 24</w:t>
            </w:r>
          </w:p>
        </w:tc>
        <w:tc>
          <w:tcPr>
            <w:tcW w:w="1358" w:type="dxa"/>
            <w:tcBorders>
              <w:top w:val="nil"/>
              <w:left w:val="nil"/>
              <w:bottom w:val="nil"/>
              <w:right w:val="nil"/>
              <w:tl2br w:val="nil"/>
              <w:tr2bl w:val="nil"/>
            </w:tcBorders>
            <w:shd w:val="solid" w:color="FFFFFF" w:fill="FFFFFF"/>
            <w:tcMar>
              <w:left w:w="60" w:type="dxa"/>
              <w:right w:w="60" w:type="dxa"/>
            </w:tcMar>
            <w:vAlign w:val="center"/>
          </w:tcPr>
          <w:p>
            <w:pPr>
              <w:pStyle w:val="DMETW36759BIPFINREV"/>
              <w:jc w:val="right"/>
              <w:rPr>
                <w:rFonts w:ascii="Verdana" w:eastAsia="Verdana" w:hAnsi="Verdana" w:cs="Verdana"/>
                <w:i/>
                <w:noProof/>
                <w:color w:val="000000"/>
                <w:sz w:val="18"/>
              </w:rPr>
            </w:pPr>
            <w:r>
              <w:rPr>
                <w:rFonts w:ascii="Verdana" w:hAnsi="Verdana"/>
                <w:i/>
                <w:noProof/>
                <w:color w:val="000000"/>
                <w:sz w:val="18"/>
              </w:rPr>
              <w:t>–</w:t>
            </w:r>
          </w:p>
        </w:tc>
      </w:tr>
      <w:tr>
        <w:trPr>
          <w:trHeight w:hRule="exact" w:val="255"/>
        </w:trPr>
        <w:tc>
          <w:tcPr>
            <w:tcW w:w="7143" w:type="dxa"/>
            <w:tcBorders>
              <w:top w:val="nil"/>
              <w:left w:val="nil"/>
              <w:bottom w:val="nil"/>
              <w:right w:val="nil"/>
              <w:tl2br w:val="nil"/>
              <w:tr2bl w:val="nil"/>
            </w:tcBorders>
            <w:shd w:val="solid" w:color="FFFFFF" w:fill="FFFFFF"/>
            <w:tcMar>
              <w:left w:w="60" w:type="dxa"/>
              <w:right w:w="60" w:type="dxa"/>
            </w:tcMar>
            <w:vAlign w:val="center"/>
          </w:tcPr>
          <w:p>
            <w:pPr>
              <w:pStyle w:val="DMETW36759BIPFINREV"/>
              <w:rPr>
                <w:rFonts w:ascii="Verdana" w:eastAsia="Verdana" w:hAnsi="Verdana" w:cs="Verdana"/>
                <w:i/>
                <w:noProof/>
                <w:color w:val="000000"/>
                <w:sz w:val="18"/>
              </w:rPr>
            </w:pPr>
            <w:r>
              <w:rPr>
                <w:rFonts w:ascii="Verdana" w:hAnsi="Verdana"/>
                <w:i/>
                <w:noProof/>
                <w:color w:val="000000"/>
                <w:sz w:val="18"/>
              </w:rPr>
              <w:t>Dividendes</w:t>
            </w:r>
          </w:p>
        </w:tc>
        <w:tc>
          <w:tcPr>
            <w:tcW w:w="1257" w:type="dxa"/>
            <w:tcBorders>
              <w:top w:val="nil"/>
              <w:left w:val="nil"/>
              <w:bottom w:val="nil"/>
              <w:right w:val="nil"/>
              <w:tl2br w:val="nil"/>
              <w:tr2bl w:val="nil"/>
            </w:tcBorders>
            <w:shd w:val="solid" w:color="FFFFFF" w:fill="FFFFFF"/>
            <w:tcMar>
              <w:left w:w="60" w:type="dxa"/>
              <w:right w:w="60" w:type="dxa"/>
            </w:tcMar>
            <w:vAlign w:val="center"/>
          </w:tcPr>
          <w:p>
            <w:pPr>
              <w:pStyle w:val="DMETW36759BIPFINREV"/>
              <w:jc w:val="right"/>
              <w:rPr>
                <w:rFonts w:ascii="Verdana" w:eastAsia="Verdana" w:hAnsi="Verdana" w:cs="Verdana"/>
                <w:i/>
                <w:noProof/>
                <w:color w:val="000000"/>
                <w:sz w:val="18"/>
              </w:rPr>
            </w:pPr>
            <w:r>
              <w:rPr>
                <w:rFonts w:ascii="Verdana" w:hAnsi="Verdana"/>
                <w:i/>
                <w:noProof/>
                <w:color w:val="000000"/>
                <w:sz w:val="18"/>
              </w:rPr>
              <w:t xml:space="preserve"> 9</w:t>
            </w:r>
          </w:p>
        </w:tc>
        <w:tc>
          <w:tcPr>
            <w:tcW w:w="1358" w:type="dxa"/>
            <w:tcBorders>
              <w:top w:val="nil"/>
              <w:left w:val="nil"/>
              <w:bottom w:val="nil"/>
              <w:right w:val="nil"/>
              <w:tl2br w:val="nil"/>
              <w:tr2bl w:val="nil"/>
            </w:tcBorders>
            <w:shd w:val="solid" w:color="FFFFFF" w:fill="FFFFFF"/>
            <w:tcMar>
              <w:left w:w="60" w:type="dxa"/>
              <w:right w:w="60" w:type="dxa"/>
            </w:tcMar>
            <w:vAlign w:val="center"/>
          </w:tcPr>
          <w:p>
            <w:pPr>
              <w:pStyle w:val="DMETW36759BIPFINREV"/>
              <w:jc w:val="right"/>
              <w:rPr>
                <w:rFonts w:ascii="Verdana" w:eastAsia="Verdana" w:hAnsi="Verdana" w:cs="Verdana"/>
                <w:i/>
                <w:noProof/>
                <w:color w:val="000000"/>
                <w:sz w:val="18"/>
              </w:rPr>
            </w:pPr>
            <w:r>
              <w:rPr>
                <w:rFonts w:ascii="Verdana" w:hAnsi="Verdana"/>
                <w:i/>
                <w:noProof/>
                <w:color w:val="000000"/>
                <w:sz w:val="18"/>
              </w:rPr>
              <w:t xml:space="preserve"> 31</w:t>
            </w:r>
          </w:p>
        </w:tc>
      </w:tr>
      <w:tr>
        <w:trPr>
          <w:trHeight w:hRule="exact" w:val="255"/>
        </w:trPr>
        <w:tc>
          <w:tcPr>
            <w:tcW w:w="7143" w:type="dxa"/>
            <w:tcBorders>
              <w:top w:val="nil"/>
              <w:left w:val="nil"/>
              <w:bottom w:val="nil"/>
              <w:right w:val="nil"/>
              <w:tl2br w:val="nil"/>
              <w:tr2bl w:val="nil"/>
            </w:tcBorders>
            <w:shd w:val="solid" w:color="FFFFFF" w:fill="FFFFFF"/>
            <w:tcMar>
              <w:left w:w="60" w:type="dxa"/>
              <w:right w:w="60" w:type="dxa"/>
            </w:tcMar>
            <w:vAlign w:val="center"/>
          </w:tcPr>
          <w:p>
            <w:pPr>
              <w:pStyle w:val="DMETW36759BIPFINREV"/>
              <w:rPr>
                <w:rFonts w:ascii="Verdana" w:eastAsia="Verdana" w:hAnsi="Verdana" w:cs="Verdana"/>
                <w:i/>
                <w:noProof/>
                <w:color w:val="000000"/>
                <w:sz w:val="18"/>
              </w:rPr>
            </w:pPr>
            <w:r>
              <w:rPr>
                <w:rFonts w:ascii="Verdana" w:hAnsi="Verdana"/>
                <w:i/>
                <w:noProof/>
                <w:color w:val="000000"/>
                <w:sz w:val="18"/>
              </w:rPr>
              <w:t>Autres</w:t>
            </w:r>
          </w:p>
        </w:tc>
        <w:tc>
          <w:tcPr>
            <w:tcW w:w="1257" w:type="dxa"/>
            <w:tcBorders>
              <w:top w:val="nil"/>
              <w:left w:val="nil"/>
              <w:bottom w:val="nil"/>
              <w:right w:val="nil"/>
              <w:tl2br w:val="nil"/>
              <w:tr2bl w:val="nil"/>
            </w:tcBorders>
            <w:shd w:val="solid" w:color="FFFFFF" w:fill="FFFFFF"/>
            <w:tcMar>
              <w:left w:w="60" w:type="dxa"/>
              <w:right w:w="60" w:type="dxa"/>
            </w:tcMar>
            <w:vAlign w:val="center"/>
          </w:tcPr>
          <w:p>
            <w:pPr>
              <w:pStyle w:val="DMETW36759BIPFINREV"/>
              <w:jc w:val="right"/>
              <w:rPr>
                <w:rFonts w:ascii="Verdana" w:eastAsia="Verdana" w:hAnsi="Verdana" w:cs="Verdana"/>
                <w:i/>
                <w:noProof/>
                <w:color w:val="000000"/>
                <w:sz w:val="18"/>
              </w:rPr>
            </w:pPr>
            <w:r>
              <w:rPr>
                <w:rFonts w:ascii="Verdana" w:hAnsi="Verdana"/>
                <w:i/>
                <w:noProof/>
                <w:color w:val="000000"/>
                <w:sz w:val="18"/>
              </w:rPr>
              <w:t xml:space="preserve"> 202</w:t>
            </w:r>
          </w:p>
        </w:tc>
        <w:tc>
          <w:tcPr>
            <w:tcW w:w="1358" w:type="dxa"/>
            <w:tcBorders>
              <w:top w:val="nil"/>
              <w:left w:val="nil"/>
              <w:bottom w:val="nil"/>
              <w:right w:val="nil"/>
              <w:tl2br w:val="nil"/>
              <w:tr2bl w:val="nil"/>
            </w:tcBorders>
            <w:shd w:val="solid" w:color="FFFFFF" w:fill="FFFFFF"/>
            <w:tcMar>
              <w:left w:w="60" w:type="dxa"/>
              <w:right w:w="60" w:type="dxa"/>
            </w:tcMar>
            <w:vAlign w:val="center"/>
          </w:tcPr>
          <w:p>
            <w:pPr>
              <w:pStyle w:val="DMETW36759BIPFINREV"/>
              <w:jc w:val="right"/>
              <w:rPr>
                <w:rFonts w:ascii="Verdana" w:eastAsia="Verdana" w:hAnsi="Verdana" w:cs="Verdana"/>
                <w:i/>
                <w:noProof/>
                <w:color w:val="000000"/>
                <w:sz w:val="18"/>
              </w:rPr>
            </w:pPr>
            <w:r>
              <w:rPr>
                <w:rFonts w:ascii="Verdana" w:hAnsi="Verdana"/>
                <w:i/>
                <w:noProof/>
                <w:color w:val="000000"/>
                <w:sz w:val="18"/>
              </w:rPr>
              <w:t xml:space="preserve"> 4</w:t>
            </w:r>
          </w:p>
        </w:tc>
      </w:tr>
      <w:tr>
        <w:trPr>
          <w:trHeight w:hRule="exact" w:val="255"/>
        </w:trPr>
        <w:tc>
          <w:tcPr>
            <w:tcW w:w="7143" w:type="dxa"/>
            <w:tcBorders>
              <w:top w:val="nil"/>
              <w:left w:val="nil"/>
              <w:bottom w:val="nil"/>
              <w:right w:val="nil"/>
              <w:tl2br w:val="nil"/>
              <w:tr2bl w:val="nil"/>
            </w:tcBorders>
            <w:shd w:val="solid" w:color="CCE1EA" w:fill="FFFFFF"/>
            <w:tcMar>
              <w:left w:w="60" w:type="dxa"/>
              <w:right w:w="60" w:type="dxa"/>
            </w:tcMar>
            <w:vAlign w:val="center"/>
          </w:tcPr>
          <w:p>
            <w:pPr>
              <w:pStyle w:val="DMETW36759BIPFINREV"/>
              <w:rPr>
                <w:rFonts w:ascii="Verdana" w:eastAsia="Verdana" w:hAnsi="Verdana" w:cs="Verdana"/>
                <w:b/>
                <w:noProof/>
                <w:color w:val="000000"/>
                <w:sz w:val="18"/>
              </w:rPr>
            </w:pPr>
            <w:r>
              <w:rPr>
                <w:rFonts w:ascii="Verdana" w:hAnsi="Verdana"/>
                <w:b/>
                <w:noProof/>
                <w:color w:val="000000"/>
                <w:sz w:val="18"/>
              </w:rPr>
              <w:t>Total</w:t>
            </w:r>
          </w:p>
        </w:tc>
        <w:tc>
          <w:tcPr>
            <w:tcW w:w="1257" w:type="dxa"/>
            <w:tcBorders>
              <w:top w:val="nil"/>
              <w:left w:val="nil"/>
              <w:bottom w:val="nil"/>
              <w:right w:val="nil"/>
              <w:tl2br w:val="nil"/>
              <w:tr2bl w:val="nil"/>
            </w:tcBorders>
            <w:shd w:val="solid" w:color="CCE1EA" w:fill="FFFFFF"/>
            <w:tcMar>
              <w:left w:w="60" w:type="dxa"/>
              <w:right w:w="60" w:type="dxa"/>
            </w:tcMar>
            <w:vAlign w:val="center"/>
          </w:tcPr>
          <w:p>
            <w:pPr>
              <w:pStyle w:val="DMETW36759BIPFINREV"/>
              <w:jc w:val="right"/>
              <w:rPr>
                <w:rFonts w:ascii="Verdana" w:eastAsia="Verdana" w:hAnsi="Verdana" w:cs="Verdana"/>
                <w:b/>
                <w:noProof/>
                <w:color w:val="000000"/>
                <w:sz w:val="18"/>
              </w:rPr>
            </w:pPr>
            <w:r>
              <w:rPr>
                <w:rFonts w:ascii="Verdana" w:hAnsi="Verdana"/>
                <w:b/>
                <w:noProof/>
                <w:color w:val="000000"/>
                <w:sz w:val="18"/>
              </w:rPr>
              <w:t>11 646</w:t>
            </w:r>
          </w:p>
        </w:tc>
        <w:tc>
          <w:tcPr>
            <w:tcW w:w="1358" w:type="dxa"/>
            <w:tcBorders>
              <w:top w:val="nil"/>
              <w:left w:val="nil"/>
              <w:bottom w:val="nil"/>
              <w:right w:val="nil"/>
              <w:tl2br w:val="nil"/>
              <w:tr2bl w:val="nil"/>
            </w:tcBorders>
            <w:shd w:val="solid" w:color="CCE1EA" w:fill="FFFFFF"/>
            <w:tcMar>
              <w:left w:w="60" w:type="dxa"/>
              <w:right w:w="60" w:type="dxa"/>
            </w:tcMar>
            <w:vAlign w:val="center"/>
          </w:tcPr>
          <w:p>
            <w:pPr>
              <w:pStyle w:val="DMETW36759BIPFINREV"/>
              <w:jc w:val="right"/>
              <w:rPr>
                <w:rFonts w:ascii="Verdana" w:eastAsia="Verdana" w:hAnsi="Verdana" w:cs="Verdana"/>
                <w:b/>
                <w:noProof/>
                <w:color w:val="000000"/>
                <w:sz w:val="18"/>
              </w:rPr>
            </w:pPr>
            <w:r>
              <w:rPr>
                <w:rFonts w:ascii="Verdana" w:hAnsi="Verdana"/>
                <w:b/>
                <w:noProof/>
                <w:color w:val="000000"/>
                <w:sz w:val="18"/>
              </w:rPr>
              <w:t>9 005</w:t>
            </w:r>
          </w:p>
        </w:tc>
      </w:tr>
    </w:tbl>
    <w:p>
      <w:pPr>
        <w:pStyle w:val="Textstand-alone"/>
        <w:spacing w:after="0"/>
        <w:rPr>
          <w:rFonts w:eastAsia="Calibri"/>
        </w:rPr>
      </w:pPr>
      <w:r>
        <w:t xml:space="preserve">Les produits d’intérêts sur retards de paiement proviennent essentiellement des amendes et des contributions au titre des ressources propres exigibles et non payées à temps. </w:t>
      </w:r>
    </w:p>
    <w:p>
      <w:pPr>
        <w:pStyle w:val="Textstand-alone"/>
        <w:spacing w:after="0"/>
        <w:rPr>
          <w:b/>
        </w:rPr>
      </w:pPr>
      <w:r>
        <w:t>Les intérêts sur les prêts ont augmenté principalement en raison de l’octroi de nouveaux prêts au titre de la FRR/REPowerEU, de l’AMF et de la facilité pour l’Ukraine. Pour la FRR/REPowerEU, les intérêts s’élevaient à 3,1 milliards d’EUR en 2025 contre 2,0 milliards d’EUR l’année précédente. Il y a eu de nouveaux décaissements en 2025 et ceux du second semestre de 2024 ont généré un intérêt durant un exercice complet en 2025. Pour l’AMF, les intérêts représentaient 1,1 milliard d’EUR contre 0,8 milliard d’EUR en 2024. Cette augmentation provient principalement des décaissements au titre du l’AMF MCPU effectués en 2024.</w:t>
      </w:r>
      <w:r>
        <w:rPr>
          <w:b/>
        </w:rPr>
        <w:t xml:space="preserve"> </w:t>
      </w:r>
      <w:r>
        <w:t>En ce qui concerne la facilité pour l’Ukraine, les intérêts se sont élevés à 0,5 milliard d’EUR, contre 0,2 milliard d’EUR en 2024, année au cours de laquelle les décaissements n’ont commencé qu’au cours du second semestre.</w:t>
      </w:r>
    </w:p>
    <w:p>
      <w:pPr>
        <w:pStyle w:val="Textstand-alone"/>
        <w:spacing w:after="0"/>
      </w:pPr>
      <w:r>
        <w:t>Les produits d’intérêts provenant de la trésorerie et des équivalents de trésorerie se composent principalement d’un montant de 1,6 milliard d’EUR d’intérêts sur la détention de liquidités pour le financement unifié (placements sur des comptes bancaires détenus auprès de la BCE, dépôts à court terme et opérations de prise en pension) — voir note </w:t>
      </w:r>
      <w:r>
        <w:rPr>
          <w:b/>
          <w:bCs/>
        </w:rPr>
        <w:t>2.8.2</w:t>
      </w:r>
      <w:r>
        <w:t xml:space="preserve">. </w:t>
      </w:r>
    </w:p>
    <w:p>
      <w:pPr>
        <w:pStyle w:val="Textstand-alone"/>
        <w:spacing w:after="0"/>
      </w:pPr>
      <w:r>
        <w:t xml:space="preserve">Les produits d’intérêt provenant d’emprunts sont principalement liés à l’instrument SURE et résultent des taux d’intérêt effectifs négatifs enregistrés pour certaines émissions passées. </w:t>
      </w:r>
    </w:p>
    <w:p>
      <w:pPr>
        <w:pStyle w:val="Textstand-alone"/>
        <w:spacing w:after="0"/>
      </w:pPr>
      <w:r>
        <w:t>Les produits des contrats de garantie financière ont principalement trait à l’amortissement des passifs liés à la garantie financière. Cela peut être interprété comme une libération de l’UE des engagements liés à la garantie au cours de la période pendant laquelle l’UE se tenait prête à indemniser les détenteurs des garanties pour leurs pertes de crédit. Ainsi, la comptabilisation des produits tirés des garanties financières reflète l’écoulement du temps et le volume garanti. Les amortissements s’appliquent aux deux types de garanties, à savoir celles qui sont rémunérées et celles pour lesquelles l’UE n’applique aucune rémunération ou applique une rémunération symbolique (voir note </w:t>
      </w:r>
      <w:r>
        <w:rPr>
          <w:b/>
        </w:rPr>
        <w:t>2.11.2</w:t>
      </w:r>
      <w:r>
        <w:t>). Parmi les garanties rémunérées, la plus importante est la garantie de l’EFSI fournie à la BEI pour le portefeuille d’instruments de dette du volet «Infrastructures et innovation» («IIW») et combiné avec les portefeuilles d’instruments de dette d’InvestEU (voir note </w:t>
      </w:r>
      <w:r>
        <w:rPr>
          <w:b/>
        </w:rPr>
        <w:t>4.1.1</w:t>
      </w:r>
      <w:r>
        <w:t>). En 2025, les produits tirés de la garantie de l’EFSI dans le cadre de ces portefeuilles d’instruments de dette combinés se sont élevés à 202 millions d’EUR.</w:t>
      </w:r>
    </w:p>
    <w:p>
      <w:pPr>
        <w:pStyle w:val="Textstand-alone"/>
        <w:spacing w:after="0"/>
      </w:pPr>
      <w:r>
        <w:t>Les produits associés aux contrats de garantie financière, d’un montant de 1,245 milliard d’EUR, sont compensés par des pertes de valeur pour les passifs liés à une garantie financière d’un montant de 1,199 milliard d’EUR correspondant: à des appels de garantie hors recouvrements de 683 millions d’EUR et à pertes de valeur latentes de 516 millions d’EUR (voir notes </w:t>
      </w:r>
      <w:r>
        <w:rPr>
          <w:b/>
          <w:bCs/>
        </w:rPr>
        <w:t>3.15</w:t>
      </w:r>
      <w:r>
        <w:t xml:space="preserve"> et </w:t>
      </w:r>
      <w:r>
        <w:rPr>
          <w:b/>
          <w:bCs/>
        </w:rPr>
        <w:t>6.6</w:t>
      </w:r>
      <w:r>
        <w:t xml:space="preserve">). En outre, l’UE a subventionné des programmes de garantie financière pour un montant de 1,942 milliard d’EUR en </w:t>
      </w:r>
      <w:r>
        <w:lastRenderedPageBreak/>
        <w:t>appliquant des primes de garantie nulles ou inférieures aux taux du marché (note </w:t>
      </w:r>
      <w:r>
        <w:rPr>
          <w:b/>
          <w:bCs/>
        </w:rPr>
        <w:t>3.15</w:t>
      </w:r>
      <w:r>
        <w:t xml:space="preserve">). </w:t>
      </w:r>
      <w:bookmarkStart w:id="182" w:name="_Hlk161871777"/>
      <w:r>
        <w:t>Au total, le résultat net des programmes de garantie financière se traduit par un déficit de 1,896 milliard d’EUR.</w:t>
      </w:r>
    </w:p>
    <w:p>
      <w:pPr>
        <w:pStyle w:val="Textstand-alone"/>
        <w:spacing w:after="0"/>
      </w:pPr>
      <w:r>
        <w:t xml:space="preserve">La plus-value sur actifs financiers non dérivés à la JVCR concerne principalement le FCP (0,8 milliard d’EUR) et le Fonds pour l’innovation (0,3 milliard d’EUR). La baisse des taux d’intérêt a eu une incidence positive sur la juste valeur des titres. </w:t>
      </w:r>
    </w:p>
    <w:p>
      <w:pPr>
        <w:pStyle w:val="Textstand-alone"/>
        <w:spacing w:after="0"/>
      </w:pPr>
      <w:r>
        <w:t>La plus-value résultant de la décomptabilisation de prêts est liée à un remboursement anticipé par le Portugal d’un prêt MESF de 1,8 milliard d’EUR à la valeur de marché de l’obligation sous-jacente — voir note </w:t>
      </w:r>
      <w:r>
        <w:rPr>
          <w:b/>
          <w:bCs/>
        </w:rPr>
        <w:t>2.4.1.1</w:t>
      </w:r>
      <w:r>
        <w:t>.</w:t>
      </w:r>
    </w:p>
    <w:bookmarkEnd w:id="182"/>
    <w:p>
      <w:pPr>
        <w:numPr>
          <w:ilvl w:val="1"/>
          <w:numId w:val="15"/>
        </w:numPr>
        <w:tabs>
          <w:tab w:val="left" w:pos="907"/>
        </w:tabs>
        <w:spacing w:before="360" w:after="360"/>
        <w:rPr>
          <w:rFonts w:ascii="Verdana" w:hAnsi="Verdana"/>
          <w:b/>
          <w:noProof/>
          <w:color w:val="016794"/>
          <w:sz w:val="28"/>
          <w:szCs w:val="28"/>
        </w:rPr>
      </w:pPr>
      <w:r>
        <w:rPr>
          <w:rFonts w:ascii="Verdana" w:hAnsi="Verdana"/>
          <w:b/>
          <w:noProof/>
          <w:color w:val="016794"/>
          <w:sz w:val="28"/>
        </w:rPr>
        <w:t>AUTRES PRODUITS DES OPÉRATIONS AVEC CONTREPARTIE DIRECTE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24"/>
        <w:gridCol w:w="1517"/>
        <w:gridCol w:w="1517"/>
      </w:tblGrid>
      <w:tr>
        <w:trPr>
          <w:trHeight w:val="255"/>
        </w:trPr>
        <w:tc>
          <w:tcPr>
            <w:tcW w:w="6724" w:type="dxa"/>
            <w:tcBorders>
              <w:top w:val="nil"/>
              <w:left w:val="nil"/>
              <w:bottom w:val="nil"/>
              <w:right w:val="nil"/>
              <w:tl2br w:val="nil"/>
              <w:tr2bl w:val="nil"/>
            </w:tcBorders>
            <w:tcMar>
              <w:left w:w="60" w:type="dxa"/>
              <w:right w:w="60" w:type="dxa"/>
            </w:tcMar>
            <w:vAlign w:val="bottom"/>
          </w:tcPr>
          <w:p>
            <w:pPr>
              <w:pStyle w:val="DMETW36776BIPOER"/>
              <w:rPr>
                <w:rFonts w:ascii="Arial" w:eastAsia="Arial" w:hAnsi="Arial" w:cs="Arial"/>
                <w:noProof/>
                <w:color w:val="000000"/>
              </w:rPr>
            </w:pPr>
            <w:bookmarkStart w:id="183" w:name="DOC_TBL00069_1_1"/>
            <w:bookmarkEnd w:id="183"/>
          </w:p>
        </w:tc>
        <w:tc>
          <w:tcPr>
            <w:tcW w:w="1517" w:type="dxa"/>
            <w:tcBorders>
              <w:top w:val="nil"/>
              <w:left w:val="nil"/>
              <w:bottom w:val="nil"/>
              <w:right w:val="nil"/>
              <w:tl2br w:val="nil"/>
              <w:tr2bl w:val="nil"/>
            </w:tcBorders>
            <w:tcMar>
              <w:left w:w="60" w:type="dxa"/>
              <w:right w:w="60" w:type="dxa"/>
            </w:tcMar>
            <w:vAlign w:val="bottom"/>
          </w:tcPr>
          <w:p>
            <w:pPr>
              <w:pStyle w:val="DMETW36776BIPOER"/>
              <w:rPr>
                <w:rFonts w:ascii="Arial" w:eastAsia="Arial" w:hAnsi="Arial" w:cs="Arial"/>
                <w:noProof/>
                <w:color w:val="000000"/>
              </w:rPr>
            </w:pPr>
          </w:p>
        </w:tc>
        <w:tc>
          <w:tcPr>
            <w:tcW w:w="1517" w:type="dxa"/>
            <w:tcBorders>
              <w:top w:val="nil"/>
              <w:left w:val="nil"/>
              <w:bottom w:val="nil"/>
              <w:right w:val="nil"/>
              <w:tl2br w:val="nil"/>
              <w:tr2bl w:val="nil"/>
            </w:tcBorders>
            <w:tcMar>
              <w:left w:w="60" w:type="dxa"/>
              <w:right w:w="60" w:type="dxa"/>
            </w:tcMar>
            <w:vAlign w:val="bottom"/>
          </w:tcPr>
          <w:p>
            <w:pPr>
              <w:pStyle w:val="DMETW36776BIPOER"/>
              <w:jc w:val="right"/>
              <w:rPr>
                <w:rFonts w:ascii="Verdana" w:eastAsia="Verdana" w:hAnsi="Verdana" w:cs="Verdana"/>
                <w:i/>
                <w:noProof/>
                <w:color w:val="000000"/>
                <w:sz w:val="16"/>
              </w:rPr>
            </w:pPr>
            <w:r>
              <w:rPr>
                <w:rFonts w:ascii="Verdana" w:hAnsi="Verdana"/>
                <w:i/>
                <w:noProof/>
                <w:color w:val="000000"/>
                <w:sz w:val="16"/>
              </w:rPr>
              <w:t>en Mio EUR</w:t>
            </w:r>
          </w:p>
        </w:tc>
      </w:tr>
      <w:tr>
        <w:trPr>
          <w:trHeight w:val="255"/>
        </w:trPr>
        <w:tc>
          <w:tcPr>
            <w:tcW w:w="6724" w:type="dxa"/>
            <w:tcBorders>
              <w:top w:val="nil"/>
              <w:left w:val="nil"/>
              <w:bottom w:val="nil"/>
              <w:right w:val="nil"/>
              <w:tl2br w:val="nil"/>
              <w:tr2bl w:val="nil"/>
            </w:tcBorders>
            <w:shd w:val="solid" w:color="016794" w:fill="FFFFFF"/>
            <w:tcMar>
              <w:left w:w="60" w:type="dxa"/>
              <w:right w:w="60" w:type="dxa"/>
            </w:tcMar>
            <w:vAlign w:val="center"/>
          </w:tcPr>
          <w:p>
            <w:pPr>
              <w:pStyle w:val="DMETW36776BIPOER"/>
              <w:jc w:val="right"/>
              <w:rPr>
                <w:rFonts w:ascii="Verdana" w:eastAsia="Verdana" w:hAnsi="Verdana" w:cs="Verdana"/>
                <w:noProof/>
                <w:color w:val="FFFFFF"/>
              </w:rPr>
            </w:pPr>
          </w:p>
        </w:tc>
        <w:tc>
          <w:tcPr>
            <w:tcW w:w="1517" w:type="dxa"/>
            <w:tcBorders>
              <w:top w:val="nil"/>
              <w:left w:val="nil"/>
              <w:bottom w:val="nil"/>
              <w:right w:val="nil"/>
              <w:tl2br w:val="nil"/>
              <w:tr2bl w:val="nil"/>
            </w:tcBorders>
            <w:shd w:val="solid" w:color="016794" w:fill="FFFFFF"/>
            <w:tcMar>
              <w:left w:w="60" w:type="dxa"/>
              <w:right w:w="60" w:type="dxa"/>
            </w:tcMar>
            <w:vAlign w:val="center"/>
          </w:tcPr>
          <w:p>
            <w:pPr>
              <w:pStyle w:val="DMETW36776BIPOER"/>
              <w:jc w:val="right"/>
              <w:rPr>
                <w:rFonts w:ascii="Verdana" w:eastAsia="Verdana" w:hAnsi="Verdana" w:cs="Verdana"/>
                <w:noProof/>
                <w:color w:val="FFFFFF"/>
              </w:rPr>
            </w:pPr>
            <w:r>
              <w:rPr>
                <w:rFonts w:ascii="Verdana" w:hAnsi="Verdana"/>
                <w:noProof/>
                <w:color w:val="FFFFFF"/>
              </w:rPr>
              <w:t>2025</w:t>
            </w:r>
          </w:p>
        </w:tc>
        <w:tc>
          <w:tcPr>
            <w:tcW w:w="1517" w:type="dxa"/>
            <w:tcBorders>
              <w:top w:val="nil"/>
              <w:left w:val="nil"/>
              <w:bottom w:val="nil"/>
              <w:right w:val="nil"/>
              <w:tl2br w:val="nil"/>
              <w:tr2bl w:val="nil"/>
            </w:tcBorders>
            <w:shd w:val="solid" w:color="016794" w:fill="FFFFFF"/>
            <w:tcMar>
              <w:left w:w="60" w:type="dxa"/>
              <w:right w:w="60" w:type="dxa"/>
            </w:tcMar>
            <w:vAlign w:val="center"/>
          </w:tcPr>
          <w:p>
            <w:pPr>
              <w:pStyle w:val="DMETW36776BIPOER"/>
              <w:jc w:val="right"/>
              <w:rPr>
                <w:rFonts w:ascii="Verdana" w:eastAsia="Verdana" w:hAnsi="Verdana" w:cs="Verdana"/>
                <w:noProof/>
                <w:color w:val="FFFFFF"/>
              </w:rPr>
            </w:pPr>
            <w:r>
              <w:rPr>
                <w:rFonts w:ascii="Verdana" w:hAnsi="Verdana"/>
                <w:noProof/>
                <w:color w:val="FFFFFF"/>
              </w:rPr>
              <w:t>2024</w:t>
            </w:r>
          </w:p>
        </w:tc>
      </w:tr>
      <w:tr>
        <w:trPr>
          <w:trHeight w:val="255"/>
        </w:trPr>
        <w:tc>
          <w:tcPr>
            <w:tcW w:w="6724" w:type="dxa"/>
            <w:tcBorders>
              <w:top w:val="nil"/>
              <w:left w:val="nil"/>
              <w:bottom w:val="nil"/>
              <w:right w:val="nil"/>
              <w:tl2br w:val="nil"/>
              <w:tr2bl w:val="nil"/>
            </w:tcBorders>
            <w:tcMar>
              <w:left w:w="60" w:type="dxa"/>
              <w:right w:w="60" w:type="dxa"/>
            </w:tcMar>
            <w:vAlign w:val="center"/>
          </w:tcPr>
          <w:p>
            <w:pPr>
              <w:pStyle w:val="DMETW36776BIPOER"/>
              <w:rPr>
                <w:rFonts w:ascii="Verdana" w:eastAsia="Verdana" w:hAnsi="Verdana" w:cs="Verdana"/>
                <w:i/>
                <w:noProof/>
                <w:color w:val="000000"/>
                <w:sz w:val="18"/>
              </w:rPr>
            </w:pPr>
            <w:r>
              <w:rPr>
                <w:rFonts w:ascii="Verdana" w:hAnsi="Verdana"/>
                <w:i/>
                <w:noProof/>
                <w:color w:val="000000"/>
                <w:sz w:val="18"/>
              </w:rPr>
              <w:t>Recettes tirées de redevances pour prestation de services (agences)</w:t>
            </w:r>
          </w:p>
        </w:tc>
        <w:tc>
          <w:tcPr>
            <w:tcW w:w="1517" w:type="dxa"/>
            <w:tcBorders>
              <w:top w:val="nil"/>
              <w:left w:val="nil"/>
              <w:bottom w:val="nil"/>
              <w:right w:val="nil"/>
              <w:tl2br w:val="nil"/>
              <w:tr2bl w:val="nil"/>
            </w:tcBorders>
            <w:tcMar>
              <w:left w:w="60" w:type="dxa"/>
              <w:right w:w="60" w:type="dxa"/>
            </w:tcMar>
            <w:vAlign w:val="center"/>
          </w:tcPr>
          <w:p>
            <w:pPr>
              <w:pStyle w:val="DMETW36776BIPOER"/>
              <w:jc w:val="right"/>
              <w:rPr>
                <w:rFonts w:ascii="Verdana" w:eastAsia="Verdana" w:hAnsi="Verdana" w:cs="Verdana"/>
                <w:i/>
                <w:noProof/>
                <w:color w:val="000000"/>
                <w:sz w:val="18"/>
              </w:rPr>
            </w:pPr>
            <w:r>
              <w:rPr>
                <w:rFonts w:ascii="Verdana" w:hAnsi="Verdana"/>
                <w:i/>
                <w:noProof/>
                <w:color w:val="000000"/>
                <w:sz w:val="18"/>
              </w:rPr>
              <w:t xml:space="preserve"> 927</w:t>
            </w:r>
          </w:p>
        </w:tc>
        <w:tc>
          <w:tcPr>
            <w:tcW w:w="1517" w:type="dxa"/>
            <w:tcBorders>
              <w:top w:val="nil"/>
              <w:left w:val="nil"/>
              <w:bottom w:val="nil"/>
              <w:right w:val="nil"/>
              <w:tl2br w:val="nil"/>
              <w:tr2bl w:val="nil"/>
            </w:tcBorders>
            <w:tcMar>
              <w:left w:w="60" w:type="dxa"/>
              <w:right w:w="60" w:type="dxa"/>
            </w:tcMar>
            <w:vAlign w:val="center"/>
          </w:tcPr>
          <w:p>
            <w:pPr>
              <w:pStyle w:val="DMETW36776BIPOER"/>
              <w:jc w:val="right"/>
              <w:rPr>
                <w:rFonts w:ascii="Verdana" w:eastAsia="Verdana" w:hAnsi="Verdana" w:cs="Verdana"/>
                <w:i/>
                <w:noProof/>
                <w:color w:val="000000"/>
                <w:sz w:val="18"/>
              </w:rPr>
            </w:pPr>
            <w:r>
              <w:rPr>
                <w:rFonts w:ascii="Verdana" w:hAnsi="Verdana"/>
                <w:i/>
                <w:noProof/>
                <w:color w:val="000000"/>
                <w:sz w:val="18"/>
              </w:rPr>
              <w:t xml:space="preserve"> 855</w:t>
            </w:r>
          </w:p>
        </w:tc>
      </w:tr>
      <w:tr>
        <w:trPr>
          <w:trHeight w:val="255"/>
        </w:trPr>
        <w:tc>
          <w:tcPr>
            <w:tcW w:w="6724" w:type="dxa"/>
            <w:tcBorders>
              <w:top w:val="nil"/>
              <w:left w:val="nil"/>
              <w:bottom w:val="nil"/>
              <w:right w:val="nil"/>
              <w:tl2br w:val="nil"/>
              <w:tr2bl w:val="nil"/>
            </w:tcBorders>
            <w:tcMar>
              <w:left w:w="60" w:type="dxa"/>
              <w:right w:w="60" w:type="dxa"/>
            </w:tcMar>
            <w:vAlign w:val="center"/>
          </w:tcPr>
          <w:p>
            <w:pPr>
              <w:pStyle w:val="DMETW36776BIPOER"/>
              <w:rPr>
                <w:rFonts w:ascii="Verdana" w:eastAsia="Verdana" w:hAnsi="Verdana" w:cs="Verdana"/>
                <w:i/>
                <w:noProof/>
                <w:color w:val="000000"/>
                <w:sz w:val="18"/>
              </w:rPr>
            </w:pPr>
            <w:r>
              <w:rPr>
                <w:rFonts w:ascii="Verdana" w:hAnsi="Verdana"/>
                <w:i/>
                <w:noProof/>
                <w:color w:val="000000"/>
                <w:sz w:val="18"/>
              </w:rPr>
              <w:t>Gains de change</w:t>
            </w:r>
          </w:p>
        </w:tc>
        <w:tc>
          <w:tcPr>
            <w:tcW w:w="1517" w:type="dxa"/>
            <w:tcBorders>
              <w:top w:val="nil"/>
              <w:left w:val="nil"/>
              <w:bottom w:val="nil"/>
              <w:right w:val="nil"/>
              <w:tl2br w:val="nil"/>
              <w:tr2bl w:val="nil"/>
            </w:tcBorders>
            <w:tcMar>
              <w:left w:w="60" w:type="dxa"/>
              <w:right w:w="60" w:type="dxa"/>
            </w:tcMar>
            <w:vAlign w:val="center"/>
          </w:tcPr>
          <w:p>
            <w:pPr>
              <w:pStyle w:val="DMETW36776BIPOER"/>
              <w:jc w:val="right"/>
              <w:rPr>
                <w:rFonts w:ascii="Verdana" w:eastAsia="Verdana" w:hAnsi="Verdana" w:cs="Verdana"/>
                <w:i/>
                <w:noProof/>
                <w:color w:val="000000"/>
                <w:sz w:val="18"/>
              </w:rPr>
            </w:pPr>
            <w:r>
              <w:rPr>
                <w:rFonts w:ascii="Verdana" w:hAnsi="Verdana"/>
                <w:i/>
                <w:noProof/>
                <w:color w:val="000000"/>
                <w:sz w:val="18"/>
              </w:rPr>
              <w:t xml:space="preserve"> 490</w:t>
            </w:r>
          </w:p>
        </w:tc>
        <w:tc>
          <w:tcPr>
            <w:tcW w:w="1517" w:type="dxa"/>
            <w:tcBorders>
              <w:top w:val="nil"/>
              <w:left w:val="nil"/>
              <w:bottom w:val="nil"/>
              <w:right w:val="nil"/>
              <w:tl2br w:val="nil"/>
              <w:tr2bl w:val="nil"/>
            </w:tcBorders>
            <w:tcMar>
              <w:left w:w="60" w:type="dxa"/>
              <w:right w:w="60" w:type="dxa"/>
            </w:tcMar>
            <w:vAlign w:val="center"/>
          </w:tcPr>
          <w:p>
            <w:pPr>
              <w:pStyle w:val="DMETW36776BIPOER"/>
              <w:jc w:val="right"/>
              <w:rPr>
                <w:rFonts w:ascii="Verdana" w:eastAsia="Verdana" w:hAnsi="Verdana" w:cs="Verdana"/>
                <w:i/>
                <w:noProof/>
                <w:color w:val="000000"/>
                <w:sz w:val="18"/>
              </w:rPr>
            </w:pPr>
            <w:r>
              <w:rPr>
                <w:rFonts w:ascii="Verdana" w:hAnsi="Verdana"/>
                <w:i/>
                <w:noProof/>
                <w:color w:val="000000"/>
                <w:sz w:val="18"/>
              </w:rPr>
              <w:t xml:space="preserve"> 325</w:t>
            </w:r>
          </w:p>
        </w:tc>
      </w:tr>
      <w:tr>
        <w:trPr>
          <w:trHeight w:val="255"/>
        </w:trPr>
        <w:tc>
          <w:tcPr>
            <w:tcW w:w="6724" w:type="dxa"/>
            <w:tcBorders>
              <w:top w:val="nil"/>
              <w:left w:val="nil"/>
              <w:bottom w:val="nil"/>
              <w:right w:val="nil"/>
              <w:tl2br w:val="nil"/>
              <w:tr2bl w:val="nil"/>
            </w:tcBorders>
            <w:tcMar>
              <w:left w:w="60" w:type="dxa"/>
              <w:right w:w="60" w:type="dxa"/>
            </w:tcMar>
            <w:vAlign w:val="center"/>
          </w:tcPr>
          <w:p>
            <w:pPr>
              <w:pStyle w:val="DMETW36776BIPOER"/>
              <w:rPr>
                <w:rFonts w:ascii="Verdana" w:eastAsia="Verdana" w:hAnsi="Verdana" w:cs="Verdana"/>
                <w:i/>
                <w:noProof/>
                <w:color w:val="000000"/>
                <w:sz w:val="18"/>
              </w:rPr>
            </w:pPr>
            <w:r>
              <w:rPr>
                <w:rFonts w:ascii="Verdana" w:hAnsi="Verdana"/>
                <w:i/>
                <w:noProof/>
                <w:color w:val="000000"/>
                <w:sz w:val="18"/>
              </w:rPr>
              <w:t>Ventes de biens</w:t>
            </w:r>
          </w:p>
        </w:tc>
        <w:tc>
          <w:tcPr>
            <w:tcW w:w="1517" w:type="dxa"/>
            <w:tcBorders>
              <w:top w:val="nil"/>
              <w:left w:val="nil"/>
              <w:bottom w:val="nil"/>
              <w:right w:val="nil"/>
              <w:tl2br w:val="nil"/>
              <w:tr2bl w:val="nil"/>
            </w:tcBorders>
            <w:tcMar>
              <w:left w:w="60" w:type="dxa"/>
              <w:right w:w="60" w:type="dxa"/>
            </w:tcMar>
            <w:vAlign w:val="center"/>
          </w:tcPr>
          <w:p>
            <w:pPr>
              <w:pStyle w:val="DMETW36776BIPOER"/>
              <w:jc w:val="right"/>
              <w:rPr>
                <w:rFonts w:ascii="Verdana" w:eastAsia="Verdana" w:hAnsi="Verdana" w:cs="Verdana"/>
                <w:i/>
                <w:noProof/>
                <w:color w:val="000000"/>
                <w:sz w:val="18"/>
              </w:rPr>
            </w:pPr>
            <w:r>
              <w:rPr>
                <w:rFonts w:ascii="Verdana" w:hAnsi="Verdana"/>
                <w:i/>
                <w:noProof/>
                <w:color w:val="000000"/>
                <w:sz w:val="18"/>
              </w:rPr>
              <w:t xml:space="preserve"> 64</w:t>
            </w:r>
          </w:p>
        </w:tc>
        <w:tc>
          <w:tcPr>
            <w:tcW w:w="1517" w:type="dxa"/>
            <w:tcBorders>
              <w:top w:val="nil"/>
              <w:left w:val="nil"/>
              <w:bottom w:val="nil"/>
              <w:right w:val="nil"/>
              <w:tl2br w:val="nil"/>
              <w:tr2bl w:val="nil"/>
            </w:tcBorders>
            <w:tcMar>
              <w:left w:w="60" w:type="dxa"/>
              <w:right w:w="60" w:type="dxa"/>
            </w:tcMar>
            <w:vAlign w:val="center"/>
          </w:tcPr>
          <w:p>
            <w:pPr>
              <w:pStyle w:val="DMETW36776BIPOER"/>
              <w:jc w:val="right"/>
              <w:rPr>
                <w:rFonts w:ascii="Verdana" w:eastAsia="Verdana" w:hAnsi="Verdana" w:cs="Verdana"/>
                <w:i/>
                <w:noProof/>
                <w:color w:val="000000"/>
                <w:sz w:val="18"/>
              </w:rPr>
            </w:pPr>
            <w:r>
              <w:rPr>
                <w:rFonts w:ascii="Verdana" w:hAnsi="Verdana"/>
                <w:i/>
                <w:noProof/>
                <w:color w:val="000000"/>
                <w:sz w:val="18"/>
              </w:rPr>
              <w:t xml:space="preserve"> 58</w:t>
            </w:r>
          </w:p>
        </w:tc>
      </w:tr>
      <w:tr>
        <w:trPr>
          <w:trHeight w:val="255"/>
        </w:trPr>
        <w:tc>
          <w:tcPr>
            <w:tcW w:w="6724" w:type="dxa"/>
            <w:tcBorders>
              <w:top w:val="nil"/>
              <w:left w:val="nil"/>
              <w:bottom w:val="nil"/>
              <w:right w:val="nil"/>
              <w:tl2br w:val="nil"/>
              <w:tr2bl w:val="nil"/>
            </w:tcBorders>
            <w:tcMar>
              <w:left w:w="60" w:type="dxa"/>
              <w:right w:w="60" w:type="dxa"/>
            </w:tcMar>
            <w:vAlign w:val="center"/>
          </w:tcPr>
          <w:p>
            <w:pPr>
              <w:pStyle w:val="DMETW36776BIPOER"/>
              <w:rPr>
                <w:rFonts w:ascii="Verdana" w:eastAsia="Verdana" w:hAnsi="Verdana" w:cs="Verdana"/>
                <w:i/>
                <w:noProof/>
                <w:color w:val="000000"/>
                <w:sz w:val="18"/>
              </w:rPr>
            </w:pPr>
            <w:r>
              <w:rPr>
                <w:rFonts w:ascii="Verdana" w:hAnsi="Verdana"/>
                <w:i/>
                <w:noProof/>
                <w:color w:val="000000"/>
                <w:sz w:val="18"/>
              </w:rPr>
              <w:t>Part du résultat net du FEI</w:t>
            </w:r>
          </w:p>
        </w:tc>
        <w:tc>
          <w:tcPr>
            <w:tcW w:w="1517" w:type="dxa"/>
            <w:tcBorders>
              <w:top w:val="nil"/>
              <w:left w:val="nil"/>
              <w:bottom w:val="nil"/>
              <w:right w:val="nil"/>
              <w:tl2br w:val="nil"/>
              <w:tr2bl w:val="nil"/>
            </w:tcBorders>
            <w:tcMar>
              <w:left w:w="60" w:type="dxa"/>
              <w:right w:w="60" w:type="dxa"/>
            </w:tcMar>
            <w:vAlign w:val="center"/>
          </w:tcPr>
          <w:p>
            <w:pPr>
              <w:pStyle w:val="DMETW36776BIPOER"/>
              <w:jc w:val="right"/>
              <w:rPr>
                <w:rFonts w:ascii="Verdana" w:eastAsia="Verdana" w:hAnsi="Verdana" w:cs="Verdana"/>
                <w:i/>
                <w:noProof/>
                <w:color w:val="000000"/>
                <w:sz w:val="18"/>
              </w:rPr>
            </w:pPr>
            <w:r>
              <w:rPr>
                <w:rFonts w:ascii="Verdana" w:hAnsi="Verdana"/>
                <w:i/>
                <w:noProof/>
                <w:color w:val="000000"/>
                <w:sz w:val="18"/>
              </w:rPr>
              <w:t xml:space="preserve"> 69</w:t>
            </w:r>
          </w:p>
        </w:tc>
        <w:tc>
          <w:tcPr>
            <w:tcW w:w="1517" w:type="dxa"/>
            <w:tcBorders>
              <w:top w:val="nil"/>
              <w:left w:val="nil"/>
              <w:bottom w:val="nil"/>
              <w:right w:val="nil"/>
              <w:tl2br w:val="nil"/>
              <w:tr2bl w:val="nil"/>
            </w:tcBorders>
            <w:tcMar>
              <w:left w:w="60" w:type="dxa"/>
              <w:right w:w="60" w:type="dxa"/>
            </w:tcMar>
            <w:vAlign w:val="center"/>
          </w:tcPr>
          <w:p>
            <w:pPr>
              <w:pStyle w:val="DMETW36776BIPOER"/>
              <w:jc w:val="right"/>
              <w:rPr>
                <w:rFonts w:ascii="Verdana" w:eastAsia="Verdana" w:hAnsi="Verdana" w:cs="Verdana"/>
                <w:i/>
                <w:noProof/>
                <w:color w:val="000000"/>
                <w:sz w:val="18"/>
              </w:rPr>
            </w:pPr>
            <w:r>
              <w:rPr>
                <w:rFonts w:ascii="Verdana" w:hAnsi="Verdana"/>
                <w:i/>
                <w:noProof/>
                <w:color w:val="000000"/>
                <w:sz w:val="18"/>
              </w:rPr>
              <w:t xml:space="preserve"> 83</w:t>
            </w:r>
          </w:p>
        </w:tc>
      </w:tr>
      <w:tr>
        <w:trPr>
          <w:trHeight w:val="255"/>
        </w:trPr>
        <w:tc>
          <w:tcPr>
            <w:tcW w:w="6724" w:type="dxa"/>
            <w:tcBorders>
              <w:top w:val="nil"/>
              <w:left w:val="nil"/>
              <w:bottom w:val="nil"/>
              <w:right w:val="nil"/>
              <w:tl2br w:val="nil"/>
              <w:tr2bl w:val="nil"/>
            </w:tcBorders>
            <w:tcMar>
              <w:left w:w="60" w:type="dxa"/>
              <w:right w:w="60" w:type="dxa"/>
            </w:tcMar>
            <w:vAlign w:val="center"/>
          </w:tcPr>
          <w:p>
            <w:pPr>
              <w:pStyle w:val="DMETW36776BIPOER"/>
              <w:rPr>
                <w:rFonts w:ascii="Verdana" w:eastAsia="Verdana" w:hAnsi="Verdana" w:cs="Verdana"/>
                <w:i/>
                <w:noProof/>
                <w:color w:val="000000"/>
                <w:sz w:val="18"/>
              </w:rPr>
            </w:pPr>
            <w:r>
              <w:rPr>
                <w:rFonts w:ascii="Verdana" w:hAnsi="Verdana"/>
                <w:i/>
                <w:noProof/>
                <w:color w:val="000000"/>
                <w:sz w:val="18"/>
              </w:rPr>
              <w:t>Produit lié aux immobilisations</w:t>
            </w:r>
          </w:p>
        </w:tc>
        <w:tc>
          <w:tcPr>
            <w:tcW w:w="1517" w:type="dxa"/>
            <w:tcBorders>
              <w:top w:val="nil"/>
              <w:left w:val="nil"/>
              <w:bottom w:val="nil"/>
              <w:right w:val="nil"/>
              <w:tl2br w:val="nil"/>
              <w:tr2bl w:val="nil"/>
            </w:tcBorders>
            <w:tcMar>
              <w:left w:w="60" w:type="dxa"/>
              <w:right w:w="60" w:type="dxa"/>
            </w:tcMar>
            <w:vAlign w:val="center"/>
          </w:tcPr>
          <w:p>
            <w:pPr>
              <w:pStyle w:val="DMETW36776BIPOER"/>
              <w:jc w:val="right"/>
              <w:rPr>
                <w:rFonts w:ascii="Verdana" w:eastAsia="Verdana" w:hAnsi="Verdana" w:cs="Verdana"/>
                <w:i/>
                <w:noProof/>
                <w:color w:val="000000"/>
                <w:sz w:val="18"/>
              </w:rPr>
            </w:pPr>
            <w:r>
              <w:rPr>
                <w:rFonts w:ascii="Verdana" w:hAnsi="Verdana"/>
                <w:i/>
                <w:noProof/>
                <w:color w:val="000000"/>
                <w:sz w:val="18"/>
              </w:rPr>
              <w:t xml:space="preserve"> 230</w:t>
            </w:r>
          </w:p>
        </w:tc>
        <w:tc>
          <w:tcPr>
            <w:tcW w:w="1517" w:type="dxa"/>
            <w:tcBorders>
              <w:top w:val="nil"/>
              <w:left w:val="nil"/>
              <w:bottom w:val="nil"/>
              <w:right w:val="nil"/>
              <w:tl2br w:val="nil"/>
              <w:tr2bl w:val="nil"/>
            </w:tcBorders>
            <w:tcMar>
              <w:left w:w="60" w:type="dxa"/>
              <w:right w:w="60" w:type="dxa"/>
            </w:tcMar>
            <w:vAlign w:val="center"/>
          </w:tcPr>
          <w:p>
            <w:pPr>
              <w:pStyle w:val="DMETW36776BIPOER"/>
              <w:jc w:val="right"/>
              <w:rPr>
                <w:rFonts w:ascii="Verdana" w:eastAsia="Verdana" w:hAnsi="Verdana" w:cs="Verdana"/>
                <w:i/>
                <w:noProof/>
                <w:color w:val="000000"/>
                <w:sz w:val="18"/>
              </w:rPr>
            </w:pPr>
            <w:r>
              <w:rPr>
                <w:rFonts w:ascii="Verdana" w:hAnsi="Verdana"/>
                <w:i/>
                <w:noProof/>
                <w:color w:val="000000"/>
                <w:sz w:val="18"/>
              </w:rPr>
              <w:t xml:space="preserve"> 907</w:t>
            </w:r>
          </w:p>
        </w:tc>
      </w:tr>
      <w:tr>
        <w:trPr>
          <w:trHeight w:val="255"/>
        </w:trPr>
        <w:tc>
          <w:tcPr>
            <w:tcW w:w="6724" w:type="dxa"/>
            <w:tcBorders>
              <w:top w:val="nil"/>
              <w:left w:val="nil"/>
              <w:bottom w:val="nil"/>
              <w:right w:val="nil"/>
              <w:tl2br w:val="nil"/>
              <w:tr2bl w:val="nil"/>
            </w:tcBorders>
            <w:tcMar>
              <w:left w:w="60" w:type="dxa"/>
              <w:right w:w="60" w:type="dxa"/>
            </w:tcMar>
            <w:vAlign w:val="center"/>
          </w:tcPr>
          <w:p>
            <w:pPr>
              <w:pStyle w:val="DMETW36776BIPOER"/>
              <w:rPr>
                <w:rFonts w:ascii="Verdana" w:eastAsia="Verdana" w:hAnsi="Verdana" w:cs="Verdana"/>
                <w:i/>
                <w:noProof/>
                <w:color w:val="000000"/>
                <w:sz w:val="18"/>
              </w:rPr>
            </w:pPr>
            <w:r>
              <w:rPr>
                <w:rFonts w:ascii="Verdana" w:hAnsi="Verdana"/>
                <w:i/>
                <w:noProof/>
                <w:color w:val="000000"/>
                <w:sz w:val="18"/>
              </w:rPr>
              <w:t>Autres</w:t>
            </w:r>
          </w:p>
        </w:tc>
        <w:tc>
          <w:tcPr>
            <w:tcW w:w="1517" w:type="dxa"/>
            <w:tcBorders>
              <w:top w:val="nil"/>
              <w:left w:val="nil"/>
              <w:bottom w:val="nil"/>
              <w:right w:val="nil"/>
              <w:tl2br w:val="nil"/>
              <w:tr2bl w:val="nil"/>
            </w:tcBorders>
            <w:tcMar>
              <w:left w:w="60" w:type="dxa"/>
              <w:right w:w="60" w:type="dxa"/>
            </w:tcMar>
            <w:vAlign w:val="center"/>
          </w:tcPr>
          <w:p>
            <w:pPr>
              <w:pStyle w:val="DMETW36776BIPOER"/>
              <w:jc w:val="right"/>
              <w:rPr>
                <w:rFonts w:ascii="Verdana" w:eastAsia="Verdana" w:hAnsi="Verdana" w:cs="Verdana"/>
                <w:i/>
                <w:noProof/>
                <w:color w:val="000000"/>
                <w:sz w:val="18"/>
              </w:rPr>
            </w:pPr>
            <w:r>
              <w:rPr>
                <w:rFonts w:ascii="Verdana" w:hAnsi="Verdana"/>
                <w:i/>
                <w:noProof/>
                <w:color w:val="000000"/>
                <w:sz w:val="18"/>
              </w:rPr>
              <w:t xml:space="preserve"> 720</w:t>
            </w:r>
          </w:p>
        </w:tc>
        <w:tc>
          <w:tcPr>
            <w:tcW w:w="1517" w:type="dxa"/>
            <w:tcBorders>
              <w:top w:val="nil"/>
              <w:left w:val="nil"/>
              <w:bottom w:val="nil"/>
              <w:right w:val="nil"/>
              <w:tl2br w:val="nil"/>
              <w:tr2bl w:val="nil"/>
            </w:tcBorders>
            <w:tcMar>
              <w:left w:w="60" w:type="dxa"/>
              <w:right w:w="60" w:type="dxa"/>
            </w:tcMar>
            <w:vAlign w:val="center"/>
          </w:tcPr>
          <w:p>
            <w:pPr>
              <w:pStyle w:val="DMETW36776BIPOER"/>
              <w:jc w:val="right"/>
              <w:rPr>
                <w:rFonts w:ascii="Verdana" w:eastAsia="Verdana" w:hAnsi="Verdana" w:cs="Verdana"/>
                <w:i/>
                <w:noProof/>
                <w:color w:val="000000"/>
                <w:sz w:val="18"/>
              </w:rPr>
            </w:pPr>
            <w:r>
              <w:rPr>
                <w:rFonts w:ascii="Verdana" w:hAnsi="Verdana"/>
                <w:i/>
                <w:noProof/>
                <w:color w:val="000000"/>
                <w:sz w:val="18"/>
              </w:rPr>
              <w:t xml:space="preserve"> 364</w:t>
            </w:r>
          </w:p>
        </w:tc>
      </w:tr>
      <w:tr>
        <w:trPr>
          <w:trHeight w:val="255"/>
        </w:trPr>
        <w:tc>
          <w:tcPr>
            <w:tcW w:w="6724" w:type="dxa"/>
            <w:tcBorders>
              <w:top w:val="nil"/>
              <w:left w:val="nil"/>
              <w:bottom w:val="nil"/>
              <w:right w:val="nil"/>
              <w:tl2br w:val="nil"/>
              <w:tr2bl w:val="nil"/>
            </w:tcBorders>
            <w:shd w:val="solid" w:color="CCE1EA" w:fill="FFFFFF"/>
            <w:tcMar>
              <w:left w:w="60" w:type="dxa"/>
              <w:right w:w="60" w:type="dxa"/>
            </w:tcMar>
            <w:vAlign w:val="center"/>
          </w:tcPr>
          <w:p>
            <w:pPr>
              <w:pStyle w:val="DMETW36776BIPOER"/>
              <w:rPr>
                <w:rFonts w:ascii="Verdana" w:eastAsia="Verdana" w:hAnsi="Verdana" w:cs="Verdana"/>
                <w:b/>
                <w:noProof/>
                <w:color w:val="000000"/>
                <w:sz w:val="18"/>
              </w:rPr>
            </w:pPr>
            <w:r>
              <w:rPr>
                <w:rFonts w:ascii="Verdana" w:hAnsi="Verdana"/>
                <w:b/>
                <w:noProof/>
                <w:color w:val="000000"/>
                <w:sz w:val="18"/>
              </w:rPr>
              <w:t>Total</w:t>
            </w:r>
          </w:p>
        </w:tc>
        <w:tc>
          <w:tcPr>
            <w:tcW w:w="1517" w:type="dxa"/>
            <w:tcBorders>
              <w:top w:val="nil"/>
              <w:left w:val="nil"/>
              <w:bottom w:val="nil"/>
              <w:right w:val="nil"/>
              <w:tl2br w:val="nil"/>
              <w:tr2bl w:val="nil"/>
            </w:tcBorders>
            <w:shd w:val="solid" w:color="CCE1EA" w:fill="FFFFFF"/>
            <w:tcMar>
              <w:left w:w="60" w:type="dxa"/>
              <w:right w:w="60" w:type="dxa"/>
            </w:tcMar>
            <w:vAlign w:val="center"/>
          </w:tcPr>
          <w:p>
            <w:pPr>
              <w:pStyle w:val="DMETW36776BIPOER"/>
              <w:jc w:val="right"/>
              <w:rPr>
                <w:rFonts w:ascii="Verdana" w:eastAsia="Verdana" w:hAnsi="Verdana" w:cs="Verdana"/>
                <w:b/>
                <w:noProof/>
                <w:color w:val="000000"/>
                <w:sz w:val="18"/>
              </w:rPr>
            </w:pPr>
            <w:r>
              <w:rPr>
                <w:rFonts w:ascii="Verdana" w:hAnsi="Verdana"/>
                <w:b/>
                <w:noProof/>
                <w:color w:val="000000"/>
                <w:sz w:val="18"/>
              </w:rPr>
              <w:t>2 500</w:t>
            </w:r>
          </w:p>
        </w:tc>
        <w:tc>
          <w:tcPr>
            <w:tcW w:w="1517" w:type="dxa"/>
            <w:tcBorders>
              <w:top w:val="nil"/>
              <w:left w:val="nil"/>
              <w:bottom w:val="nil"/>
              <w:right w:val="nil"/>
              <w:tl2br w:val="nil"/>
              <w:tr2bl w:val="nil"/>
            </w:tcBorders>
            <w:shd w:val="solid" w:color="CCE1EA" w:fill="FFFFFF"/>
            <w:tcMar>
              <w:left w:w="60" w:type="dxa"/>
              <w:right w:w="60" w:type="dxa"/>
            </w:tcMar>
            <w:vAlign w:val="center"/>
          </w:tcPr>
          <w:p>
            <w:pPr>
              <w:pStyle w:val="DMETW36776BIPOER"/>
              <w:jc w:val="right"/>
              <w:rPr>
                <w:rFonts w:ascii="Verdana" w:eastAsia="Verdana" w:hAnsi="Verdana" w:cs="Verdana"/>
                <w:b/>
                <w:noProof/>
                <w:color w:val="000000"/>
                <w:sz w:val="18"/>
              </w:rPr>
            </w:pPr>
            <w:r>
              <w:rPr>
                <w:rFonts w:ascii="Verdana" w:hAnsi="Verdana"/>
                <w:b/>
                <w:noProof/>
                <w:color w:val="000000"/>
                <w:sz w:val="18"/>
              </w:rPr>
              <w:t>2 592</w:t>
            </w:r>
          </w:p>
        </w:tc>
      </w:tr>
    </w:tbl>
    <w:p>
      <w:pPr>
        <w:pStyle w:val="DGTextstand-alone"/>
        <w:spacing w:after="0"/>
      </w:pPr>
      <w:r>
        <w:t>Les recettes tirées de redevances pour prestation de services comprennent principalement les redevances perçues par l’Agence européenne des médicaments pour la délivrance des autorisations de mise sur le marché et les taxes relatives aux marques prélevées par l’Office de l’Union européenne pour la propriété intellectuelle.</w:t>
      </w:r>
    </w:p>
    <w:p>
      <w:pPr>
        <w:pStyle w:val="DGTextstand-alone"/>
        <w:spacing w:after="0"/>
        <w:sectPr>
          <w:headerReference w:type="default" r:id="rId113"/>
          <w:footerReference w:type="default" r:id="rId114"/>
          <w:type w:val="continuous"/>
          <w:pgSz w:w="11906" w:h="16838"/>
          <w:pgMar w:top="1134" w:right="1134" w:bottom="1134" w:left="1134" w:header="709" w:footer="709" w:gutter="0"/>
          <w:cols w:space="708"/>
          <w:docGrid w:linePitch="360"/>
        </w:sectPr>
      </w:pPr>
      <w:r>
        <w:t xml:space="preserve"> </w:t>
      </w:r>
      <w:bookmarkEnd w:id="177"/>
    </w:p>
    <w:p>
      <w:pPr>
        <w:pStyle w:val="HEADERTABLE"/>
        <w:spacing w:before="360" w:after="360"/>
        <w:rPr>
          <w:noProof/>
        </w:rPr>
        <w:sectPr>
          <w:headerReference w:type="default" r:id="rId115"/>
          <w:footerReference w:type="default" r:id="rId116"/>
          <w:type w:val="continuous"/>
          <w:pgSz w:w="11906" w:h="16838"/>
          <w:pgMar w:top="1134" w:right="1134" w:bottom="1134" w:left="1134" w:header="709" w:footer="709" w:gutter="0"/>
          <w:cols w:space="708"/>
          <w:docGrid w:linePitch="360"/>
        </w:sectPr>
      </w:pPr>
      <w:bookmarkStart w:id="184" w:name="_DMBM_36679"/>
      <w:r>
        <w:rPr>
          <w:noProof/>
        </w:rPr>
        <w:t xml:space="preserve">DÉPENSES </w:t>
      </w:r>
      <w:bookmarkEnd w:id="184"/>
    </w:p>
    <w:p>
      <w:pPr>
        <w:pStyle w:val="HEADER2NOTES"/>
        <w:numPr>
          <w:ilvl w:val="1"/>
          <w:numId w:val="15"/>
        </w:numPr>
        <w:rPr>
          <w:noProof/>
        </w:rPr>
      </w:pPr>
      <w:bookmarkStart w:id="185" w:name="_DMBM_36713"/>
      <w:r>
        <w:rPr>
          <w:noProof/>
        </w:rPr>
        <w:t>DÉLÉGUÉES AUX ÉTATS MEMBRES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48"/>
        <w:gridCol w:w="1807"/>
        <w:gridCol w:w="1903"/>
      </w:tblGrid>
      <w:tr>
        <w:trPr>
          <w:trHeight w:val="255"/>
        </w:trPr>
        <w:tc>
          <w:tcPr>
            <w:tcW w:w="6048" w:type="dxa"/>
            <w:tcBorders>
              <w:top w:val="nil"/>
              <w:left w:val="nil"/>
              <w:bottom w:val="nil"/>
              <w:right w:val="nil"/>
              <w:tl2br w:val="nil"/>
              <w:tr2bl w:val="nil"/>
            </w:tcBorders>
            <w:tcMar>
              <w:left w:w="60" w:type="dxa"/>
              <w:right w:w="60" w:type="dxa"/>
            </w:tcMar>
            <w:vAlign w:val="bottom"/>
          </w:tcPr>
          <w:p>
            <w:pPr>
              <w:pStyle w:val="DMETW36750BIPMS"/>
              <w:rPr>
                <w:rFonts w:ascii="Arial" w:eastAsia="Arial" w:hAnsi="Arial" w:cs="Arial"/>
                <w:noProof/>
                <w:color w:val="000000"/>
              </w:rPr>
            </w:pPr>
            <w:bookmarkStart w:id="186" w:name="DOC_TBL00070_1_1"/>
            <w:bookmarkEnd w:id="186"/>
          </w:p>
        </w:tc>
        <w:tc>
          <w:tcPr>
            <w:tcW w:w="1807" w:type="dxa"/>
            <w:tcBorders>
              <w:top w:val="nil"/>
              <w:left w:val="nil"/>
              <w:bottom w:val="nil"/>
              <w:right w:val="nil"/>
              <w:tl2br w:val="nil"/>
              <w:tr2bl w:val="nil"/>
            </w:tcBorders>
            <w:tcMar>
              <w:left w:w="60" w:type="dxa"/>
              <w:right w:w="60" w:type="dxa"/>
            </w:tcMar>
            <w:vAlign w:val="bottom"/>
          </w:tcPr>
          <w:p>
            <w:pPr>
              <w:pStyle w:val="DMETW36750BIPMS"/>
              <w:rPr>
                <w:rFonts w:ascii="Arial" w:eastAsia="Arial" w:hAnsi="Arial" w:cs="Arial"/>
                <w:noProof/>
                <w:color w:val="000000"/>
              </w:rPr>
            </w:pPr>
          </w:p>
        </w:tc>
        <w:tc>
          <w:tcPr>
            <w:tcW w:w="1903" w:type="dxa"/>
            <w:tcBorders>
              <w:top w:val="nil"/>
              <w:left w:val="nil"/>
              <w:bottom w:val="nil"/>
              <w:right w:val="nil"/>
              <w:tl2br w:val="nil"/>
              <w:tr2bl w:val="nil"/>
            </w:tcBorders>
            <w:tcMar>
              <w:left w:w="60" w:type="dxa"/>
              <w:right w:w="60" w:type="dxa"/>
            </w:tcMar>
            <w:vAlign w:val="bottom"/>
          </w:tcPr>
          <w:p>
            <w:pPr>
              <w:pStyle w:val="DMETW36750BIPMS"/>
              <w:jc w:val="right"/>
              <w:rPr>
                <w:rFonts w:ascii="Verdana" w:eastAsia="Verdana" w:hAnsi="Verdana" w:cs="Verdana"/>
                <w:i/>
                <w:noProof/>
                <w:color w:val="000000"/>
                <w:sz w:val="16"/>
              </w:rPr>
            </w:pPr>
            <w:r>
              <w:rPr>
                <w:rFonts w:ascii="Verdana" w:hAnsi="Verdana"/>
                <w:i/>
                <w:noProof/>
                <w:color w:val="000000"/>
                <w:sz w:val="16"/>
              </w:rPr>
              <w:t>en Mio EUR</w:t>
            </w:r>
          </w:p>
        </w:tc>
      </w:tr>
      <w:tr>
        <w:trPr>
          <w:trHeight w:val="255"/>
        </w:trPr>
        <w:tc>
          <w:tcPr>
            <w:tcW w:w="6048" w:type="dxa"/>
            <w:tcBorders>
              <w:top w:val="nil"/>
              <w:left w:val="nil"/>
              <w:bottom w:val="nil"/>
              <w:right w:val="nil"/>
              <w:tl2br w:val="nil"/>
              <w:tr2bl w:val="nil"/>
            </w:tcBorders>
            <w:shd w:val="solid" w:color="016794" w:fill="FFFFFF"/>
            <w:tcMar>
              <w:left w:w="60" w:type="dxa"/>
              <w:right w:w="60" w:type="dxa"/>
            </w:tcMar>
            <w:vAlign w:val="center"/>
          </w:tcPr>
          <w:p>
            <w:pPr>
              <w:pStyle w:val="DMETW36750BIPMS"/>
              <w:rPr>
                <w:rFonts w:ascii="Verdana" w:eastAsia="Verdana" w:hAnsi="Verdana" w:cs="Verdana"/>
                <w:noProof/>
                <w:color w:val="FFFFFF"/>
                <w:sz w:val="18"/>
              </w:rPr>
            </w:pPr>
          </w:p>
        </w:tc>
        <w:tc>
          <w:tcPr>
            <w:tcW w:w="1807" w:type="dxa"/>
            <w:tcBorders>
              <w:top w:val="nil"/>
              <w:left w:val="nil"/>
              <w:bottom w:val="nil"/>
              <w:right w:val="nil"/>
              <w:tl2br w:val="nil"/>
              <w:tr2bl w:val="nil"/>
            </w:tcBorders>
            <w:shd w:val="solid" w:color="016794" w:fill="FFFFFF"/>
            <w:tcMar>
              <w:left w:w="60" w:type="dxa"/>
              <w:right w:w="60" w:type="dxa"/>
            </w:tcMar>
            <w:vAlign w:val="center"/>
          </w:tcPr>
          <w:p>
            <w:pPr>
              <w:pStyle w:val="DMETW36750BIPMS"/>
              <w:jc w:val="right"/>
              <w:rPr>
                <w:rFonts w:ascii="Verdana" w:eastAsia="Verdana" w:hAnsi="Verdana" w:cs="Verdana"/>
                <w:noProof/>
                <w:color w:val="FFFFFF"/>
              </w:rPr>
            </w:pPr>
            <w:r>
              <w:rPr>
                <w:rFonts w:ascii="Verdana" w:hAnsi="Verdana"/>
                <w:noProof/>
                <w:color w:val="FFFFFF"/>
              </w:rPr>
              <w:t>2025</w:t>
            </w:r>
          </w:p>
        </w:tc>
        <w:tc>
          <w:tcPr>
            <w:tcW w:w="1903" w:type="dxa"/>
            <w:tcBorders>
              <w:top w:val="nil"/>
              <w:left w:val="nil"/>
              <w:bottom w:val="nil"/>
              <w:right w:val="nil"/>
              <w:tl2br w:val="nil"/>
              <w:tr2bl w:val="nil"/>
            </w:tcBorders>
            <w:shd w:val="solid" w:color="016794" w:fill="FFFFFF"/>
            <w:tcMar>
              <w:left w:w="60" w:type="dxa"/>
              <w:right w:w="60" w:type="dxa"/>
            </w:tcMar>
            <w:vAlign w:val="center"/>
          </w:tcPr>
          <w:p>
            <w:pPr>
              <w:pStyle w:val="DMETW36750BIPMS"/>
              <w:jc w:val="right"/>
              <w:rPr>
                <w:rFonts w:ascii="Verdana" w:eastAsia="Verdana" w:hAnsi="Verdana" w:cs="Verdana"/>
                <w:noProof/>
                <w:color w:val="FFFFFF"/>
              </w:rPr>
            </w:pPr>
            <w:r>
              <w:rPr>
                <w:rFonts w:ascii="Verdana" w:hAnsi="Verdana"/>
                <w:noProof/>
                <w:color w:val="FFFFFF"/>
              </w:rPr>
              <w:t>2024</w:t>
            </w:r>
          </w:p>
        </w:tc>
      </w:tr>
      <w:tr>
        <w:trPr>
          <w:trHeight w:val="255"/>
        </w:trPr>
        <w:tc>
          <w:tcPr>
            <w:tcW w:w="6048" w:type="dxa"/>
            <w:tcBorders>
              <w:top w:val="nil"/>
              <w:left w:val="nil"/>
              <w:bottom w:val="nil"/>
              <w:right w:val="nil"/>
              <w:tl2br w:val="nil"/>
              <w:tr2bl w:val="nil"/>
            </w:tcBorders>
            <w:tcMar>
              <w:left w:w="60" w:type="dxa"/>
              <w:right w:w="60" w:type="dxa"/>
            </w:tcMar>
            <w:vAlign w:val="center"/>
          </w:tcPr>
          <w:p>
            <w:pPr>
              <w:pStyle w:val="DMETW36750BIPMS"/>
              <w:rPr>
                <w:rFonts w:ascii="Verdana" w:eastAsia="Verdana" w:hAnsi="Verdana" w:cs="Verdana"/>
                <w:i/>
                <w:noProof/>
                <w:color w:val="000000"/>
                <w:sz w:val="18"/>
              </w:rPr>
            </w:pPr>
            <w:r>
              <w:rPr>
                <w:rFonts w:ascii="Verdana" w:hAnsi="Verdana"/>
                <w:i/>
                <w:noProof/>
                <w:color w:val="000000"/>
                <w:sz w:val="18"/>
              </w:rPr>
              <w:t>Fonds européen agricole de garantie</w:t>
            </w:r>
          </w:p>
        </w:tc>
        <w:tc>
          <w:tcPr>
            <w:tcW w:w="1807" w:type="dxa"/>
            <w:tcBorders>
              <w:top w:val="nil"/>
              <w:left w:val="nil"/>
              <w:bottom w:val="nil"/>
              <w:right w:val="nil"/>
              <w:tl2br w:val="nil"/>
              <w:tr2bl w:val="nil"/>
            </w:tcBorders>
            <w:tcMar>
              <w:left w:w="60" w:type="dxa"/>
              <w:right w:w="60" w:type="dxa"/>
            </w:tcMar>
            <w:vAlign w:val="center"/>
          </w:tcPr>
          <w:p>
            <w:pPr>
              <w:pStyle w:val="DMETW36750BIPMS"/>
              <w:jc w:val="right"/>
              <w:rPr>
                <w:rFonts w:ascii="Verdana" w:eastAsia="Verdana" w:hAnsi="Verdana" w:cs="Verdana"/>
                <w:i/>
                <w:noProof/>
                <w:color w:val="000000"/>
                <w:sz w:val="18"/>
              </w:rPr>
            </w:pPr>
            <w:r>
              <w:rPr>
                <w:rFonts w:ascii="Verdana" w:hAnsi="Verdana"/>
                <w:i/>
                <w:noProof/>
                <w:color w:val="000000"/>
                <w:sz w:val="18"/>
              </w:rPr>
              <w:t>40 914</w:t>
            </w:r>
          </w:p>
        </w:tc>
        <w:tc>
          <w:tcPr>
            <w:tcW w:w="1903" w:type="dxa"/>
            <w:tcBorders>
              <w:top w:val="nil"/>
              <w:left w:val="nil"/>
              <w:bottom w:val="nil"/>
              <w:right w:val="nil"/>
              <w:tl2br w:val="nil"/>
              <w:tr2bl w:val="nil"/>
            </w:tcBorders>
            <w:tcMar>
              <w:left w:w="60" w:type="dxa"/>
              <w:right w:w="60" w:type="dxa"/>
            </w:tcMar>
            <w:vAlign w:val="center"/>
          </w:tcPr>
          <w:p>
            <w:pPr>
              <w:pStyle w:val="DMETW36750BIPMS"/>
              <w:jc w:val="right"/>
              <w:rPr>
                <w:rFonts w:ascii="Verdana" w:eastAsia="Verdana" w:hAnsi="Verdana" w:cs="Verdana"/>
                <w:i/>
                <w:noProof/>
                <w:color w:val="000000"/>
                <w:sz w:val="18"/>
              </w:rPr>
            </w:pPr>
            <w:r>
              <w:rPr>
                <w:rFonts w:ascii="Verdana" w:hAnsi="Verdana"/>
                <w:i/>
                <w:noProof/>
                <w:color w:val="000000"/>
                <w:sz w:val="18"/>
              </w:rPr>
              <w:t>40 267</w:t>
            </w:r>
          </w:p>
        </w:tc>
      </w:tr>
      <w:tr>
        <w:trPr>
          <w:trHeight w:val="255"/>
        </w:trPr>
        <w:tc>
          <w:tcPr>
            <w:tcW w:w="6048" w:type="dxa"/>
            <w:tcBorders>
              <w:top w:val="nil"/>
              <w:left w:val="nil"/>
              <w:bottom w:val="nil"/>
              <w:right w:val="nil"/>
              <w:tl2br w:val="nil"/>
              <w:tr2bl w:val="nil"/>
            </w:tcBorders>
            <w:tcMar>
              <w:left w:w="60" w:type="dxa"/>
              <w:right w:w="60" w:type="dxa"/>
            </w:tcMar>
            <w:vAlign w:val="center"/>
          </w:tcPr>
          <w:p>
            <w:pPr>
              <w:pStyle w:val="DMETW36750BIPMS"/>
              <w:rPr>
                <w:rFonts w:ascii="Verdana" w:eastAsia="Verdana" w:hAnsi="Verdana" w:cs="Verdana"/>
                <w:i/>
                <w:noProof/>
                <w:color w:val="000000"/>
                <w:sz w:val="18"/>
              </w:rPr>
            </w:pPr>
            <w:r>
              <w:rPr>
                <w:rFonts w:ascii="Verdana" w:hAnsi="Verdana"/>
                <w:i/>
                <w:noProof/>
                <w:color w:val="000000"/>
                <w:sz w:val="18"/>
              </w:rPr>
              <w:t>Fonds européen agricole pour le développement rural et autres instruments de développement rural</w:t>
            </w:r>
          </w:p>
        </w:tc>
        <w:tc>
          <w:tcPr>
            <w:tcW w:w="1807" w:type="dxa"/>
            <w:tcBorders>
              <w:top w:val="nil"/>
              <w:left w:val="nil"/>
              <w:bottom w:val="nil"/>
              <w:right w:val="nil"/>
              <w:tl2br w:val="nil"/>
              <w:tr2bl w:val="nil"/>
            </w:tcBorders>
            <w:tcMar>
              <w:left w:w="60" w:type="dxa"/>
              <w:right w:w="60" w:type="dxa"/>
            </w:tcMar>
            <w:vAlign w:val="center"/>
          </w:tcPr>
          <w:p>
            <w:pPr>
              <w:pStyle w:val="DMETW36750BIPMS"/>
              <w:jc w:val="right"/>
              <w:rPr>
                <w:rFonts w:ascii="Verdana" w:eastAsia="Verdana" w:hAnsi="Verdana" w:cs="Verdana"/>
                <w:i/>
                <w:noProof/>
                <w:color w:val="000000"/>
                <w:sz w:val="18"/>
              </w:rPr>
            </w:pPr>
            <w:r>
              <w:rPr>
                <w:rFonts w:ascii="Verdana" w:hAnsi="Verdana"/>
                <w:i/>
                <w:noProof/>
                <w:color w:val="000000"/>
                <w:sz w:val="18"/>
              </w:rPr>
              <w:t>17 017</w:t>
            </w:r>
          </w:p>
        </w:tc>
        <w:tc>
          <w:tcPr>
            <w:tcW w:w="1903" w:type="dxa"/>
            <w:tcBorders>
              <w:top w:val="nil"/>
              <w:left w:val="nil"/>
              <w:bottom w:val="nil"/>
              <w:right w:val="nil"/>
              <w:tl2br w:val="nil"/>
              <w:tr2bl w:val="nil"/>
            </w:tcBorders>
            <w:tcMar>
              <w:left w:w="60" w:type="dxa"/>
              <w:right w:w="60" w:type="dxa"/>
            </w:tcMar>
            <w:vAlign w:val="center"/>
          </w:tcPr>
          <w:p>
            <w:pPr>
              <w:pStyle w:val="DMETW36750BIPMS"/>
              <w:jc w:val="right"/>
              <w:rPr>
                <w:rFonts w:ascii="Verdana" w:eastAsia="Verdana" w:hAnsi="Verdana" w:cs="Verdana"/>
                <w:i/>
                <w:noProof/>
                <w:color w:val="000000"/>
                <w:sz w:val="18"/>
              </w:rPr>
            </w:pPr>
            <w:r>
              <w:rPr>
                <w:rFonts w:ascii="Verdana" w:hAnsi="Verdana"/>
                <w:i/>
                <w:noProof/>
                <w:color w:val="000000"/>
                <w:sz w:val="18"/>
              </w:rPr>
              <w:t>14 779</w:t>
            </w:r>
          </w:p>
        </w:tc>
      </w:tr>
      <w:tr>
        <w:trPr>
          <w:trHeight w:val="255"/>
        </w:trPr>
        <w:tc>
          <w:tcPr>
            <w:tcW w:w="6048" w:type="dxa"/>
            <w:tcBorders>
              <w:top w:val="nil"/>
              <w:left w:val="nil"/>
              <w:bottom w:val="nil"/>
              <w:right w:val="nil"/>
              <w:tl2br w:val="nil"/>
              <w:tr2bl w:val="nil"/>
            </w:tcBorders>
            <w:tcMar>
              <w:left w:w="60" w:type="dxa"/>
              <w:right w:w="60" w:type="dxa"/>
            </w:tcMar>
            <w:vAlign w:val="center"/>
          </w:tcPr>
          <w:p>
            <w:pPr>
              <w:pStyle w:val="DMETW36750BIPMS"/>
              <w:rPr>
                <w:rFonts w:ascii="Verdana" w:eastAsia="Verdana" w:hAnsi="Verdana" w:cs="Verdana"/>
                <w:i/>
                <w:noProof/>
                <w:color w:val="000000"/>
                <w:sz w:val="18"/>
              </w:rPr>
            </w:pPr>
            <w:r>
              <w:rPr>
                <w:rFonts w:ascii="Verdana" w:hAnsi="Verdana"/>
                <w:i/>
                <w:noProof/>
                <w:color w:val="000000"/>
                <w:sz w:val="18"/>
              </w:rPr>
              <w:t>Fonds européen de développement régional et Fonds de cohésion</w:t>
            </w:r>
          </w:p>
        </w:tc>
        <w:tc>
          <w:tcPr>
            <w:tcW w:w="1807" w:type="dxa"/>
            <w:tcBorders>
              <w:top w:val="nil"/>
              <w:left w:val="nil"/>
              <w:bottom w:val="nil"/>
              <w:right w:val="nil"/>
              <w:tl2br w:val="nil"/>
              <w:tr2bl w:val="nil"/>
            </w:tcBorders>
            <w:tcMar>
              <w:left w:w="60" w:type="dxa"/>
              <w:right w:w="60" w:type="dxa"/>
            </w:tcMar>
            <w:vAlign w:val="center"/>
          </w:tcPr>
          <w:p>
            <w:pPr>
              <w:pStyle w:val="DMETW36750BIPMS"/>
              <w:jc w:val="right"/>
              <w:rPr>
                <w:rFonts w:ascii="Verdana" w:eastAsia="Verdana" w:hAnsi="Verdana" w:cs="Verdana"/>
                <w:i/>
                <w:noProof/>
                <w:color w:val="000000"/>
                <w:sz w:val="18"/>
              </w:rPr>
            </w:pPr>
            <w:r>
              <w:rPr>
                <w:rFonts w:ascii="Verdana" w:hAnsi="Verdana"/>
                <w:i/>
                <w:noProof/>
                <w:color w:val="000000"/>
                <w:sz w:val="18"/>
              </w:rPr>
              <w:t>31 032</w:t>
            </w:r>
          </w:p>
        </w:tc>
        <w:tc>
          <w:tcPr>
            <w:tcW w:w="1903" w:type="dxa"/>
            <w:tcBorders>
              <w:top w:val="nil"/>
              <w:left w:val="nil"/>
              <w:bottom w:val="nil"/>
              <w:right w:val="nil"/>
              <w:tl2br w:val="nil"/>
              <w:tr2bl w:val="nil"/>
            </w:tcBorders>
            <w:tcMar>
              <w:left w:w="60" w:type="dxa"/>
              <w:right w:w="60" w:type="dxa"/>
            </w:tcMar>
            <w:vAlign w:val="center"/>
          </w:tcPr>
          <w:p>
            <w:pPr>
              <w:pStyle w:val="DMETW36750BIPMS"/>
              <w:jc w:val="right"/>
              <w:rPr>
                <w:rFonts w:ascii="Verdana" w:eastAsia="Verdana" w:hAnsi="Verdana" w:cs="Verdana"/>
                <w:i/>
                <w:noProof/>
                <w:color w:val="000000"/>
                <w:sz w:val="18"/>
              </w:rPr>
            </w:pPr>
            <w:r>
              <w:rPr>
                <w:rFonts w:ascii="Verdana" w:hAnsi="Verdana"/>
                <w:i/>
                <w:noProof/>
                <w:color w:val="000000"/>
                <w:sz w:val="18"/>
              </w:rPr>
              <w:t>28 833</w:t>
            </w:r>
          </w:p>
        </w:tc>
      </w:tr>
      <w:tr>
        <w:trPr>
          <w:trHeight w:val="255"/>
        </w:trPr>
        <w:tc>
          <w:tcPr>
            <w:tcW w:w="6048" w:type="dxa"/>
            <w:tcBorders>
              <w:top w:val="nil"/>
              <w:left w:val="nil"/>
              <w:bottom w:val="nil"/>
              <w:right w:val="nil"/>
              <w:tl2br w:val="nil"/>
              <w:tr2bl w:val="nil"/>
            </w:tcBorders>
            <w:tcMar>
              <w:left w:w="60" w:type="dxa"/>
              <w:right w:w="60" w:type="dxa"/>
            </w:tcMar>
            <w:vAlign w:val="center"/>
          </w:tcPr>
          <w:p>
            <w:pPr>
              <w:pStyle w:val="DMETW36750BIPMS"/>
              <w:rPr>
                <w:rFonts w:ascii="Verdana" w:eastAsia="Verdana" w:hAnsi="Verdana" w:cs="Verdana"/>
                <w:i/>
                <w:noProof/>
                <w:color w:val="000000"/>
                <w:sz w:val="18"/>
              </w:rPr>
            </w:pPr>
            <w:r>
              <w:rPr>
                <w:rFonts w:ascii="Verdana" w:hAnsi="Verdana"/>
                <w:i/>
                <w:noProof/>
                <w:color w:val="000000"/>
                <w:sz w:val="18"/>
              </w:rPr>
              <w:t>Fonds social européen</w:t>
            </w:r>
          </w:p>
        </w:tc>
        <w:tc>
          <w:tcPr>
            <w:tcW w:w="1807" w:type="dxa"/>
            <w:tcBorders>
              <w:top w:val="nil"/>
              <w:left w:val="nil"/>
              <w:bottom w:val="nil"/>
              <w:right w:val="nil"/>
              <w:tl2br w:val="nil"/>
              <w:tr2bl w:val="nil"/>
            </w:tcBorders>
            <w:tcMar>
              <w:left w:w="60" w:type="dxa"/>
              <w:right w:w="60" w:type="dxa"/>
            </w:tcMar>
            <w:vAlign w:val="center"/>
          </w:tcPr>
          <w:p>
            <w:pPr>
              <w:pStyle w:val="DMETW36750BIPMS"/>
              <w:jc w:val="right"/>
              <w:rPr>
                <w:rFonts w:ascii="Verdana" w:eastAsia="Verdana" w:hAnsi="Verdana" w:cs="Verdana"/>
                <w:i/>
                <w:noProof/>
                <w:color w:val="000000"/>
                <w:sz w:val="18"/>
              </w:rPr>
            </w:pPr>
            <w:r>
              <w:rPr>
                <w:rFonts w:ascii="Verdana" w:hAnsi="Verdana"/>
                <w:i/>
                <w:noProof/>
                <w:color w:val="000000"/>
                <w:sz w:val="18"/>
              </w:rPr>
              <w:t>17 308</w:t>
            </w:r>
          </w:p>
        </w:tc>
        <w:tc>
          <w:tcPr>
            <w:tcW w:w="1903" w:type="dxa"/>
            <w:tcBorders>
              <w:top w:val="nil"/>
              <w:left w:val="nil"/>
              <w:bottom w:val="nil"/>
              <w:right w:val="nil"/>
              <w:tl2br w:val="nil"/>
              <w:tr2bl w:val="nil"/>
            </w:tcBorders>
            <w:tcMar>
              <w:left w:w="60" w:type="dxa"/>
              <w:right w:w="60" w:type="dxa"/>
            </w:tcMar>
            <w:vAlign w:val="center"/>
          </w:tcPr>
          <w:p>
            <w:pPr>
              <w:pStyle w:val="DMETW36750BIPMS"/>
              <w:jc w:val="right"/>
              <w:rPr>
                <w:rFonts w:ascii="Verdana" w:eastAsia="Verdana" w:hAnsi="Verdana" w:cs="Verdana"/>
                <w:i/>
                <w:noProof/>
                <w:color w:val="000000"/>
                <w:sz w:val="18"/>
              </w:rPr>
            </w:pPr>
            <w:r>
              <w:rPr>
                <w:rFonts w:ascii="Verdana" w:hAnsi="Verdana"/>
                <w:i/>
                <w:noProof/>
                <w:color w:val="000000"/>
                <w:sz w:val="18"/>
              </w:rPr>
              <w:t>18 037</w:t>
            </w:r>
          </w:p>
        </w:tc>
      </w:tr>
      <w:tr>
        <w:trPr>
          <w:trHeight w:val="255"/>
        </w:trPr>
        <w:tc>
          <w:tcPr>
            <w:tcW w:w="6048" w:type="dxa"/>
            <w:tcBorders>
              <w:top w:val="nil"/>
              <w:left w:val="nil"/>
              <w:bottom w:val="nil"/>
              <w:right w:val="nil"/>
              <w:tl2br w:val="nil"/>
              <w:tr2bl w:val="nil"/>
            </w:tcBorders>
            <w:tcMar>
              <w:left w:w="60" w:type="dxa"/>
              <w:right w:w="60" w:type="dxa"/>
            </w:tcMar>
            <w:vAlign w:val="center"/>
          </w:tcPr>
          <w:p>
            <w:pPr>
              <w:pStyle w:val="DMETW36750BIPMS"/>
              <w:rPr>
                <w:rFonts w:ascii="Verdana" w:eastAsia="Verdana" w:hAnsi="Verdana" w:cs="Verdana"/>
                <w:i/>
                <w:noProof/>
                <w:color w:val="000000"/>
                <w:sz w:val="18"/>
              </w:rPr>
            </w:pPr>
            <w:r>
              <w:rPr>
                <w:rFonts w:ascii="Verdana" w:hAnsi="Verdana"/>
                <w:i/>
                <w:noProof/>
                <w:color w:val="000000"/>
                <w:sz w:val="18"/>
              </w:rPr>
              <w:t>Autres</w:t>
            </w:r>
          </w:p>
        </w:tc>
        <w:tc>
          <w:tcPr>
            <w:tcW w:w="1807" w:type="dxa"/>
            <w:tcBorders>
              <w:top w:val="nil"/>
              <w:left w:val="nil"/>
              <w:bottom w:val="nil"/>
              <w:right w:val="nil"/>
              <w:tl2br w:val="nil"/>
              <w:tr2bl w:val="nil"/>
            </w:tcBorders>
            <w:tcMar>
              <w:left w:w="60" w:type="dxa"/>
              <w:right w:w="60" w:type="dxa"/>
            </w:tcMar>
            <w:vAlign w:val="center"/>
          </w:tcPr>
          <w:p>
            <w:pPr>
              <w:pStyle w:val="DMETW36750BIPMS"/>
              <w:jc w:val="right"/>
              <w:rPr>
                <w:rFonts w:ascii="Verdana" w:eastAsia="Verdana" w:hAnsi="Verdana" w:cs="Verdana"/>
                <w:i/>
                <w:noProof/>
                <w:color w:val="000000"/>
                <w:sz w:val="18"/>
              </w:rPr>
            </w:pPr>
            <w:r>
              <w:rPr>
                <w:rFonts w:ascii="Verdana" w:hAnsi="Verdana"/>
                <w:i/>
                <w:noProof/>
                <w:color w:val="000000"/>
                <w:sz w:val="18"/>
              </w:rPr>
              <w:t>4 514</w:t>
            </w:r>
          </w:p>
        </w:tc>
        <w:tc>
          <w:tcPr>
            <w:tcW w:w="1903" w:type="dxa"/>
            <w:tcBorders>
              <w:top w:val="nil"/>
              <w:left w:val="nil"/>
              <w:bottom w:val="nil"/>
              <w:right w:val="nil"/>
              <w:tl2br w:val="nil"/>
              <w:tr2bl w:val="nil"/>
            </w:tcBorders>
            <w:tcMar>
              <w:left w:w="60" w:type="dxa"/>
              <w:right w:w="60" w:type="dxa"/>
            </w:tcMar>
            <w:vAlign w:val="center"/>
          </w:tcPr>
          <w:p>
            <w:pPr>
              <w:pStyle w:val="DMETW36750BIPMS"/>
              <w:jc w:val="right"/>
              <w:rPr>
                <w:rFonts w:ascii="Verdana" w:eastAsia="Verdana" w:hAnsi="Verdana" w:cs="Verdana"/>
                <w:i/>
                <w:noProof/>
                <w:color w:val="000000"/>
                <w:sz w:val="18"/>
              </w:rPr>
            </w:pPr>
            <w:r>
              <w:rPr>
                <w:rFonts w:ascii="Verdana" w:hAnsi="Verdana"/>
                <w:i/>
                <w:noProof/>
                <w:color w:val="000000"/>
                <w:sz w:val="18"/>
              </w:rPr>
              <w:t>3 854</w:t>
            </w:r>
          </w:p>
        </w:tc>
      </w:tr>
      <w:tr>
        <w:trPr>
          <w:trHeight w:val="255"/>
        </w:trPr>
        <w:tc>
          <w:tcPr>
            <w:tcW w:w="6048" w:type="dxa"/>
            <w:tcBorders>
              <w:top w:val="nil"/>
              <w:left w:val="nil"/>
              <w:bottom w:val="nil"/>
              <w:right w:val="nil"/>
              <w:tl2br w:val="nil"/>
              <w:tr2bl w:val="nil"/>
            </w:tcBorders>
            <w:shd w:val="solid" w:color="CCE1EA" w:fill="FFFFFF"/>
            <w:tcMar>
              <w:left w:w="60" w:type="dxa"/>
              <w:right w:w="60" w:type="dxa"/>
            </w:tcMar>
            <w:vAlign w:val="center"/>
          </w:tcPr>
          <w:p>
            <w:pPr>
              <w:pStyle w:val="DMETW36750BIPMS"/>
              <w:rPr>
                <w:rFonts w:ascii="Verdana" w:eastAsia="Verdana" w:hAnsi="Verdana" w:cs="Verdana"/>
                <w:b/>
                <w:noProof/>
                <w:color w:val="000000"/>
                <w:sz w:val="18"/>
              </w:rPr>
            </w:pPr>
            <w:r>
              <w:rPr>
                <w:rFonts w:ascii="Verdana" w:hAnsi="Verdana"/>
                <w:b/>
                <w:noProof/>
                <w:color w:val="000000"/>
                <w:sz w:val="18"/>
              </w:rPr>
              <w:t>Total</w:t>
            </w:r>
          </w:p>
        </w:tc>
        <w:tc>
          <w:tcPr>
            <w:tcW w:w="1807" w:type="dxa"/>
            <w:tcBorders>
              <w:top w:val="nil"/>
              <w:left w:val="nil"/>
              <w:bottom w:val="nil"/>
              <w:right w:val="nil"/>
              <w:tl2br w:val="nil"/>
              <w:tr2bl w:val="nil"/>
            </w:tcBorders>
            <w:shd w:val="solid" w:color="CCE1EA" w:fill="FFFFFF"/>
            <w:tcMar>
              <w:left w:w="60" w:type="dxa"/>
              <w:right w:w="60" w:type="dxa"/>
            </w:tcMar>
            <w:vAlign w:val="bottom"/>
          </w:tcPr>
          <w:p>
            <w:pPr>
              <w:pStyle w:val="DMETW36750BIPMS"/>
              <w:jc w:val="right"/>
              <w:rPr>
                <w:rFonts w:ascii="Verdana" w:eastAsia="Verdana" w:hAnsi="Verdana" w:cs="Verdana"/>
                <w:b/>
                <w:noProof/>
                <w:color w:val="000000"/>
                <w:sz w:val="18"/>
              </w:rPr>
            </w:pPr>
            <w:r>
              <w:rPr>
                <w:rFonts w:ascii="Verdana" w:hAnsi="Verdana"/>
                <w:b/>
                <w:noProof/>
                <w:color w:val="000000"/>
                <w:sz w:val="18"/>
              </w:rPr>
              <w:t>110 784</w:t>
            </w:r>
          </w:p>
        </w:tc>
        <w:tc>
          <w:tcPr>
            <w:tcW w:w="1903" w:type="dxa"/>
            <w:tcBorders>
              <w:top w:val="nil"/>
              <w:left w:val="nil"/>
              <w:bottom w:val="nil"/>
              <w:right w:val="nil"/>
              <w:tl2br w:val="nil"/>
              <w:tr2bl w:val="nil"/>
            </w:tcBorders>
            <w:shd w:val="solid" w:color="CCE1EA" w:fill="FFFFFF"/>
            <w:tcMar>
              <w:left w:w="60" w:type="dxa"/>
              <w:right w:w="60" w:type="dxa"/>
            </w:tcMar>
            <w:vAlign w:val="bottom"/>
          </w:tcPr>
          <w:p>
            <w:pPr>
              <w:pStyle w:val="DMETW36750BIPMS"/>
              <w:jc w:val="right"/>
              <w:rPr>
                <w:rFonts w:ascii="Verdana" w:eastAsia="Verdana" w:hAnsi="Verdana" w:cs="Verdana"/>
                <w:b/>
                <w:noProof/>
                <w:color w:val="000000"/>
                <w:sz w:val="18"/>
              </w:rPr>
            </w:pPr>
            <w:r>
              <w:rPr>
                <w:rFonts w:ascii="Verdana" w:hAnsi="Verdana"/>
                <w:b/>
                <w:noProof/>
                <w:color w:val="000000"/>
                <w:sz w:val="18"/>
              </w:rPr>
              <w:t>105 770</w:t>
            </w:r>
          </w:p>
        </w:tc>
      </w:tr>
    </w:tbl>
    <w:p>
      <w:pPr>
        <w:pStyle w:val="DGTextstand-alone"/>
      </w:pPr>
      <w:r>
        <w:t>L’augmentation concerne la politique de cohésion (FEDER et FC), où la quasi-totalité des dépenses (28,1 milliards d’EUR) se rapporte à la période de programmation 2021-2027, pour laquelle les activités continuent de progresser. On observe également une augmentation des dépenses déclarées au titre des plans stratégiques relevant de la PAC, lesquelles poursuivent leur progression.</w:t>
      </w:r>
    </w:p>
    <w:p>
      <w:pPr>
        <w:pStyle w:val="DGTextstand-alone"/>
      </w:pPr>
      <w:r>
        <w:t>Les autres dépenses concernent principalement le Fonds pour une transition juste (1,4 milliard d’EUR), le Fonds européen pour les affaires maritimes et la pêche (0,8 milliard d’EUR), l’asile et la migration (0,6 milliard d’EUR), ainsi que le Fonds de solidarité de l’Union européenne (0,8 milliard d’EUR).</w:t>
      </w:r>
    </w:p>
    <w:p>
      <w:pPr>
        <w:pStyle w:val="HEADER2NOTES"/>
        <w:numPr>
          <w:ilvl w:val="1"/>
          <w:numId w:val="15"/>
        </w:numPr>
        <w:rPr>
          <w:noProof/>
        </w:rPr>
      </w:pPr>
      <w:r>
        <w:rPr>
          <w:noProof/>
        </w:rPr>
        <w:lastRenderedPageBreak/>
        <w:t>TRANSFERTS, Y COMPRIS LES SUBVENTIONS ET L’APPUI BUDGÉTAIRE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48"/>
        <w:gridCol w:w="1807"/>
        <w:gridCol w:w="1903"/>
      </w:tblGrid>
      <w:tr>
        <w:trPr>
          <w:trHeight w:val="255"/>
        </w:trPr>
        <w:tc>
          <w:tcPr>
            <w:tcW w:w="6048" w:type="dxa"/>
            <w:tcBorders>
              <w:top w:val="nil"/>
              <w:left w:val="nil"/>
              <w:bottom w:val="nil"/>
              <w:right w:val="nil"/>
              <w:tl2br w:val="nil"/>
              <w:tr2bl w:val="nil"/>
            </w:tcBorders>
            <w:tcMar>
              <w:left w:w="60" w:type="dxa"/>
              <w:right w:w="60" w:type="dxa"/>
            </w:tcMar>
            <w:vAlign w:val="bottom"/>
          </w:tcPr>
          <w:p>
            <w:pPr>
              <w:pStyle w:val="DMETW36750BIPGR"/>
              <w:rPr>
                <w:rFonts w:ascii="Arial" w:eastAsia="Arial" w:hAnsi="Arial" w:cs="Arial"/>
                <w:noProof/>
                <w:color w:val="000000"/>
              </w:rPr>
            </w:pPr>
            <w:bookmarkStart w:id="187" w:name="DOC_TBL00071_1_1"/>
            <w:bookmarkEnd w:id="187"/>
          </w:p>
        </w:tc>
        <w:tc>
          <w:tcPr>
            <w:tcW w:w="1807" w:type="dxa"/>
            <w:tcBorders>
              <w:top w:val="nil"/>
              <w:left w:val="nil"/>
              <w:bottom w:val="nil"/>
              <w:right w:val="nil"/>
              <w:tl2br w:val="nil"/>
              <w:tr2bl w:val="nil"/>
            </w:tcBorders>
            <w:tcMar>
              <w:left w:w="60" w:type="dxa"/>
              <w:right w:w="60" w:type="dxa"/>
            </w:tcMar>
            <w:vAlign w:val="bottom"/>
          </w:tcPr>
          <w:p>
            <w:pPr>
              <w:pStyle w:val="DMETW36750BIPGR"/>
              <w:rPr>
                <w:rFonts w:ascii="Arial" w:eastAsia="Arial" w:hAnsi="Arial" w:cs="Arial"/>
                <w:noProof/>
                <w:color w:val="000000"/>
              </w:rPr>
            </w:pPr>
          </w:p>
        </w:tc>
        <w:tc>
          <w:tcPr>
            <w:tcW w:w="1903" w:type="dxa"/>
            <w:tcBorders>
              <w:top w:val="nil"/>
              <w:left w:val="nil"/>
              <w:bottom w:val="nil"/>
              <w:right w:val="nil"/>
              <w:tl2br w:val="nil"/>
              <w:tr2bl w:val="nil"/>
            </w:tcBorders>
            <w:tcMar>
              <w:left w:w="60" w:type="dxa"/>
              <w:right w:w="60" w:type="dxa"/>
            </w:tcMar>
            <w:vAlign w:val="bottom"/>
          </w:tcPr>
          <w:p>
            <w:pPr>
              <w:pStyle w:val="DMETW36750BIPGR"/>
              <w:jc w:val="right"/>
              <w:rPr>
                <w:rFonts w:ascii="Verdana" w:eastAsia="Verdana" w:hAnsi="Verdana" w:cs="Verdana"/>
                <w:i/>
                <w:noProof/>
                <w:color w:val="000000"/>
                <w:sz w:val="16"/>
              </w:rPr>
            </w:pPr>
            <w:r>
              <w:rPr>
                <w:rFonts w:ascii="Verdana" w:hAnsi="Verdana"/>
                <w:i/>
                <w:noProof/>
                <w:color w:val="000000"/>
                <w:sz w:val="16"/>
              </w:rPr>
              <w:t>en Mio EUR</w:t>
            </w:r>
          </w:p>
        </w:tc>
      </w:tr>
      <w:tr>
        <w:trPr>
          <w:trHeight w:val="255"/>
        </w:trPr>
        <w:tc>
          <w:tcPr>
            <w:tcW w:w="6048" w:type="dxa"/>
            <w:tcBorders>
              <w:top w:val="nil"/>
              <w:left w:val="nil"/>
              <w:bottom w:val="nil"/>
              <w:right w:val="nil"/>
              <w:tl2br w:val="nil"/>
              <w:tr2bl w:val="nil"/>
            </w:tcBorders>
            <w:shd w:val="solid" w:color="016794" w:fill="FFFFFF"/>
            <w:tcMar>
              <w:left w:w="60" w:type="dxa"/>
              <w:right w:w="60" w:type="dxa"/>
            </w:tcMar>
            <w:vAlign w:val="center"/>
          </w:tcPr>
          <w:p>
            <w:pPr>
              <w:pStyle w:val="DMETW36750BIPGR"/>
              <w:rPr>
                <w:rFonts w:ascii="Verdana" w:eastAsia="Verdana" w:hAnsi="Verdana" w:cs="Verdana"/>
                <w:noProof/>
                <w:color w:val="FFFFFF"/>
                <w:sz w:val="18"/>
              </w:rPr>
            </w:pPr>
          </w:p>
        </w:tc>
        <w:tc>
          <w:tcPr>
            <w:tcW w:w="1807" w:type="dxa"/>
            <w:tcBorders>
              <w:top w:val="nil"/>
              <w:left w:val="nil"/>
              <w:bottom w:val="nil"/>
              <w:right w:val="nil"/>
              <w:tl2br w:val="nil"/>
              <w:tr2bl w:val="nil"/>
            </w:tcBorders>
            <w:shd w:val="solid" w:color="016794" w:fill="FFFFFF"/>
            <w:tcMar>
              <w:left w:w="60" w:type="dxa"/>
              <w:right w:w="60" w:type="dxa"/>
            </w:tcMar>
            <w:vAlign w:val="center"/>
          </w:tcPr>
          <w:p>
            <w:pPr>
              <w:pStyle w:val="DMETW36750BIPGR"/>
              <w:jc w:val="right"/>
              <w:rPr>
                <w:rFonts w:ascii="Verdana" w:eastAsia="Verdana" w:hAnsi="Verdana" w:cs="Verdana"/>
                <w:noProof/>
                <w:color w:val="FFFFFF"/>
              </w:rPr>
            </w:pPr>
            <w:r>
              <w:rPr>
                <w:rFonts w:ascii="Verdana" w:hAnsi="Verdana"/>
                <w:noProof/>
                <w:color w:val="FFFFFF"/>
              </w:rPr>
              <w:t>2025</w:t>
            </w:r>
          </w:p>
        </w:tc>
        <w:tc>
          <w:tcPr>
            <w:tcW w:w="1903" w:type="dxa"/>
            <w:tcBorders>
              <w:top w:val="nil"/>
              <w:left w:val="nil"/>
              <w:bottom w:val="nil"/>
              <w:right w:val="nil"/>
              <w:tl2br w:val="nil"/>
              <w:tr2bl w:val="nil"/>
            </w:tcBorders>
            <w:shd w:val="solid" w:color="016794" w:fill="FFFFFF"/>
            <w:tcMar>
              <w:left w:w="60" w:type="dxa"/>
              <w:right w:w="60" w:type="dxa"/>
            </w:tcMar>
            <w:vAlign w:val="center"/>
          </w:tcPr>
          <w:p>
            <w:pPr>
              <w:pStyle w:val="DMETW36750BIPGR"/>
              <w:jc w:val="right"/>
              <w:rPr>
                <w:rFonts w:ascii="Verdana" w:eastAsia="Verdana" w:hAnsi="Verdana" w:cs="Verdana"/>
                <w:noProof/>
                <w:color w:val="FFFFFF"/>
              </w:rPr>
            </w:pPr>
            <w:r>
              <w:rPr>
                <w:rFonts w:ascii="Verdana" w:hAnsi="Verdana"/>
                <w:noProof/>
                <w:color w:val="FFFFFF"/>
              </w:rPr>
              <w:t>2024</w:t>
            </w:r>
          </w:p>
        </w:tc>
      </w:tr>
      <w:tr>
        <w:trPr>
          <w:trHeight w:val="255"/>
        </w:trPr>
        <w:tc>
          <w:tcPr>
            <w:tcW w:w="6048" w:type="dxa"/>
            <w:tcBorders>
              <w:top w:val="nil"/>
              <w:left w:val="nil"/>
              <w:bottom w:val="nil"/>
              <w:right w:val="nil"/>
              <w:tl2br w:val="nil"/>
              <w:tr2bl w:val="nil"/>
            </w:tcBorders>
            <w:tcMar>
              <w:left w:w="60" w:type="dxa"/>
              <w:right w:w="60" w:type="dxa"/>
            </w:tcMar>
            <w:vAlign w:val="center"/>
          </w:tcPr>
          <w:p>
            <w:pPr>
              <w:pStyle w:val="DMETW36750BIPGR"/>
              <w:rPr>
                <w:rFonts w:ascii="Verdana" w:eastAsia="Verdana" w:hAnsi="Verdana" w:cs="Verdana"/>
                <w:i/>
                <w:noProof/>
                <w:color w:val="000000"/>
                <w:sz w:val="18"/>
              </w:rPr>
            </w:pPr>
            <w:r>
              <w:rPr>
                <w:rFonts w:ascii="Verdana" w:hAnsi="Verdana"/>
                <w:i/>
                <w:noProof/>
                <w:color w:val="000000"/>
                <w:sz w:val="18"/>
              </w:rPr>
              <w:t>Facilité pour la reprise et la résilience</w:t>
            </w:r>
          </w:p>
        </w:tc>
        <w:tc>
          <w:tcPr>
            <w:tcW w:w="1807" w:type="dxa"/>
            <w:tcBorders>
              <w:top w:val="nil"/>
              <w:left w:val="nil"/>
              <w:bottom w:val="nil"/>
              <w:right w:val="nil"/>
              <w:tl2br w:val="nil"/>
              <w:tr2bl w:val="nil"/>
            </w:tcBorders>
            <w:tcMar>
              <w:left w:w="60" w:type="dxa"/>
              <w:right w:w="60" w:type="dxa"/>
            </w:tcMar>
            <w:vAlign w:val="center"/>
          </w:tcPr>
          <w:p>
            <w:pPr>
              <w:pStyle w:val="DMETW36750BIPGR"/>
              <w:jc w:val="right"/>
              <w:rPr>
                <w:rFonts w:ascii="Verdana" w:eastAsia="Verdana" w:hAnsi="Verdana" w:cs="Verdana"/>
                <w:i/>
                <w:noProof/>
                <w:color w:val="000000"/>
                <w:sz w:val="18"/>
              </w:rPr>
            </w:pPr>
            <w:r>
              <w:rPr>
                <w:rFonts w:ascii="Verdana" w:hAnsi="Verdana"/>
                <w:i/>
                <w:noProof/>
                <w:color w:val="000000"/>
                <w:sz w:val="18"/>
              </w:rPr>
              <w:t>46 815</w:t>
            </w:r>
          </w:p>
        </w:tc>
        <w:tc>
          <w:tcPr>
            <w:tcW w:w="1903" w:type="dxa"/>
            <w:tcBorders>
              <w:top w:val="nil"/>
              <w:left w:val="nil"/>
              <w:bottom w:val="nil"/>
              <w:right w:val="nil"/>
              <w:tl2br w:val="nil"/>
              <w:tr2bl w:val="nil"/>
            </w:tcBorders>
            <w:tcMar>
              <w:left w:w="60" w:type="dxa"/>
              <w:right w:w="60" w:type="dxa"/>
            </w:tcMar>
            <w:vAlign w:val="center"/>
          </w:tcPr>
          <w:p>
            <w:pPr>
              <w:pStyle w:val="DMETW36750BIPGR"/>
              <w:jc w:val="right"/>
              <w:rPr>
                <w:rFonts w:ascii="Verdana" w:eastAsia="Verdana" w:hAnsi="Verdana" w:cs="Verdana"/>
                <w:i/>
                <w:noProof/>
                <w:color w:val="000000"/>
                <w:sz w:val="18"/>
              </w:rPr>
            </w:pPr>
            <w:r>
              <w:rPr>
                <w:rFonts w:ascii="Verdana" w:hAnsi="Verdana"/>
                <w:i/>
                <w:noProof/>
                <w:color w:val="000000"/>
                <w:sz w:val="18"/>
              </w:rPr>
              <w:t>65 787</w:t>
            </w:r>
          </w:p>
        </w:tc>
      </w:tr>
      <w:tr>
        <w:trPr>
          <w:trHeight w:val="255"/>
        </w:trPr>
        <w:tc>
          <w:tcPr>
            <w:tcW w:w="6048" w:type="dxa"/>
            <w:tcBorders>
              <w:top w:val="nil"/>
              <w:left w:val="nil"/>
              <w:bottom w:val="nil"/>
              <w:right w:val="nil"/>
              <w:tl2br w:val="nil"/>
              <w:tr2bl w:val="nil"/>
            </w:tcBorders>
            <w:tcMar>
              <w:left w:w="60" w:type="dxa"/>
              <w:right w:w="60" w:type="dxa"/>
            </w:tcMar>
            <w:vAlign w:val="center"/>
          </w:tcPr>
          <w:p>
            <w:pPr>
              <w:pStyle w:val="DMETW36750BIPGR"/>
              <w:rPr>
                <w:rFonts w:ascii="Verdana" w:eastAsia="Verdana" w:hAnsi="Verdana" w:cs="Verdana"/>
                <w:i/>
                <w:noProof/>
                <w:color w:val="000000"/>
                <w:sz w:val="18"/>
              </w:rPr>
            </w:pPr>
            <w:r>
              <w:rPr>
                <w:rFonts w:ascii="Verdana" w:hAnsi="Verdana"/>
                <w:i/>
                <w:noProof/>
                <w:color w:val="000000"/>
                <w:sz w:val="18"/>
              </w:rPr>
              <w:t>Autres</w:t>
            </w:r>
          </w:p>
        </w:tc>
        <w:tc>
          <w:tcPr>
            <w:tcW w:w="1807" w:type="dxa"/>
            <w:tcBorders>
              <w:top w:val="nil"/>
              <w:left w:val="nil"/>
              <w:bottom w:val="nil"/>
              <w:right w:val="nil"/>
              <w:tl2br w:val="nil"/>
              <w:tr2bl w:val="nil"/>
            </w:tcBorders>
            <w:tcMar>
              <w:left w:w="60" w:type="dxa"/>
              <w:right w:w="60" w:type="dxa"/>
            </w:tcMar>
            <w:vAlign w:val="center"/>
          </w:tcPr>
          <w:p>
            <w:pPr>
              <w:pStyle w:val="DMETW36750BIPGR"/>
              <w:jc w:val="right"/>
              <w:rPr>
                <w:rFonts w:ascii="Verdana" w:eastAsia="Verdana" w:hAnsi="Verdana" w:cs="Verdana"/>
                <w:i/>
                <w:noProof/>
                <w:color w:val="000000"/>
                <w:sz w:val="18"/>
              </w:rPr>
            </w:pPr>
            <w:r>
              <w:rPr>
                <w:rFonts w:ascii="Verdana" w:hAnsi="Verdana"/>
                <w:i/>
                <w:noProof/>
                <w:color w:val="000000"/>
                <w:sz w:val="18"/>
              </w:rPr>
              <w:t>32 025</w:t>
            </w:r>
          </w:p>
        </w:tc>
        <w:tc>
          <w:tcPr>
            <w:tcW w:w="1903" w:type="dxa"/>
            <w:tcBorders>
              <w:top w:val="nil"/>
              <w:left w:val="nil"/>
              <w:bottom w:val="nil"/>
              <w:right w:val="nil"/>
              <w:tl2br w:val="nil"/>
              <w:tr2bl w:val="nil"/>
            </w:tcBorders>
            <w:tcMar>
              <w:left w:w="60" w:type="dxa"/>
              <w:right w:w="60" w:type="dxa"/>
            </w:tcMar>
            <w:vAlign w:val="center"/>
          </w:tcPr>
          <w:p>
            <w:pPr>
              <w:pStyle w:val="DMETW36750BIPGR"/>
              <w:jc w:val="right"/>
              <w:rPr>
                <w:rFonts w:ascii="Verdana" w:eastAsia="Verdana" w:hAnsi="Verdana" w:cs="Verdana"/>
                <w:i/>
                <w:noProof/>
                <w:color w:val="000000"/>
                <w:sz w:val="18"/>
              </w:rPr>
            </w:pPr>
            <w:r>
              <w:rPr>
                <w:rFonts w:ascii="Verdana" w:hAnsi="Verdana"/>
                <w:i/>
                <w:noProof/>
                <w:color w:val="000000"/>
                <w:sz w:val="18"/>
              </w:rPr>
              <w:t>32 992</w:t>
            </w:r>
          </w:p>
        </w:tc>
      </w:tr>
      <w:tr>
        <w:trPr>
          <w:trHeight w:val="255"/>
        </w:trPr>
        <w:tc>
          <w:tcPr>
            <w:tcW w:w="6048" w:type="dxa"/>
            <w:tcBorders>
              <w:top w:val="nil"/>
              <w:left w:val="nil"/>
              <w:bottom w:val="nil"/>
              <w:right w:val="nil"/>
              <w:tl2br w:val="nil"/>
              <w:tr2bl w:val="nil"/>
            </w:tcBorders>
            <w:shd w:val="solid" w:color="CCE1EA" w:fill="FFFFFF"/>
            <w:tcMar>
              <w:left w:w="60" w:type="dxa"/>
              <w:right w:w="60" w:type="dxa"/>
            </w:tcMar>
            <w:vAlign w:val="center"/>
          </w:tcPr>
          <w:p>
            <w:pPr>
              <w:pStyle w:val="DMETW36750BIPGR"/>
              <w:rPr>
                <w:rFonts w:ascii="Verdana" w:eastAsia="Verdana" w:hAnsi="Verdana" w:cs="Verdana"/>
                <w:b/>
                <w:noProof/>
                <w:color w:val="000000"/>
                <w:sz w:val="18"/>
              </w:rPr>
            </w:pPr>
            <w:r>
              <w:rPr>
                <w:rFonts w:ascii="Verdana" w:hAnsi="Verdana"/>
                <w:b/>
                <w:noProof/>
                <w:color w:val="000000"/>
                <w:sz w:val="18"/>
              </w:rPr>
              <w:t>Total</w:t>
            </w:r>
          </w:p>
        </w:tc>
        <w:tc>
          <w:tcPr>
            <w:tcW w:w="1807" w:type="dxa"/>
            <w:tcBorders>
              <w:top w:val="nil"/>
              <w:left w:val="nil"/>
              <w:bottom w:val="nil"/>
              <w:right w:val="nil"/>
              <w:tl2br w:val="nil"/>
              <w:tr2bl w:val="nil"/>
            </w:tcBorders>
            <w:shd w:val="solid" w:color="CCE1EA" w:fill="FFFFFF"/>
            <w:tcMar>
              <w:left w:w="60" w:type="dxa"/>
              <w:right w:w="60" w:type="dxa"/>
            </w:tcMar>
            <w:vAlign w:val="center"/>
          </w:tcPr>
          <w:p>
            <w:pPr>
              <w:pStyle w:val="DMETW36750BIPGR"/>
              <w:jc w:val="right"/>
              <w:rPr>
                <w:rFonts w:ascii="Verdana" w:eastAsia="Verdana" w:hAnsi="Verdana" w:cs="Verdana"/>
                <w:b/>
                <w:noProof/>
                <w:color w:val="000000"/>
                <w:sz w:val="18"/>
              </w:rPr>
            </w:pPr>
            <w:r>
              <w:rPr>
                <w:rFonts w:ascii="Verdana" w:hAnsi="Verdana"/>
                <w:b/>
                <w:noProof/>
                <w:color w:val="000000"/>
                <w:sz w:val="18"/>
              </w:rPr>
              <w:t>78 841</w:t>
            </w:r>
          </w:p>
        </w:tc>
        <w:tc>
          <w:tcPr>
            <w:tcW w:w="1903" w:type="dxa"/>
            <w:tcBorders>
              <w:top w:val="nil"/>
              <w:left w:val="nil"/>
              <w:bottom w:val="nil"/>
              <w:right w:val="nil"/>
              <w:tl2br w:val="nil"/>
              <w:tr2bl w:val="nil"/>
            </w:tcBorders>
            <w:shd w:val="solid" w:color="CCE1EA" w:fill="FFFFFF"/>
            <w:tcMar>
              <w:left w:w="60" w:type="dxa"/>
              <w:right w:w="60" w:type="dxa"/>
            </w:tcMar>
            <w:vAlign w:val="center"/>
          </w:tcPr>
          <w:p>
            <w:pPr>
              <w:pStyle w:val="DMETW36750BIPGR"/>
              <w:jc w:val="right"/>
              <w:rPr>
                <w:rFonts w:ascii="Verdana" w:eastAsia="Verdana" w:hAnsi="Verdana" w:cs="Verdana"/>
                <w:b/>
                <w:noProof/>
                <w:color w:val="000000"/>
                <w:sz w:val="18"/>
              </w:rPr>
            </w:pPr>
            <w:r>
              <w:rPr>
                <w:rFonts w:ascii="Verdana" w:hAnsi="Verdana"/>
                <w:b/>
                <w:noProof/>
                <w:color w:val="000000"/>
                <w:sz w:val="18"/>
              </w:rPr>
              <w:t>98 779</w:t>
            </w:r>
          </w:p>
        </w:tc>
      </w:tr>
    </w:tbl>
    <w:p>
      <w:pPr>
        <w:pStyle w:val="DGTextstand-alone"/>
        <w:spacing w:after="0"/>
      </w:pPr>
      <w:r>
        <w:t>Malgré la baisse significative des dépenses au titre de la FRR, la mise en œuvre des jalons et des cibles continue de progresser.</w:t>
      </w:r>
    </w:p>
    <w:p>
      <w:pPr>
        <w:pStyle w:val="DGTextstand-alone"/>
        <w:spacing w:after="0"/>
      </w:pPr>
      <w:r>
        <w:t>Les autres dépenses relatives aux transferts concernent la mise en œuvre de la politique de recherche (10 milliards d’EUR) et des actions extérieures, qui comprennent l’instrument de voisinage, de coopération au développement et de coopération internationale et ses précurseurs (3,1 milliards d’EUR), ainsi que les opérations d’aide humanitaire (1,1 milliard d’EUR). Un montant supplémentaire de 4,6 milliards d’EUR est consacré au mécanisme pour l’interconnexion en Europe, le Fonds commun pour les infrastructures de déploiement de réseaux intelligents dans le domaine des transports, de l’énergie et des télécommunications.</w:t>
      </w:r>
    </w:p>
    <w:p>
      <w:pPr>
        <w:pStyle w:val="HEADER2NOTES"/>
        <w:numPr>
          <w:ilvl w:val="1"/>
          <w:numId w:val="15"/>
        </w:numPr>
        <w:rPr>
          <w:noProof/>
        </w:rPr>
      </w:pPr>
      <w:r>
        <w:rPr>
          <w:noProof/>
        </w:rPr>
        <w:t>CONVENTION DE CONTRIBUTION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48"/>
        <w:gridCol w:w="1807"/>
        <w:gridCol w:w="1903"/>
      </w:tblGrid>
      <w:tr>
        <w:trPr>
          <w:trHeight w:val="255"/>
        </w:trPr>
        <w:tc>
          <w:tcPr>
            <w:tcW w:w="6048" w:type="dxa"/>
            <w:tcBorders>
              <w:top w:val="nil"/>
              <w:left w:val="nil"/>
              <w:bottom w:val="nil"/>
              <w:right w:val="nil"/>
              <w:tl2br w:val="nil"/>
              <w:tr2bl w:val="nil"/>
            </w:tcBorders>
            <w:tcMar>
              <w:left w:w="60" w:type="dxa"/>
              <w:right w:w="60" w:type="dxa"/>
            </w:tcMar>
            <w:vAlign w:val="bottom"/>
          </w:tcPr>
          <w:p>
            <w:pPr>
              <w:pStyle w:val="DMETW36750BIPCT"/>
              <w:rPr>
                <w:rFonts w:ascii="Arial" w:eastAsia="Arial" w:hAnsi="Arial" w:cs="Arial"/>
                <w:noProof/>
                <w:color w:val="000000"/>
              </w:rPr>
            </w:pPr>
            <w:bookmarkStart w:id="188" w:name="DOC_TBL00072_1_1"/>
            <w:bookmarkEnd w:id="188"/>
          </w:p>
        </w:tc>
        <w:tc>
          <w:tcPr>
            <w:tcW w:w="1807" w:type="dxa"/>
            <w:tcBorders>
              <w:top w:val="nil"/>
              <w:left w:val="nil"/>
              <w:bottom w:val="nil"/>
              <w:right w:val="nil"/>
              <w:tl2br w:val="nil"/>
              <w:tr2bl w:val="nil"/>
            </w:tcBorders>
            <w:tcMar>
              <w:left w:w="60" w:type="dxa"/>
              <w:right w:w="60" w:type="dxa"/>
            </w:tcMar>
            <w:vAlign w:val="bottom"/>
          </w:tcPr>
          <w:p>
            <w:pPr>
              <w:pStyle w:val="DMETW36750BIPCT"/>
              <w:rPr>
                <w:rFonts w:ascii="Arial" w:eastAsia="Arial" w:hAnsi="Arial" w:cs="Arial"/>
                <w:noProof/>
                <w:color w:val="000000"/>
              </w:rPr>
            </w:pPr>
          </w:p>
        </w:tc>
        <w:tc>
          <w:tcPr>
            <w:tcW w:w="1903" w:type="dxa"/>
            <w:tcBorders>
              <w:top w:val="nil"/>
              <w:left w:val="nil"/>
              <w:bottom w:val="nil"/>
              <w:right w:val="nil"/>
              <w:tl2br w:val="nil"/>
              <w:tr2bl w:val="nil"/>
            </w:tcBorders>
            <w:tcMar>
              <w:left w:w="60" w:type="dxa"/>
              <w:right w:w="60" w:type="dxa"/>
            </w:tcMar>
            <w:vAlign w:val="bottom"/>
          </w:tcPr>
          <w:p>
            <w:pPr>
              <w:pStyle w:val="DMETW36750BIPCT"/>
              <w:jc w:val="right"/>
              <w:rPr>
                <w:rFonts w:ascii="Verdana" w:eastAsia="Verdana" w:hAnsi="Verdana" w:cs="Verdana"/>
                <w:i/>
                <w:noProof/>
                <w:color w:val="000000"/>
                <w:sz w:val="16"/>
              </w:rPr>
            </w:pPr>
            <w:r>
              <w:rPr>
                <w:rFonts w:ascii="Verdana" w:hAnsi="Verdana"/>
                <w:i/>
                <w:noProof/>
                <w:color w:val="000000"/>
                <w:sz w:val="16"/>
              </w:rPr>
              <w:t>en Mio EUR</w:t>
            </w:r>
          </w:p>
        </w:tc>
      </w:tr>
      <w:tr>
        <w:trPr>
          <w:trHeight w:val="255"/>
        </w:trPr>
        <w:tc>
          <w:tcPr>
            <w:tcW w:w="6048" w:type="dxa"/>
            <w:tcBorders>
              <w:top w:val="nil"/>
              <w:left w:val="nil"/>
              <w:bottom w:val="nil"/>
              <w:right w:val="nil"/>
              <w:tl2br w:val="nil"/>
              <w:tr2bl w:val="nil"/>
            </w:tcBorders>
            <w:shd w:val="solid" w:color="016794" w:fill="FFFFFF"/>
            <w:tcMar>
              <w:left w:w="60" w:type="dxa"/>
              <w:right w:w="60" w:type="dxa"/>
            </w:tcMar>
            <w:vAlign w:val="center"/>
          </w:tcPr>
          <w:p>
            <w:pPr>
              <w:pStyle w:val="DMETW36750BIPCT"/>
              <w:rPr>
                <w:rFonts w:ascii="Verdana" w:eastAsia="Verdana" w:hAnsi="Verdana" w:cs="Verdana"/>
                <w:noProof/>
                <w:color w:val="FFFFFF"/>
                <w:sz w:val="18"/>
              </w:rPr>
            </w:pPr>
          </w:p>
        </w:tc>
        <w:tc>
          <w:tcPr>
            <w:tcW w:w="1807" w:type="dxa"/>
            <w:tcBorders>
              <w:top w:val="nil"/>
              <w:left w:val="nil"/>
              <w:bottom w:val="nil"/>
              <w:right w:val="nil"/>
              <w:tl2br w:val="nil"/>
              <w:tr2bl w:val="nil"/>
            </w:tcBorders>
            <w:shd w:val="solid" w:color="016794" w:fill="FFFFFF"/>
            <w:tcMar>
              <w:left w:w="60" w:type="dxa"/>
              <w:right w:w="60" w:type="dxa"/>
            </w:tcMar>
            <w:vAlign w:val="center"/>
          </w:tcPr>
          <w:p>
            <w:pPr>
              <w:pStyle w:val="DMETW36750BIPCT"/>
              <w:jc w:val="right"/>
              <w:rPr>
                <w:rFonts w:ascii="Verdana" w:eastAsia="Verdana" w:hAnsi="Verdana" w:cs="Verdana"/>
                <w:noProof/>
                <w:color w:val="FFFFFF"/>
              </w:rPr>
            </w:pPr>
            <w:r>
              <w:rPr>
                <w:rFonts w:ascii="Verdana" w:hAnsi="Verdana"/>
                <w:noProof/>
                <w:color w:val="FFFFFF"/>
              </w:rPr>
              <w:t>2025</w:t>
            </w:r>
          </w:p>
        </w:tc>
        <w:tc>
          <w:tcPr>
            <w:tcW w:w="1903" w:type="dxa"/>
            <w:tcBorders>
              <w:top w:val="nil"/>
              <w:left w:val="nil"/>
              <w:bottom w:val="nil"/>
              <w:right w:val="nil"/>
              <w:tl2br w:val="nil"/>
              <w:tr2bl w:val="nil"/>
            </w:tcBorders>
            <w:shd w:val="solid" w:color="016794" w:fill="FFFFFF"/>
            <w:tcMar>
              <w:left w:w="60" w:type="dxa"/>
              <w:right w:w="60" w:type="dxa"/>
            </w:tcMar>
            <w:vAlign w:val="center"/>
          </w:tcPr>
          <w:p>
            <w:pPr>
              <w:pStyle w:val="DMETW36750BIPCT"/>
              <w:jc w:val="right"/>
              <w:rPr>
                <w:rFonts w:ascii="Verdana" w:eastAsia="Verdana" w:hAnsi="Verdana" w:cs="Verdana"/>
                <w:noProof/>
                <w:color w:val="FFFFFF"/>
              </w:rPr>
            </w:pPr>
            <w:r>
              <w:rPr>
                <w:rFonts w:ascii="Verdana" w:hAnsi="Verdana"/>
                <w:noProof/>
                <w:color w:val="FFFFFF"/>
              </w:rPr>
              <w:t>2024</w:t>
            </w:r>
          </w:p>
        </w:tc>
      </w:tr>
      <w:tr>
        <w:trPr>
          <w:trHeight w:val="255"/>
        </w:trPr>
        <w:tc>
          <w:tcPr>
            <w:tcW w:w="6048" w:type="dxa"/>
            <w:tcBorders>
              <w:top w:val="nil"/>
              <w:left w:val="nil"/>
              <w:bottom w:val="nil"/>
              <w:right w:val="nil"/>
              <w:tl2br w:val="nil"/>
              <w:tr2bl w:val="nil"/>
            </w:tcBorders>
            <w:tcMar>
              <w:left w:w="60" w:type="dxa"/>
              <w:right w:w="60" w:type="dxa"/>
            </w:tcMar>
            <w:vAlign w:val="center"/>
          </w:tcPr>
          <w:p>
            <w:pPr>
              <w:pStyle w:val="DMETW36750BIPCT"/>
              <w:rPr>
                <w:rFonts w:ascii="Verdana" w:eastAsia="Verdana" w:hAnsi="Verdana" w:cs="Verdana"/>
                <w:i/>
                <w:noProof/>
                <w:color w:val="000000"/>
                <w:sz w:val="18"/>
              </w:rPr>
            </w:pPr>
            <w:r>
              <w:rPr>
                <w:rFonts w:ascii="Verdana" w:hAnsi="Verdana"/>
                <w:i/>
                <w:noProof/>
                <w:color w:val="000000"/>
                <w:sz w:val="18"/>
              </w:rPr>
              <w:t>Contributions</w:t>
            </w:r>
          </w:p>
        </w:tc>
        <w:tc>
          <w:tcPr>
            <w:tcW w:w="1807" w:type="dxa"/>
            <w:tcBorders>
              <w:top w:val="nil"/>
              <w:left w:val="nil"/>
              <w:bottom w:val="nil"/>
              <w:right w:val="nil"/>
              <w:tl2br w:val="nil"/>
              <w:tr2bl w:val="nil"/>
            </w:tcBorders>
            <w:tcMar>
              <w:left w:w="60" w:type="dxa"/>
              <w:right w:w="60" w:type="dxa"/>
            </w:tcMar>
            <w:vAlign w:val="center"/>
          </w:tcPr>
          <w:p>
            <w:pPr>
              <w:pStyle w:val="DMETW36750BIPCT"/>
              <w:jc w:val="right"/>
              <w:rPr>
                <w:rFonts w:ascii="Verdana" w:eastAsia="Verdana" w:hAnsi="Verdana" w:cs="Verdana"/>
                <w:i/>
                <w:noProof/>
                <w:color w:val="000000"/>
                <w:sz w:val="18"/>
              </w:rPr>
            </w:pPr>
            <w:r>
              <w:rPr>
                <w:rFonts w:ascii="Verdana" w:hAnsi="Verdana"/>
                <w:i/>
                <w:noProof/>
                <w:color w:val="000000"/>
                <w:sz w:val="18"/>
              </w:rPr>
              <w:t>13 200</w:t>
            </w:r>
          </w:p>
        </w:tc>
        <w:tc>
          <w:tcPr>
            <w:tcW w:w="1903" w:type="dxa"/>
            <w:tcBorders>
              <w:top w:val="nil"/>
              <w:left w:val="nil"/>
              <w:bottom w:val="nil"/>
              <w:right w:val="nil"/>
              <w:tl2br w:val="nil"/>
              <w:tr2bl w:val="nil"/>
            </w:tcBorders>
            <w:tcMar>
              <w:left w:w="60" w:type="dxa"/>
              <w:right w:w="60" w:type="dxa"/>
            </w:tcMar>
            <w:vAlign w:val="center"/>
          </w:tcPr>
          <w:p>
            <w:pPr>
              <w:pStyle w:val="DMETW36750BIPCT"/>
              <w:jc w:val="right"/>
              <w:rPr>
                <w:rFonts w:ascii="Verdana" w:eastAsia="Verdana" w:hAnsi="Verdana" w:cs="Verdana"/>
                <w:i/>
                <w:noProof/>
                <w:color w:val="000000"/>
                <w:sz w:val="18"/>
              </w:rPr>
            </w:pPr>
            <w:r>
              <w:rPr>
                <w:rFonts w:ascii="Verdana" w:hAnsi="Verdana"/>
                <w:i/>
                <w:noProof/>
                <w:color w:val="000000"/>
                <w:sz w:val="18"/>
              </w:rPr>
              <w:t>16 820</w:t>
            </w:r>
          </w:p>
        </w:tc>
      </w:tr>
      <w:tr>
        <w:trPr>
          <w:trHeight w:val="255"/>
        </w:trPr>
        <w:tc>
          <w:tcPr>
            <w:tcW w:w="6048" w:type="dxa"/>
            <w:tcBorders>
              <w:top w:val="nil"/>
              <w:left w:val="nil"/>
              <w:bottom w:val="nil"/>
              <w:right w:val="nil"/>
              <w:tl2br w:val="nil"/>
              <w:tr2bl w:val="nil"/>
            </w:tcBorders>
            <w:shd w:val="solid" w:color="CCE1EA" w:fill="FFFFFF"/>
            <w:tcMar>
              <w:left w:w="60" w:type="dxa"/>
              <w:right w:w="60" w:type="dxa"/>
            </w:tcMar>
            <w:vAlign w:val="center"/>
          </w:tcPr>
          <w:p>
            <w:pPr>
              <w:pStyle w:val="DMETW36750BIPCT"/>
              <w:rPr>
                <w:rFonts w:ascii="Verdana" w:eastAsia="Verdana" w:hAnsi="Verdana" w:cs="Verdana"/>
                <w:b/>
                <w:noProof/>
                <w:color w:val="000000"/>
                <w:sz w:val="18"/>
              </w:rPr>
            </w:pPr>
            <w:r>
              <w:rPr>
                <w:rFonts w:ascii="Verdana" w:hAnsi="Verdana"/>
                <w:b/>
                <w:noProof/>
                <w:color w:val="000000"/>
                <w:sz w:val="18"/>
              </w:rPr>
              <w:t>Total</w:t>
            </w:r>
          </w:p>
        </w:tc>
        <w:tc>
          <w:tcPr>
            <w:tcW w:w="1807" w:type="dxa"/>
            <w:tcBorders>
              <w:top w:val="nil"/>
              <w:left w:val="nil"/>
              <w:bottom w:val="nil"/>
              <w:right w:val="nil"/>
              <w:tl2br w:val="nil"/>
              <w:tr2bl w:val="nil"/>
            </w:tcBorders>
            <w:shd w:val="solid" w:color="CCE1EA" w:fill="FFFFFF"/>
            <w:tcMar>
              <w:left w:w="60" w:type="dxa"/>
              <w:right w:w="60" w:type="dxa"/>
            </w:tcMar>
            <w:vAlign w:val="center"/>
          </w:tcPr>
          <w:p>
            <w:pPr>
              <w:pStyle w:val="DMETW36750BIPCT"/>
              <w:jc w:val="right"/>
              <w:rPr>
                <w:rFonts w:ascii="Verdana" w:eastAsia="Verdana" w:hAnsi="Verdana" w:cs="Verdana"/>
                <w:b/>
                <w:noProof/>
                <w:color w:val="000000"/>
                <w:sz w:val="18"/>
              </w:rPr>
            </w:pPr>
            <w:r>
              <w:rPr>
                <w:rFonts w:ascii="Verdana" w:hAnsi="Verdana"/>
                <w:b/>
                <w:noProof/>
                <w:color w:val="000000"/>
                <w:sz w:val="18"/>
              </w:rPr>
              <w:t>13 200</w:t>
            </w:r>
          </w:p>
        </w:tc>
        <w:tc>
          <w:tcPr>
            <w:tcW w:w="1903" w:type="dxa"/>
            <w:tcBorders>
              <w:top w:val="nil"/>
              <w:left w:val="nil"/>
              <w:bottom w:val="nil"/>
              <w:right w:val="nil"/>
              <w:tl2br w:val="nil"/>
              <w:tr2bl w:val="nil"/>
            </w:tcBorders>
            <w:shd w:val="solid" w:color="CCE1EA" w:fill="FFFFFF"/>
            <w:tcMar>
              <w:left w:w="60" w:type="dxa"/>
              <w:right w:w="60" w:type="dxa"/>
            </w:tcMar>
            <w:vAlign w:val="center"/>
          </w:tcPr>
          <w:p>
            <w:pPr>
              <w:pStyle w:val="DMETW36750BIPCT"/>
              <w:jc w:val="right"/>
              <w:rPr>
                <w:rFonts w:ascii="Verdana" w:eastAsia="Verdana" w:hAnsi="Verdana" w:cs="Verdana"/>
                <w:b/>
                <w:noProof/>
                <w:color w:val="000000"/>
                <w:sz w:val="18"/>
              </w:rPr>
            </w:pPr>
            <w:r>
              <w:rPr>
                <w:rFonts w:ascii="Verdana" w:hAnsi="Verdana"/>
                <w:b/>
                <w:noProof/>
                <w:color w:val="000000"/>
                <w:sz w:val="18"/>
              </w:rPr>
              <w:t>16 820</w:t>
            </w:r>
          </w:p>
        </w:tc>
      </w:tr>
    </w:tbl>
    <w:p>
      <w:pPr>
        <w:pStyle w:val="DGTextstand-alone"/>
      </w:pPr>
      <w:r>
        <w:t>Les dépenses liées aux conventions de contribution concernent principalement l’instrument de voisinage, de coopération au développement et de coopération internationale et ses précurseurs (4,5 milliards d’EUR), les programmes spatiaux (3,2 milliards d’EUR), Erasmus + (2,9 milliards d’EUR) et la politique de recherche (1,9 milliard d’EUR).</w:t>
      </w:r>
    </w:p>
    <w:bookmarkEnd w:id="185"/>
    <w:p>
      <w:pPr>
        <w:pStyle w:val="DGTextstand-alone"/>
        <w:sectPr>
          <w:headerReference w:type="default" r:id="rId117"/>
          <w:footerReference w:type="default" r:id="rId118"/>
          <w:type w:val="continuous"/>
          <w:pgSz w:w="11906" w:h="16838"/>
          <w:pgMar w:top="1134" w:right="1134" w:bottom="1134" w:left="1134" w:header="709" w:footer="709" w:gutter="0"/>
          <w:cols w:space="708"/>
          <w:docGrid w:linePitch="360"/>
        </w:sectPr>
      </w:pPr>
    </w:p>
    <w:p>
      <w:pPr>
        <w:pStyle w:val="HEADER2NOTES"/>
        <w:numPr>
          <w:ilvl w:val="1"/>
          <w:numId w:val="15"/>
        </w:numPr>
        <w:rPr>
          <w:noProof/>
        </w:rPr>
      </w:pPr>
      <w:bookmarkStart w:id="189" w:name="_DMBM_36704"/>
      <w:r>
        <w:rPr>
          <w:noProof/>
        </w:rPr>
        <w:t>COÛTS DU PERSONNEL ET DES PENSIONS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32"/>
        <w:gridCol w:w="1963"/>
        <w:gridCol w:w="1963"/>
      </w:tblGrid>
      <w:tr>
        <w:trPr>
          <w:trHeight w:val="255"/>
        </w:trPr>
        <w:tc>
          <w:tcPr>
            <w:tcW w:w="5832" w:type="dxa"/>
            <w:tcBorders>
              <w:top w:val="nil"/>
              <w:left w:val="nil"/>
              <w:bottom w:val="nil"/>
              <w:right w:val="nil"/>
              <w:tl2br w:val="nil"/>
              <w:tr2bl w:val="nil"/>
            </w:tcBorders>
            <w:tcMar>
              <w:left w:w="60" w:type="dxa"/>
              <w:right w:w="60" w:type="dxa"/>
            </w:tcMar>
            <w:vAlign w:val="bottom"/>
          </w:tcPr>
          <w:p>
            <w:pPr>
              <w:pStyle w:val="DMETW36777BIPSPC"/>
              <w:rPr>
                <w:rFonts w:ascii="Arial" w:eastAsia="Arial" w:hAnsi="Arial" w:cs="Arial"/>
                <w:noProof/>
                <w:color w:val="000000"/>
              </w:rPr>
            </w:pPr>
            <w:bookmarkStart w:id="190" w:name="DOC_TBL00073_1_1"/>
            <w:bookmarkEnd w:id="190"/>
          </w:p>
        </w:tc>
        <w:tc>
          <w:tcPr>
            <w:tcW w:w="1963" w:type="dxa"/>
            <w:tcBorders>
              <w:top w:val="nil"/>
              <w:left w:val="nil"/>
              <w:bottom w:val="nil"/>
              <w:right w:val="nil"/>
              <w:tl2br w:val="nil"/>
              <w:tr2bl w:val="nil"/>
            </w:tcBorders>
            <w:tcMar>
              <w:left w:w="60" w:type="dxa"/>
              <w:right w:w="60" w:type="dxa"/>
            </w:tcMar>
            <w:vAlign w:val="bottom"/>
          </w:tcPr>
          <w:p>
            <w:pPr>
              <w:pStyle w:val="DMETW36777BIPSPC"/>
              <w:rPr>
                <w:rFonts w:ascii="Arial" w:eastAsia="Arial" w:hAnsi="Arial" w:cs="Arial"/>
                <w:noProof/>
                <w:color w:val="000000"/>
              </w:rPr>
            </w:pPr>
          </w:p>
        </w:tc>
        <w:tc>
          <w:tcPr>
            <w:tcW w:w="1963" w:type="dxa"/>
            <w:tcBorders>
              <w:top w:val="nil"/>
              <w:left w:val="nil"/>
              <w:bottom w:val="nil"/>
              <w:right w:val="nil"/>
              <w:tl2br w:val="nil"/>
              <w:tr2bl w:val="nil"/>
            </w:tcBorders>
            <w:tcMar>
              <w:left w:w="60" w:type="dxa"/>
              <w:right w:w="60" w:type="dxa"/>
            </w:tcMar>
            <w:vAlign w:val="bottom"/>
          </w:tcPr>
          <w:p>
            <w:pPr>
              <w:pStyle w:val="DMETW36777BIPSPC"/>
              <w:jc w:val="right"/>
              <w:rPr>
                <w:rFonts w:ascii="Verdana" w:eastAsia="Verdana" w:hAnsi="Verdana" w:cs="Verdana"/>
                <w:i/>
                <w:noProof/>
                <w:color w:val="000000"/>
                <w:sz w:val="16"/>
              </w:rPr>
            </w:pPr>
            <w:r>
              <w:rPr>
                <w:rFonts w:ascii="Verdana" w:hAnsi="Verdana"/>
                <w:i/>
                <w:noProof/>
                <w:color w:val="000000"/>
                <w:sz w:val="16"/>
              </w:rPr>
              <w:t>en Mio EUR</w:t>
            </w:r>
          </w:p>
        </w:tc>
      </w:tr>
      <w:tr>
        <w:trPr>
          <w:trHeight w:val="255"/>
        </w:trPr>
        <w:tc>
          <w:tcPr>
            <w:tcW w:w="5832" w:type="dxa"/>
            <w:tcBorders>
              <w:top w:val="nil"/>
              <w:left w:val="nil"/>
              <w:bottom w:val="nil"/>
              <w:right w:val="nil"/>
              <w:tl2br w:val="nil"/>
              <w:tr2bl w:val="nil"/>
            </w:tcBorders>
            <w:shd w:val="solid" w:color="016794" w:fill="FFFFFF"/>
            <w:tcMar>
              <w:left w:w="60" w:type="dxa"/>
              <w:right w:w="60" w:type="dxa"/>
            </w:tcMar>
            <w:vAlign w:val="center"/>
          </w:tcPr>
          <w:p>
            <w:pPr>
              <w:pStyle w:val="DMETW36777BIPSPC"/>
              <w:jc w:val="right"/>
              <w:rPr>
                <w:rFonts w:ascii="Verdana" w:eastAsia="Verdana" w:hAnsi="Verdana" w:cs="Verdana"/>
                <w:noProof/>
                <w:color w:val="FFFFFF"/>
              </w:rPr>
            </w:pPr>
          </w:p>
        </w:tc>
        <w:tc>
          <w:tcPr>
            <w:tcW w:w="1963" w:type="dxa"/>
            <w:tcBorders>
              <w:top w:val="nil"/>
              <w:left w:val="nil"/>
              <w:bottom w:val="nil"/>
              <w:right w:val="nil"/>
              <w:tl2br w:val="nil"/>
              <w:tr2bl w:val="nil"/>
            </w:tcBorders>
            <w:shd w:val="solid" w:color="016794" w:fill="FFFFFF"/>
            <w:tcMar>
              <w:left w:w="60" w:type="dxa"/>
              <w:right w:w="60" w:type="dxa"/>
            </w:tcMar>
            <w:vAlign w:val="center"/>
          </w:tcPr>
          <w:p>
            <w:pPr>
              <w:pStyle w:val="DMETW36777BIPSPC"/>
              <w:jc w:val="right"/>
              <w:rPr>
                <w:rFonts w:ascii="Verdana" w:eastAsia="Verdana" w:hAnsi="Verdana" w:cs="Verdana"/>
                <w:noProof/>
                <w:color w:val="FFFFFF"/>
              </w:rPr>
            </w:pPr>
            <w:r>
              <w:rPr>
                <w:rFonts w:ascii="Verdana" w:hAnsi="Verdana"/>
                <w:noProof/>
                <w:color w:val="FFFFFF"/>
              </w:rPr>
              <w:t>2025</w:t>
            </w:r>
          </w:p>
        </w:tc>
        <w:tc>
          <w:tcPr>
            <w:tcW w:w="1963" w:type="dxa"/>
            <w:tcBorders>
              <w:top w:val="nil"/>
              <w:left w:val="nil"/>
              <w:bottom w:val="nil"/>
              <w:right w:val="nil"/>
              <w:tl2br w:val="nil"/>
              <w:tr2bl w:val="nil"/>
            </w:tcBorders>
            <w:shd w:val="solid" w:color="016794" w:fill="FFFFFF"/>
            <w:tcMar>
              <w:left w:w="60" w:type="dxa"/>
              <w:right w:w="60" w:type="dxa"/>
            </w:tcMar>
            <w:vAlign w:val="center"/>
          </w:tcPr>
          <w:p>
            <w:pPr>
              <w:pStyle w:val="DMETW36777BIPSPC"/>
              <w:jc w:val="right"/>
              <w:rPr>
                <w:rFonts w:ascii="Verdana" w:eastAsia="Verdana" w:hAnsi="Verdana" w:cs="Verdana"/>
                <w:noProof/>
                <w:color w:val="FFFFFF"/>
              </w:rPr>
            </w:pPr>
            <w:r>
              <w:rPr>
                <w:rFonts w:ascii="Verdana" w:hAnsi="Verdana"/>
                <w:noProof/>
                <w:color w:val="FFFFFF"/>
              </w:rPr>
              <w:t>2024</w:t>
            </w:r>
          </w:p>
        </w:tc>
      </w:tr>
      <w:tr>
        <w:trPr>
          <w:trHeight w:val="255"/>
        </w:trPr>
        <w:tc>
          <w:tcPr>
            <w:tcW w:w="5832" w:type="dxa"/>
            <w:tcBorders>
              <w:top w:val="nil"/>
              <w:left w:val="nil"/>
              <w:bottom w:val="nil"/>
              <w:right w:val="nil"/>
              <w:tl2br w:val="nil"/>
              <w:tr2bl w:val="nil"/>
            </w:tcBorders>
            <w:tcMar>
              <w:left w:w="60" w:type="dxa"/>
              <w:right w:w="60" w:type="dxa"/>
            </w:tcMar>
            <w:vAlign w:val="center"/>
          </w:tcPr>
          <w:p>
            <w:pPr>
              <w:pStyle w:val="DMETW36777BIPSPC"/>
              <w:rPr>
                <w:rFonts w:ascii="Verdana" w:eastAsia="Verdana" w:hAnsi="Verdana" w:cs="Verdana"/>
                <w:i/>
                <w:noProof/>
                <w:color w:val="000000"/>
                <w:sz w:val="18"/>
              </w:rPr>
            </w:pPr>
            <w:r>
              <w:rPr>
                <w:rFonts w:ascii="Verdana" w:hAnsi="Verdana"/>
                <w:i/>
                <w:noProof/>
                <w:color w:val="000000"/>
                <w:sz w:val="18"/>
              </w:rPr>
              <w:t>Coûts du personnel</w:t>
            </w:r>
          </w:p>
        </w:tc>
        <w:tc>
          <w:tcPr>
            <w:tcW w:w="1963" w:type="dxa"/>
            <w:tcBorders>
              <w:top w:val="nil"/>
              <w:left w:val="nil"/>
              <w:bottom w:val="nil"/>
              <w:right w:val="nil"/>
              <w:tl2br w:val="nil"/>
              <w:tr2bl w:val="nil"/>
            </w:tcBorders>
            <w:tcMar>
              <w:left w:w="60" w:type="dxa"/>
              <w:right w:w="60" w:type="dxa"/>
            </w:tcMar>
            <w:vAlign w:val="center"/>
          </w:tcPr>
          <w:p>
            <w:pPr>
              <w:pStyle w:val="DMETW36777BIPSPC"/>
              <w:jc w:val="right"/>
              <w:rPr>
                <w:rFonts w:ascii="Verdana" w:eastAsia="Verdana" w:hAnsi="Verdana" w:cs="Verdana"/>
                <w:i/>
                <w:noProof/>
                <w:color w:val="000000"/>
                <w:sz w:val="18"/>
              </w:rPr>
            </w:pPr>
            <w:r>
              <w:rPr>
                <w:rFonts w:ascii="Verdana" w:hAnsi="Verdana"/>
                <w:i/>
                <w:noProof/>
                <w:color w:val="000000"/>
                <w:sz w:val="18"/>
              </w:rPr>
              <w:t>9 679</w:t>
            </w:r>
          </w:p>
        </w:tc>
        <w:tc>
          <w:tcPr>
            <w:tcW w:w="1963" w:type="dxa"/>
            <w:tcBorders>
              <w:top w:val="nil"/>
              <w:left w:val="nil"/>
              <w:bottom w:val="nil"/>
              <w:right w:val="nil"/>
              <w:tl2br w:val="nil"/>
              <w:tr2bl w:val="nil"/>
            </w:tcBorders>
            <w:tcMar>
              <w:left w:w="60" w:type="dxa"/>
              <w:right w:w="60" w:type="dxa"/>
            </w:tcMar>
            <w:vAlign w:val="center"/>
          </w:tcPr>
          <w:p>
            <w:pPr>
              <w:pStyle w:val="DMETW36777BIPSPC"/>
              <w:jc w:val="right"/>
              <w:rPr>
                <w:rFonts w:ascii="Verdana" w:eastAsia="Verdana" w:hAnsi="Verdana" w:cs="Verdana"/>
                <w:i/>
                <w:noProof/>
                <w:color w:val="000000"/>
                <w:sz w:val="18"/>
              </w:rPr>
            </w:pPr>
            <w:r>
              <w:rPr>
                <w:rFonts w:ascii="Verdana" w:hAnsi="Verdana"/>
                <w:i/>
                <w:noProof/>
                <w:color w:val="000000"/>
                <w:sz w:val="18"/>
              </w:rPr>
              <w:t>9 070</w:t>
            </w:r>
          </w:p>
        </w:tc>
      </w:tr>
      <w:tr>
        <w:trPr>
          <w:trHeight w:val="255"/>
        </w:trPr>
        <w:tc>
          <w:tcPr>
            <w:tcW w:w="5832" w:type="dxa"/>
            <w:tcBorders>
              <w:top w:val="nil"/>
              <w:left w:val="nil"/>
              <w:bottom w:val="nil"/>
              <w:right w:val="nil"/>
              <w:tl2br w:val="nil"/>
              <w:tr2bl w:val="nil"/>
            </w:tcBorders>
            <w:tcMar>
              <w:left w:w="60" w:type="dxa"/>
              <w:right w:w="60" w:type="dxa"/>
            </w:tcMar>
            <w:vAlign w:val="center"/>
          </w:tcPr>
          <w:p>
            <w:pPr>
              <w:pStyle w:val="DMETW36777BIPSPC"/>
              <w:rPr>
                <w:rFonts w:ascii="Verdana" w:eastAsia="Verdana" w:hAnsi="Verdana" w:cs="Verdana"/>
                <w:i/>
                <w:noProof/>
                <w:color w:val="000000"/>
                <w:sz w:val="18"/>
              </w:rPr>
            </w:pPr>
            <w:r>
              <w:rPr>
                <w:rFonts w:ascii="Verdana" w:hAnsi="Verdana"/>
                <w:i/>
                <w:noProof/>
                <w:color w:val="000000"/>
                <w:sz w:val="18"/>
              </w:rPr>
              <w:t>Coûts des pensions</w:t>
            </w:r>
          </w:p>
        </w:tc>
        <w:tc>
          <w:tcPr>
            <w:tcW w:w="1963" w:type="dxa"/>
            <w:tcBorders>
              <w:top w:val="nil"/>
              <w:left w:val="nil"/>
              <w:bottom w:val="nil"/>
              <w:right w:val="nil"/>
              <w:tl2br w:val="nil"/>
              <w:tr2bl w:val="nil"/>
            </w:tcBorders>
            <w:tcMar>
              <w:left w:w="60" w:type="dxa"/>
              <w:right w:w="60" w:type="dxa"/>
            </w:tcMar>
            <w:vAlign w:val="center"/>
          </w:tcPr>
          <w:p>
            <w:pPr>
              <w:pStyle w:val="DMETW36777BIPSPC"/>
              <w:jc w:val="right"/>
              <w:rPr>
                <w:rFonts w:ascii="Verdana" w:eastAsia="Verdana" w:hAnsi="Verdana" w:cs="Verdana"/>
                <w:i/>
                <w:noProof/>
                <w:color w:val="000000"/>
                <w:sz w:val="18"/>
              </w:rPr>
            </w:pPr>
            <w:r>
              <w:rPr>
                <w:rFonts w:ascii="Verdana" w:hAnsi="Verdana"/>
                <w:i/>
                <w:noProof/>
                <w:color w:val="000000"/>
                <w:sz w:val="18"/>
              </w:rPr>
              <w:t>6 275</w:t>
            </w:r>
          </w:p>
        </w:tc>
        <w:tc>
          <w:tcPr>
            <w:tcW w:w="1963" w:type="dxa"/>
            <w:tcBorders>
              <w:top w:val="nil"/>
              <w:left w:val="nil"/>
              <w:bottom w:val="nil"/>
              <w:right w:val="nil"/>
              <w:tl2br w:val="nil"/>
              <w:tr2bl w:val="nil"/>
            </w:tcBorders>
            <w:tcMar>
              <w:left w:w="60" w:type="dxa"/>
              <w:right w:w="60" w:type="dxa"/>
            </w:tcMar>
            <w:vAlign w:val="center"/>
          </w:tcPr>
          <w:p>
            <w:pPr>
              <w:pStyle w:val="DMETW36777BIPSPC"/>
              <w:jc w:val="right"/>
              <w:rPr>
                <w:rFonts w:ascii="Verdana" w:eastAsia="Verdana" w:hAnsi="Verdana" w:cs="Verdana"/>
                <w:i/>
                <w:noProof/>
                <w:color w:val="000000"/>
                <w:sz w:val="18"/>
              </w:rPr>
            </w:pPr>
            <w:r>
              <w:rPr>
                <w:rFonts w:ascii="Verdana" w:hAnsi="Verdana"/>
                <w:i/>
                <w:noProof/>
                <w:color w:val="000000"/>
                <w:sz w:val="18"/>
              </w:rPr>
              <w:t>5 896</w:t>
            </w:r>
          </w:p>
        </w:tc>
      </w:tr>
      <w:tr>
        <w:trPr>
          <w:trHeight w:val="255"/>
        </w:trPr>
        <w:tc>
          <w:tcPr>
            <w:tcW w:w="5832" w:type="dxa"/>
            <w:tcBorders>
              <w:top w:val="nil"/>
              <w:left w:val="nil"/>
              <w:bottom w:val="nil"/>
              <w:right w:val="nil"/>
              <w:tl2br w:val="nil"/>
              <w:tr2bl w:val="nil"/>
            </w:tcBorders>
            <w:shd w:val="solid" w:color="CCE1EA" w:fill="FFFFFF"/>
            <w:tcMar>
              <w:left w:w="60" w:type="dxa"/>
              <w:right w:w="60" w:type="dxa"/>
            </w:tcMar>
            <w:vAlign w:val="center"/>
          </w:tcPr>
          <w:p>
            <w:pPr>
              <w:pStyle w:val="DMETW36777BIPSPC"/>
              <w:rPr>
                <w:rFonts w:ascii="Verdana" w:eastAsia="Verdana" w:hAnsi="Verdana" w:cs="Verdana"/>
                <w:b/>
                <w:noProof/>
                <w:color w:val="000000"/>
                <w:sz w:val="18"/>
              </w:rPr>
            </w:pPr>
            <w:r>
              <w:rPr>
                <w:rFonts w:ascii="Verdana" w:hAnsi="Verdana"/>
                <w:b/>
                <w:noProof/>
                <w:color w:val="000000"/>
                <w:sz w:val="18"/>
              </w:rPr>
              <w:t>Total</w:t>
            </w:r>
          </w:p>
        </w:tc>
        <w:tc>
          <w:tcPr>
            <w:tcW w:w="1963" w:type="dxa"/>
            <w:tcBorders>
              <w:top w:val="nil"/>
              <w:left w:val="nil"/>
              <w:bottom w:val="nil"/>
              <w:right w:val="nil"/>
              <w:tl2br w:val="nil"/>
              <w:tr2bl w:val="nil"/>
            </w:tcBorders>
            <w:shd w:val="solid" w:color="CCE1EA" w:fill="FFFFFF"/>
            <w:tcMar>
              <w:left w:w="60" w:type="dxa"/>
              <w:right w:w="60" w:type="dxa"/>
            </w:tcMar>
            <w:vAlign w:val="center"/>
          </w:tcPr>
          <w:p>
            <w:pPr>
              <w:pStyle w:val="DMETW36777BIPSPC"/>
              <w:jc w:val="right"/>
              <w:rPr>
                <w:rFonts w:ascii="Verdana" w:eastAsia="Verdana" w:hAnsi="Verdana" w:cs="Verdana"/>
                <w:b/>
                <w:noProof/>
                <w:color w:val="000000"/>
                <w:sz w:val="18"/>
              </w:rPr>
            </w:pPr>
            <w:r>
              <w:rPr>
                <w:rFonts w:ascii="Verdana" w:hAnsi="Verdana"/>
                <w:b/>
                <w:noProof/>
                <w:color w:val="000000"/>
                <w:sz w:val="18"/>
              </w:rPr>
              <w:t>15 954</w:t>
            </w:r>
          </w:p>
        </w:tc>
        <w:tc>
          <w:tcPr>
            <w:tcW w:w="1963" w:type="dxa"/>
            <w:tcBorders>
              <w:top w:val="nil"/>
              <w:left w:val="nil"/>
              <w:bottom w:val="nil"/>
              <w:right w:val="nil"/>
              <w:tl2br w:val="nil"/>
              <w:tr2bl w:val="nil"/>
            </w:tcBorders>
            <w:shd w:val="solid" w:color="CCE1EA" w:fill="FFFFFF"/>
            <w:tcMar>
              <w:left w:w="60" w:type="dxa"/>
              <w:right w:w="60" w:type="dxa"/>
            </w:tcMar>
            <w:vAlign w:val="center"/>
          </w:tcPr>
          <w:p>
            <w:pPr>
              <w:pStyle w:val="DMETW36777BIPSPC"/>
              <w:jc w:val="right"/>
              <w:rPr>
                <w:rFonts w:ascii="Verdana" w:eastAsia="Verdana" w:hAnsi="Verdana" w:cs="Verdana"/>
                <w:b/>
                <w:noProof/>
                <w:color w:val="000000"/>
                <w:sz w:val="18"/>
              </w:rPr>
            </w:pPr>
            <w:r>
              <w:rPr>
                <w:rFonts w:ascii="Verdana" w:hAnsi="Verdana"/>
                <w:b/>
                <w:noProof/>
                <w:color w:val="000000"/>
                <w:sz w:val="18"/>
              </w:rPr>
              <w:t>14 966</w:t>
            </w:r>
          </w:p>
        </w:tc>
      </w:tr>
    </w:tbl>
    <w:p>
      <w:pPr>
        <w:pStyle w:val="DGTextstand-alone"/>
        <w:spacing w:after="0"/>
        <w:sectPr>
          <w:headerReference w:type="default" r:id="rId119"/>
          <w:footerReference w:type="default" r:id="rId120"/>
          <w:type w:val="continuous"/>
          <w:pgSz w:w="11906" w:h="16838"/>
          <w:pgMar w:top="1134" w:right="1134" w:bottom="1134" w:left="1134" w:header="709" w:footer="709" w:gutter="0"/>
          <w:cols w:space="708"/>
          <w:docGrid w:linePitch="360"/>
        </w:sectPr>
      </w:pPr>
      <w:r>
        <w:t xml:space="preserve">Les coûts liés aux pensions sont des éléments des variations qui sont apparues à la suite de l’évaluation actuarielle du passif lié aux avantages du personnel autres que celles comptabilisées dans les actifs nets. En conséquence, ils ne représentent pas les paiements effectifs au titre des pensions pour l’exercice, qui sont nettement inférieurs et s’établissent à 2,8 milliards d’EUR. </w:t>
      </w:r>
      <w:bookmarkEnd w:id="189"/>
    </w:p>
    <w:p>
      <w:pPr>
        <w:pStyle w:val="HEADER2NOTES"/>
        <w:numPr>
          <w:ilvl w:val="1"/>
          <w:numId w:val="15"/>
        </w:numPr>
        <w:rPr>
          <w:noProof/>
        </w:rPr>
      </w:pPr>
      <w:bookmarkStart w:id="191" w:name="_DMBM_36677"/>
      <w:r>
        <w:rPr>
          <w:noProof/>
        </w:rPr>
        <w:t>CHARGES FINANCIÈRES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06"/>
        <w:gridCol w:w="1626"/>
        <w:gridCol w:w="1626"/>
      </w:tblGrid>
      <w:tr>
        <w:trPr>
          <w:trHeight w:hRule="exact" w:val="255"/>
        </w:trPr>
        <w:tc>
          <w:tcPr>
            <w:tcW w:w="6506" w:type="dxa"/>
            <w:tcBorders>
              <w:top w:val="nil"/>
              <w:left w:val="nil"/>
              <w:bottom w:val="nil"/>
              <w:right w:val="nil"/>
              <w:tl2br w:val="nil"/>
              <w:tr2bl w:val="nil"/>
            </w:tcBorders>
            <w:shd w:val="solid" w:color="FFFFFF" w:fill="FFFFFF"/>
            <w:tcMar>
              <w:left w:w="60" w:type="dxa"/>
              <w:right w:w="60" w:type="dxa"/>
            </w:tcMar>
            <w:vAlign w:val="bottom"/>
          </w:tcPr>
          <w:p>
            <w:pPr>
              <w:pStyle w:val="DMETW36760BIPFINEXP"/>
              <w:rPr>
                <w:rFonts w:ascii="Arial" w:eastAsia="Arial" w:hAnsi="Arial" w:cs="Arial"/>
                <w:noProof/>
                <w:color w:val="000000"/>
              </w:rPr>
            </w:pPr>
            <w:bookmarkStart w:id="192" w:name="DOC_TBL00074_1_1"/>
            <w:bookmarkEnd w:id="192"/>
          </w:p>
        </w:tc>
        <w:tc>
          <w:tcPr>
            <w:tcW w:w="1626" w:type="dxa"/>
            <w:tcBorders>
              <w:top w:val="nil"/>
              <w:left w:val="nil"/>
              <w:bottom w:val="nil"/>
              <w:right w:val="nil"/>
              <w:tl2br w:val="nil"/>
              <w:tr2bl w:val="nil"/>
            </w:tcBorders>
            <w:shd w:val="solid" w:color="FFFFFF" w:fill="FFFFFF"/>
            <w:tcMar>
              <w:left w:w="60" w:type="dxa"/>
              <w:right w:w="60" w:type="dxa"/>
            </w:tcMar>
            <w:vAlign w:val="bottom"/>
          </w:tcPr>
          <w:p>
            <w:pPr>
              <w:pStyle w:val="DMETW36760BIPFINEXP"/>
              <w:rPr>
                <w:rFonts w:ascii="Arial" w:eastAsia="Arial" w:hAnsi="Arial" w:cs="Arial"/>
                <w:noProof/>
                <w:color w:val="000000"/>
              </w:rPr>
            </w:pPr>
          </w:p>
        </w:tc>
        <w:tc>
          <w:tcPr>
            <w:tcW w:w="1626" w:type="dxa"/>
            <w:tcBorders>
              <w:top w:val="nil"/>
              <w:left w:val="nil"/>
              <w:bottom w:val="nil"/>
              <w:right w:val="nil"/>
              <w:tl2br w:val="nil"/>
              <w:tr2bl w:val="nil"/>
            </w:tcBorders>
            <w:shd w:val="solid" w:color="FFFFFF" w:fill="FFFFFF"/>
            <w:tcMar>
              <w:left w:w="60" w:type="dxa"/>
              <w:right w:w="60" w:type="dxa"/>
            </w:tcMar>
            <w:vAlign w:val="bottom"/>
          </w:tcPr>
          <w:p>
            <w:pPr>
              <w:pStyle w:val="DMETW36760BIPFINEXP"/>
              <w:jc w:val="right"/>
              <w:rPr>
                <w:rFonts w:ascii="Verdana" w:eastAsia="Verdana" w:hAnsi="Verdana" w:cs="Verdana"/>
                <w:i/>
                <w:noProof/>
                <w:color w:val="000000"/>
                <w:sz w:val="16"/>
              </w:rPr>
            </w:pPr>
            <w:r>
              <w:rPr>
                <w:rFonts w:ascii="Verdana" w:hAnsi="Verdana"/>
                <w:i/>
                <w:noProof/>
                <w:color w:val="000000"/>
                <w:sz w:val="16"/>
              </w:rPr>
              <w:t>en Mio EUR</w:t>
            </w:r>
          </w:p>
        </w:tc>
      </w:tr>
      <w:tr>
        <w:trPr>
          <w:trHeight w:hRule="exact" w:val="255"/>
        </w:trPr>
        <w:tc>
          <w:tcPr>
            <w:tcW w:w="6506" w:type="dxa"/>
            <w:tcBorders>
              <w:top w:val="nil"/>
              <w:left w:val="nil"/>
              <w:bottom w:val="nil"/>
              <w:right w:val="nil"/>
              <w:tl2br w:val="nil"/>
              <w:tr2bl w:val="nil"/>
            </w:tcBorders>
            <w:shd w:val="solid" w:color="016794" w:fill="FFFFFF"/>
            <w:tcMar>
              <w:left w:w="60" w:type="dxa"/>
              <w:right w:w="60" w:type="dxa"/>
            </w:tcMar>
            <w:vAlign w:val="center"/>
          </w:tcPr>
          <w:p>
            <w:pPr>
              <w:pStyle w:val="DMETW36760BIPFINEXP"/>
              <w:jc w:val="right"/>
              <w:rPr>
                <w:rFonts w:ascii="Verdana" w:eastAsia="Verdana" w:hAnsi="Verdana" w:cs="Verdana"/>
                <w:noProof/>
                <w:color w:val="FFFFFF"/>
                <w:sz w:val="18"/>
              </w:rPr>
            </w:pPr>
          </w:p>
        </w:tc>
        <w:tc>
          <w:tcPr>
            <w:tcW w:w="1626" w:type="dxa"/>
            <w:tcBorders>
              <w:top w:val="nil"/>
              <w:left w:val="nil"/>
              <w:bottom w:val="nil"/>
              <w:right w:val="nil"/>
              <w:tl2br w:val="nil"/>
              <w:tr2bl w:val="nil"/>
            </w:tcBorders>
            <w:shd w:val="solid" w:color="016794" w:fill="FFFFFF"/>
            <w:tcMar>
              <w:left w:w="60" w:type="dxa"/>
              <w:right w:w="60" w:type="dxa"/>
            </w:tcMar>
            <w:vAlign w:val="center"/>
          </w:tcPr>
          <w:p>
            <w:pPr>
              <w:pStyle w:val="DMETW36760BIPFINEXP"/>
              <w:jc w:val="right"/>
              <w:rPr>
                <w:rFonts w:ascii="Verdana" w:eastAsia="Verdana" w:hAnsi="Verdana" w:cs="Verdana"/>
                <w:noProof/>
                <w:color w:val="FFFFFF"/>
              </w:rPr>
            </w:pPr>
            <w:r>
              <w:rPr>
                <w:rFonts w:ascii="Verdana" w:hAnsi="Verdana"/>
                <w:noProof/>
                <w:color w:val="FFFFFF"/>
              </w:rPr>
              <w:t>2025</w:t>
            </w:r>
          </w:p>
        </w:tc>
        <w:tc>
          <w:tcPr>
            <w:tcW w:w="1626" w:type="dxa"/>
            <w:tcBorders>
              <w:top w:val="nil"/>
              <w:left w:val="nil"/>
              <w:bottom w:val="nil"/>
              <w:right w:val="nil"/>
              <w:tl2br w:val="nil"/>
              <w:tr2bl w:val="nil"/>
            </w:tcBorders>
            <w:shd w:val="solid" w:color="016794" w:fill="FFFFFF"/>
            <w:tcMar>
              <w:left w:w="60" w:type="dxa"/>
              <w:right w:w="60" w:type="dxa"/>
            </w:tcMar>
            <w:vAlign w:val="center"/>
          </w:tcPr>
          <w:p>
            <w:pPr>
              <w:pStyle w:val="DMETW36760BIPFINEXP"/>
              <w:jc w:val="right"/>
              <w:rPr>
                <w:rFonts w:ascii="Verdana" w:eastAsia="Verdana" w:hAnsi="Verdana" w:cs="Verdana"/>
                <w:noProof/>
                <w:color w:val="FFFFFF"/>
              </w:rPr>
            </w:pPr>
            <w:r>
              <w:rPr>
                <w:rFonts w:ascii="Verdana" w:hAnsi="Verdana"/>
                <w:noProof/>
                <w:color w:val="FFFFFF"/>
              </w:rPr>
              <w:t>2024</w:t>
            </w:r>
          </w:p>
        </w:tc>
      </w:tr>
      <w:tr>
        <w:trPr>
          <w:trHeight w:hRule="exact" w:val="255"/>
        </w:trPr>
        <w:tc>
          <w:tcPr>
            <w:tcW w:w="6506" w:type="dxa"/>
            <w:tcBorders>
              <w:top w:val="nil"/>
              <w:left w:val="nil"/>
              <w:bottom w:val="nil"/>
              <w:right w:val="nil"/>
              <w:tl2br w:val="nil"/>
              <w:tr2bl w:val="nil"/>
            </w:tcBorders>
            <w:shd w:val="solid" w:color="FFFFFF" w:fill="FFFFFF"/>
            <w:tcMar>
              <w:left w:w="60" w:type="dxa"/>
              <w:right w:w="60" w:type="dxa"/>
            </w:tcMar>
            <w:vAlign w:val="center"/>
          </w:tcPr>
          <w:p>
            <w:pPr>
              <w:pStyle w:val="DMETW36760BIPFINEXP"/>
              <w:rPr>
                <w:rFonts w:ascii="Verdana" w:eastAsia="Verdana" w:hAnsi="Verdana" w:cs="Verdana"/>
                <w:i/>
                <w:noProof/>
                <w:color w:val="000000"/>
                <w:sz w:val="18"/>
              </w:rPr>
            </w:pPr>
            <w:r>
              <w:rPr>
                <w:rFonts w:ascii="Verdana" w:hAnsi="Verdana"/>
                <w:i/>
                <w:noProof/>
                <w:color w:val="000000"/>
                <w:sz w:val="18"/>
              </w:rPr>
              <w:t>Charges d’intérêts:</w:t>
            </w:r>
          </w:p>
        </w:tc>
        <w:tc>
          <w:tcPr>
            <w:tcW w:w="1626" w:type="dxa"/>
            <w:tcBorders>
              <w:top w:val="nil"/>
              <w:left w:val="nil"/>
              <w:bottom w:val="nil"/>
              <w:right w:val="nil"/>
              <w:tl2br w:val="nil"/>
              <w:tr2bl w:val="nil"/>
            </w:tcBorders>
            <w:shd w:val="solid" w:color="FFFFFF" w:fill="FFFFFF"/>
            <w:tcMar>
              <w:left w:w="60" w:type="dxa"/>
              <w:right w:w="60" w:type="dxa"/>
            </w:tcMar>
            <w:vAlign w:val="center"/>
          </w:tcPr>
          <w:p>
            <w:pPr>
              <w:pStyle w:val="DMETW36760BIPFINEXP"/>
              <w:jc w:val="right"/>
              <w:rPr>
                <w:rFonts w:ascii="Verdana" w:eastAsia="Verdana" w:hAnsi="Verdana" w:cs="Verdana"/>
                <w:i/>
                <w:noProof/>
                <w:color w:val="000000"/>
                <w:sz w:val="18"/>
              </w:rPr>
            </w:pPr>
          </w:p>
        </w:tc>
        <w:tc>
          <w:tcPr>
            <w:tcW w:w="1626" w:type="dxa"/>
            <w:tcBorders>
              <w:top w:val="nil"/>
              <w:left w:val="nil"/>
              <w:bottom w:val="nil"/>
              <w:right w:val="nil"/>
              <w:tl2br w:val="nil"/>
              <w:tr2bl w:val="nil"/>
            </w:tcBorders>
            <w:shd w:val="solid" w:color="FFFFFF" w:fill="FFFFFF"/>
            <w:tcMar>
              <w:left w:w="60" w:type="dxa"/>
              <w:right w:w="60" w:type="dxa"/>
            </w:tcMar>
            <w:vAlign w:val="center"/>
          </w:tcPr>
          <w:p>
            <w:pPr>
              <w:pStyle w:val="DMETW36760BIPFINEXP"/>
              <w:jc w:val="right"/>
              <w:rPr>
                <w:rFonts w:ascii="Verdana" w:eastAsia="Verdana" w:hAnsi="Verdana" w:cs="Verdana"/>
                <w:i/>
                <w:noProof/>
                <w:color w:val="000000"/>
                <w:sz w:val="18"/>
                <w:lang w:bidi="en-GB"/>
              </w:rPr>
            </w:pPr>
          </w:p>
        </w:tc>
      </w:tr>
      <w:tr>
        <w:trPr>
          <w:trHeight w:hRule="exact" w:val="255"/>
        </w:trPr>
        <w:tc>
          <w:tcPr>
            <w:tcW w:w="6506" w:type="dxa"/>
            <w:tcBorders>
              <w:top w:val="nil"/>
              <w:left w:val="nil"/>
              <w:bottom w:val="nil"/>
              <w:right w:val="nil"/>
              <w:tl2br w:val="nil"/>
              <w:tr2bl w:val="nil"/>
            </w:tcBorders>
            <w:shd w:val="solid" w:color="FFFFFF" w:fill="FFFFFF"/>
            <w:tcMar>
              <w:left w:w="60" w:type="dxa"/>
              <w:right w:w="60" w:type="dxa"/>
            </w:tcMar>
            <w:vAlign w:val="center"/>
          </w:tcPr>
          <w:p>
            <w:pPr>
              <w:pStyle w:val="DMETW36760BIPFINEXP"/>
              <w:rPr>
                <w:rFonts w:ascii="Verdana" w:eastAsia="Verdana" w:hAnsi="Verdana" w:cs="Verdana"/>
                <w:i/>
                <w:noProof/>
                <w:color w:val="000000"/>
                <w:sz w:val="18"/>
              </w:rPr>
            </w:pPr>
            <w:r>
              <w:rPr>
                <w:rFonts w:ascii="Verdana" w:hAnsi="Verdana"/>
                <w:i/>
                <w:noProof/>
                <w:color w:val="000000"/>
                <w:sz w:val="18"/>
              </w:rPr>
              <w:t xml:space="preserve">     Emprunts</w:t>
            </w:r>
          </w:p>
        </w:tc>
        <w:tc>
          <w:tcPr>
            <w:tcW w:w="1626" w:type="dxa"/>
            <w:tcBorders>
              <w:top w:val="nil"/>
              <w:left w:val="nil"/>
              <w:bottom w:val="nil"/>
              <w:right w:val="nil"/>
              <w:tl2br w:val="nil"/>
              <w:tr2bl w:val="nil"/>
            </w:tcBorders>
            <w:tcMar>
              <w:left w:w="60" w:type="dxa"/>
              <w:right w:w="60" w:type="dxa"/>
            </w:tcMar>
            <w:vAlign w:val="bottom"/>
          </w:tcPr>
          <w:p>
            <w:pPr>
              <w:pStyle w:val="DMETW36760BIPFINEXP"/>
              <w:jc w:val="right"/>
              <w:rPr>
                <w:rFonts w:ascii="Verdana" w:eastAsia="Verdana" w:hAnsi="Verdana" w:cs="Verdana"/>
                <w:i/>
                <w:noProof/>
                <w:color w:val="000000"/>
                <w:sz w:val="18"/>
              </w:rPr>
            </w:pPr>
            <w:r>
              <w:rPr>
                <w:rFonts w:ascii="Verdana" w:hAnsi="Verdana"/>
                <w:i/>
                <w:noProof/>
                <w:color w:val="000000"/>
                <w:sz w:val="18"/>
              </w:rPr>
              <w:t>14 037</w:t>
            </w:r>
          </w:p>
        </w:tc>
        <w:tc>
          <w:tcPr>
            <w:tcW w:w="1626" w:type="dxa"/>
            <w:tcBorders>
              <w:top w:val="nil"/>
              <w:left w:val="nil"/>
              <w:bottom w:val="nil"/>
              <w:right w:val="nil"/>
              <w:tl2br w:val="nil"/>
              <w:tr2bl w:val="nil"/>
            </w:tcBorders>
            <w:tcMar>
              <w:left w:w="60" w:type="dxa"/>
              <w:right w:w="60" w:type="dxa"/>
            </w:tcMar>
            <w:vAlign w:val="bottom"/>
          </w:tcPr>
          <w:p>
            <w:pPr>
              <w:pStyle w:val="DMETW36760BIPFINEXP"/>
              <w:jc w:val="right"/>
              <w:rPr>
                <w:rFonts w:ascii="Verdana" w:eastAsia="Verdana" w:hAnsi="Verdana" w:cs="Verdana"/>
                <w:i/>
                <w:noProof/>
                <w:color w:val="000000"/>
                <w:sz w:val="18"/>
              </w:rPr>
            </w:pPr>
            <w:r>
              <w:rPr>
                <w:rFonts w:ascii="Verdana" w:hAnsi="Verdana"/>
                <w:i/>
                <w:noProof/>
                <w:color w:val="000000"/>
                <w:sz w:val="18"/>
              </w:rPr>
              <w:t>9 780</w:t>
            </w:r>
          </w:p>
        </w:tc>
      </w:tr>
      <w:tr>
        <w:trPr>
          <w:trHeight w:hRule="exact" w:val="255"/>
        </w:trPr>
        <w:tc>
          <w:tcPr>
            <w:tcW w:w="6506" w:type="dxa"/>
            <w:tcBorders>
              <w:top w:val="nil"/>
              <w:left w:val="nil"/>
              <w:bottom w:val="nil"/>
              <w:right w:val="nil"/>
              <w:tl2br w:val="nil"/>
              <w:tr2bl w:val="nil"/>
            </w:tcBorders>
            <w:shd w:val="solid" w:color="FFFFFF" w:fill="FFFFFF"/>
            <w:tcMar>
              <w:left w:w="60" w:type="dxa"/>
              <w:right w:w="60" w:type="dxa"/>
            </w:tcMar>
            <w:vAlign w:val="center"/>
          </w:tcPr>
          <w:p>
            <w:pPr>
              <w:pStyle w:val="DMETW36760BIPFINEXP"/>
              <w:rPr>
                <w:rFonts w:ascii="Verdana" w:eastAsia="Verdana" w:hAnsi="Verdana" w:cs="Verdana"/>
                <w:i/>
                <w:noProof/>
                <w:color w:val="000000"/>
                <w:sz w:val="18"/>
              </w:rPr>
            </w:pPr>
            <w:r>
              <w:rPr>
                <w:rFonts w:ascii="Verdana" w:hAnsi="Verdana"/>
                <w:i/>
                <w:noProof/>
                <w:color w:val="000000"/>
                <w:sz w:val="18"/>
              </w:rPr>
              <w:t xml:space="preserve">     Prêts</w:t>
            </w:r>
          </w:p>
        </w:tc>
        <w:tc>
          <w:tcPr>
            <w:tcW w:w="1626" w:type="dxa"/>
            <w:tcBorders>
              <w:top w:val="nil"/>
              <w:left w:val="nil"/>
              <w:bottom w:val="nil"/>
              <w:right w:val="nil"/>
              <w:tl2br w:val="nil"/>
              <w:tr2bl w:val="nil"/>
            </w:tcBorders>
            <w:tcMar>
              <w:left w:w="60" w:type="dxa"/>
              <w:right w:w="60" w:type="dxa"/>
            </w:tcMar>
            <w:vAlign w:val="bottom"/>
          </w:tcPr>
          <w:p>
            <w:pPr>
              <w:pStyle w:val="DMETW36760BIPFINEXP"/>
              <w:jc w:val="right"/>
              <w:rPr>
                <w:rFonts w:ascii="Verdana" w:eastAsia="Verdana" w:hAnsi="Verdana" w:cs="Verdana"/>
                <w:i/>
                <w:noProof/>
                <w:color w:val="000000"/>
                <w:sz w:val="18"/>
              </w:rPr>
            </w:pPr>
            <w:r>
              <w:rPr>
                <w:rFonts w:ascii="Verdana" w:hAnsi="Verdana"/>
                <w:i/>
                <w:noProof/>
                <w:color w:val="000000"/>
                <w:sz w:val="18"/>
              </w:rPr>
              <w:t xml:space="preserve"> 148</w:t>
            </w:r>
          </w:p>
        </w:tc>
        <w:tc>
          <w:tcPr>
            <w:tcW w:w="1626" w:type="dxa"/>
            <w:tcBorders>
              <w:top w:val="nil"/>
              <w:left w:val="nil"/>
              <w:bottom w:val="nil"/>
              <w:right w:val="nil"/>
              <w:tl2br w:val="nil"/>
              <w:tr2bl w:val="nil"/>
            </w:tcBorders>
            <w:tcMar>
              <w:left w:w="60" w:type="dxa"/>
              <w:right w:w="60" w:type="dxa"/>
            </w:tcMar>
            <w:vAlign w:val="bottom"/>
          </w:tcPr>
          <w:p>
            <w:pPr>
              <w:pStyle w:val="DMETW36760BIPFINEXP"/>
              <w:jc w:val="right"/>
              <w:rPr>
                <w:rFonts w:ascii="Verdana" w:eastAsia="Verdana" w:hAnsi="Verdana" w:cs="Verdana"/>
                <w:i/>
                <w:noProof/>
                <w:color w:val="000000"/>
                <w:sz w:val="18"/>
              </w:rPr>
            </w:pPr>
            <w:r>
              <w:rPr>
                <w:rFonts w:ascii="Verdana" w:hAnsi="Verdana"/>
                <w:i/>
                <w:noProof/>
                <w:color w:val="000000"/>
                <w:sz w:val="18"/>
              </w:rPr>
              <w:t xml:space="preserve"> 159</w:t>
            </w:r>
          </w:p>
        </w:tc>
      </w:tr>
      <w:tr>
        <w:trPr>
          <w:trHeight w:hRule="exact" w:val="255"/>
        </w:trPr>
        <w:tc>
          <w:tcPr>
            <w:tcW w:w="6506" w:type="dxa"/>
            <w:tcBorders>
              <w:top w:val="nil"/>
              <w:left w:val="nil"/>
              <w:bottom w:val="nil"/>
              <w:right w:val="nil"/>
              <w:tl2br w:val="nil"/>
              <w:tr2bl w:val="nil"/>
            </w:tcBorders>
            <w:shd w:val="solid" w:color="FFFFFF" w:fill="FFFFFF"/>
            <w:tcMar>
              <w:left w:w="60" w:type="dxa"/>
              <w:right w:w="60" w:type="dxa"/>
            </w:tcMar>
            <w:vAlign w:val="center"/>
          </w:tcPr>
          <w:p>
            <w:pPr>
              <w:pStyle w:val="DMETW36760BIPFINEXP"/>
              <w:rPr>
                <w:rFonts w:ascii="Verdana" w:eastAsia="Verdana" w:hAnsi="Verdana" w:cs="Verdana"/>
                <w:i/>
                <w:noProof/>
                <w:color w:val="000000"/>
                <w:sz w:val="18"/>
              </w:rPr>
            </w:pPr>
            <w:r>
              <w:rPr>
                <w:rFonts w:ascii="Verdana" w:hAnsi="Verdana"/>
                <w:i/>
                <w:noProof/>
                <w:color w:val="000000"/>
                <w:sz w:val="18"/>
              </w:rPr>
              <w:t xml:space="preserve">     Contrats de location-financement</w:t>
            </w:r>
          </w:p>
        </w:tc>
        <w:tc>
          <w:tcPr>
            <w:tcW w:w="1626" w:type="dxa"/>
            <w:tcBorders>
              <w:top w:val="nil"/>
              <w:left w:val="nil"/>
              <w:bottom w:val="nil"/>
              <w:right w:val="nil"/>
              <w:tl2br w:val="nil"/>
              <w:tr2bl w:val="nil"/>
            </w:tcBorders>
            <w:tcMar>
              <w:left w:w="60" w:type="dxa"/>
              <w:right w:w="60" w:type="dxa"/>
            </w:tcMar>
            <w:vAlign w:val="bottom"/>
          </w:tcPr>
          <w:p>
            <w:pPr>
              <w:pStyle w:val="DMETW36760BIPFINEXP"/>
              <w:jc w:val="right"/>
              <w:rPr>
                <w:rFonts w:ascii="Verdana" w:eastAsia="Verdana" w:hAnsi="Verdana" w:cs="Verdana"/>
                <w:i/>
                <w:noProof/>
                <w:color w:val="000000"/>
                <w:sz w:val="18"/>
              </w:rPr>
            </w:pPr>
            <w:r>
              <w:rPr>
                <w:rFonts w:ascii="Verdana" w:hAnsi="Verdana"/>
                <w:i/>
                <w:noProof/>
                <w:color w:val="000000"/>
                <w:sz w:val="18"/>
              </w:rPr>
              <w:t xml:space="preserve"> 26</w:t>
            </w:r>
          </w:p>
        </w:tc>
        <w:tc>
          <w:tcPr>
            <w:tcW w:w="1626" w:type="dxa"/>
            <w:tcBorders>
              <w:top w:val="nil"/>
              <w:left w:val="nil"/>
              <w:bottom w:val="nil"/>
              <w:right w:val="nil"/>
              <w:tl2br w:val="nil"/>
              <w:tr2bl w:val="nil"/>
            </w:tcBorders>
            <w:tcMar>
              <w:left w:w="60" w:type="dxa"/>
              <w:right w:w="60" w:type="dxa"/>
            </w:tcMar>
            <w:vAlign w:val="bottom"/>
          </w:tcPr>
          <w:p>
            <w:pPr>
              <w:pStyle w:val="DMETW36760BIPFINEXP"/>
              <w:jc w:val="right"/>
              <w:rPr>
                <w:rFonts w:ascii="Verdana" w:eastAsia="Verdana" w:hAnsi="Verdana" w:cs="Verdana"/>
                <w:i/>
                <w:noProof/>
                <w:color w:val="000000"/>
                <w:sz w:val="18"/>
              </w:rPr>
            </w:pPr>
            <w:r>
              <w:rPr>
                <w:rFonts w:ascii="Verdana" w:hAnsi="Verdana"/>
                <w:i/>
                <w:noProof/>
                <w:color w:val="000000"/>
                <w:sz w:val="18"/>
              </w:rPr>
              <w:t xml:space="preserve"> 31</w:t>
            </w:r>
          </w:p>
        </w:tc>
      </w:tr>
      <w:tr>
        <w:trPr>
          <w:trHeight w:hRule="exact" w:val="255"/>
        </w:trPr>
        <w:tc>
          <w:tcPr>
            <w:tcW w:w="6506" w:type="dxa"/>
            <w:tcBorders>
              <w:top w:val="nil"/>
              <w:left w:val="nil"/>
              <w:bottom w:val="nil"/>
              <w:right w:val="nil"/>
              <w:tl2br w:val="nil"/>
              <w:tr2bl w:val="nil"/>
            </w:tcBorders>
            <w:shd w:val="solid" w:color="FFFFFF" w:fill="FFFFFF"/>
            <w:tcMar>
              <w:left w:w="60" w:type="dxa"/>
              <w:right w:w="60" w:type="dxa"/>
            </w:tcMar>
            <w:vAlign w:val="center"/>
          </w:tcPr>
          <w:p>
            <w:pPr>
              <w:pStyle w:val="DMETW36760BIPFINEXP"/>
              <w:rPr>
                <w:rFonts w:ascii="Verdana" w:eastAsia="Verdana" w:hAnsi="Verdana" w:cs="Verdana"/>
                <w:i/>
                <w:noProof/>
                <w:color w:val="000000"/>
                <w:sz w:val="18"/>
              </w:rPr>
            </w:pPr>
            <w:r>
              <w:rPr>
                <w:rFonts w:ascii="Verdana" w:hAnsi="Verdana"/>
                <w:i/>
                <w:noProof/>
                <w:color w:val="000000"/>
                <w:sz w:val="18"/>
              </w:rPr>
              <w:t xml:space="preserve">     Autres</w:t>
            </w:r>
          </w:p>
        </w:tc>
        <w:tc>
          <w:tcPr>
            <w:tcW w:w="1626" w:type="dxa"/>
            <w:tcBorders>
              <w:top w:val="nil"/>
              <w:left w:val="nil"/>
              <w:bottom w:val="nil"/>
              <w:right w:val="nil"/>
              <w:tl2br w:val="nil"/>
              <w:tr2bl w:val="nil"/>
            </w:tcBorders>
            <w:shd w:val="solid" w:color="FFFFFF" w:fill="FFFFFF"/>
            <w:tcMar>
              <w:left w:w="60" w:type="dxa"/>
              <w:right w:w="60" w:type="dxa"/>
            </w:tcMar>
            <w:vAlign w:val="center"/>
          </w:tcPr>
          <w:p>
            <w:pPr>
              <w:pStyle w:val="DMETW36760BIPFINEXP"/>
              <w:jc w:val="right"/>
              <w:rPr>
                <w:rFonts w:ascii="Verdana" w:eastAsia="Verdana" w:hAnsi="Verdana" w:cs="Verdana"/>
                <w:i/>
                <w:noProof/>
                <w:color w:val="000000"/>
                <w:sz w:val="18"/>
              </w:rPr>
            </w:pPr>
            <w:r>
              <w:rPr>
                <w:rFonts w:ascii="Verdana" w:hAnsi="Verdana"/>
                <w:i/>
                <w:noProof/>
                <w:color w:val="000000"/>
                <w:sz w:val="18"/>
              </w:rPr>
              <w:t xml:space="preserve"> 42</w:t>
            </w:r>
          </w:p>
        </w:tc>
        <w:tc>
          <w:tcPr>
            <w:tcW w:w="1626" w:type="dxa"/>
            <w:tcBorders>
              <w:top w:val="nil"/>
              <w:left w:val="nil"/>
              <w:bottom w:val="nil"/>
              <w:right w:val="nil"/>
              <w:tl2br w:val="nil"/>
              <w:tr2bl w:val="nil"/>
            </w:tcBorders>
            <w:tcMar>
              <w:left w:w="60" w:type="dxa"/>
              <w:right w:w="60" w:type="dxa"/>
            </w:tcMar>
            <w:vAlign w:val="center"/>
          </w:tcPr>
          <w:p>
            <w:pPr>
              <w:pStyle w:val="DMETW36760BIPFINEXP"/>
              <w:jc w:val="right"/>
              <w:rPr>
                <w:rFonts w:ascii="Verdana" w:eastAsia="Verdana" w:hAnsi="Verdana" w:cs="Verdana"/>
                <w:i/>
                <w:noProof/>
                <w:color w:val="000000"/>
                <w:sz w:val="18"/>
              </w:rPr>
            </w:pPr>
            <w:r>
              <w:rPr>
                <w:rFonts w:ascii="Verdana" w:hAnsi="Verdana"/>
                <w:i/>
                <w:noProof/>
                <w:color w:val="000000"/>
                <w:sz w:val="18"/>
              </w:rPr>
              <w:t xml:space="preserve"> 32</w:t>
            </w:r>
          </w:p>
        </w:tc>
      </w:tr>
      <w:tr>
        <w:trPr>
          <w:trHeight w:hRule="exact" w:val="255"/>
        </w:trPr>
        <w:tc>
          <w:tcPr>
            <w:tcW w:w="6506" w:type="dxa"/>
            <w:tcBorders>
              <w:top w:val="nil"/>
              <w:left w:val="nil"/>
              <w:bottom w:val="nil"/>
              <w:right w:val="nil"/>
              <w:tl2br w:val="nil"/>
              <w:tr2bl w:val="nil"/>
            </w:tcBorders>
            <w:shd w:val="solid" w:color="FFFFFF" w:fill="FFFFFF"/>
            <w:tcMar>
              <w:left w:w="60" w:type="dxa"/>
              <w:right w:w="60" w:type="dxa"/>
            </w:tcMar>
            <w:vAlign w:val="center"/>
          </w:tcPr>
          <w:p>
            <w:pPr>
              <w:pStyle w:val="DMETW36760BIPFINEXP"/>
              <w:rPr>
                <w:rFonts w:ascii="Verdana" w:eastAsia="Verdana" w:hAnsi="Verdana" w:cs="Verdana"/>
                <w:i/>
                <w:noProof/>
                <w:color w:val="000000"/>
                <w:sz w:val="18"/>
              </w:rPr>
            </w:pPr>
            <w:r>
              <w:rPr>
                <w:rFonts w:ascii="Verdana" w:hAnsi="Verdana"/>
                <w:i/>
                <w:noProof/>
                <w:color w:val="000000"/>
                <w:sz w:val="18"/>
              </w:rPr>
              <w:t>CGF — rémunération subventionnée</w:t>
            </w:r>
          </w:p>
        </w:tc>
        <w:tc>
          <w:tcPr>
            <w:tcW w:w="1626" w:type="dxa"/>
            <w:tcBorders>
              <w:top w:val="nil"/>
              <w:left w:val="nil"/>
              <w:bottom w:val="nil"/>
              <w:right w:val="nil"/>
              <w:tl2br w:val="nil"/>
              <w:tr2bl w:val="nil"/>
            </w:tcBorders>
            <w:tcMar>
              <w:left w:w="60" w:type="dxa"/>
              <w:right w:w="60" w:type="dxa"/>
            </w:tcMar>
            <w:vAlign w:val="bottom"/>
          </w:tcPr>
          <w:p>
            <w:pPr>
              <w:pStyle w:val="DMETW36760BIPFINEXP"/>
              <w:jc w:val="right"/>
              <w:rPr>
                <w:rFonts w:ascii="Verdana" w:eastAsia="Verdana" w:hAnsi="Verdana" w:cs="Verdana"/>
                <w:i/>
                <w:noProof/>
                <w:color w:val="000000"/>
                <w:sz w:val="18"/>
              </w:rPr>
            </w:pPr>
            <w:r>
              <w:rPr>
                <w:rFonts w:ascii="Verdana" w:hAnsi="Verdana"/>
                <w:i/>
                <w:noProof/>
                <w:color w:val="000000"/>
                <w:sz w:val="18"/>
              </w:rPr>
              <w:t>1 942</w:t>
            </w:r>
          </w:p>
        </w:tc>
        <w:tc>
          <w:tcPr>
            <w:tcW w:w="1626" w:type="dxa"/>
            <w:tcBorders>
              <w:top w:val="nil"/>
              <w:left w:val="nil"/>
              <w:bottom w:val="nil"/>
              <w:right w:val="nil"/>
              <w:tl2br w:val="nil"/>
              <w:tr2bl w:val="nil"/>
            </w:tcBorders>
            <w:tcMar>
              <w:left w:w="60" w:type="dxa"/>
              <w:right w:w="60" w:type="dxa"/>
            </w:tcMar>
            <w:vAlign w:val="bottom"/>
          </w:tcPr>
          <w:p>
            <w:pPr>
              <w:pStyle w:val="DMETW36760BIPFINEXP"/>
              <w:jc w:val="right"/>
              <w:rPr>
                <w:rFonts w:ascii="Verdana" w:eastAsia="Verdana" w:hAnsi="Verdana" w:cs="Verdana"/>
                <w:i/>
                <w:noProof/>
                <w:color w:val="000000"/>
                <w:sz w:val="18"/>
              </w:rPr>
            </w:pPr>
            <w:r>
              <w:rPr>
                <w:rFonts w:ascii="Verdana" w:hAnsi="Verdana"/>
                <w:i/>
                <w:noProof/>
                <w:color w:val="000000"/>
                <w:sz w:val="18"/>
              </w:rPr>
              <w:t>1 156</w:t>
            </w:r>
          </w:p>
        </w:tc>
      </w:tr>
      <w:tr>
        <w:trPr>
          <w:trHeight w:hRule="exact" w:val="255"/>
        </w:trPr>
        <w:tc>
          <w:tcPr>
            <w:tcW w:w="6506" w:type="dxa"/>
            <w:tcBorders>
              <w:top w:val="nil"/>
              <w:left w:val="nil"/>
              <w:bottom w:val="nil"/>
              <w:right w:val="nil"/>
              <w:tl2br w:val="nil"/>
              <w:tr2bl w:val="nil"/>
            </w:tcBorders>
            <w:shd w:val="solid" w:color="FFFFFF" w:fill="FFFFFF"/>
            <w:tcMar>
              <w:left w:w="60" w:type="dxa"/>
              <w:right w:w="60" w:type="dxa"/>
            </w:tcMar>
            <w:vAlign w:val="center"/>
          </w:tcPr>
          <w:p>
            <w:pPr>
              <w:pStyle w:val="DMETW36760BIPFINEXP"/>
              <w:rPr>
                <w:rFonts w:ascii="Verdana" w:eastAsia="Verdana" w:hAnsi="Verdana" w:cs="Verdana"/>
                <w:i/>
                <w:noProof/>
                <w:color w:val="000000"/>
                <w:sz w:val="18"/>
              </w:rPr>
            </w:pPr>
            <w:r>
              <w:rPr>
                <w:rFonts w:ascii="Verdana" w:hAnsi="Verdana"/>
                <w:i/>
                <w:noProof/>
                <w:color w:val="000000"/>
                <w:sz w:val="18"/>
              </w:rPr>
              <w:lastRenderedPageBreak/>
              <w:t>Pertes de valeur nettes sur:</w:t>
            </w:r>
          </w:p>
        </w:tc>
        <w:tc>
          <w:tcPr>
            <w:tcW w:w="1626" w:type="dxa"/>
            <w:tcBorders>
              <w:top w:val="nil"/>
              <w:left w:val="nil"/>
              <w:bottom w:val="nil"/>
              <w:right w:val="nil"/>
              <w:tl2br w:val="nil"/>
              <w:tr2bl w:val="nil"/>
            </w:tcBorders>
            <w:shd w:val="solid" w:color="FFFFFF" w:fill="FFFFFF"/>
            <w:tcMar>
              <w:left w:w="60" w:type="dxa"/>
              <w:right w:w="60" w:type="dxa"/>
            </w:tcMar>
            <w:vAlign w:val="center"/>
          </w:tcPr>
          <w:p>
            <w:pPr>
              <w:pStyle w:val="DMETW36760BIPFINEXP"/>
              <w:jc w:val="right"/>
              <w:rPr>
                <w:rFonts w:ascii="Verdana" w:eastAsia="Verdana" w:hAnsi="Verdana" w:cs="Verdana"/>
                <w:i/>
                <w:noProof/>
                <w:color w:val="000000"/>
                <w:sz w:val="18"/>
              </w:rPr>
            </w:pPr>
          </w:p>
        </w:tc>
        <w:tc>
          <w:tcPr>
            <w:tcW w:w="1626" w:type="dxa"/>
            <w:tcBorders>
              <w:top w:val="nil"/>
              <w:left w:val="nil"/>
              <w:bottom w:val="nil"/>
              <w:right w:val="nil"/>
              <w:tl2br w:val="nil"/>
              <w:tr2bl w:val="nil"/>
            </w:tcBorders>
            <w:shd w:val="solid" w:color="FFFFFF" w:fill="FFFFFF"/>
            <w:tcMar>
              <w:left w:w="60" w:type="dxa"/>
              <w:right w:w="60" w:type="dxa"/>
            </w:tcMar>
            <w:vAlign w:val="center"/>
          </w:tcPr>
          <w:p>
            <w:pPr>
              <w:pStyle w:val="DMETW36760BIPFINEXP"/>
              <w:jc w:val="right"/>
              <w:rPr>
                <w:rFonts w:ascii="Verdana" w:eastAsia="Verdana" w:hAnsi="Verdana" w:cs="Verdana"/>
                <w:i/>
                <w:noProof/>
                <w:color w:val="000000"/>
                <w:sz w:val="18"/>
                <w:lang w:bidi="en-GB"/>
              </w:rPr>
            </w:pPr>
          </w:p>
        </w:tc>
      </w:tr>
      <w:tr>
        <w:trPr>
          <w:trHeight w:hRule="exact" w:val="255"/>
        </w:trPr>
        <w:tc>
          <w:tcPr>
            <w:tcW w:w="6506" w:type="dxa"/>
            <w:tcBorders>
              <w:top w:val="nil"/>
              <w:left w:val="nil"/>
              <w:bottom w:val="nil"/>
              <w:right w:val="nil"/>
              <w:tl2br w:val="nil"/>
              <w:tr2bl w:val="nil"/>
            </w:tcBorders>
            <w:shd w:val="solid" w:color="FFFFFF" w:fill="FFFFFF"/>
            <w:tcMar>
              <w:left w:w="60" w:type="dxa"/>
              <w:right w:w="60" w:type="dxa"/>
            </w:tcMar>
            <w:vAlign w:val="center"/>
          </w:tcPr>
          <w:p>
            <w:pPr>
              <w:pStyle w:val="DMETW36760BIPFINEXP"/>
              <w:rPr>
                <w:rFonts w:ascii="Verdana" w:eastAsia="Verdana" w:hAnsi="Verdana" w:cs="Verdana"/>
                <w:i/>
                <w:noProof/>
                <w:color w:val="000000"/>
                <w:sz w:val="18"/>
              </w:rPr>
            </w:pPr>
            <w:r>
              <w:rPr>
                <w:rFonts w:ascii="Verdana" w:hAnsi="Verdana"/>
                <w:i/>
                <w:noProof/>
                <w:color w:val="000000"/>
                <w:sz w:val="18"/>
              </w:rPr>
              <w:t xml:space="preserve">     Contrats de garantie financière</w:t>
            </w:r>
          </w:p>
        </w:tc>
        <w:tc>
          <w:tcPr>
            <w:tcW w:w="1626" w:type="dxa"/>
            <w:tcBorders>
              <w:top w:val="nil"/>
              <w:left w:val="nil"/>
              <w:bottom w:val="nil"/>
              <w:right w:val="nil"/>
              <w:tl2br w:val="nil"/>
              <w:tr2bl w:val="nil"/>
            </w:tcBorders>
            <w:tcMar>
              <w:left w:w="60" w:type="dxa"/>
              <w:right w:w="60" w:type="dxa"/>
            </w:tcMar>
            <w:vAlign w:val="bottom"/>
          </w:tcPr>
          <w:p>
            <w:pPr>
              <w:pStyle w:val="DMETW36760BIPFINEXP"/>
              <w:jc w:val="right"/>
              <w:rPr>
                <w:rFonts w:ascii="Verdana" w:eastAsia="Verdana" w:hAnsi="Verdana" w:cs="Verdana"/>
                <w:i/>
                <w:noProof/>
                <w:color w:val="000000"/>
                <w:sz w:val="18"/>
              </w:rPr>
            </w:pPr>
            <w:r>
              <w:rPr>
                <w:rFonts w:ascii="Verdana" w:hAnsi="Verdana"/>
                <w:i/>
                <w:noProof/>
                <w:color w:val="000000"/>
                <w:sz w:val="18"/>
              </w:rPr>
              <w:t>1 199</w:t>
            </w:r>
          </w:p>
        </w:tc>
        <w:tc>
          <w:tcPr>
            <w:tcW w:w="1626" w:type="dxa"/>
            <w:tcBorders>
              <w:top w:val="nil"/>
              <w:left w:val="nil"/>
              <w:bottom w:val="nil"/>
              <w:right w:val="nil"/>
              <w:tl2br w:val="nil"/>
              <w:tr2bl w:val="nil"/>
            </w:tcBorders>
            <w:tcMar>
              <w:left w:w="60" w:type="dxa"/>
              <w:right w:w="60" w:type="dxa"/>
            </w:tcMar>
            <w:vAlign w:val="bottom"/>
          </w:tcPr>
          <w:p>
            <w:pPr>
              <w:pStyle w:val="DMETW36760BIPFINEXP"/>
              <w:jc w:val="right"/>
              <w:rPr>
                <w:rFonts w:ascii="Verdana" w:eastAsia="Verdana" w:hAnsi="Verdana" w:cs="Verdana"/>
                <w:i/>
                <w:noProof/>
                <w:color w:val="000000"/>
                <w:sz w:val="18"/>
              </w:rPr>
            </w:pPr>
            <w:r>
              <w:rPr>
                <w:rFonts w:ascii="Verdana" w:hAnsi="Verdana"/>
                <w:i/>
                <w:noProof/>
                <w:color w:val="000000"/>
                <w:sz w:val="18"/>
              </w:rPr>
              <w:t xml:space="preserve"> 474</w:t>
            </w:r>
          </w:p>
        </w:tc>
      </w:tr>
      <w:tr>
        <w:trPr>
          <w:trHeight w:hRule="exact" w:val="255"/>
        </w:trPr>
        <w:tc>
          <w:tcPr>
            <w:tcW w:w="6506" w:type="dxa"/>
            <w:tcBorders>
              <w:top w:val="nil"/>
              <w:left w:val="nil"/>
              <w:bottom w:val="nil"/>
              <w:right w:val="nil"/>
              <w:tl2br w:val="nil"/>
              <w:tr2bl w:val="nil"/>
            </w:tcBorders>
            <w:shd w:val="solid" w:color="FFFFFF" w:fill="FFFFFF"/>
            <w:tcMar>
              <w:left w:w="60" w:type="dxa"/>
              <w:right w:w="60" w:type="dxa"/>
            </w:tcMar>
            <w:vAlign w:val="center"/>
          </w:tcPr>
          <w:p>
            <w:pPr>
              <w:pStyle w:val="DMETW36760BIPFINEXP"/>
              <w:rPr>
                <w:rFonts w:ascii="Verdana" w:eastAsia="Verdana" w:hAnsi="Verdana" w:cs="Verdana"/>
                <w:i/>
                <w:noProof/>
                <w:color w:val="000000"/>
                <w:sz w:val="18"/>
              </w:rPr>
            </w:pPr>
            <w:r>
              <w:rPr>
                <w:rFonts w:ascii="Verdana" w:hAnsi="Verdana"/>
                <w:i/>
                <w:noProof/>
                <w:color w:val="000000"/>
                <w:sz w:val="18"/>
              </w:rPr>
              <w:t xml:space="preserve">     Prêts, engagements de prêt et créances à recevoir</w:t>
            </w:r>
          </w:p>
        </w:tc>
        <w:tc>
          <w:tcPr>
            <w:tcW w:w="1626" w:type="dxa"/>
            <w:tcBorders>
              <w:top w:val="nil"/>
              <w:left w:val="nil"/>
              <w:bottom w:val="nil"/>
              <w:right w:val="nil"/>
              <w:tl2br w:val="nil"/>
              <w:tr2bl w:val="nil"/>
            </w:tcBorders>
            <w:tcMar>
              <w:left w:w="60" w:type="dxa"/>
              <w:right w:w="60" w:type="dxa"/>
            </w:tcMar>
            <w:vAlign w:val="bottom"/>
          </w:tcPr>
          <w:p>
            <w:pPr>
              <w:pStyle w:val="DMETW36760BIPFINEXP"/>
              <w:jc w:val="right"/>
              <w:rPr>
                <w:rFonts w:ascii="Verdana" w:eastAsia="Verdana" w:hAnsi="Verdana" w:cs="Verdana"/>
                <w:i/>
                <w:noProof/>
                <w:color w:val="000000"/>
                <w:sz w:val="18"/>
              </w:rPr>
            </w:pPr>
            <w:r>
              <w:rPr>
                <w:rFonts w:ascii="Verdana" w:hAnsi="Verdana"/>
                <w:i/>
                <w:noProof/>
                <w:color w:val="000000"/>
                <w:sz w:val="18"/>
              </w:rPr>
              <w:t>8 066</w:t>
            </w:r>
          </w:p>
        </w:tc>
        <w:tc>
          <w:tcPr>
            <w:tcW w:w="1626" w:type="dxa"/>
            <w:tcBorders>
              <w:top w:val="nil"/>
              <w:left w:val="nil"/>
              <w:bottom w:val="nil"/>
              <w:right w:val="nil"/>
              <w:tl2br w:val="nil"/>
              <w:tr2bl w:val="nil"/>
            </w:tcBorders>
            <w:tcMar>
              <w:left w:w="60" w:type="dxa"/>
              <w:right w:w="60" w:type="dxa"/>
            </w:tcMar>
            <w:vAlign w:val="bottom"/>
          </w:tcPr>
          <w:p>
            <w:pPr>
              <w:pStyle w:val="DMETW36760BIPFINEXP"/>
              <w:jc w:val="right"/>
              <w:rPr>
                <w:rFonts w:ascii="Verdana" w:eastAsia="Verdana" w:hAnsi="Verdana" w:cs="Verdana"/>
                <w:i/>
                <w:noProof/>
                <w:color w:val="000000"/>
                <w:sz w:val="18"/>
              </w:rPr>
            </w:pPr>
            <w:r>
              <w:rPr>
                <w:rFonts w:ascii="Verdana" w:hAnsi="Verdana"/>
                <w:i/>
                <w:noProof/>
                <w:color w:val="000000"/>
                <w:sz w:val="18"/>
              </w:rPr>
              <w:t>14 134</w:t>
            </w:r>
          </w:p>
        </w:tc>
      </w:tr>
      <w:tr>
        <w:trPr>
          <w:trHeight w:hRule="exact" w:val="255"/>
        </w:trPr>
        <w:tc>
          <w:tcPr>
            <w:tcW w:w="6506" w:type="dxa"/>
            <w:tcBorders>
              <w:top w:val="nil"/>
              <w:left w:val="nil"/>
              <w:bottom w:val="nil"/>
              <w:right w:val="nil"/>
              <w:tl2br w:val="nil"/>
              <w:tr2bl w:val="nil"/>
            </w:tcBorders>
            <w:shd w:val="solid" w:color="FFFFFF" w:fill="FFFFFF"/>
            <w:tcMar>
              <w:left w:w="60" w:type="dxa"/>
              <w:right w:w="60" w:type="dxa"/>
            </w:tcMar>
            <w:vAlign w:val="center"/>
          </w:tcPr>
          <w:p>
            <w:pPr>
              <w:pStyle w:val="DMETW36760BIPFINEXP"/>
              <w:rPr>
                <w:rFonts w:ascii="Verdana" w:eastAsia="Verdana" w:hAnsi="Verdana" w:cs="Verdana"/>
                <w:i/>
                <w:noProof/>
                <w:color w:val="000000"/>
                <w:sz w:val="18"/>
              </w:rPr>
            </w:pPr>
            <w:r>
              <w:rPr>
                <w:rFonts w:ascii="Verdana" w:hAnsi="Verdana"/>
                <w:i/>
                <w:noProof/>
                <w:color w:val="000000"/>
                <w:sz w:val="18"/>
              </w:rPr>
              <w:t>Perte réalisée sur actifs ou passifs financiers à la JVCR:</w:t>
            </w:r>
          </w:p>
        </w:tc>
        <w:tc>
          <w:tcPr>
            <w:tcW w:w="1626" w:type="dxa"/>
            <w:tcBorders>
              <w:top w:val="nil"/>
              <w:left w:val="nil"/>
              <w:bottom w:val="nil"/>
              <w:right w:val="nil"/>
              <w:tl2br w:val="nil"/>
              <w:tr2bl w:val="nil"/>
            </w:tcBorders>
            <w:shd w:val="solid" w:color="FFFFFF" w:fill="FFFFFF"/>
            <w:tcMar>
              <w:left w:w="60" w:type="dxa"/>
              <w:right w:w="60" w:type="dxa"/>
            </w:tcMar>
            <w:vAlign w:val="center"/>
          </w:tcPr>
          <w:p>
            <w:pPr>
              <w:pStyle w:val="DMETW36760BIPFINEXP"/>
              <w:jc w:val="right"/>
              <w:rPr>
                <w:rFonts w:ascii="Verdana" w:eastAsia="Verdana" w:hAnsi="Verdana" w:cs="Verdana"/>
                <w:i/>
                <w:noProof/>
                <w:color w:val="000000"/>
                <w:sz w:val="18"/>
              </w:rPr>
            </w:pPr>
          </w:p>
        </w:tc>
        <w:tc>
          <w:tcPr>
            <w:tcW w:w="1626" w:type="dxa"/>
            <w:tcBorders>
              <w:top w:val="nil"/>
              <w:left w:val="nil"/>
              <w:bottom w:val="nil"/>
              <w:right w:val="nil"/>
              <w:tl2br w:val="nil"/>
              <w:tr2bl w:val="nil"/>
            </w:tcBorders>
            <w:shd w:val="solid" w:color="FFFFFF" w:fill="FFFFFF"/>
            <w:tcMar>
              <w:left w:w="60" w:type="dxa"/>
              <w:right w:w="60" w:type="dxa"/>
            </w:tcMar>
            <w:vAlign w:val="center"/>
          </w:tcPr>
          <w:p>
            <w:pPr>
              <w:pStyle w:val="DMETW36760BIPFINEXP"/>
              <w:jc w:val="right"/>
              <w:rPr>
                <w:rFonts w:ascii="Verdana" w:eastAsia="Verdana" w:hAnsi="Verdana" w:cs="Verdana"/>
                <w:i/>
                <w:noProof/>
                <w:color w:val="000000"/>
                <w:sz w:val="18"/>
                <w:lang w:bidi="en-GB"/>
              </w:rPr>
            </w:pPr>
          </w:p>
        </w:tc>
      </w:tr>
      <w:tr>
        <w:trPr>
          <w:trHeight w:hRule="exact" w:val="255"/>
        </w:trPr>
        <w:tc>
          <w:tcPr>
            <w:tcW w:w="6506" w:type="dxa"/>
            <w:tcBorders>
              <w:top w:val="nil"/>
              <w:left w:val="nil"/>
              <w:bottom w:val="nil"/>
              <w:right w:val="nil"/>
              <w:tl2br w:val="nil"/>
              <w:tr2bl w:val="nil"/>
            </w:tcBorders>
            <w:shd w:val="solid" w:color="FFFFFF" w:fill="FFFFFF"/>
            <w:tcMar>
              <w:left w:w="60" w:type="dxa"/>
              <w:right w:w="60" w:type="dxa"/>
            </w:tcMar>
            <w:vAlign w:val="center"/>
          </w:tcPr>
          <w:p>
            <w:pPr>
              <w:pStyle w:val="DMETW36760BIPFINEXP"/>
              <w:rPr>
                <w:rFonts w:ascii="Verdana" w:eastAsia="Verdana" w:hAnsi="Verdana" w:cs="Verdana"/>
                <w:i/>
                <w:noProof/>
                <w:color w:val="000000"/>
                <w:sz w:val="18"/>
              </w:rPr>
            </w:pPr>
            <w:r>
              <w:rPr>
                <w:rFonts w:ascii="Verdana" w:hAnsi="Verdana"/>
                <w:i/>
                <w:noProof/>
                <w:color w:val="000000"/>
                <w:sz w:val="18"/>
              </w:rPr>
              <w:t xml:space="preserve">     Non dérivés</w:t>
            </w:r>
          </w:p>
        </w:tc>
        <w:tc>
          <w:tcPr>
            <w:tcW w:w="1626" w:type="dxa"/>
            <w:tcBorders>
              <w:top w:val="nil"/>
              <w:left w:val="nil"/>
              <w:bottom w:val="nil"/>
              <w:right w:val="nil"/>
              <w:tl2br w:val="nil"/>
              <w:tr2bl w:val="nil"/>
            </w:tcBorders>
            <w:tcMar>
              <w:left w:w="60" w:type="dxa"/>
              <w:right w:w="60" w:type="dxa"/>
            </w:tcMar>
            <w:vAlign w:val="bottom"/>
          </w:tcPr>
          <w:p>
            <w:pPr>
              <w:pStyle w:val="DMETW36760BIPFINEXP"/>
              <w:jc w:val="right"/>
              <w:rPr>
                <w:rFonts w:ascii="Verdana" w:eastAsia="Verdana" w:hAnsi="Verdana" w:cs="Verdana"/>
                <w:i/>
                <w:noProof/>
                <w:color w:val="000000"/>
                <w:sz w:val="18"/>
              </w:rPr>
            </w:pPr>
            <w:r>
              <w:rPr>
                <w:rFonts w:ascii="Verdana" w:hAnsi="Verdana"/>
                <w:i/>
                <w:noProof/>
                <w:color w:val="000000"/>
                <w:sz w:val="18"/>
              </w:rPr>
              <w:t xml:space="preserve"> 170</w:t>
            </w:r>
          </w:p>
        </w:tc>
        <w:tc>
          <w:tcPr>
            <w:tcW w:w="1626" w:type="dxa"/>
            <w:tcBorders>
              <w:top w:val="nil"/>
              <w:left w:val="nil"/>
              <w:bottom w:val="nil"/>
              <w:right w:val="nil"/>
              <w:tl2br w:val="nil"/>
              <w:tr2bl w:val="nil"/>
            </w:tcBorders>
            <w:tcMar>
              <w:left w:w="60" w:type="dxa"/>
              <w:right w:w="60" w:type="dxa"/>
            </w:tcMar>
            <w:vAlign w:val="bottom"/>
          </w:tcPr>
          <w:p>
            <w:pPr>
              <w:pStyle w:val="DMETW36760BIPFINEXP"/>
              <w:jc w:val="right"/>
              <w:rPr>
                <w:rFonts w:ascii="Verdana" w:eastAsia="Verdana" w:hAnsi="Verdana" w:cs="Verdana"/>
                <w:i/>
                <w:noProof/>
                <w:color w:val="000000"/>
                <w:sz w:val="18"/>
              </w:rPr>
            </w:pPr>
            <w:r>
              <w:rPr>
                <w:rFonts w:ascii="Verdana" w:hAnsi="Verdana"/>
                <w:i/>
                <w:noProof/>
                <w:color w:val="000000"/>
                <w:sz w:val="18"/>
              </w:rPr>
              <w:t xml:space="preserve"> 153</w:t>
            </w:r>
          </w:p>
        </w:tc>
      </w:tr>
      <w:tr>
        <w:trPr>
          <w:trHeight w:hRule="exact" w:val="255"/>
        </w:trPr>
        <w:tc>
          <w:tcPr>
            <w:tcW w:w="6506" w:type="dxa"/>
            <w:tcBorders>
              <w:top w:val="nil"/>
              <w:left w:val="nil"/>
              <w:bottom w:val="nil"/>
              <w:right w:val="nil"/>
              <w:tl2br w:val="nil"/>
              <w:tr2bl w:val="nil"/>
            </w:tcBorders>
            <w:shd w:val="solid" w:color="FFFFFF" w:fill="FFFFFF"/>
            <w:tcMar>
              <w:left w:w="60" w:type="dxa"/>
              <w:right w:w="60" w:type="dxa"/>
            </w:tcMar>
            <w:vAlign w:val="center"/>
          </w:tcPr>
          <w:p>
            <w:pPr>
              <w:pStyle w:val="DMETW36760BIPFINEXP"/>
              <w:rPr>
                <w:rFonts w:ascii="Verdana" w:eastAsia="Verdana" w:hAnsi="Verdana" w:cs="Verdana"/>
                <w:i/>
                <w:noProof/>
                <w:color w:val="000000"/>
                <w:sz w:val="18"/>
              </w:rPr>
            </w:pPr>
            <w:r>
              <w:rPr>
                <w:rFonts w:ascii="Verdana" w:hAnsi="Verdana"/>
                <w:i/>
                <w:noProof/>
                <w:color w:val="000000"/>
                <w:sz w:val="18"/>
              </w:rPr>
              <w:t xml:space="preserve">     Dérivés</w:t>
            </w:r>
          </w:p>
        </w:tc>
        <w:tc>
          <w:tcPr>
            <w:tcW w:w="1626" w:type="dxa"/>
            <w:tcBorders>
              <w:top w:val="nil"/>
              <w:left w:val="nil"/>
              <w:bottom w:val="nil"/>
              <w:right w:val="nil"/>
              <w:tl2br w:val="nil"/>
              <w:tr2bl w:val="nil"/>
            </w:tcBorders>
            <w:tcMar>
              <w:left w:w="60" w:type="dxa"/>
              <w:right w:w="60" w:type="dxa"/>
            </w:tcMar>
            <w:vAlign w:val="bottom"/>
          </w:tcPr>
          <w:p>
            <w:pPr>
              <w:pStyle w:val="DMETW36760BIPFINEXP"/>
              <w:jc w:val="right"/>
              <w:rPr>
                <w:rFonts w:ascii="Verdana" w:eastAsia="Verdana" w:hAnsi="Verdana" w:cs="Verdana"/>
                <w:i/>
                <w:noProof/>
                <w:color w:val="000000"/>
                <w:sz w:val="18"/>
              </w:rPr>
            </w:pPr>
            <w:r>
              <w:rPr>
                <w:rFonts w:ascii="Verdana" w:hAnsi="Verdana"/>
                <w:i/>
                <w:noProof/>
                <w:color w:val="000000"/>
                <w:sz w:val="18"/>
              </w:rPr>
              <w:t xml:space="preserve"> 153</w:t>
            </w:r>
          </w:p>
        </w:tc>
        <w:tc>
          <w:tcPr>
            <w:tcW w:w="1626" w:type="dxa"/>
            <w:tcBorders>
              <w:top w:val="nil"/>
              <w:left w:val="nil"/>
              <w:bottom w:val="nil"/>
              <w:right w:val="nil"/>
              <w:tl2br w:val="nil"/>
              <w:tr2bl w:val="nil"/>
            </w:tcBorders>
            <w:tcMar>
              <w:left w:w="60" w:type="dxa"/>
              <w:right w:w="60" w:type="dxa"/>
            </w:tcMar>
            <w:vAlign w:val="bottom"/>
          </w:tcPr>
          <w:p>
            <w:pPr>
              <w:pStyle w:val="DMETW36760BIPFINEXP"/>
              <w:jc w:val="right"/>
              <w:rPr>
                <w:rFonts w:ascii="Verdana" w:eastAsia="Verdana" w:hAnsi="Verdana" w:cs="Verdana"/>
                <w:i/>
                <w:noProof/>
                <w:color w:val="000000"/>
                <w:sz w:val="18"/>
              </w:rPr>
            </w:pPr>
            <w:r>
              <w:rPr>
                <w:rFonts w:ascii="Verdana" w:hAnsi="Verdana"/>
                <w:i/>
                <w:noProof/>
                <w:color w:val="000000"/>
                <w:sz w:val="18"/>
              </w:rPr>
              <w:t xml:space="preserve"> 252</w:t>
            </w:r>
          </w:p>
        </w:tc>
      </w:tr>
      <w:tr>
        <w:trPr>
          <w:trHeight w:hRule="exact" w:val="255"/>
        </w:trPr>
        <w:tc>
          <w:tcPr>
            <w:tcW w:w="6506" w:type="dxa"/>
            <w:tcBorders>
              <w:top w:val="nil"/>
              <w:left w:val="nil"/>
              <w:bottom w:val="nil"/>
              <w:right w:val="nil"/>
              <w:tl2br w:val="nil"/>
              <w:tr2bl w:val="nil"/>
            </w:tcBorders>
            <w:shd w:val="solid" w:color="FFFFFF" w:fill="FFFFFF"/>
            <w:tcMar>
              <w:left w:w="60" w:type="dxa"/>
              <w:right w:w="60" w:type="dxa"/>
            </w:tcMar>
            <w:vAlign w:val="center"/>
          </w:tcPr>
          <w:p>
            <w:pPr>
              <w:pStyle w:val="DMETW36760BIPFINEXP"/>
              <w:rPr>
                <w:rFonts w:ascii="Verdana" w:eastAsia="Verdana" w:hAnsi="Verdana" w:cs="Verdana"/>
                <w:i/>
                <w:noProof/>
                <w:color w:val="000000"/>
                <w:sz w:val="18"/>
              </w:rPr>
            </w:pPr>
            <w:r>
              <w:rPr>
                <w:rFonts w:ascii="Verdana" w:hAnsi="Verdana"/>
                <w:i/>
                <w:noProof/>
                <w:color w:val="000000"/>
                <w:sz w:val="18"/>
              </w:rPr>
              <w:t>Perte sur modification</w:t>
            </w:r>
          </w:p>
        </w:tc>
        <w:tc>
          <w:tcPr>
            <w:tcW w:w="1626" w:type="dxa"/>
            <w:tcBorders>
              <w:top w:val="nil"/>
              <w:left w:val="nil"/>
              <w:bottom w:val="nil"/>
              <w:right w:val="nil"/>
              <w:tl2br w:val="nil"/>
              <w:tr2bl w:val="nil"/>
            </w:tcBorders>
            <w:tcMar>
              <w:left w:w="60" w:type="dxa"/>
              <w:right w:w="60" w:type="dxa"/>
            </w:tcMar>
            <w:vAlign w:val="bottom"/>
          </w:tcPr>
          <w:p>
            <w:pPr>
              <w:pStyle w:val="DMETW36760BIPFINEXP"/>
              <w:jc w:val="right"/>
              <w:rPr>
                <w:rFonts w:ascii="Verdana" w:eastAsia="Verdana" w:hAnsi="Verdana" w:cs="Verdana"/>
                <w:i/>
                <w:noProof/>
                <w:color w:val="000000"/>
                <w:sz w:val="18"/>
              </w:rPr>
            </w:pPr>
            <w:r>
              <w:rPr>
                <w:rFonts w:ascii="Verdana" w:hAnsi="Verdana"/>
                <w:i/>
                <w:noProof/>
                <w:color w:val="000000"/>
                <w:sz w:val="18"/>
              </w:rPr>
              <w:t>1 131</w:t>
            </w:r>
          </w:p>
        </w:tc>
        <w:tc>
          <w:tcPr>
            <w:tcW w:w="1626" w:type="dxa"/>
            <w:tcBorders>
              <w:top w:val="nil"/>
              <w:left w:val="nil"/>
              <w:bottom w:val="nil"/>
              <w:right w:val="nil"/>
              <w:tl2br w:val="nil"/>
              <w:tr2bl w:val="nil"/>
            </w:tcBorders>
            <w:tcMar>
              <w:left w:w="60" w:type="dxa"/>
              <w:right w:w="60" w:type="dxa"/>
            </w:tcMar>
            <w:vAlign w:val="bottom"/>
          </w:tcPr>
          <w:p>
            <w:pPr>
              <w:pStyle w:val="DMETW36760BIPFINEXP"/>
              <w:jc w:val="right"/>
              <w:rPr>
                <w:rFonts w:ascii="Verdana" w:eastAsia="Verdana" w:hAnsi="Verdana" w:cs="Verdana"/>
                <w:i/>
                <w:noProof/>
                <w:color w:val="000000"/>
                <w:sz w:val="18"/>
              </w:rPr>
            </w:pPr>
            <w:r>
              <w:rPr>
                <w:rFonts w:ascii="Verdana" w:hAnsi="Verdana"/>
                <w:i/>
                <w:noProof/>
                <w:color w:val="000000"/>
                <w:sz w:val="18"/>
              </w:rPr>
              <w:t xml:space="preserve"> 763</w:t>
            </w:r>
          </w:p>
        </w:tc>
      </w:tr>
      <w:tr>
        <w:trPr>
          <w:trHeight w:hRule="exact" w:val="255"/>
        </w:trPr>
        <w:tc>
          <w:tcPr>
            <w:tcW w:w="6506" w:type="dxa"/>
            <w:tcBorders>
              <w:top w:val="nil"/>
              <w:left w:val="nil"/>
              <w:bottom w:val="nil"/>
              <w:right w:val="nil"/>
              <w:tl2br w:val="nil"/>
              <w:tr2bl w:val="nil"/>
            </w:tcBorders>
            <w:tcMar>
              <w:left w:w="60" w:type="dxa"/>
              <w:right w:w="60" w:type="dxa"/>
            </w:tcMar>
            <w:vAlign w:val="center"/>
          </w:tcPr>
          <w:p>
            <w:pPr>
              <w:pStyle w:val="DMETW36760BIPFINEXP"/>
              <w:rPr>
                <w:rFonts w:ascii="Verdana" w:eastAsia="Verdana" w:hAnsi="Verdana" w:cs="Verdana"/>
                <w:i/>
                <w:noProof/>
                <w:color w:val="000000"/>
                <w:sz w:val="18"/>
              </w:rPr>
            </w:pPr>
            <w:r>
              <w:rPr>
                <w:rFonts w:ascii="Verdana" w:hAnsi="Verdana"/>
                <w:i/>
                <w:noProof/>
                <w:color w:val="000000"/>
                <w:sz w:val="18"/>
              </w:rPr>
              <w:t>Perte résultant de la décomptabilisation de prêts</w:t>
            </w:r>
          </w:p>
        </w:tc>
        <w:tc>
          <w:tcPr>
            <w:tcW w:w="1626" w:type="dxa"/>
            <w:tcBorders>
              <w:top w:val="nil"/>
              <w:left w:val="nil"/>
              <w:bottom w:val="nil"/>
              <w:right w:val="nil"/>
              <w:tl2br w:val="nil"/>
              <w:tr2bl w:val="nil"/>
            </w:tcBorders>
            <w:tcMar>
              <w:left w:w="60" w:type="dxa"/>
              <w:right w:w="60" w:type="dxa"/>
            </w:tcMar>
            <w:vAlign w:val="bottom"/>
          </w:tcPr>
          <w:p>
            <w:pPr>
              <w:pStyle w:val="DMETW36760BIPFINEXP"/>
              <w:jc w:val="right"/>
              <w:rPr>
                <w:rFonts w:ascii="Verdana" w:eastAsia="Verdana" w:hAnsi="Verdana" w:cs="Verdana"/>
                <w:i/>
                <w:noProof/>
                <w:color w:val="000000"/>
                <w:sz w:val="18"/>
              </w:rPr>
            </w:pPr>
            <w:r>
              <w:rPr>
                <w:rFonts w:ascii="Verdana" w:hAnsi="Verdana"/>
                <w:i/>
                <w:noProof/>
                <w:color w:val="000000"/>
                <w:sz w:val="18"/>
              </w:rPr>
              <w:t xml:space="preserve"> 94</w:t>
            </w:r>
          </w:p>
        </w:tc>
        <w:tc>
          <w:tcPr>
            <w:tcW w:w="1626" w:type="dxa"/>
            <w:tcBorders>
              <w:top w:val="nil"/>
              <w:left w:val="nil"/>
              <w:bottom w:val="nil"/>
              <w:right w:val="nil"/>
              <w:tl2br w:val="nil"/>
              <w:tr2bl w:val="nil"/>
            </w:tcBorders>
            <w:tcMar>
              <w:left w:w="60" w:type="dxa"/>
              <w:right w:w="60" w:type="dxa"/>
            </w:tcMar>
            <w:vAlign w:val="bottom"/>
          </w:tcPr>
          <w:p>
            <w:pPr>
              <w:pStyle w:val="DMETW36760BIPFINEXP"/>
              <w:jc w:val="right"/>
              <w:rPr>
                <w:rFonts w:ascii="Verdana" w:eastAsia="Verdana" w:hAnsi="Verdana" w:cs="Verdana"/>
                <w:i/>
                <w:noProof/>
                <w:color w:val="000000"/>
                <w:sz w:val="18"/>
              </w:rPr>
            </w:pPr>
            <w:r>
              <w:rPr>
                <w:rFonts w:ascii="Verdana" w:hAnsi="Verdana"/>
                <w:i/>
                <w:noProof/>
                <w:color w:val="000000"/>
                <w:sz w:val="18"/>
              </w:rPr>
              <w:t>–</w:t>
            </w:r>
          </w:p>
        </w:tc>
      </w:tr>
      <w:tr>
        <w:trPr>
          <w:trHeight w:hRule="exact" w:val="255"/>
        </w:trPr>
        <w:tc>
          <w:tcPr>
            <w:tcW w:w="6506" w:type="dxa"/>
            <w:tcBorders>
              <w:top w:val="nil"/>
              <w:left w:val="nil"/>
              <w:bottom w:val="nil"/>
              <w:right w:val="nil"/>
              <w:tl2br w:val="nil"/>
              <w:tr2bl w:val="nil"/>
            </w:tcBorders>
            <w:tcMar>
              <w:left w:w="60" w:type="dxa"/>
              <w:right w:w="60" w:type="dxa"/>
            </w:tcMar>
            <w:vAlign w:val="center"/>
          </w:tcPr>
          <w:p>
            <w:pPr>
              <w:pStyle w:val="DMETW36760BIPFINEXP"/>
              <w:rPr>
                <w:rFonts w:ascii="Verdana" w:eastAsia="Verdana" w:hAnsi="Verdana" w:cs="Verdana"/>
                <w:i/>
                <w:noProof/>
                <w:color w:val="000000"/>
                <w:sz w:val="18"/>
              </w:rPr>
            </w:pPr>
            <w:r>
              <w:rPr>
                <w:rFonts w:ascii="Verdana" w:hAnsi="Verdana"/>
                <w:i/>
                <w:noProof/>
                <w:color w:val="000000"/>
                <w:sz w:val="18"/>
              </w:rPr>
              <w:t>Coûts de financement garantis</w:t>
            </w:r>
          </w:p>
        </w:tc>
        <w:tc>
          <w:tcPr>
            <w:tcW w:w="1626" w:type="dxa"/>
            <w:tcBorders>
              <w:top w:val="nil"/>
              <w:left w:val="nil"/>
              <w:bottom w:val="nil"/>
              <w:right w:val="nil"/>
              <w:tl2br w:val="nil"/>
              <w:tr2bl w:val="nil"/>
            </w:tcBorders>
            <w:tcMar>
              <w:left w:w="60" w:type="dxa"/>
              <w:right w:w="60" w:type="dxa"/>
            </w:tcMar>
            <w:vAlign w:val="bottom"/>
          </w:tcPr>
          <w:p>
            <w:pPr>
              <w:pStyle w:val="DMETW36760BIPFINEXP"/>
              <w:jc w:val="right"/>
              <w:rPr>
                <w:rFonts w:ascii="Verdana" w:eastAsia="Verdana" w:hAnsi="Verdana" w:cs="Verdana"/>
                <w:i/>
                <w:noProof/>
                <w:color w:val="000000"/>
                <w:sz w:val="18"/>
              </w:rPr>
            </w:pPr>
            <w:r>
              <w:rPr>
                <w:rFonts w:ascii="Verdana" w:hAnsi="Verdana"/>
                <w:i/>
                <w:noProof/>
                <w:color w:val="000000"/>
                <w:sz w:val="18"/>
              </w:rPr>
              <w:t xml:space="preserve"> 119</w:t>
            </w:r>
          </w:p>
        </w:tc>
        <w:tc>
          <w:tcPr>
            <w:tcW w:w="1626" w:type="dxa"/>
            <w:tcBorders>
              <w:top w:val="nil"/>
              <w:left w:val="nil"/>
              <w:bottom w:val="nil"/>
              <w:right w:val="nil"/>
              <w:tl2br w:val="nil"/>
              <w:tr2bl w:val="nil"/>
            </w:tcBorders>
            <w:tcMar>
              <w:left w:w="60" w:type="dxa"/>
              <w:right w:w="60" w:type="dxa"/>
            </w:tcMar>
            <w:vAlign w:val="bottom"/>
          </w:tcPr>
          <w:p>
            <w:pPr>
              <w:pStyle w:val="DMETW36760BIPFINEXP"/>
              <w:jc w:val="right"/>
              <w:rPr>
                <w:rFonts w:ascii="Verdana" w:eastAsia="Verdana" w:hAnsi="Verdana" w:cs="Verdana"/>
                <w:i/>
                <w:noProof/>
                <w:color w:val="000000"/>
                <w:sz w:val="18"/>
              </w:rPr>
            </w:pPr>
            <w:r>
              <w:rPr>
                <w:rFonts w:ascii="Verdana" w:hAnsi="Verdana"/>
                <w:i/>
                <w:noProof/>
                <w:color w:val="000000"/>
                <w:sz w:val="18"/>
              </w:rPr>
              <w:t xml:space="preserve"> 151</w:t>
            </w:r>
          </w:p>
        </w:tc>
      </w:tr>
      <w:tr>
        <w:trPr>
          <w:trHeight w:hRule="exact" w:val="255"/>
        </w:trPr>
        <w:tc>
          <w:tcPr>
            <w:tcW w:w="6506" w:type="dxa"/>
            <w:tcBorders>
              <w:top w:val="nil"/>
              <w:left w:val="nil"/>
              <w:bottom w:val="nil"/>
              <w:right w:val="nil"/>
              <w:tl2br w:val="nil"/>
              <w:tr2bl w:val="nil"/>
            </w:tcBorders>
            <w:shd w:val="solid" w:color="FFFFFF" w:fill="FFFFFF"/>
            <w:tcMar>
              <w:left w:w="60" w:type="dxa"/>
              <w:right w:w="60" w:type="dxa"/>
            </w:tcMar>
            <w:vAlign w:val="center"/>
          </w:tcPr>
          <w:p>
            <w:pPr>
              <w:pStyle w:val="DMETW36760BIPFINEXP"/>
              <w:rPr>
                <w:rFonts w:ascii="Verdana" w:eastAsia="Verdana" w:hAnsi="Verdana" w:cs="Verdana"/>
                <w:i/>
                <w:noProof/>
                <w:color w:val="000000"/>
                <w:sz w:val="18"/>
              </w:rPr>
            </w:pPr>
            <w:r>
              <w:rPr>
                <w:rFonts w:ascii="Verdana" w:hAnsi="Verdana"/>
                <w:i/>
                <w:noProof/>
                <w:color w:val="000000"/>
                <w:sz w:val="18"/>
              </w:rPr>
              <w:t xml:space="preserve">Autres </w:t>
            </w:r>
          </w:p>
        </w:tc>
        <w:tc>
          <w:tcPr>
            <w:tcW w:w="1626" w:type="dxa"/>
            <w:tcBorders>
              <w:top w:val="nil"/>
              <w:left w:val="nil"/>
              <w:bottom w:val="nil"/>
              <w:right w:val="nil"/>
              <w:tl2br w:val="nil"/>
              <w:tr2bl w:val="nil"/>
            </w:tcBorders>
            <w:tcMar>
              <w:left w:w="60" w:type="dxa"/>
              <w:right w:w="60" w:type="dxa"/>
            </w:tcMar>
            <w:vAlign w:val="bottom"/>
          </w:tcPr>
          <w:p>
            <w:pPr>
              <w:pStyle w:val="DMETW36760BIPFINEXP"/>
              <w:jc w:val="right"/>
              <w:rPr>
                <w:rFonts w:ascii="Verdana" w:eastAsia="Verdana" w:hAnsi="Verdana" w:cs="Verdana"/>
                <w:i/>
                <w:noProof/>
                <w:color w:val="000000"/>
                <w:sz w:val="18"/>
              </w:rPr>
            </w:pPr>
            <w:r>
              <w:rPr>
                <w:rFonts w:ascii="Verdana" w:hAnsi="Verdana"/>
                <w:i/>
                <w:noProof/>
                <w:color w:val="000000"/>
                <w:sz w:val="18"/>
              </w:rPr>
              <w:t xml:space="preserve"> 28</w:t>
            </w:r>
          </w:p>
        </w:tc>
        <w:tc>
          <w:tcPr>
            <w:tcW w:w="1626" w:type="dxa"/>
            <w:tcBorders>
              <w:top w:val="nil"/>
              <w:left w:val="nil"/>
              <w:bottom w:val="nil"/>
              <w:right w:val="nil"/>
              <w:tl2br w:val="nil"/>
              <w:tr2bl w:val="nil"/>
            </w:tcBorders>
            <w:tcMar>
              <w:left w:w="60" w:type="dxa"/>
              <w:right w:w="60" w:type="dxa"/>
            </w:tcMar>
            <w:vAlign w:val="bottom"/>
          </w:tcPr>
          <w:p>
            <w:pPr>
              <w:pStyle w:val="DMETW36760BIPFINEXP"/>
              <w:jc w:val="right"/>
              <w:rPr>
                <w:rFonts w:ascii="Verdana" w:eastAsia="Verdana" w:hAnsi="Verdana" w:cs="Verdana"/>
                <w:i/>
                <w:noProof/>
                <w:color w:val="000000"/>
                <w:sz w:val="18"/>
              </w:rPr>
            </w:pPr>
            <w:r>
              <w:rPr>
                <w:rFonts w:ascii="Verdana" w:hAnsi="Verdana"/>
                <w:i/>
                <w:noProof/>
                <w:color w:val="000000"/>
                <w:sz w:val="18"/>
              </w:rPr>
              <w:t xml:space="preserve"> 140</w:t>
            </w:r>
          </w:p>
        </w:tc>
      </w:tr>
      <w:tr>
        <w:trPr>
          <w:trHeight w:hRule="exact" w:val="250"/>
        </w:trPr>
        <w:tc>
          <w:tcPr>
            <w:tcW w:w="6506" w:type="dxa"/>
            <w:tcBorders>
              <w:top w:val="nil"/>
              <w:left w:val="nil"/>
              <w:bottom w:val="nil"/>
              <w:right w:val="nil"/>
              <w:tl2br w:val="nil"/>
              <w:tr2bl w:val="nil"/>
            </w:tcBorders>
            <w:shd w:val="solid" w:color="CCE1EA" w:fill="FFFFFF"/>
            <w:tcMar>
              <w:left w:w="60" w:type="dxa"/>
              <w:right w:w="60" w:type="dxa"/>
            </w:tcMar>
            <w:vAlign w:val="center"/>
          </w:tcPr>
          <w:p>
            <w:pPr>
              <w:pStyle w:val="DMETW36760BIPFINEXP"/>
              <w:rPr>
                <w:rFonts w:ascii="Verdana" w:eastAsia="Verdana" w:hAnsi="Verdana" w:cs="Verdana"/>
                <w:b/>
                <w:noProof/>
                <w:color w:val="000000"/>
                <w:sz w:val="18"/>
              </w:rPr>
            </w:pPr>
            <w:r>
              <w:rPr>
                <w:rFonts w:ascii="Verdana" w:hAnsi="Verdana"/>
                <w:b/>
                <w:noProof/>
                <w:color w:val="000000"/>
                <w:sz w:val="18"/>
              </w:rPr>
              <w:t>Total</w:t>
            </w:r>
          </w:p>
        </w:tc>
        <w:tc>
          <w:tcPr>
            <w:tcW w:w="1626" w:type="dxa"/>
            <w:tcBorders>
              <w:top w:val="nil"/>
              <w:left w:val="nil"/>
              <w:bottom w:val="nil"/>
              <w:right w:val="nil"/>
              <w:tl2br w:val="nil"/>
              <w:tr2bl w:val="nil"/>
            </w:tcBorders>
            <w:shd w:val="solid" w:color="CCE1EA" w:fill="FFFFFF"/>
            <w:tcMar>
              <w:left w:w="60" w:type="dxa"/>
              <w:right w:w="60" w:type="dxa"/>
            </w:tcMar>
            <w:vAlign w:val="center"/>
          </w:tcPr>
          <w:p>
            <w:pPr>
              <w:pStyle w:val="DMETW36760BIPFINEXP"/>
              <w:jc w:val="right"/>
              <w:rPr>
                <w:rFonts w:ascii="Verdana" w:eastAsia="Verdana" w:hAnsi="Verdana" w:cs="Verdana"/>
                <w:b/>
                <w:noProof/>
                <w:color w:val="000000"/>
                <w:sz w:val="18"/>
              </w:rPr>
            </w:pPr>
            <w:r>
              <w:rPr>
                <w:rFonts w:ascii="Verdana" w:hAnsi="Verdana"/>
                <w:b/>
                <w:noProof/>
                <w:color w:val="000000"/>
                <w:sz w:val="18"/>
              </w:rPr>
              <w:t>27 156</w:t>
            </w:r>
          </w:p>
        </w:tc>
        <w:tc>
          <w:tcPr>
            <w:tcW w:w="1626" w:type="dxa"/>
            <w:tcBorders>
              <w:top w:val="nil"/>
              <w:left w:val="nil"/>
              <w:bottom w:val="nil"/>
              <w:right w:val="nil"/>
              <w:tl2br w:val="nil"/>
              <w:tr2bl w:val="nil"/>
            </w:tcBorders>
            <w:shd w:val="solid" w:color="CCE1EA" w:fill="FFFFFF"/>
            <w:tcMar>
              <w:left w:w="60" w:type="dxa"/>
              <w:right w:w="60" w:type="dxa"/>
            </w:tcMar>
            <w:vAlign w:val="center"/>
          </w:tcPr>
          <w:p>
            <w:pPr>
              <w:pStyle w:val="DMETW36760BIPFINEXP"/>
              <w:jc w:val="right"/>
              <w:rPr>
                <w:rFonts w:ascii="Verdana" w:eastAsia="Verdana" w:hAnsi="Verdana" w:cs="Verdana"/>
                <w:b/>
                <w:noProof/>
                <w:color w:val="000000"/>
                <w:sz w:val="18"/>
              </w:rPr>
            </w:pPr>
            <w:r>
              <w:rPr>
                <w:rFonts w:ascii="Verdana" w:hAnsi="Verdana"/>
                <w:b/>
                <w:noProof/>
                <w:color w:val="000000"/>
                <w:sz w:val="18"/>
              </w:rPr>
              <w:t>27 226</w:t>
            </w:r>
          </w:p>
        </w:tc>
      </w:tr>
    </w:tbl>
    <w:p>
      <w:pPr>
        <w:pStyle w:val="DGTextstand-alone"/>
        <w:spacing w:after="0"/>
      </w:pPr>
      <w:r>
        <w:t xml:space="preserve">L’augmentation de 4,3 milliards d’EUR des dépenses d’emprunt découle des activités de financement unifiées, pour lesquelles les intérêts s’élevaient à 12,7 milliards d’EUR, contre 8,4 milliards d’EUR l’année précédente. Cela s’explique par de nouveaux emprunts contractés en 2025 et par le fait que les émissions du second semestre 2024 ont généré des intérêts sur un exercice complet en 2025. </w:t>
      </w:r>
    </w:p>
    <w:p>
      <w:pPr>
        <w:pStyle w:val="DGTextstand-alone"/>
        <w:spacing w:after="0"/>
      </w:pPr>
      <w:r>
        <w:t>Les charges d’intérêt sur les prêts résultent de certaines opérations SURE dans le cadre desquelles des fonds empruntés en période de taux d’intérêt négatifs ont été prêtés sur une base réciproque («back-to-back») aux États membres, selon les mêmes modalités et conditions.</w:t>
      </w:r>
    </w:p>
    <w:p>
      <w:pPr>
        <w:pStyle w:val="DGTextstand-alone"/>
      </w:pPr>
      <w:r>
        <w:t>Pour de plus amples informations sur les dépenses liées aux garanties financières (CGF), voir note </w:t>
      </w:r>
      <w:r>
        <w:rPr>
          <w:b/>
        </w:rPr>
        <w:t>3.9</w:t>
      </w:r>
      <w:r>
        <w:t>.</w:t>
      </w:r>
    </w:p>
    <w:p>
      <w:pPr>
        <w:pStyle w:val="DGTextstand-alone"/>
      </w:pPr>
      <w:r>
        <w:t xml:space="preserve">Les pertes de valeur nettes sur les prêts, les engagements de prêt et les créances sont principalement liées aux pertes de crédit attendues (PCA) sur les prêts au titre de la facilité pour l’Ukraine et de l’AMF MCPU décaissés en 2025. Voir les notes </w:t>
      </w:r>
      <w:r>
        <w:rPr>
          <w:b/>
        </w:rPr>
        <w:t>2.4.1.1</w:t>
      </w:r>
      <w:r>
        <w:t xml:space="preserve"> et </w:t>
      </w:r>
      <w:r>
        <w:rPr>
          <w:b/>
        </w:rPr>
        <w:t>6.6</w:t>
      </w:r>
      <w:r>
        <w:t>.</w:t>
      </w:r>
    </w:p>
    <w:p>
      <w:pPr>
        <w:pStyle w:val="DGTextstand-alone"/>
      </w:pPr>
      <w:r>
        <w:t>La perte liée à la modification concerne la bonification d’intérêt accordée à l’Ukraine pour les prêts AMF+, les prêts AMF exceptionnels et les prêts relevant de la facilité pour l’Ukraine — voir note </w:t>
      </w:r>
      <w:r>
        <w:rPr>
          <w:b/>
          <w:bCs/>
        </w:rPr>
        <w:t>2.4.1.1</w:t>
      </w:r>
      <w:r>
        <w:t>.</w:t>
      </w:r>
    </w:p>
    <w:p>
      <w:pPr>
        <w:pStyle w:val="DGTextstand-alone"/>
        <w:rPr>
          <w:b/>
          <w:bCs/>
        </w:rPr>
      </w:pPr>
      <w:r>
        <w:t>La perte résultant de la décomptabilisation des prêts est liée à un remboursement anticipé par le Portugal d’un prêt MESF de 0,7 milliard d’EUR à la valeur de marché de l’obligation sous-jacente — voir note </w:t>
      </w:r>
      <w:r>
        <w:rPr>
          <w:b/>
          <w:bCs/>
        </w:rPr>
        <w:t>2.4.1.1</w:t>
      </w:r>
      <w:r>
        <w:t>.</w:t>
      </w:r>
    </w:p>
    <w:p>
      <w:pPr>
        <w:pStyle w:val="DGTextstand-alone"/>
      </w:pPr>
      <w:r>
        <w:t>Les coûts de financement garantis sont les coûts supportés par les partenaires chargés de la mise en œuvre pour financer des investissements en fonds propres garantis par l’UE. Sur la base des accords de garantie, l’UE garantit ces coûts, ainsi que les investissements en fonds propres associés.</w:t>
      </w:r>
    </w:p>
    <w:bookmarkEnd w:id="191"/>
    <w:p>
      <w:pPr>
        <w:pStyle w:val="DGTextstand-alone"/>
        <w:sectPr>
          <w:headerReference w:type="default" r:id="rId121"/>
          <w:footerReference w:type="default" r:id="rId122"/>
          <w:type w:val="continuous"/>
          <w:pgSz w:w="11906" w:h="16838"/>
          <w:pgMar w:top="1134" w:right="1134" w:bottom="1134" w:left="1134" w:header="709" w:footer="709" w:gutter="0"/>
          <w:cols w:space="708"/>
          <w:docGrid w:linePitch="360"/>
        </w:sectPr>
      </w:pPr>
    </w:p>
    <w:p>
      <w:pPr>
        <w:pStyle w:val="HEADER2NOTES"/>
        <w:numPr>
          <w:ilvl w:val="1"/>
          <w:numId w:val="15"/>
        </w:numPr>
        <w:spacing w:before="0"/>
        <w:rPr>
          <w:noProof/>
        </w:rPr>
      </w:pPr>
      <w:bookmarkStart w:id="193" w:name="_DMBM_36699"/>
      <w:r>
        <w:rPr>
          <w:noProof/>
        </w:rPr>
        <w:t>MARCHÉS PUBLICS, DÉPENSES ADMINISTRATIVES ET AUTRES DÉPENSES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70"/>
        <w:gridCol w:w="1599"/>
        <w:gridCol w:w="1489"/>
      </w:tblGrid>
      <w:tr>
        <w:trPr>
          <w:trHeight w:val="255"/>
        </w:trPr>
        <w:tc>
          <w:tcPr>
            <w:tcW w:w="6670" w:type="dxa"/>
            <w:tcBorders>
              <w:top w:val="nil"/>
              <w:left w:val="nil"/>
              <w:bottom w:val="nil"/>
              <w:right w:val="nil"/>
              <w:tl2br w:val="nil"/>
              <w:tr2bl w:val="nil"/>
            </w:tcBorders>
            <w:tcMar>
              <w:left w:w="60" w:type="dxa"/>
              <w:right w:w="60" w:type="dxa"/>
            </w:tcMar>
            <w:vAlign w:val="bottom"/>
          </w:tcPr>
          <w:p>
            <w:pPr>
              <w:pStyle w:val="DMETW36751BIPOE"/>
              <w:rPr>
                <w:rFonts w:ascii="Arial" w:eastAsia="Arial" w:hAnsi="Arial" w:cs="Arial"/>
                <w:noProof/>
                <w:color w:val="000000"/>
              </w:rPr>
            </w:pPr>
            <w:bookmarkStart w:id="194" w:name="DOC_TBL00075_1_1"/>
            <w:bookmarkEnd w:id="194"/>
          </w:p>
        </w:tc>
        <w:tc>
          <w:tcPr>
            <w:tcW w:w="1599" w:type="dxa"/>
            <w:tcBorders>
              <w:top w:val="nil"/>
              <w:left w:val="nil"/>
              <w:bottom w:val="nil"/>
              <w:right w:val="nil"/>
              <w:tl2br w:val="nil"/>
              <w:tr2bl w:val="nil"/>
            </w:tcBorders>
            <w:tcMar>
              <w:left w:w="60" w:type="dxa"/>
              <w:right w:w="60" w:type="dxa"/>
            </w:tcMar>
            <w:vAlign w:val="bottom"/>
          </w:tcPr>
          <w:p>
            <w:pPr>
              <w:pStyle w:val="DMETW36751BIPOE"/>
              <w:rPr>
                <w:rFonts w:ascii="Arial" w:eastAsia="Arial" w:hAnsi="Arial" w:cs="Arial"/>
                <w:noProof/>
                <w:color w:val="000000"/>
              </w:rPr>
            </w:pPr>
          </w:p>
        </w:tc>
        <w:tc>
          <w:tcPr>
            <w:tcW w:w="1489" w:type="dxa"/>
            <w:tcBorders>
              <w:top w:val="nil"/>
              <w:left w:val="nil"/>
              <w:bottom w:val="nil"/>
              <w:right w:val="nil"/>
              <w:tl2br w:val="nil"/>
              <w:tr2bl w:val="nil"/>
            </w:tcBorders>
            <w:tcMar>
              <w:left w:w="60" w:type="dxa"/>
              <w:right w:w="60" w:type="dxa"/>
            </w:tcMar>
            <w:vAlign w:val="bottom"/>
          </w:tcPr>
          <w:p>
            <w:pPr>
              <w:pStyle w:val="DMETW36751BIPOE"/>
              <w:jc w:val="right"/>
              <w:rPr>
                <w:rFonts w:ascii="Verdana" w:eastAsia="Verdana" w:hAnsi="Verdana" w:cs="Verdana"/>
                <w:i/>
                <w:noProof/>
                <w:color w:val="000000"/>
                <w:sz w:val="16"/>
              </w:rPr>
            </w:pPr>
            <w:r>
              <w:rPr>
                <w:rFonts w:ascii="Verdana" w:hAnsi="Verdana"/>
                <w:i/>
                <w:noProof/>
                <w:color w:val="000000"/>
                <w:sz w:val="16"/>
              </w:rPr>
              <w:t>en Mio EUR</w:t>
            </w:r>
          </w:p>
        </w:tc>
      </w:tr>
      <w:tr>
        <w:trPr>
          <w:trHeight w:val="255"/>
        </w:trPr>
        <w:tc>
          <w:tcPr>
            <w:tcW w:w="6670" w:type="dxa"/>
            <w:tcBorders>
              <w:top w:val="nil"/>
              <w:left w:val="nil"/>
              <w:bottom w:val="nil"/>
              <w:right w:val="nil"/>
              <w:tl2br w:val="nil"/>
              <w:tr2bl w:val="nil"/>
            </w:tcBorders>
            <w:shd w:val="solid" w:color="016794" w:fill="FFFFFF"/>
            <w:tcMar>
              <w:left w:w="60" w:type="dxa"/>
              <w:right w:w="60" w:type="dxa"/>
            </w:tcMar>
            <w:vAlign w:val="center"/>
          </w:tcPr>
          <w:p>
            <w:pPr>
              <w:pStyle w:val="DMETW36751BIPOE"/>
              <w:jc w:val="right"/>
              <w:rPr>
                <w:rFonts w:ascii="Verdana" w:eastAsia="Verdana" w:hAnsi="Verdana" w:cs="Verdana"/>
                <w:noProof/>
                <w:color w:val="FFFFFF"/>
              </w:rPr>
            </w:pPr>
          </w:p>
        </w:tc>
        <w:tc>
          <w:tcPr>
            <w:tcW w:w="1599" w:type="dxa"/>
            <w:tcBorders>
              <w:top w:val="nil"/>
              <w:left w:val="nil"/>
              <w:bottom w:val="nil"/>
              <w:right w:val="nil"/>
              <w:tl2br w:val="nil"/>
              <w:tr2bl w:val="nil"/>
            </w:tcBorders>
            <w:shd w:val="solid" w:color="016794" w:fill="FFFFFF"/>
            <w:tcMar>
              <w:left w:w="60" w:type="dxa"/>
              <w:right w:w="60" w:type="dxa"/>
            </w:tcMar>
            <w:vAlign w:val="center"/>
          </w:tcPr>
          <w:p>
            <w:pPr>
              <w:pStyle w:val="DMETW36751BIPOE"/>
              <w:jc w:val="right"/>
              <w:rPr>
                <w:rFonts w:ascii="Verdana" w:eastAsia="Verdana" w:hAnsi="Verdana" w:cs="Verdana"/>
                <w:noProof/>
                <w:color w:val="FFFFFF"/>
              </w:rPr>
            </w:pPr>
            <w:r>
              <w:rPr>
                <w:rFonts w:ascii="Verdana" w:hAnsi="Verdana"/>
                <w:noProof/>
                <w:color w:val="FFFFFF"/>
              </w:rPr>
              <w:t>2025</w:t>
            </w:r>
          </w:p>
        </w:tc>
        <w:tc>
          <w:tcPr>
            <w:tcW w:w="1489" w:type="dxa"/>
            <w:tcBorders>
              <w:top w:val="nil"/>
              <w:left w:val="nil"/>
              <w:bottom w:val="nil"/>
              <w:right w:val="nil"/>
              <w:tl2br w:val="nil"/>
              <w:tr2bl w:val="nil"/>
            </w:tcBorders>
            <w:shd w:val="solid" w:color="016794" w:fill="FFFFFF"/>
            <w:tcMar>
              <w:left w:w="60" w:type="dxa"/>
              <w:right w:w="60" w:type="dxa"/>
            </w:tcMar>
            <w:vAlign w:val="center"/>
          </w:tcPr>
          <w:p>
            <w:pPr>
              <w:pStyle w:val="DMETW36751BIPOE"/>
              <w:jc w:val="right"/>
              <w:rPr>
                <w:rFonts w:ascii="Verdana" w:eastAsia="Verdana" w:hAnsi="Verdana" w:cs="Verdana"/>
                <w:noProof/>
                <w:color w:val="FFFFFF"/>
              </w:rPr>
            </w:pPr>
            <w:r>
              <w:rPr>
                <w:rFonts w:ascii="Verdana" w:hAnsi="Verdana"/>
                <w:noProof/>
                <w:color w:val="FFFFFF"/>
              </w:rPr>
              <w:t>2024</w:t>
            </w:r>
          </w:p>
        </w:tc>
      </w:tr>
      <w:tr>
        <w:trPr>
          <w:trHeight w:val="255"/>
        </w:trPr>
        <w:tc>
          <w:tcPr>
            <w:tcW w:w="6670" w:type="dxa"/>
            <w:tcBorders>
              <w:top w:val="nil"/>
              <w:left w:val="nil"/>
              <w:bottom w:val="nil"/>
              <w:right w:val="nil"/>
              <w:tl2br w:val="nil"/>
              <w:tr2bl w:val="nil"/>
            </w:tcBorders>
            <w:tcMar>
              <w:left w:w="60" w:type="dxa"/>
              <w:right w:w="60" w:type="dxa"/>
            </w:tcMar>
            <w:vAlign w:val="center"/>
          </w:tcPr>
          <w:p>
            <w:pPr>
              <w:pStyle w:val="DMETW36751BIPOE"/>
              <w:rPr>
                <w:rFonts w:ascii="Verdana" w:eastAsia="Verdana" w:hAnsi="Verdana" w:cs="Verdana"/>
                <w:i/>
                <w:noProof/>
                <w:color w:val="000000"/>
                <w:sz w:val="18"/>
              </w:rPr>
            </w:pPr>
            <w:r>
              <w:rPr>
                <w:rFonts w:ascii="Verdana" w:hAnsi="Verdana"/>
                <w:i/>
                <w:noProof/>
                <w:color w:val="000000"/>
                <w:sz w:val="18"/>
              </w:rPr>
              <w:t>Dépenses administratives et informatiques et autres dépenses</w:t>
            </w:r>
          </w:p>
        </w:tc>
        <w:tc>
          <w:tcPr>
            <w:tcW w:w="1599" w:type="dxa"/>
            <w:tcBorders>
              <w:top w:val="nil"/>
              <w:left w:val="nil"/>
              <w:bottom w:val="nil"/>
              <w:right w:val="nil"/>
              <w:tl2br w:val="nil"/>
              <w:tr2bl w:val="nil"/>
            </w:tcBorders>
            <w:tcMar>
              <w:left w:w="60" w:type="dxa"/>
              <w:right w:w="60" w:type="dxa"/>
            </w:tcMar>
            <w:vAlign w:val="center"/>
          </w:tcPr>
          <w:p>
            <w:pPr>
              <w:pStyle w:val="DMETW36751BIPOE"/>
              <w:jc w:val="right"/>
              <w:rPr>
                <w:rFonts w:ascii="Verdana" w:eastAsia="Verdana" w:hAnsi="Verdana" w:cs="Verdana"/>
                <w:i/>
                <w:noProof/>
                <w:color w:val="000000"/>
                <w:sz w:val="18"/>
              </w:rPr>
            </w:pPr>
            <w:r>
              <w:rPr>
                <w:rFonts w:ascii="Verdana" w:hAnsi="Verdana"/>
                <w:i/>
                <w:noProof/>
                <w:color w:val="000000"/>
                <w:sz w:val="18"/>
              </w:rPr>
              <w:t>6 687</w:t>
            </w:r>
          </w:p>
        </w:tc>
        <w:tc>
          <w:tcPr>
            <w:tcW w:w="1489" w:type="dxa"/>
            <w:tcBorders>
              <w:top w:val="nil"/>
              <w:left w:val="nil"/>
              <w:bottom w:val="nil"/>
              <w:right w:val="nil"/>
              <w:tl2br w:val="nil"/>
              <w:tr2bl w:val="nil"/>
            </w:tcBorders>
            <w:tcMar>
              <w:left w:w="60" w:type="dxa"/>
              <w:right w:w="60" w:type="dxa"/>
            </w:tcMar>
            <w:vAlign w:val="center"/>
          </w:tcPr>
          <w:p>
            <w:pPr>
              <w:pStyle w:val="DMETW36751BIPOE"/>
              <w:jc w:val="right"/>
              <w:rPr>
                <w:rFonts w:ascii="Verdana" w:eastAsia="Verdana" w:hAnsi="Verdana" w:cs="Verdana"/>
                <w:i/>
                <w:noProof/>
                <w:color w:val="000000"/>
                <w:sz w:val="18"/>
              </w:rPr>
            </w:pPr>
            <w:r>
              <w:rPr>
                <w:rFonts w:ascii="Verdana" w:hAnsi="Verdana"/>
                <w:i/>
                <w:noProof/>
                <w:color w:val="000000"/>
                <w:sz w:val="18"/>
              </w:rPr>
              <w:t>3 956</w:t>
            </w:r>
          </w:p>
        </w:tc>
      </w:tr>
      <w:tr>
        <w:trPr>
          <w:trHeight w:val="255"/>
        </w:trPr>
        <w:tc>
          <w:tcPr>
            <w:tcW w:w="6670" w:type="dxa"/>
            <w:tcBorders>
              <w:top w:val="nil"/>
              <w:left w:val="nil"/>
              <w:bottom w:val="nil"/>
              <w:right w:val="nil"/>
              <w:tl2br w:val="nil"/>
              <w:tr2bl w:val="nil"/>
            </w:tcBorders>
            <w:tcMar>
              <w:left w:w="60" w:type="dxa"/>
              <w:right w:w="60" w:type="dxa"/>
            </w:tcMar>
            <w:vAlign w:val="center"/>
          </w:tcPr>
          <w:p>
            <w:pPr>
              <w:pStyle w:val="DMETW36751BIPOE"/>
              <w:rPr>
                <w:rFonts w:ascii="Verdana" w:eastAsia="Verdana" w:hAnsi="Verdana" w:cs="Verdana"/>
                <w:i/>
                <w:noProof/>
                <w:color w:val="000000"/>
                <w:sz w:val="18"/>
              </w:rPr>
            </w:pPr>
            <w:r>
              <w:rPr>
                <w:rFonts w:ascii="Verdana" w:hAnsi="Verdana"/>
                <w:i/>
                <w:noProof/>
                <w:color w:val="000000"/>
                <w:sz w:val="18"/>
              </w:rPr>
              <w:t>Dépenses liées aux immobilisations et dépenses de gestion de terrains et bâtiments</w:t>
            </w:r>
          </w:p>
        </w:tc>
        <w:tc>
          <w:tcPr>
            <w:tcW w:w="1599" w:type="dxa"/>
            <w:tcBorders>
              <w:top w:val="nil"/>
              <w:left w:val="nil"/>
              <w:bottom w:val="nil"/>
              <w:right w:val="nil"/>
              <w:tl2br w:val="nil"/>
              <w:tr2bl w:val="nil"/>
            </w:tcBorders>
            <w:tcMar>
              <w:left w:w="60" w:type="dxa"/>
              <w:right w:w="60" w:type="dxa"/>
            </w:tcMar>
            <w:vAlign w:val="center"/>
          </w:tcPr>
          <w:p>
            <w:pPr>
              <w:pStyle w:val="DMETW36751BIPOE"/>
              <w:jc w:val="right"/>
              <w:rPr>
                <w:rFonts w:ascii="Verdana" w:eastAsia="Verdana" w:hAnsi="Verdana" w:cs="Verdana"/>
                <w:i/>
                <w:noProof/>
                <w:color w:val="000000"/>
                <w:sz w:val="18"/>
              </w:rPr>
            </w:pPr>
            <w:r>
              <w:rPr>
                <w:rFonts w:ascii="Verdana" w:hAnsi="Verdana"/>
                <w:i/>
                <w:noProof/>
                <w:color w:val="000000"/>
                <w:sz w:val="18"/>
              </w:rPr>
              <w:t>2 164</w:t>
            </w:r>
          </w:p>
        </w:tc>
        <w:tc>
          <w:tcPr>
            <w:tcW w:w="1489" w:type="dxa"/>
            <w:tcBorders>
              <w:top w:val="nil"/>
              <w:left w:val="nil"/>
              <w:bottom w:val="nil"/>
              <w:right w:val="nil"/>
              <w:tl2br w:val="nil"/>
              <w:tr2bl w:val="nil"/>
            </w:tcBorders>
            <w:tcMar>
              <w:left w:w="60" w:type="dxa"/>
              <w:right w:w="60" w:type="dxa"/>
            </w:tcMar>
            <w:vAlign w:val="center"/>
          </w:tcPr>
          <w:p>
            <w:pPr>
              <w:pStyle w:val="DMETW36751BIPOE"/>
              <w:jc w:val="right"/>
              <w:rPr>
                <w:rFonts w:ascii="Verdana" w:eastAsia="Verdana" w:hAnsi="Verdana" w:cs="Verdana"/>
                <w:i/>
                <w:noProof/>
                <w:color w:val="000000"/>
                <w:sz w:val="18"/>
              </w:rPr>
            </w:pPr>
            <w:r>
              <w:rPr>
                <w:rFonts w:ascii="Verdana" w:hAnsi="Verdana"/>
                <w:i/>
                <w:noProof/>
                <w:color w:val="000000"/>
                <w:sz w:val="18"/>
              </w:rPr>
              <w:t>2 662</w:t>
            </w:r>
          </w:p>
        </w:tc>
      </w:tr>
      <w:tr>
        <w:trPr>
          <w:trHeight w:val="255"/>
        </w:trPr>
        <w:tc>
          <w:tcPr>
            <w:tcW w:w="6670" w:type="dxa"/>
            <w:tcBorders>
              <w:top w:val="nil"/>
              <w:left w:val="nil"/>
              <w:bottom w:val="nil"/>
              <w:right w:val="nil"/>
              <w:tl2br w:val="nil"/>
              <w:tr2bl w:val="nil"/>
            </w:tcBorders>
            <w:tcMar>
              <w:left w:w="60" w:type="dxa"/>
              <w:right w:w="60" w:type="dxa"/>
            </w:tcMar>
            <w:vAlign w:val="center"/>
          </w:tcPr>
          <w:p>
            <w:pPr>
              <w:pStyle w:val="DMETW36751BIPOE"/>
              <w:rPr>
                <w:rFonts w:ascii="Verdana" w:eastAsia="Verdana" w:hAnsi="Verdana" w:cs="Verdana"/>
                <w:i/>
                <w:noProof/>
                <w:color w:val="000000"/>
                <w:sz w:val="18"/>
              </w:rPr>
            </w:pPr>
            <w:r>
              <w:rPr>
                <w:rFonts w:ascii="Verdana" w:hAnsi="Verdana"/>
                <w:i/>
                <w:noProof/>
                <w:color w:val="000000"/>
                <w:sz w:val="18"/>
              </w:rPr>
              <w:t>Pertes de change</w:t>
            </w:r>
          </w:p>
        </w:tc>
        <w:tc>
          <w:tcPr>
            <w:tcW w:w="1599" w:type="dxa"/>
            <w:tcBorders>
              <w:top w:val="nil"/>
              <w:left w:val="nil"/>
              <w:bottom w:val="nil"/>
              <w:right w:val="nil"/>
              <w:tl2br w:val="nil"/>
              <w:tr2bl w:val="nil"/>
            </w:tcBorders>
            <w:tcMar>
              <w:left w:w="60" w:type="dxa"/>
              <w:right w:w="60" w:type="dxa"/>
            </w:tcMar>
            <w:vAlign w:val="center"/>
          </w:tcPr>
          <w:p>
            <w:pPr>
              <w:pStyle w:val="DMETW36751BIPOE"/>
              <w:jc w:val="right"/>
              <w:rPr>
                <w:rFonts w:ascii="Verdana" w:eastAsia="Verdana" w:hAnsi="Verdana" w:cs="Verdana"/>
                <w:i/>
                <w:noProof/>
                <w:color w:val="000000"/>
                <w:sz w:val="18"/>
              </w:rPr>
            </w:pPr>
            <w:r>
              <w:rPr>
                <w:rFonts w:ascii="Verdana" w:hAnsi="Verdana"/>
                <w:i/>
                <w:noProof/>
                <w:color w:val="000000"/>
                <w:sz w:val="18"/>
              </w:rPr>
              <w:t xml:space="preserve"> 621</w:t>
            </w:r>
          </w:p>
        </w:tc>
        <w:tc>
          <w:tcPr>
            <w:tcW w:w="1489" w:type="dxa"/>
            <w:tcBorders>
              <w:top w:val="nil"/>
              <w:left w:val="nil"/>
              <w:bottom w:val="nil"/>
              <w:right w:val="nil"/>
              <w:tl2br w:val="nil"/>
              <w:tr2bl w:val="nil"/>
            </w:tcBorders>
            <w:tcMar>
              <w:left w:w="60" w:type="dxa"/>
              <w:right w:w="60" w:type="dxa"/>
            </w:tcMar>
            <w:vAlign w:val="center"/>
          </w:tcPr>
          <w:p>
            <w:pPr>
              <w:pStyle w:val="DMETW36751BIPOE"/>
              <w:jc w:val="right"/>
              <w:rPr>
                <w:rFonts w:ascii="Verdana" w:eastAsia="Verdana" w:hAnsi="Verdana" w:cs="Verdana"/>
                <w:i/>
                <w:noProof/>
                <w:color w:val="000000"/>
                <w:sz w:val="18"/>
              </w:rPr>
            </w:pPr>
            <w:r>
              <w:rPr>
                <w:rFonts w:ascii="Verdana" w:hAnsi="Verdana"/>
                <w:i/>
                <w:noProof/>
                <w:color w:val="000000"/>
                <w:sz w:val="18"/>
              </w:rPr>
              <w:t xml:space="preserve"> 282</w:t>
            </w:r>
          </w:p>
        </w:tc>
      </w:tr>
      <w:tr>
        <w:trPr>
          <w:trHeight w:val="255"/>
        </w:trPr>
        <w:tc>
          <w:tcPr>
            <w:tcW w:w="6670" w:type="dxa"/>
            <w:tcBorders>
              <w:top w:val="nil"/>
              <w:left w:val="nil"/>
              <w:bottom w:val="nil"/>
              <w:right w:val="nil"/>
              <w:tl2br w:val="nil"/>
              <w:tr2bl w:val="nil"/>
            </w:tcBorders>
            <w:tcMar>
              <w:left w:w="60" w:type="dxa"/>
              <w:right w:w="60" w:type="dxa"/>
            </w:tcMar>
            <w:vAlign w:val="center"/>
          </w:tcPr>
          <w:p>
            <w:pPr>
              <w:pStyle w:val="DMETW36751BIPOE"/>
              <w:rPr>
                <w:rFonts w:ascii="Verdana" w:eastAsia="Verdana" w:hAnsi="Verdana" w:cs="Verdana"/>
                <w:i/>
                <w:noProof/>
                <w:color w:val="000000"/>
                <w:sz w:val="18"/>
              </w:rPr>
            </w:pPr>
            <w:r>
              <w:rPr>
                <w:rFonts w:ascii="Verdana" w:hAnsi="Verdana"/>
                <w:i/>
                <w:noProof/>
                <w:color w:val="000000"/>
                <w:sz w:val="18"/>
              </w:rPr>
              <w:t>Frais liés aux contrats de location simple</w:t>
            </w:r>
          </w:p>
        </w:tc>
        <w:tc>
          <w:tcPr>
            <w:tcW w:w="1599" w:type="dxa"/>
            <w:tcBorders>
              <w:top w:val="nil"/>
              <w:left w:val="nil"/>
              <w:bottom w:val="nil"/>
              <w:right w:val="nil"/>
              <w:tl2br w:val="nil"/>
              <w:tr2bl w:val="nil"/>
            </w:tcBorders>
            <w:tcMar>
              <w:left w:w="60" w:type="dxa"/>
              <w:right w:w="60" w:type="dxa"/>
            </w:tcMar>
            <w:vAlign w:val="center"/>
          </w:tcPr>
          <w:p>
            <w:pPr>
              <w:pStyle w:val="DMETW36751BIPOE"/>
              <w:jc w:val="right"/>
              <w:rPr>
                <w:rFonts w:ascii="Verdana" w:eastAsia="Verdana" w:hAnsi="Verdana" w:cs="Verdana"/>
                <w:i/>
                <w:noProof/>
                <w:color w:val="000000"/>
                <w:sz w:val="18"/>
              </w:rPr>
            </w:pPr>
            <w:r>
              <w:rPr>
                <w:rFonts w:ascii="Verdana" w:hAnsi="Verdana"/>
                <w:i/>
                <w:noProof/>
                <w:color w:val="000000"/>
                <w:sz w:val="18"/>
              </w:rPr>
              <w:t xml:space="preserve"> 589</w:t>
            </w:r>
          </w:p>
        </w:tc>
        <w:tc>
          <w:tcPr>
            <w:tcW w:w="1489" w:type="dxa"/>
            <w:tcBorders>
              <w:top w:val="nil"/>
              <w:left w:val="nil"/>
              <w:bottom w:val="nil"/>
              <w:right w:val="nil"/>
              <w:tl2br w:val="nil"/>
              <w:tr2bl w:val="nil"/>
            </w:tcBorders>
            <w:tcMar>
              <w:left w:w="60" w:type="dxa"/>
              <w:right w:w="60" w:type="dxa"/>
            </w:tcMar>
            <w:vAlign w:val="center"/>
          </w:tcPr>
          <w:p>
            <w:pPr>
              <w:pStyle w:val="DMETW36751BIPOE"/>
              <w:jc w:val="right"/>
              <w:rPr>
                <w:rFonts w:ascii="Verdana" w:eastAsia="Verdana" w:hAnsi="Verdana" w:cs="Verdana"/>
                <w:i/>
                <w:noProof/>
                <w:color w:val="000000"/>
                <w:sz w:val="18"/>
              </w:rPr>
            </w:pPr>
            <w:r>
              <w:rPr>
                <w:rFonts w:ascii="Verdana" w:hAnsi="Verdana"/>
                <w:i/>
                <w:noProof/>
                <w:color w:val="000000"/>
                <w:sz w:val="18"/>
              </w:rPr>
              <w:t xml:space="preserve"> 560</w:t>
            </w:r>
          </w:p>
        </w:tc>
      </w:tr>
      <w:tr>
        <w:trPr>
          <w:trHeight w:val="255"/>
        </w:trPr>
        <w:tc>
          <w:tcPr>
            <w:tcW w:w="6670" w:type="dxa"/>
            <w:tcBorders>
              <w:top w:val="nil"/>
              <w:left w:val="nil"/>
              <w:bottom w:val="nil"/>
              <w:right w:val="nil"/>
              <w:tl2br w:val="nil"/>
              <w:tr2bl w:val="nil"/>
            </w:tcBorders>
            <w:tcMar>
              <w:left w:w="60" w:type="dxa"/>
              <w:right w:w="60" w:type="dxa"/>
            </w:tcMar>
            <w:vAlign w:val="center"/>
          </w:tcPr>
          <w:p>
            <w:pPr>
              <w:pStyle w:val="DMETW36751BIPOE"/>
              <w:rPr>
                <w:rFonts w:ascii="Verdana" w:eastAsia="Verdana" w:hAnsi="Verdana" w:cs="Verdana"/>
                <w:i/>
                <w:noProof/>
                <w:color w:val="000000"/>
                <w:sz w:val="18"/>
              </w:rPr>
            </w:pPr>
            <w:r>
              <w:rPr>
                <w:rFonts w:ascii="Verdana" w:hAnsi="Verdana"/>
                <w:i/>
                <w:noProof/>
                <w:color w:val="000000"/>
                <w:sz w:val="18"/>
              </w:rPr>
              <w:t>Ajustements des provisions</w:t>
            </w:r>
          </w:p>
        </w:tc>
        <w:tc>
          <w:tcPr>
            <w:tcW w:w="1599" w:type="dxa"/>
            <w:tcBorders>
              <w:top w:val="nil"/>
              <w:left w:val="nil"/>
              <w:bottom w:val="nil"/>
              <w:right w:val="nil"/>
              <w:tl2br w:val="nil"/>
              <w:tr2bl w:val="nil"/>
            </w:tcBorders>
            <w:tcMar>
              <w:left w:w="60" w:type="dxa"/>
              <w:right w:w="60" w:type="dxa"/>
            </w:tcMar>
            <w:vAlign w:val="center"/>
          </w:tcPr>
          <w:p>
            <w:pPr>
              <w:pStyle w:val="DMETW36751BIPOE"/>
              <w:jc w:val="right"/>
              <w:rPr>
                <w:rFonts w:ascii="Verdana" w:eastAsia="Verdana" w:hAnsi="Verdana" w:cs="Verdana"/>
                <w:i/>
                <w:noProof/>
                <w:color w:val="000000"/>
                <w:sz w:val="18"/>
              </w:rPr>
            </w:pPr>
            <w:r>
              <w:rPr>
                <w:rFonts w:ascii="Verdana" w:hAnsi="Verdana"/>
                <w:i/>
                <w:noProof/>
                <w:color w:val="000000"/>
                <w:sz w:val="18"/>
              </w:rPr>
              <w:t xml:space="preserve"> 458</w:t>
            </w:r>
          </w:p>
        </w:tc>
        <w:tc>
          <w:tcPr>
            <w:tcW w:w="1489" w:type="dxa"/>
            <w:tcBorders>
              <w:top w:val="nil"/>
              <w:left w:val="nil"/>
              <w:bottom w:val="nil"/>
              <w:right w:val="nil"/>
              <w:tl2br w:val="nil"/>
              <w:tr2bl w:val="nil"/>
            </w:tcBorders>
            <w:tcMar>
              <w:left w:w="60" w:type="dxa"/>
              <w:right w:w="60" w:type="dxa"/>
            </w:tcMar>
            <w:vAlign w:val="center"/>
          </w:tcPr>
          <w:p>
            <w:pPr>
              <w:pStyle w:val="DMETW36751BIPOE"/>
              <w:jc w:val="right"/>
              <w:rPr>
                <w:rFonts w:ascii="Verdana" w:eastAsia="Verdana" w:hAnsi="Verdana" w:cs="Verdana"/>
                <w:i/>
                <w:noProof/>
                <w:color w:val="000000"/>
                <w:sz w:val="18"/>
              </w:rPr>
            </w:pPr>
            <w:r>
              <w:rPr>
                <w:rFonts w:ascii="Verdana" w:hAnsi="Verdana"/>
                <w:i/>
                <w:noProof/>
                <w:color w:val="000000"/>
                <w:sz w:val="18"/>
              </w:rPr>
              <w:t xml:space="preserve"> 415</w:t>
            </w:r>
          </w:p>
        </w:tc>
      </w:tr>
      <w:tr>
        <w:trPr>
          <w:trHeight w:val="255"/>
        </w:trPr>
        <w:tc>
          <w:tcPr>
            <w:tcW w:w="6670" w:type="dxa"/>
            <w:tcBorders>
              <w:top w:val="nil"/>
              <w:left w:val="nil"/>
              <w:bottom w:val="nil"/>
              <w:right w:val="nil"/>
              <w:tl2br w:val="nil"/>
              <w:tr2bl w:val="nil"/>
            </w:tcBorders>
            <w:tcMar>
              <w:left w:w="60" w:type="dxa"/>
              <w:right w:w="60" w:type="dxa"/>
            </w:tcMar>
            <w:vAlign w:val="center"/>
          </w:tcPr>
          <w:p>
            <w:pPr>
              <w:pStyle w:val="DMETW36751BIPOE"/>
              <w:rPr>
                <w:rFonts w:ascii="Verdana" w:eastAsia="Verdana" w:hAnsi="Verdana" w:cs="Verdana"/>
                <w:i/>
                <w:noProof/>
                <w:color w:val="000000"/>
                <w:sz w:val="18"/>
              </w:rPr>
            </w:pPr>
            <w:r>
              <w:rPr>
                <w:rFonts w:ascii="Verdana" w:hAnsi="Verdana"/>
                <w:i/>
                <w:noProof/>
                <w:color w:val="000000"/>
                <w:sz w:val="18"/>
              </w:rPr>
              <w:t>Réduction d’amendes sur décision de la Cour de justice</w:t>
            </w:r>
          </w:p>
        </w:tc>
        <w:tc>
          <w:tcPr>
            <w:tcW w:w="1599" w:type="dxa"/>
            <w:tcBorders>
              <w:top w:val="nil"/>
              <w:left w:val="nil"/>
              <w:bottom w:val="nil"/>
              <w:right w:val="nil"/>
              <w:tl2br w:val="nil"/>
              <w:tr2bl w:val="nil"/>
            </w:tcBorders>
            <w:tcMar>
              <w:left w:w="60" w:type="dxa"/>
              <w:right w:w="60" w:type="dxa"/>
            </w:tcMar>
            <w:vAlign w:val="center"/>
          </w:tcPr>
          <w:p>
            <w:pPr>
              <w:pStyle w:val="DMETW36751BIPOE"/>
              <w:jc w:val="right"/>
              <w:rPr>
                <w:rFonts w:ascii="Verdana" w:eastAsia="Verdana" w:hAnsi="Verdana" w:cs="Verdana"/>
                <w:i/>
                <w:noProof/>
                <w:color w:val="000000"/>
                <w:sz w:val="18"/>
              </w:rPr>
            </w:pPr>
            <w:r>
              <w:rPr>
                <w:rFonts w:ascii="Verdana" w:hAnsi="Verdana"/>
                <w:i/>
                <w:noProof/>
                <w:color w:val="000000"/>
                <w:sz w:val="18"/>
              </w:rPr>
              <w:t xml:space="preserve"> 214</w:t>
            </w:r>
          </w:p>
        </w:tc>
        <w:tc>
          <w:tcPr>
            <w:tcW w:w="1489" w:type="dxa"/>
            <w:tcBorders>
              <w:top w:val="nil"/>
              <w:left w:val="nil"/>
              <w:bottom w:val="nil"/>
              <w:right w:val="nil"/>
              <w:tl2br w:val="nil"/>
              <w:tr2bl w:val="nil"/>
            </w:tcBorders>
            <w:tcMar>
              <w:left w:w="60" w:type="dxa"/>
              <w:right w:w="60" w:type="dxa"/>
            </w:tcMar>
            <w:vAlign w:val="center"/>
          </w:tcPr>
          <w:p>
            <w:pPr>
              <w:pStyle w:val="DMETW36751BIPOE"/>
              <w:jc w:val="right"/>
              <w:rPr>
                <w:rFonts w:ascii="Verdana" w:eastAsia="Verdana" w:hAnsi="Verdana" w:cs="Verdana"/>
                <w:i/>
                <w:noProof/>
                <w:color w:val="000000"/>
                <w:sz w:val="18"/>
              </w:rPr>
            </w:pPr>
            <w:r>
              <w:rPr>
                <w:rFonts w:ascii="Verdana" w:hAnsi="Verdana"/>
                <w:i/>
                <w:noProof/>
                <w:color w:val="000000"/>
                <w:sz w:val="18"/>
              </w:rPr>
              <w:t>1 123</w:t>
            </w:r>
          </w:p>
        </w:tc>
      </w:tr>
      <w:tr>
        <w:trPr>
          <w:trHeight w:val="255"/>
        </w:trPr>
        <w:tc>
          <w:tcPr>
            <w:tcW w:w="6670" w:type="dxa"/>
            <w:tcBorders>
              <w:top w:val="nil"/>
              <w:left w:val="nil"/>
              <w:bottom w:val="nil"/>
              <w:right w:val="nil"/>
              <w:tl2br w:val="nil"/>
              <w:tr2bl w:val="nil"/>
            </w:tcBorders>
            <w:shd w:val="solid" w:color="CCE1EA" w:fill="FFFFFF"/>
            <w:tcMar>
              <w:left w:w="60" w:type="dxa"/>
              <w:right w:w="60" w:type="dxa"/>
            </w:tcMar>
            <w:vAlign w:val="center"/>
          </w:tcPr>
          <w:p>
            <w:pPr>
              <w:pStyle w:val="DMETW36751BIPOE"/>
              <w:rPr>
                <w:rFonts w:ascii="Verdana" w:eastAsia="Verdana" w:hAnsi="Verdana" w:cs="Verdana"/>
                <w:b/>
                <w:noProof/>
                <w:color w:val="000000"/>
                <w:sz w:val="18"/>
              </w:rPr>
            </w:pPr>
            <w:r>
              <w:rPr>
                <w:rFonts w:ascii="Verdana" w:hAnsi="Verdana"/>
                <w:b/>
                <w:noProof/>
                <w:color w:val="000000"/>
                <w:sz w:val="18"/>
              </w:rPr>
              <w:t>Total</w:t>
            </w:r>
          </w:p>
        </w:tc>
        <w:tc>
          <w:tcPr>
            <w:tcW w:w="1599" w:type="dxa"/>
            <w:tcBorders>
              <w:top w:val="nil"/>
              <w:left w:val="nil"/>
              <w:bottom w:val="nil"/>
              <w:right w:val="nil"/>
              <w:tl2br w:val="nil"/>
              <w:tr2bl w:val="nil"/>
            </w:tcBorders>
            <w:shd w:val="solid" w:color="CCE1EA" w:fill="FFFFFF"/>
            <w:tcMar>
              <w:left w:w="60" w:type="dxa"/>
              <w:right w:w="60" w:type="dxa"/>
            </w:tcMar>
            <w:vAlign w:val="center"/>
          </w:tcPr>
          <w:p>
            <w:pPr>
              <w:pStyle w:val="DMETW36751BIPOE"/>
              <w:jc w:val="right"/>
              <w:rPr>
                <w:rFonts w:ascii="Verdana" w:eastAsia="Verdana" w:hAnsi="Verdana" w:cs="Verdana"/>
                <w:b/>
                <w:noProof/>
                <w:color w:val="000000"/>
                <w:sz w:val="18"/>
              </w:rPr>
            </w:pPr>
            <w:r>
              <w:rPr>
                <w:rFonts w:ascii="Verdana" w:hAnsi="Verdana"/>
                <w:b/>
                <w:noProof/>
                <w:color w:val="000000"/>
                <w:sz w:val="18"/>
              </w:rPr>
              <w:t>10 733</w:t>
            </w:r>
          </w:p>
        </w:tc>
        <w:tc>
          <w:tcPr>
            <w:tcW w:w="1489" w:type="dxa"/>
            <w:tcBorders>
              <w:top w:val="nil"/>
              <w:left w:val="nil"/>
              <w:bottom w:val="nil"/>
              <w:right w:val="nil"/>
              <w:tl2br w:val="nil"/>
              <w:tr2bl w:val="nil"/>
            </w:tcBorders>
            <w:shd w:val="solid" w:color="CCE1EA" w:fill="FFFFFF"/>
            <w:tcMar>
              <w:left w:w="60" w:type="dxa"/>
              <w:right w:w="60" w:type="dxa"/>
            </w:tcMar>
            <w:vAlign w:val="center"/>
          </w:tcPr>
          <w:p>
            <w:pPr>
              <w:pStyle w:val="DMETW36751BIPOE"/>
              <w:jc w:val="right"/>
              <w:rPr>
                <w:rFonts w:ascii="Verdana" w:eastAsia="Verdana" w:hAnsi="Verdana" w:cs="Verdana"/>
                <w:b/>
                <w:noProof/>
                <w:color w:val="000000"/>
                <w:sz w:val="18"/>
              </w:rPr>
            </w:pPr>
            <w:r>
              <w:rPr>
                <w:rFonts w:ascii="Verdana" w:hAnsi="Verdana"/>
                <w:b/>
                <w:noProof/>
                <w:color w:val="000000"/>
                <w:sz w:val="18"/>
              </w:rPr>
              <w:t>8 997</w:t>
            </w:r>
          </w:p>
        </w:tc>
      </w:tr>
    </w:tbl>
    <w:p>
      <w:pPr>
        <w:pStyle w:val="DGTextstand-alone"/>
      </w:pPr>
      <w:r>
        <w:t>Les dépenses administratives et informatiques et autres dépenses comprennent principalement les frais de conseil (1,5 milliard d’EUR), les dépenses liées à l’informatique (1,3 milliard d’EUR) et divers frais de fonctionnement (2,3 milliards d’EUR), par exemple les fournitures de bureau, les événements, les conférences et les dépenses de communication.</w:t>
      </w:r>
    </w:p>
    <w:p>
      <w:pPr>
        <w:pStyle w:val="DGTextstand-alone"/>
      </w:pPr>
      <w:r>
        <w:t xml:space="preserve">La ligne «Réduction d’amendes sur décision de la Cour de justice» présente un montant inférieur en 2025 par rapport à 2024, étant donné que des amendes de montants relativement plus faibles ont été annulées en 2025 par rapport à 2024 (année au cours de laquelle une amende de 432 millions d’EUR a </w:t>
      </w:r>
      <w:r>
        <w:lastRenderedPageBreak/>
        <w:t>été annulée parce que la Commission a retiré la décision d’infliger une amende à Illumina/Grail dans le cadre d’une procédure de concentration, et au cours de laquelle une amende de 684 millions d’EUR infligée en 2009 à Intel a été partiellement annulée à la suite d’une décision rendue par la Cour de justice en octobre 2024).</w:t>
      </w:r>
    </w:p>
    <w:p>
      <w:pPr>
        <w:pStyle w:val="DGTextstand-alone"/>
      </w:pPr>
      <w:r>
        <w:t>Le montant total des dépenses de recherche et développement comptabilisé comme une dépense au cours de l’exercice 2025 est le suivant: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46"/>
        <w:gridCol w:w="1506"/>
        <w:gridCol w:w="1506"/>
      </w:tblGrid>
      <w:tr>
        <w:trPr>
          <w:trHeight w:val="255"/>
        </w:trPr>
        <w:tc>
          <w:tcPr>
            <w:tcW w:w="6746" w:type="dxa"/>
            <w:tcBorders>
              <w:top w:val="nil"/>
              <w:left w:val="nil"/>
              <w:bottom w:val="nil"/>
              <w:right w:val="nil"/>
              <w:tl2br w:val="nil"/>
              <w:tr2bl w:val="nil"/>
            </w:tcBorders>
            <w:tcMar>
              <w:left w:w="60" w:type="dxa"/>
              <w:right w:w="60" w:type="dxa"/>
            </w:tcMar>
            <w:vAlign w:val="bottom"/>
          </w:tcPr>
          <w:p>
            <w:pPr>
              <w:pStyle w:val="DMETW36751BIPRD"/>
              <w:rPr>
                <w:rFonts w:ascii="Arial" w:eastAsia="Arial" w:hAnsi="Arial" w:cs="Arial"/>
                <w:noProof/>
                <w:color w:val="000000"/>
              </w:rPr>
            </w:pPr>
            <w:bookmarkStart w:id="195" w:name="DOC_TBL00076_1_1"/>
            <w:bookmarkEnd w:id="195"/>
          </w:p>
        </w:tc>
        <w:tc>
          <w:tcPr>
            <w:tcW w:w="1506" w:type="dxa"/>
            <w:tcBorders>
              <w:top w:val="nil"/>
              <w:left w:val="nil"/>
              <w:bottom w:val="nil"/>
              <w:right w:val="nil"/>
              <w:tl2br w:val="nil"/>
              <w:tr2bl w:val="nil"/>
            </w:tcBorders>
            <w:tcMar>
              <w:left w:w="60" w:type="dxa"/>
              <w:right w:w="60" w:type="dxa"/>
            </w:tcMar>
            <w:vAlign w:val="bottom"/>
          </w:tcPr>
          <w:p>
            <w:pPr>
              <w:pStyle w:val="DMETW36751BIPRD"/>
              <w:rPr>
                <w:rFonts w:ascii="Arial" w:eastAsia="Arial" w:hAnsi="Arial" w:cs="Arial"/>
                <w:noProof/>
                <w:color w:val="000000"/>
              </w:rPr>
            </w:pPr>
          </w:p>
        </w:tc>
        <w:tc>
          <w:tcPr>
            <w:tcW w:w="1506" w:type="dxa"/>
            <w:tcBorders>
              <w:top w:val="nil"/>
              <w:left w:val="nil"/>
              <w:bottom w:val="nil"/>
              <w:right w:val="nil"/>
              <w:tl2br w:val="nil"/>
              <w:tr2bl w:val="nil"/>
            </w:tcBorders>
            <w:tcMar>
              <w:left w:w="60" w:type="dxa"/>
              <w:right w:w="60" w:type="dxa"/>
            </w:tcMar>
            <w:vAlign w:val="bottom"/>
          </w:tcPr>
          <w:p>
            <w:pPr>
              <w:pStyle w:val="DMETW36751BIPRD"/>
              <w:jc w:val="right"/>
              <w:rPr>
                <w:rFonts w:ascii="Verdana" w:eastAsia="Verdana" w:hAnsi="Verdana" w:cs="Verdana"/>
                <w:i/>
                <w:noProof/>
                <w:color w:val="000000"/>
                <w:sz w:val="16"/>
              </w:rPr>
            </w:pPr>
            <w:r>
              <w:rPr>
                <w:rFonts w:ascii="Verdana" w:hAnsi="Verdana"/>
                <w:i/>
                <w:noProof/>
                <w:color w:val="000000"/>
                <w:sz w:val="16"/>
              </w:rPr>
              <w:t>en Mio EUR</w:t>
            </w:r>
          </w:p>
        </w:tc>
      </w:tr>
      <w:tr>
        <w:trPr>
          <w:trHeight w:val="255"/>
        </w:trPr>
        <w:tc>
          <w:tcPr>
            <w:tcW w:w="6746" w:type="dxa"/>
            <w:tcBorders>
              <w:top w:val="nil"/>
              <w:left w:val="nil"/>
              <w:bottom w:val="nil"/>
              <w:right w:val="nil"/>
              <w:tl2br w:val="nil"/>
              <w:tr2bl w:val="nil"/>
            </w:tcBorders>
            <w:shd w:val="solid" w:color="016794" w:fill="FFFFFF"/>
            <w:tcMar>
              <w:left w:w="60" w:type="dxa"/>
              <w:right w:w="60" w:type="dxa"/>
            </w:tcMar>
            <w:vAlign w:val="center"/>
          </w:tcPr>
          <w:p>
            <w:pPr>
              <w:pStyle w:val="DMETW36751BIPRD"/>
              <w:jc w:val="right"/>
              <w:rPr>
                <w:rFonts w:ascii="Verdana" w:eastAsia="Verdana" w:hAnsi="Verdana" w:cs="Verdana"/>
                <w:noProof/>
                <w:color w:val="FFFFFF"/>
              </w:rPr>
            </w:pPr>
          </w:p>
        </w:tc>
        <w:tc>
          <w:tcPr>
            <w:tcW w:w="1506" w:type="dxa"/>
            <w:tcBorders>
              <w:top w:val="nil"/>
              <w:left w:val="nil"/>
              <w:bottom w:val="nil"/>
              <w:right w:val="nil"/>
              <w:tl2br w:val="nil"/>
              <w:tr2bl w:val="nil"/>
            </w:tcBorders>
            <w:shd w:val="solid" w:color="016794" w:fill="FFFFFF"/>
            <w:tcMar>
              <w:left w:w="60" w:type="dxa"/>
              <w:right w:w="60" w:type="dxa"/>
            </w:tcMar>
            <w:vAlign w:val="center"/>
          </w:tcPr>
          <w:p>
            <w:pPr>
              <w:pStyle w:val="DMETW36751BIPRD"/>
              <w:jc w:val="right"/>
              <w:rPr>
                <w:rFonts w:ascii="Verdana" w:eastAsia="Verdana" w:hAnsi="Verdana" w:cs="Verdana"/>
                <w:noProof/>
                <w:color w:val="FFFFFF"/>
              </w:rPr>
            </w:pPr>
            <w:r>
              <w:rPr>
                <w:rFonts w:ascii="Verdana" w:hAnsi="Verdana"/>
                <w:noProof/>
                <w:color w:val="FFFFFF"/>
              </w:rPr>
              <w:t>2025</w:t>
            </w:r>
          </w:p>
        </w:tc>
        <w:tc>
          <w:tcPr>
            <w:tcW w:w="1506" w:type="dxa"/>
            <w:tcBorders>
              <w:top w:val="nil"/>
              <w:left w:val="nil"/>
              <w:bottom w:val="nil"/>
              <w:right w:val="nil"/>
              <w:tl2br w:val="nil"/>
              <w:tr2bl w:val="nil"/>
            </w:tcBorders>
            <w:shd w:val="solid" w:color="016794" w:fill="FFFFFF"/>
            <w:tcMar>
              <w:left w:w="60" w:type="dxa"/>
              <w:right w:w="60" w:type="dxa"/>
            </w:tcMar>
            <w:vAlign w:val="center"/>
          </w:tcPr>
          <w:p>
            <w:pPr>
              <w:pStyle w:val="DMETW36751BIPRD"/>
              <w:jc w:val="right"/>
              <w:rPr>
                <w:rFonts w:ascii="Verdana" w:eastAsia="Verdana" w:hAnsi="Verdana" w:cs="Verdana"/>
                <w:noProof/>
                <w:color w:val="FFFFFF"/>
              </w:rPr>
            </w:pPr>
            <w:r>
              <w:rPr>
                <w:rFonts w:ascii="Verdana" w:hAnsi="Verdana"/>
                <w:noProof/>
                <w:color w:val="FFFFFF"/>
              </w:rPr>
              <w:t>2024</w:t>
            </w:r>
          </w:p>
        </w:tc>
      </w:tr>
      <w:tr>
        <w:trPr>
          <w:trHeight w:val="255"/>
        </w:trPr>
        <w:tc>
          <w:tcPr>
            <w:tcW w:w="6746" w:type="dxa"/>
            <w:tcBorders>
              <w:top w:val="nil"/>
              <w:left w:val="nil"/>
              <w:bottom w:val="nil"/>
              <w:right w:val="nil"/>
              <w:tl2br w:val="nil"/>
              <w:tr2bl w:val="nil"/>
            </w:tcBorders>
            <w:tcMar>
              <w:left w:w="60" w:type="dxa"/>
              <w:right w:w="60" w:type="dxa"/>
            </w:tcMar>
            <w:vAlign w:val="center"/>
          </w:tcPr>
          <w:p>
            <w:pPr>
              <w:pStyle w:val="DMETW36751BIPRD"/>
              <w:rPr>
                <w:rFonts w:ascii="Verdana" w:eastAsia="Verdana" w:hAnsi="Verdana" w:cs="Verdana"/>
                <w:i/>
                <w:noProof/>
                <w:color w:val="000000"/>
                <w:sz w:val="18"/>
              </w:rPr>
            </w:pPr>
            <w:r>
              <w:rPr>
                <w:rFonts w:ascii="Verdana" w:hAnsi="Verdana"/>
                <w:i/>
                <w:noProof/>
                <w:color w:val="000000"/>
                <w:sz w:val="18"/>
              </w:rPr>
              <w:t>Coûts de recherche</w:t>
            </w:r>
          </w:p>
        </w:tc>
        <w:tc>
          <w:tcPr>
            <w:tcW w:w="1506" w:type="dxa"/>
            <w:tcBorders>
              <w:top w:val="nil"/>
              <w:left w:val="nil"/>
              <w:bottom w:val="nil"/>
              <w:right w:val="nil"/>
              <w:tl2br w:val="nil"/>
              <w:tr2bl w:val="nil"/>
            </w:tcBorders>
            <w:tcMar>
              <w:left w:w="60" w:type="dxa"/>
              <w:right w:w="60" w:type="dxa"/>
            </w:tcMar>
            <w:vAlign w:val="center"/>
          </w:tcPr>
          <w:p>
            <w:pPr>
              <w:pStyle w:val="DMETW36751BIPRD"/>
              <w:jc w:val="right"/>
              <w:rPr>
                <w:rFonts w:ascii="Verdana" w:eastAsia="Verdana" w:hAnsi="Verdana" w:cs="Verdana"/>
                <w:i/>
                <w:noProof/>
                <w:color w:val="000000"/>
                <w:sz w:val="18"/>
              </w:rPr>
            </w:pPr>
            <w:r>
              <w:rPr>
                <w:rFonts w:ascii="Verdana" w:hAnsi="Verdana"/>
                <w:i/>
                <w:noProof/>
                <w:color w:val="000000"/>
                <w:sz w:val="18"/>
              </w:rPr>
              <w:t xml:space="preserve"> 468</w:t>
            </w:r>
          </w:p>
        </w:tc>
        <w:tc>
          <w:tcPr>
            <w:tcW w:w="1506" w:type="dxa"/>
            <w:tcBorders>
              <w:top w:val="nil"/>
              <w:left w:val="nil"/>
              <w:bottom w:val="nil"/>
              <w:right w:val="nil"/>
              <w:tl2br w:val="nil"/>
              <w:tr2bl w:val="nil"/>
            </w:tcBorders>
            <w:tcMar>
              <w:left w:w="60" w:type="dxa"/>
              <w:right w:w="60" w:type="dxa"/>
            </w:tcMar>
            <w:vAlign w:val="center"/>
          </w:tcPr>
          <w:p>
            <w:pPr>
              <w:pStyle w:val="DMETW36751BIPRD"/>
              <w:jc w:val="right"/>
              <w:rPr>
                <w:rFonts w:ascii="Verdana" w:eastAsia="Verdana" w:hAnsi="Verdana" w:cs="Verdana"/>
                <w:i/>
                <w:noProof/>
                <w:color w:val="000000"/>
                <w:sz w:val="18"/>
              </w:rPr>
            </w:pPr>
            <w:r>
              <w:rPr>
                <w:rFonts w:ascii="Verdana" w:hAnsi="Verdana"/>
                <w:i/>
                <w:noProof/>
                <w:color w:val="000000"/>
                <w:sz w:val="18"/>
              </w:rPr>
              <w:t xml:space="preserve"> 479</w:t>
            </w:r>
          </w:p>
        </w:tc>
      </w:tr>
      <w:tr>
        <w:trPr>
          <w:trHeight w:val="255"/>
        </w:trPr>
        <w:tc>
          <w:tcPr>
            <w:tcW w:w="6746" w:type="dxa"/>
            <w:tcBorders>
              <w:top w:val="nil"/>
              <w:left w:val="nil"/>
              <w:bottom w:val="single" w:sz="4" w:space="0" w:color="016794"/>
              <w:right w:val="nil"/>
              <w:tl2br w:val="nil"/>
              <w:tr2bl w:val="nil"/>
            </w:tcBorders>
            <w:tcMar>
              <w:left w:w="60" w:type="dxa"/>
              <w:right w:w="60" w:type="dxa"/>
            </w:tcMar>
            <w:vAlign w:val="center"/>
          </w:tcPr>
          <w:p>
            <w:pPr>
              <w:pStyle w:val="DMETW36751BIPRD"/>
              <w:rPr>
                <w:rFonts w:ascii="Verdana" w:eastAsia="Verdana" w:hAnsi="Verdana" w:cs="Verdana"/>
                <w:i/>
                <w:noProof/>
                <w:color w:val="000000"/>
                <w:sz w:val="18"/>
              </w:rPr>
            </w:pPr>
            <w:r>
              <w:rPr>
                <w:rFonts w:ascii="Verdana" w:hAnsi="Verdana"/>
                <w:i/>
                <w:noProof/>
                <w:color w:val="000000"/>
                <w:sz w:val="18"/>
              </w:rPr>
              <w:t>Coûts de développement non capitalisés</w:t>
            </w:r>
          </w:p>
        </w:tc>
        <w:tc>
          <w:tcPr>
            <w:tcW w:w="1506" w:type="dxa"/>
            <w:tcBorders>
              <w:top w:val="nil"/>
              <w:left w:val="nil"/>
              <w:bottom w:val="single" w:sz="4" w:space="0" w:color="016794"/>
              <w:right w:val="nil"/>
              <w:tl2br w:val="nil"/>
              <w:tr2bl w:val="nil"/>
            </w:tcBorders>
            <w:tcMar>
              <w:left w:w="60" w:type="dxa"/>
              <w:right w:w="60" w:type="dxa"/>
            </w:tcMar>
            <w:vAlign w:val="center"/>
          </w:tcPr>
          <w:p>
            <w:pPr>
              <w:pStyle w:val="DMETW36751BIPRD"/>
              <w:jc w:val="right"/>
              <w:rPr>
                <w:rFonts w:ascii="Verdana" w:eastAsia="Verdana" w:hAnsi="Verdana" w:cs="Verdana"/>
                <w:i/>
                <w:noProof/>
                <w:color w:val="000000"/>
                <w:sz w:val="18"/>
              </w:rPr>
            </w:pPr>
            <w:r>
              <w:rPr>
                <w:rFonts w:ascii="Verdana" w:hAnsi="Verdana"/>
                <w:i/>
                <w:noProof/>
                <w:color w:val="000000"/>
                <w:sz w:val="18"/>
              </w:rPr>
              <w:t xml:space="preserve"> 127</w:t>
            </w:r>
          </w:p>
        </w:tc>
        <w:tc>
          <w:tcPr>
            <w:tcW w:w="1506" w:type="dxa"/>
            <w:tcBorders>
              <w:top w:val="nil"/>
              <w:left w:val="nil"/>
              <w:bottom w:val="single" w:sz="4" w:space="0" w:color="016794"/>
              <w:right w:val="nil"/>
              <w:tl2br w:val="nil"/>
              <w:tr2bl w:val="nil"/>
            </w:tcBorders>
            <w:tcMar>
              <w:left w:w="60" w:type="dxa"/>
              <w:right w:w="60" w:type="dxa"/>
            </w:tcMar>
            <w:vAlign w:val="center"/>
          </w:tcPr>
          <w:p>
            <w:pPr>
              <w:pStyle w:val="DMETW36751BIPRD"/>
              <w:jc w:val="right"/>
              <w:rPr>
                <w:rFonts w:ascii="Verdana" w:eastAsia="Verdana" w:hAnsi="Verdana" w:cs="Verdana"/>
                <w:i/>
                <w:noProof/>
                <w:color w:val="000000"/>
                <w:sz w:val="18"/>
              </w:rPr>
            </w:pPr>
            <w:r>
              <w:rPr>
                <w:rFonts w:ascii="Verdana" w:hAnsi="Verdana"/>
                <w:i/>
                <w:noProof/>
                <w:color w:val="000000"/>
                <w:sz w:val="18"/>
              </w:rPr>
              <w:t xml:space="preserve"> 119</w:t>
            </w:r>
          </w:p>
        </w:tc>
      </w:tr>
      <w:tr>
        <w:trPr>
          <w:trHeight w:val="255"/>
        </w:trPr>
        <w:tc>
          <w:tcPr>
            <w:tcW w:w="674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1BIPRD"/>
              <w:rPr>
                <w:rFonts w:ascii="Verdana" w:eastAsia="Verdana" w:hAnsi="Verdana" w:cs="Verdana"/>
                <w:b/>
                <w:noProof/>
                <w:color w:val="000000"/>
                <w:sz w:val="18"/>
              </w:rPr>
            </w:pPr>
            <w:r>
              <w:rPr>
                <w:rFonts w:ascii="Verdana" w:hAnsi="Verdana"/>
                <w:b/>
                <w:noProof/>
                <w:color w:val="000000"/>
                <w:sz w:val="18"/>
              </w:rPr>
              <w:t>Total</w:t>
            </w:r>
          </w:p>
        </w:tc>
        <w:tc>
          <w:tcPr>
            <w:tcW w:w="150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1BIPRD"/>
              <w:jc w:val="right"/>
              <w:rPr>
                <w:rFonts w:ascii="Verdana" w:eastAsia="Verdana" w:hAnsi="Verdana" w:cs="Verdana"/>
                <w:b/>
                <w:noProof/>
                <w:color w:val="000000"/>
                <w:sz w:val="18"/>
              </w:rPr>
            </w:pPr>
            <w:r>
              <w:rPr>
                <w:rFonts w:ascii="Verdana" w:hAnsi="Verdana"/>
                <w:b/>
                <w:noProof/>
                <w:color w:val="000000"/>
                <w:sz w:val="18"/>
              </w:rPr>
              <w:t xml:space="preserve"> 594</w:t>
            </w:r>
          </w:p>
        </w:tc>
        <w:tc>
          <w:tcPr>
            <w:tcW w:w="150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1BIPRD"/>
              <w:jc w:val="right"/>
              <w:rPr>
                <w:rFonts w:ascii="Verdana" w:eastAsia="Verdana" w:hAnsi="Verdana" w:cs="Verdana"/>
                <w:b/>
                <w:noProof/>
                <w:color w:val="000000"/>
                <w:sz w:val="18"/>
              </w:rPr>
            </w:pPr>
            <w:r>
              <w:rPr>
                <w:rFonts w:ascii="Verdana" w:hAnsi="Verdana"/>
                <w:b/>
                <w:noProof/>
                <w:color w:val="000000"/>
                <w:sz w:val="18"/>
              </w:rPr>
              <w:t xml:space="preserve"> 598</w:t>
            </w:r>
          </w:p>
        </w:tc>
      </w:tr>
    </w:tbl>
    <w:p>
      <w:pPr>
        <w:pStyle w:val="DGTextstand-alone"/>
        <w:spacing w:before="0" w:after="0"/>
        <w:sectPr>
          <w:headerReference w:type="default" r:id="rId123"/>
          <w:footerReference w:type="default" r:id="rId124"/>
          <w:type w:val="continuous"/>
          <w:pgSz w:w="11906" w:h="16838"/>
          <w:pgMar w:top="1134" w:right="1134" w:bottom="1134" w:left="1134" w:header="709" w:footer="709" w:gutter="0"/>
          <w:cols w:space="708"/>
          <w:docGrid w:linePitch="360"/>
        </w:sectPr>
      </w:pPr>
      <w:r>
        <w:t xml:space="preserve"> </w:t>
      </w:r>
      <w:bookmarkEnd w:id="193"/>
    </w:p>
    <w:p>
      <w:pPr>
        <w:pStyle w:val="HEADER2NOTES"/>
        <w:numPr>
          <w:ilvl w:val="1"/>
          <w:numId w:val="15"/>
        </w:numPr>
        <w:spacing w:after="0"/>
        <w:rPr>
          <w:noProof/>
        </w:rPr>
      </w:pPr>
      <w:bookmarkStart w:id="196" w:name="_DMBM_36710"/>
      <w:r>
        <w:rPr>
          <w:noProof/>
        </w:rPr>
        <w:lastRenderedPageBreak/>
        <w:t>INFORMATIONS SECTORIELLES PAR PRINCIPAUX DOMAINES DE DÉPENSES</w:t>
      </w:r>
    </w:p>
    <w:tbl>
      <w:tblPr>
        <w:tblW w:w="49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70"/>
        <w:gridCol w:w="1134"/>
        <w:gridCol w:w="1276"/>
        <w:gridCol w:w="1134"/>
        <w:gridCol w:w="1134"/>
        <w:gridCol w:w="1134"/>
        <w:gridCol w:w="1089"/>
        <w:gridCol w:w="1462"/>
        <w:gridCol w:w="1134"/>
        <w:gridCol w:w="1334"/>
        <w:gridCol w:w="1216"/>
      </w:tblGrid>
      <w:tr>
        <w:trPr>
          <w:trHeight w:hRule="exact" w:val="227"/>
        </w:trPr>
        <w:tc>
          <w:tcPr>
            <w:tcW w:w="2470" w:type="dxa"/>
            <w:tcBorders>
              <w:top w:val="nil"/>
              <w:left w:val="nil"/>
              <w:bottom w:val="nil"/>
              <w:right w:val="nil"/>
              <w:tl2br w:val="nil"/>
              <w:tr2bl w:val="nil"/>
            </w:tcBorders>
            <w:tcMar>
              <w:left w:w="60" w:type="dxa"/>
              <w:right w:w="60" w:type="dxa"/>
            </w:tcMar>
            <w:vAlign w:val="bottom"/>
          </w:tcPr>
          <w:p>
            <w:pPr>
              <w:pStyle w:val="DMETW36752BIPSEGREP"/>
              <w:rPr>
                <w:rFonts w:ascii="Arial" w:eastAsia="Arial" w:hAnsi="Arial" w:cs="Arial"/>
                <w:noProof/>
                <w:color w:val="000000"/>
              </w:rPr>
            </w:pPr>
            <w:bookmarkStart w:id="197" w:name="DOC_TBL00077_1_1"/>
            <w:bookmarkEnd w:id="197"/>
          </w:p>
        </w:tc>
        <w:tc>
          <w:tcPr>
            <w:tcW w:w="1134" w:type="dxa"/>
            <w:tcBorders>
              <w:top w:val="nil"/>
              <w:left w:val="nil"/>
              <w:bottom w:val="nil"/>
              <w:right w:val="nil"/>
              <w:tl2br w:val="nil"/>
              <w:tr2bl w:val="nil"/>
            </w:tcBorders>
            <w:tcMar>
              <w:left w:w="60" w:type="dxa"/>
              <w:right w:w="60" w:type="dxa"/>
            </w:tcMar>
            <w:vAlign w:val="bottom"/>
          </w:tcPr>
          <w:p>
            <w:pPr>
              <w:pStyle w:val="DMETW36752BIPSEGREP"/>
              <w:rPr>
                <w:rFonts w:ascii="Arial" w:eastAsia="Arial" w:hAnsi="Arial" w:cs="Arial"/>
                <w:noProof/>
                <w:color w:val="000000"/>
              </w:rPr>
            </w:pPr>
          </w:p>
        </w:tc>
        <w:tc>
          <w:tcPr>
            <w:tcW w:w="1276" w:type="dxa"/>
            <w:tcBorders>
              <w:top w:val="nil"/>
              <w:left w:val="nil"/>
              <w:bottom w:val="nil"/>
              <w:right w:val="nil"/>
              <w:tl2br w:val="nil"/>
              <w:tr2bl w:val="nil"/>
            </w:tcBorders>
            <w:tcMar>
              <w:left w:w="60" w:type="dxa"/>
              <w:right w:w="60" w:type="dxa"/>
            </w:tcMar>
            <w:vAlign w:val="bottom"/>
          </w:tcPr>
          <w:p>
            <w:pPr>
              <w:pStyle w:val="DMETW36752BIPSEGREP"/>
              <w:rPr>
                <w:rFonts w:ascii="Arial" w:eastAsia="Arial" w:hAnsi="Arial" w:cs="Arial"/>
                <w:noProof/>
                <w:color w:val="000000"/>
              </w:rPr>
            </w:pPr>
          </w:p>
        </w:tc>
        <w:tc>
          <w:tcPr>
            <w:tcW w:w="1134" w:type="dxa"/>
            <w:tcBorders>
              <w:top w:val="nil"/>
              <w:left w:val="nil"/>
              <w:bottom w:val="nil"/>
              <w:right w:val="nil"/>
              <w:tl2br w:val="nil"/>
              <w:tr2bl w:val="nil"/>
            </w:tcBorders>
            <w:tcMar>
              <w:left w:w="60" w:type="dxa"/>
              <w:right w:w="60" w:type="dxa"/>
            </w:tcMar>
            <w:vAlign w:val="bottom"/>
          </w:tcPr>
          <w:p>
            <w:pPr>
              <w:pStyle w:val="DMETW36752BIPSEGREP"/>
              <w:rPr>
                <w:rFonts w:ascii="Arial" w:eastAsia="Arial" w:hAnsi="Arial" w:cs="Arial"/>
                <w:noProof/>
                <w:color w:val="000000"/>
              </w:rPr>
            </w:pPr>
          </w:p>
        </w:tc>
        <w:tc>
          <w:tcPr>
            <w:tcW w:w="1134" w:type="dxa"/>
            <w:tcBorders>
              <w:top w:val="nil"/>
              <w:left w:val="nil"/>
              <w:bottom w:val="nil"/>
              <w:right w:val="nil"/>
              <w:tl2br w:val="nil"/>
              <w:tr2bl w:val="nil"/>
            </w:tcBorders>
            <w:tcMar>
              <w:left w:w="60" w:type="dxa"/>
              <w:right w:w="60" w:type="dxa"/>
            </w:tcMar>
            <w:vAlign w:val="bottom"/>
          </w:tcPr>
          <w:p>
            <w:pPr>
              <w:pStyle w:val="DMETW36752BIPSEGREP"/>
              <w:rPr>
                <w:rFonts w:ascii="Arial" w:eastAsia="Arial" w:hAnsi="Arial" w:cs="Arial"/>
                <w:noProof/>
                <w:color w:val="000000"/>
              </w:rPr>
            </w:pPr>
          </w:p>
        </w:tc>
        <w:tc>
          <w:tcPr>
            <w:tcW w:w="1134" w:type="dxa"/>
            <w:tcBorders>
              <w:top w:val="nil"/>
              <w:left w:val="nil"/>
              <w:bottom w:val="nil"/>
              <w:right w:val="nil"/>
              <w:tl2br w:val="nil"/>
              <w:tr2bl w:val="nil"/>
            </w:tcBorders>
            <w:tcMar>
              <w:left w:w="60" w:type="dxa"/>
              <w:right w:w="60" w:type="dxa"/>
            </w:tcMar>
            <w:vAlign w:val="bottom"/>
          </w:tcPr>
          <w:p>
            <w:pPr>
              <w:pStyle w:val="DMETW36752BIPSEGREP"/>
              <w:rPr>
                <w:rFonts w:ascii="Arial" w:eastAsia="Arial" w:hAnsi="Arial" w:cs="Arial"/>
                <w:noProof/>
                <w:color w:val="000000"/>
              </w:rPr>
            </w:pPr>
          </w:p>
        </w:tc>
        <w:tc>
          <w:tcPr>
            <w:tcW w:w="1089" w:type="dxa"/>
            <w:tcBorders>
              <w:top w:val="nil"/>
              <w:left w:val="nil"/>
              <w:bottom w:val="nil"/>
              <w:right w:val="nil"/>
              <w:tl2br w:val="nil"/>
              <w:tr2bl w:val="nil"/>
            </w:tcBorders>
            <w:tcMar>
              <w:left w:w="60" w:type="dxa"/>
              <w:right w:w="60" w:type="dxa"/>
            </w:tcMar>
            <w:vAlign w:val="bottom"/>
          </w:tcPr>
          <w:p>
            <w:pPr>
              <w:pStyle w:val="DMETW36752BIPSEGREP"/>
              <w:rPr>
                <w:rFonts w:ascii="Arial" w:eastAsia="Arial" w:hAnsi="Arial" w:cs="Arial"/>
                <w:noProof/>
                <w:color w:val="000000"/>
              </w:rPr>
            </w:pPr>
          </w:p>
        </w:tc>
        <w:tc>
          <w:tcPr>
            <w:tcW w:w="1462" w:type="dxa"/>
            <w:tcBorders>
              <w:top w:val="nil"/>
              <w:left w:val="nil"/>
              <w:bottom w:val="nil"/>
              <w:right w:val="nil"/>
              <w:tl2br w:val="nil"/>
              <w:tr2bl w:val="nil"/>
            </w:tcBorders>
            <w:tcMar>
              <w:left w:w="60" w:type="dxa"/>
              <w:right w:w="60" w:type="dxa"/>
            </w:tcMar>
            <w:vAlign w:val="bottom"/>
          </w:tcPr>
          <w:p>
            <w:pPr>
              <w:pStyle w:val="DMETW36752BIPSEGREP"/>
              <w:rPr>
                <w:rFonts w:cs="Calibri"/>
                <w:noProof/>
                <w:color w:val="000000"/>
              </w:rPr>
            </w:pPr>
          </w:p>
        </w:tc>
        <w:tc>
          <w:tcPr>
            <w:tcW w:w="1134" w:type="dxa"/>
            <w:tcBorders>
              <w:top w:val="nil"/>
              <w:left w:val="nil"/>
              <w:bottom w:val="nil"/>
              <w:right w:val="nil"/>
              <w:tl2br w:val="nil"/>
              <w:tr2bl w:val="nil"/>
            </w:tcBorders>
            <w:tcMar>
              <w:left w:w="60" w:type="dxa"/>
              <w:right w:w="60" w:type="dxa"/>
            </w:tcMar>
            <w:vAlign w:val="bottom"/>
          </w:tcPr>
          <w:p>
            <w:pPr>
              <w:pStyle w:val="DMETW36752BIPSEGREP"/>
              <w:rPr>
                <w:rFonts w:cs="Calibri"/>
                <w:noProof/>
                <w:color w:val="000000"/>
              </w:rPr>
            </w:pPr>
          </w:p>
        </w:tc>
        <w:tc>
          <w:tcPr>
            <w:tcW w:w="1334" w:type="dxa"/>
            <w:tcBorders>
              <w:top w:val="nil"/>
              <w:left w:val="nil"/>
              <w:bottom w:val="nil"/>
              <w:right w:val="nil"/>
              <w:tl2br w:val="nil"/>
              <w:tr2bl w:val="nil"/>
            </w:tcBorders>
            <w:tcMar>
              <w:left w:w="60" w:type="dxa"/>
              <w:right w:w="60" w:type="dxa"/>
            </w:tcMar>
            <w:vAlign w:val="bottom"/>
          </w:tcPr>
          <w:p>
            <w:pPr>
              <w:pStyle w:val="DMETW36752BIPSEGREP"/>
              <w:jc w:val="right"/>
              <w:rPr>
                <w:rFonts w:ascii="Verdana" w:eastAsia="Verdana" w:hAnsi="Verdana" w:cs="Verdana"/>
                <w:i/>
                <w:noProof/>
                <w:color w:val="000000"/>
                <w:sz w:val="16"/>
              </w:rPr>
            </w:pPr>
          </w:p>
        </w:tc>
        <w:tc>
          <w:tcPr>
            <w:tcW w:w="1216" w:type="dxa"/>
            <w:tcBorders>
              <w:top w:val="nil"/>
              <w:left w:val="nil"/>
              <w:bottom w:val="nil"/>
              <w:right w:val="nil"/>
              <w:tl2br w:val="nil"/>
              <w:tr2bl w:val="nil"/>
            </w:tcBorders>
            <w:tcMar>
              <w:left w:w="60" w:type="dxa"/>
              <w:right w:w="60" w:type="dxa"/>
            </w:tcMar>
            <w:vAlign w:val="bottom"/>
          </w:tcPr>
          <w:p>
            <w:pPr>
              <w:pStyle w:val="DMETW36752BIPSEGREP"/>
              <w:jc w:val="right"/>
              <w:rPr>
                <w:rFonts w:ascii="Verdana" w:eastAsia="Verdana" w:hAnsi="Verdana" w:cs="Verdana"/>
                <w:i/>
                <w:noProof/>
                <w:color w:val="000000"/>
                <w:sz w:val="16"/>
              </w:rPr>
            </w:pPr>
            <w:r>
              <w:rPr>
                <w:rFonts w:ascii="Verdana" w:hAnsi="Verdana"/>
                <w:i/>
                <w:noProof/>
                <w:color w:val="000000"/>
                <w:sz w:val="16"/>
              </w:rPr>
              <w:t>en Mio EUR</w:t>
            </w:r>
          </w:p>
        </w:tc>
      </w:tr>
      <w:tr>
        <w:trPr>
          <w:trHeight w:hRule="exact" w:val="1051"/>
        </w:trPr>
        <w:tc>
          <w:tcPr>
            <w:tcW w:w="2470" w:type="dxa"/>
            <w:tcBorders>
              <w:top w:val="nil"/>
              <w:left w:val="nil"/>
              <w:bottom w:val="nil"/>
              <w:right w:val="nil"/>
              <w:tl2br w:val="nil"/>
              <w:tr2bl w:val="nil"/>
            </w:tcBorders>
            <w:shd w:val="solid" w:color="016794" w:fill="FFFFFF"/>
            <w:tcMar>
              <w:left w:w="60" w:type="dxa"/>
              <w:right w:w="60" w:type="dxa"/>
            </w:tcMar>
            <w:vAlign w:val="center"/>
          </w:tcPr>
          <w:p>
            <w:pPr>
              <w:pStyle w:val="DMETW36752BIPSEGREP"/>
              <w:jc w:val="center"/>
              <w:rPr>
                <w:rFonts w:ascii="Verdana" w:eastAsia="Verdana" w:hAnsi="Verdana" w:cs="Verdana"/>
                <w:noProof/>
                <w:color w:val="FFFFFF"/>
                <w:sz w:val="16"/>
              </w:rPr>
            </w:pPr>
          </w:p>
        </w:tc>
        <w:tc>
          <w:tcPr>
            <w:tcW w:w="1134" w:type="dxa"/>
            <w:tcBorders>
              <w:top w:val="nil"/>
              <w:left w:val="nil"/>
              <w:bottom w:val="nil"/>
              <w:right w:val="nil"/>
              <w:tl2br w:val="nil"/>
              <w:tr2bl w:val="nil"/>
            </w:tcBorders>
            <w:shd w:val="solid" w:color="016794" w:fill="FFFFFF"/>
            <w:tcMar>
              <w:left w:w="60" w:type="dxa"/>
              <w:right w:w="60" w:type="dxa"/>
            </w:tcMar>
            <w:vAlign w:val="center"/>
          </w:tcPr>
          <w:p>
            <w:pPr>
              <w:pStyle w:val="DMETW36752BIPSEGREP"/>
              <w:jc w:val="center"/>
              <w:rPr>
                <w:rFonts w:ascii="Verdana" w:eastAsia="Verdana" w:hAnsi="Verdana" w:cs="Verdana"/>
                <w:noProof/>
                <w:color w:val="FFFFFF"/>
                <w:sz w:val="16"/>
              </w:rPr>
            </w:pPr>
            <w:r>
              <w:rPr>
                <w:rFonts w:ascii="Verdana" w:hAnsi="Verdana"/>
                <w:noProof/>
                <w:color w:val="FFFFFF"/>
                <w:sz w:val="16"/>
              </w:rPr>
              <w:t>Fonds agricoles</w:t>
            </w:r>
          </w:p>
        </w:tc>
        <w:tc>
          <w:tcPr>
            <w:tcW w:w="1276" w:type="dxa"/>
            <w:tcBorders>
              <w:top w:val="nil"/>
              <w:left w:val="nil"/>
              <w:bottom w:val="nil"/>
              <w:right w:val="nil"/>
              <w:tl2br w:val="nil"/>
              <w:tr2bl w:val="nil"/>
            </w:tcBorders>
            <w:shd w:val="solid" w:color="016794" w:fill="FFFFFF"/>
            <w:tcMar>
              <w:left w:w="60" w:type="dxa"/>
              <w:right w:w="60" w:type="dxa"/>
            </w:tcMar>
            <w:vAlign w:val="center"/>
          </w:tcPr>
          <w:p>
            <w:pPr>
              <w:pStyle w:val="DMETW36752BIPSEGREP"/>
              <w:jc w:val="center"/>
              <w:rPr>
                <w:rFonts w:ascii="Verdana" w:eastAsia="Verdana" w:hAnsi="Verdana" w:cs="Verdana"/>
                <w:noProof/>
                <w:color w:val="FFFFFF"/>
                <w:sz w:val="16"/>
              </w:rPr>
            </w:pPr>
            <w:r>
              <w:rPr>
                <w:rFonts w:ascii="Verdana" w:hAnsi="Verdana"/>
                <w:noProof/>
                <w:color w:val="FFFFFF"/>
                <w:sz w:val="16"/>
              </w:rPr>
              <w:t>Cohésion et autres Fonds structurels</w:t>
            </w:r>
          </w:p>
        </w:tc>
        <w:tc>
          <w:tcPr>
            <w:tcW w:w="1134" w:type="dxa"/>
            <w:tcBorders>
              <w:top w:val="nil"/>
              <w:left w:val="nil"/>
              <w:bottom w:val="nil"/>
              <w:right w:val="nil"/>
              <w:tl2br w:val="nil"/>
              <w:tr2bl w:val="nil"/>
            </w:tcBorders>
            <w:shd w:val="solid" w:color="016794" w:fill="FFFFFF"/>
            <w:tcMar>
              <w:left w:w="60" w:type="dxa"/>
              <w:right w:w="60" w:type="dxa"/>
            </w:tcMar>
            <w:vAlign w:val="center"/>
          </w:tcPr>
          <w:p>
            <w:pPr>
              <w:pStyle w:val="DMETW36752BIPSEGREP"/>
              <w:jc w:val="center"/>
              <w:rPr>
                <w:rFonts w:ascii="Verdana" w:eastAsia="Verdana" w:hAnsi="Verdana" w:cs="Verdana"/>
                <w:noProof/>
                <w:color w:val="FFFFFF"/>
                <w:sz w:val="16"/>
              </w:rPr>
            </w:pPr>
            <w:r>
              <w:rPr>
                <w:rFonts w:ascii="Verdana" w:hAnsi="Verdana"/>
                <w:noProof/>
                <w:color w:val="FFFFFF"/>
                <w:sz w:val="16"/>
              </w:rPr>
              <w:t>FRR et activités financières</w:t>
            </w:r>
          </w:p>
        </w:tc>
        <w:tc>
          <w:tcPr>
            <w:tcW w:w="1134" w:type="dxa"/>
            <w:tcBorders>
              <w:top w:val="nil"/>
              <w:left w:val="nil"/>
              <w:bottom w:val="nil"/>
              <w:right w:val="nil"/>
              <w:tl2br w:val="nil"/>
              <w:tr2bl w:val="nil"/>
            </w:tcBorders>
            <w:shd w:val="solid" w:color="016794" w:fill="FFFFFF"/>
            <w:tcMar>
              <w:left w:w="60" w:type="dxa"/>
              <w:right w:w="60" w:type="dxa"/>
            </w:tcMar>
            <w:vAlign w:val="center"/>
          </w:tcPr>
          <w:p>
            <w:pPr>
              <w:pStyle w:val="DMETW36752BIPSEGREP"/>
              <w:jc w:val="center"/>
              <w:rPr>
                <w:rFonts w:ascii="Verdana" w:eastAsia="Verdana" w:hAnsi="Verdana" w:cs="Verdana"/>
                <w:noProof/>
                <w:color w:val="FFFFFF"/>
                <w:sz w:val="16"/>
              </w:rPr>
            </w:pPr>
            <w:r>
              <w:rPr>
                <w:rFonts w:ascii="Verdana" w:hAnsi="Verdana"/>
                <w:noProof/>
                <w:color w:val="FFFFFF"/>
                <w:sz w:val="16"/>
              </w:rPr>
              <w:t>Recherche et innovation</w:t>
            </w:r>
          </w:p>
        </w:tc>
        <w:tc>
          <w:tcPr>
            <w:tcW w:w="1134" w:type="dxa"/>
            <w:tcBorders>
              <w:top w:val="nil"/>
              <w:left w:val="nil"/>
              <w:bottom w:val="nil"/>
              <w:right w:val="nil"/>
              <w:tl2br w:val="nil"/>
              <w:tr2bl w:val="nil"/>
            </w:tcBorders>
            <w:shd w:val="solid" w:color="016794" w:fill="FFFFFF"/>
            <w:tcMar>
              <w:left w:w="60" w:type="dxa"/>
              <w:right w:w="60" w:type="dxa"/>
            </w:tcMar>
            <w:vAlign w:val="center"/>
          </w:tcPr>
          <w:p>
            <w:pPr>
              <w:pStyle w:val="DMETW36752BIPSEGREP"/>
              <w:jc w:val="center"/>
              <w:rPr>
                <w:rFonts w:ascii="Verdana" w:eastAsia="Verdana" w:hAnsi="Verdana" w:cs="Verdana"/>
                <w:noProof/>
                <w:color w:val="FFFFFF"/>
                <w:sz w:val="16"/>
              </w:rPr>
            </w:pPr>
            <w:r>
              <w:rPr>
                <w:rFonts w:ascii="Verdana" w:hAnsi="Verdana"/>
                <w:noProof/>
                <w:color w:val="FFFFFF"/>
                <w:sz w:val="16"/>
              </w:rPr>
              <w:t>Action extérieure</w:t>
            </w:r>
          </w:p>
        </w:tc>
        <w:tc>
          <w:tcPr>
            <w:tcW w:w="1089" w:type="dxa"/>
            <w:tcBorders>
              <w:top w:val="nil"/>
              <w:left w:val="nil"/>
              <w:bottom w:val="nil"/>
              <w:right w:val="nil"/>
              <w:tl2br w:val="nil"/>
              <w:tr2bl w:val="nil"/>
            </w:tcBorders>
            <w:shd w:val="solid" w:color="016794" w:fill="FFFFFF"/>
            <w:tcMar>
              <w:left w:w="60" w:type="dxa"/>
              <w:right w:w="60" w:type="dxa"/>
            </w:tcMar>
            <w:vAlign w:val="center"/>
          </w:tcPr>
          <w:p>
            <w:pPr>
              <w:pStyle w:val="DMETW36752BIPSEGREP"/>
              <w:jc w:val="center"/>
              <w:rPr>
                <w:rFonts w:ascii="Verdana" w:eastAsia="Verdana" w:hAnsi="Verdana" w:cs="Verdana"/>
                <w:noProof/>
                <w:color w:val="FFFFFF"/>
                <w:sz w:val="16"/>
              </w:rPr>
            </w:pPr>
            <w:r>
              <w:rPr>
                <w:rFonts w:ascii="Verdana" w:hAnsi="Verdana"/>
                <w:noProof/>
                <w:color w:val="FFFFFF"/>
                <w:sz w:val="16"/>
              </w:rPr>
              <w:t>Transition écologique et santé publique</w:t>
            </w:r>
          </w:p>
        </w:tc>
        <w:tc>
          <w:tcPr>
            <w:tcW w:w="1462" w:type="dxa"/>
            <w:tcBorders>
              <w:top w:val="nil"/>
              <w:left w:val="nil"/>
              <w:bottom w:val="nil"/>
              <w:right w:val="nil"/>
              <w:tl2br w:val="nil"/>
              <w:tr2bl w:val="nil"/>
            </w:tcBorders>
            <w:shd w:val="solid" w:color="016794" w:fill="FFFFFF"/>
            <w:tcMar>
              <w:left w:w="60" w:type="dxa"/>
              <w:right w:w="60" w:type="dxa"/>
            </w:tcMar>
            <w:vAlign w:val="center"/>
          </w:tcPr>
          <w:p>
            <w:pPr>
              <w:pStyle w:val="DMETW36752BIPSEGREP"/>
              <w:jc w:val="center"/>
              <w:rPr>
                <w:rFonts w:ascii="Verdana" w:eastAsia="Verdana" w:hAnsi="Verdana" w:cs="Verdana"/>
                <w:noProof/>
                <w:color w:val="FFFFFF"/>
                <w:sz w:val="16"/>
              </w:rPr>
            </w:pPr>
            <w:r>
              <w:rPr>
                <w:rFonts w:ascii="Verdana" w:hAnsi="Verdana"/>
                <w:noProof/>
                <w:color w:val="FFFFFF"/>
                <w:sz w:val="16"/>
              </w:rPr>
              <w:t>Autres politiques*</w:t>
            </w:r>
          </w:p>
        </w:tc>
        <w:tc>
          <w:tcPr>
            <w:tcW w:w="1134" w:type="dxa"/>
            <w:tcBorders>
              <w:top w:val="nil"/>
              <w:left w:val="nil"/>
              <w:bottom w:val="nil"/>
              <w:right w:val="nil"/>
              <w:tl2br w:val="nil"/>
              <w:tr2bl w:val="nil"/>
            </w:tcBorders>
            <w:shd w:val="solid" w:color="016794" w:fill="FFFFFF"/>
            <w:tcMar>
              <w:left w:w="60" w:type="dxa"/>
              <w:right w:w="60" w:type="dxa"/>
            </w:tcMar>
            <w:vAlign w:val="center"/>
          </w:tcPr>
          <w:p>
            <w:pPr>
              <w:pStyle w:val="DMETW36752BIPSEGREP"/>
              <w:jc w:val="center"/>
              <w:rPr>
                <w:rFonts w:ascii="Verdana" w:eastAsia="Verdana" w:hAnsi="Verdana" w:cs="Verdana"/>
                <w:noProof/>
                <w:color w:val="FFFFFF"/>
                <w:sz w:val="16"/>
              </w:rPr>
            </w:pPr>
            <w:r>
              <w:rPr>
                <w:rFonts w:ascii="Verdana" w:hAnsi="Verdana"/>
                <w:noProof/>
                <w:color w:val="FFFFFF"/>
                <w:sz w:val="16"/>
              </w:rPr>
              <w:t>Total CE</w:t>
            </w:r>
          </w:p>
        </w:tc>
        <w:tc>
          <w:tcPr>
            <w:tcW w:w="1334" w:type="dxa"/>
            <w:tcBorders>
              <w:top w:val="nil"/>
              <w:left w:val="nil"/>
              <w:bottom w:val="nil"/>
              <w:right w:val="nil"/>
              <w:tl2br w:val="nil"/>
              <w:tr2bl w:val="nil"/>
            </w:tcBorders>
            <w:shd w:val="solid" w:color="016794" w:fill="FFFFFF"/>
            <w:tcMar>
              <w:left w:w="60" w:type="dxa"/>
              <w:right w:w="60" w:type="dxa"/>
            </w:tcMar>
            <w:vAlign w:val="center"/>
          </w:tcPr>
          <w:p>
            <w:pPr>
              <w:pStyle w:val="DMETW36752BIPSEGREP"/>
              <w:jc w:val="center"/>
              <w:rPr>
                <w:rFonts w:ascii="Verdana" w:eastAsia="Verdana" w:hAnsi="Verdana" w:cs="Verdana"/>
                <w:noProof/>
                <w:color w:val="FFFFFF"/>
                <w:sz w:val="16"/>
              </w:rPr>
            </w:pPr>
            <w:r>
              <w:rPr>
                <w:rFonts w:ascii="Verdana" w:hAnsi="Verdana"/>
                <w:noProof/>
                <w:color w:val="FFFFFF"/>
                <w:sz w:val="16"/>
              </w:rPr>
              <w:t>Autres institutions et agences de l’UE</w:t>
            </w:r>
          </w:p>
        </w:tc>
        <w:tc>
          <w:tcPr>
            <w:tcW w:w="1216" w:type="dxa"/>
            <w:tcBorders>
              <w:top w:val="nil"/>
              <w:left w:val="nil"/>
              <w:bottom w:val="nil"/>
              <w:right w:val="nil"/>
              <w:tl2br w:val="nil"/>
              <w:tr2bl w:val="nil"/>
            </w:tcBorders>
            <w:shd w:val="solid" w:color="016794" w:fill="FFFFFF"/>
            <w:tcMar>
              <w:left w:w="60" w:type="dxa"/>
              <w:right w:w="60" w:type="dxa"/>
            </w:tcMar>
            <w:vAlign w:val="center"/>
          </w:tcPr>
          <w:p>
            <w:pPr>
              <w:pStyle w:val="DMETW36752BIPSEGREP"/>
              <w:jc w:val="center"/>
              <w:rPr>
                <w:rFonts w:ascii="Verdana" w:eastAsia="Verdana" w:hAnsi="Verdana" w:cs="Verdana"/>
                <w:noProof/>
                <w:color w:val="FFFFFF"/>
                <w:sz w:val="16"/>
              </w:rPr>
            </w:pPr>
            <w:r>
              <w:rPr>
                <w:rFonts w:ascii="Verdana" w:hAnsi="Verdana"/>
                <w:noProof/>
                <w:color w:val="FFFFFF"/>
                <w:sz w:val="16"/>
              </w:rPr>
              <w:t>Total UE</w:t>
            </w:r>
          </w:p>
        </w:tc>
      </w:tr>
      <w:tr>
        <w:trPr>
          <w:trHeight w:hRule="exact" w:val="170"/>
        </w:trPr>
        <w:tc>
          <w:tcPr>
            <w:tcW w:w="2470" w:type="dxa"/>
            <w:tcBorders>
              <w:top w:val="nil"/>
              <w:left w:val="nil"/>
              <w:bottom w:val="nil"/>
              <w:right w:val="nil"/>
              <w:tl2br w:val="nil"/>
              <w:tr2bl w:val="nil"/>
            </w:tcBorders>
            <w:tcMar>
              <w:left w:w="60" w:type="dxa"/>
              <w:right w:w="60" w:type="dxa"/>
            </w:tcMar>
            <w:vAlign w:val="center"/>
          </w:tcPr>
          <w:p>
            <w:pPr>
              <w:pStyle w:val="DMETW36752BIPSEGREP"/>
              <w:rPr>
                <w:rFonts w:ascii="Verdana" w:eastAsia="Verdana" w:hAnsi="Verdana" w:cs="Verdana"/>
                <w:i/>
                <w:noProof/>
                <w:color w:val="000000"/>
                <w:sz w:val="16"/>
              </w:rPr>
            </w:pPr>
            <w:r>
              <w:rPr>
                <w:rFonts w:ascii="Verdana" w:hAnsi="Verdana"/>
                <w:i/>
                <w:noProof/>
                <w:color w:val="000000"/>
                <w:sz w:val="16"/>
              </w:rPr>
              <w:t>Ressources RNB</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276"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089"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462"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106 342</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106 342</w:t>
            </w:r>
          </w:p>
        </w:tc>
        <w:tc>
          <w:tcPr>
            <w:tcW w:w="13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216"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106 342</w:t>
            </w:r>
          </w:p>
        </w:tc>
      </w:tr>
      <w:tr>
        <w:trPr>
          <w:trHeight w:hRule="exact" w:val="170"/>
        </w:trPr>
        <w:tc>
          <w:tcPr>
            <w:tcW w:w="2470" w:type="dxa"/>
            <w:tcBorders>
              <w:top w:val="nil"/>
              <w:left w:val="nil"/>
              <w:bottom w:val="nil"/>
              <w:right w:val="nil"/>
              <w:tl2br w:val="nil"/>
              <w:tr2bl w:val="nil"/>
            </w:tcBorders>
            <w:tcMar>
              <w:left w:w="60" w:type="dxa"/>
              <w:right w:w="60" w:type="dxa"/>
            </w:tcMar>
            <w:vAlign w:val="center"/>
          </w:tcPr>
          <w:p>
            <w:pPr>
              <w:pStyle w:val="DMETW36752BIPSEGREP"/>
              <w:rPr>
                <w:rFonts w:ascii="Verdana" w:eastAsia="Verdana" w:hAnsi="Verdana" w:cs="Verdana"/>
                <w:i/>
                <w:noProof/>
                <w:color w:val="000000"/>
                <w:sz w:val="16"/>
              </w:rPr>
            </w:pPr>
            <w:r>
              <w:rPr>
                <w:rFonts w:ascii="Verdana" w:hAnsi="Verdana"/>
                <w:i/>
                <w:noProof/>
                <w:color w:val="000000"/>
                <w:sz w:val="16"/>
              </w:rPr>
              <w:t>Ressources propres traditionnelles</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276"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089"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462"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23 436</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23 436</w:t>
            </w:r>
          </w:p>
        </w:tc>
        <w:tc>
          <w:tcPr>
            <w:tcW w:w="13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216"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23 436</w:t>
            </w:r>
          </w:p>
        </w:tc>
      </w:tr>
      <w:tr>
        <w:trPr>
          <w:trHeight w:hRule="exact" w:val="170"/>
        </w:trPr>
        <w:tc>
          <w:tcPr>
            <w:tcW w:w="2470" w:type="dxa"/>
            <w:tcBorders>
              <w:top w:val="nil"/>
              <w:left w:val="nil"/>
              <w:bottom w:val="nil"/>
              <w:right w:val="nil"/>
              <w:tl2br w:val="nil"/>
              <w:tr2bl w:val="nil"/>
            </w:tcBorders>
            <w:tcMar>
              <w:left w:w="60" w:type="dxa"/>
              <w:right w:w="60" w:type="dxa"/>
            </w:tcMar>
            <w:vAlign w:val="center"/>
          </w:tcPr>
          <w:p>
            <w:pPr>
              <w:pStyle w:val="DMETW36752BIPSEGREP"/>
              <w:rPr>
                <w:rFonts w:ascii="Verdana" w:eastAsia="Verdana" w:hAnsi="Verdana" w:cs="Verdana"/>
                <w:i/>
                <w:noProof/>
                <w:color w:val="000000"/>
                <w:sz w:val="16"/>
              </w:rPr>
            </w:pPr>
            <w:r>
              <w:rPr>
                <w:rFonts w:ascii="Verdana" w:hAnsi="Verdana"/>
                <w:i/>
                <w:noProof/>
                <w:color w:val="000000"/>
                <w:sz w:val="16"/>
              </w:rPr>
              <w:t>TVA</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276"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089"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462"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25 728</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25 728</w:t>
            </w:r>
          </w:p>
        </w:tc>
        <w:tc>
          <w:tcPr>
            <w:tcW w:w="13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216"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25 728</w:t>
            </w:r>
          </w:p>
        </w:tc>
      </w:tr>
      <w:tr>
        <w:trPr>
          <w:trHeight w:hRule="exact" w:val="170"/>
        </w:trPr>
        <w:tc>
          <w:tcPr>
            <w:tcW w:w="2470" w:type="dxa"/>
            <w:tcBorders>
              <w:top w:val="nil"/>
              <w:left w:val="nil"/>
              <w:bottom w:val="nil"/>
              <w:right w:val="nil"/>
              <w:tl2br w:val="nil"/>
              <w:tr2bl w:val="nil"/>
            </w:tcBorders>
            <w:tcMar>
              <w:left w:w="60" w:type="dxa"/>
              <w:right w:w="60" w:type="dxa"/>
            </w:tcMar>
            <w:vAlign w:val="center"/>
          </w:tcPr>
          <w:p>
            <w:pPr>
              <w:pStyle w:val="DMETW36752BIPSEGREP"/>
              <w:rPr>
                <w:rFonts w:ascii="Verdana" w:eastAsia="Verdana" w:hAnsi="Verdana" w:cs="Verdana"/>
                <w:i/>
                <w:noProof/>
                <w:color w:val="000000"/>
                <w:sz w:val="16"/>
              </w:rPr>
            </w:pPr>
            <w:r>
              <w:rPr>
                <w:rFonts w:ascii="Verdana" w:hAnsi="Verdana"/>
                <w:i/>
                <w:noProof/>
                <w:color w:val="000000"/>
                <w:sz w:val="16"/>
              </w:rPr>
              <w:t>Ressources propres fondées sur les matières plastiques</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276"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089"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462"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7 524</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7 524</w:t>
            </w:r>
          </w:p>
        </w:tc>
        <w:tc>
          <w:tcPr>
            <w:tcW w:w="13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216"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7 524</w:t>
            </w:r>
          </w:p>
        </w:tc>
      </w:tr>
      <w:tr>
        <w:trPr>
          <w:trHeight w:hRule="exact" w:val="170"/>
        </w:trPr>
        <w:tc>
          <w:tcPr>
            <w:tcW w:w="2470" w:type="dxa"/>
            <w:tcBorders>
              <w:top w:val="nil"/>
              <w:left w:val="nil"/>
              <w:bottom w:val="nil"/>
              <w:right w:val="nil"/>
              <w:tl2br w:val="nil"/>
              <w:tr2bl w:val="nil"/>
            </w:tcBorders>
            <w:tcMar>
              <w:left w:w="60" w:type="dxa"/>
              <w:right w:w="60" w:type="dxa"/>
            </w:tcMar>
            <w:vAlign w:val="center"/>
          </w:tcPr>
          <w:p>
            <w:pPr>
              <w:pStyle w:val="DMETW36752BIPSEGREP"/>
              <w:rPr>
                <w:rFonts w:ascii="Verdana" w:eastAsia="Verdana" w:hAnsi="Verdana" w:cs="Verdana"/>
                <w:i/>
                <w:noProof/>
                <w:color w:val="000000"/>
                <w:sz w:val="16"/>
              </w:rPr>
            </w:pPr>
            <w:r>
              <w:rPr>
                <w:rFonts w:ascii="Verdana" w:hAnsi="Verdana"/>
                <w:i/>
                <w:noProof/>
                <w:color w:val="000000"/>
                <w:sz w:val="16"/>
              </w:rPr>
              <w:t>Amendes</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276"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358</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089"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101</w:t>
            </w:r>
          </w:p>
        </w:tc>
        <w:tc>
          <w:tcPr>
            <w:tcW w:w="1462"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4 912</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5 370</w:t>
            </w:r>
          </w:p>
        </w:tc>
        <w:tc>
          <w:tcPr>
            <w:tcW w:w="13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216"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5 370</w:t>
            </w:r>
          </w:p>
        </w:tc>
      </w:tr>
      <w:tr>
        <w:trPr>
          <w:trHeight w:hRule="exact" w:val="414"/>
        </w:trPr>
        <w:tc>
          <w:tcPr>
            <w:tcW w:w="2470" w:type="dxa"/>
            <w:tcBorders>
              <w:top w:val="nil"/>
              <w:left w:val="nil"/>
              <w:bottom w:val="nil"/>
              <w:right w:val="nil"/>
              <w:tl2br w:val="nil"/>
              <w:tr2bl w:val="nil"/>
            </w:tcBorders>
            <w:tcMar>
              <w:left w:w="60" w:type="dxa"/>
              <w:right w:w="60" w:type="dxa"/>
            </w:tcMar>
            <w:vAlign w:val="center"/>
          </w:tcPr>
          <w:p>
            <w:pPr>
              <w:pStyle w:val="DMETW36752BIPSEGREP"/>
              <w:rPr>
                <w:rFonts w:ascii="Verdana" w:eastAsia="Verdana" w:hAnsi="Verdana" w:cs="Verdana"/>
                <w:i/>
                <w:noProof/>
                <w:color w:val="000000"/>
                <w:sz w:val="16"/>
              </w:rPr>
            </w:pPr>
            <w:r>
              <w:rPr>
                <w:rFonts w:ascii="Verdana" w:hAnsi="Verdana"/>
                <w:i/>
                <w:noProof/>
                <w:color w:val="000000"/>
                <w:sz w:val="16"/>
              </w:rPr>
              <w:t>Récupération de dépenses</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948</w:t>
            </w:r>
          </w:p>
        </w:tc>
        <w:tc>
          <w:tcPr>
            <w:tcW w:w="1276"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348</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21</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12</w:t>
            </w:r>
          </w:p>
        </w:tc>
        <w:tc>
          <w:tcPr>
            <w:tcW w:w="1089"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0</w:t>
            </w:r>
          </w:p>
        </w:tc>
        <w:tc>
          <w:tcPr>
            <w:tcW w:w="1462"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37</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1 365</w:t>
            </w:r>
          </w:p>
        </w:tc>
        <w:tc>
          <w:tcPr>
            <w:tcW w:w="13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10</w:t>
            </w:r>
          </w:p>
        </w:tc>
        <w:tc>
          <w:tcPr>
            <w:tcW w:w="1216"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1 376</w:t>
            </w:r>
          </w:p>
        </w:tc>
      </w:tr>
      <w:tr>
        <w:trPr>
          <w:trHeight w:hRule="exact" w:val="366"/>
        </w:trPr>
        <w:tc>
          <w:tcPr>
            <w:tcW w:w="2470" w:type="dxa"/>
            <w:tcBorders>
              <w:top w:val="nil"/>
              <w:left w:val="nil"/>
              <w:bottom w:val="nil"/>
              <w:right w:val="nil"/>
              <w:tl2br w:val="nil"/>
              <w:tr2bl w:val="nil"/>
            </w:tcBorders>
            <w:tcMar>
              <w:left w:w="60" w:type="dxa"/>
              <w:right w:w="60" w:type="dxa"/>
            </w:tcMar>
            <w:vAlign w:val="center"/>
          </w:tcPr>
          <w:p>
            <w:pPr>
              <w:pStyle w:val="DMETW36752BIPSEGREP"/>
              <w:rPr>
                <w:rFonts w:ascii="Verdana" w:eastAsia="Verdana" w:hAnsi="Verdana" w:cs="Verdana"/>
                <w:i/>
                <w:noProof/>
                <w:color w:val="000000"/>
                <w:sz w:val="16"/>
              </w:rPr>
            </w:pPr>
            <w:r>
              <w:rPr>
                <w:rFonts w:ascii="Verdana" w:hAnsi="Verdana"/>
                <w:i/>
                <w:noProof/>
                <w:color w:val="000000"/>
                <w:sz w:val="16"/>
              </w:rPr>
              <w:t>Accord de retrait du Royaume-Uni</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276"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089"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462"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3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216"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r>
      <w:tr>
        <w:trPr>
          <w:trHeight w:hRule="exact" w:val="170"/>
        </w:trPr>
        <w:tc>
          <w:tcPr>
            <w:tcW w:w="2470" w:type="dxa"/>
            <w:tcBorders>
              <w:top w:val="nil"/>
              <w:left w:val="nil"/>
              <w:bottom w:val="nil"/>
              <w:right w:val="nil"/>
              <w:tl2br w:val="nil"/>
              <w:tr2bl w:val="nil"/>
            </w:tcBorders>
            <w:tcMar>
              <w:left w:w="60" w:type="dxa"/>
              <w:right w:w="60" w:type="dxa"/>
            </w:tcMar>
            <w:vAlign w:val="center"/>
          </w:tcPr>
          <w:p>
            <w:pPr>
              <w:pStyle w:val="DMETW36752BIPSEGREP"/>
              <w:rPr>
                <w:rFonts w:ascii="Verdana" w:eastAsia="Verdana" w:hAnsi="Verdana" w:cs="Verdana"/>
                <w:i/>
                <w:noProof/>
                <w:color w:val="000000"/>
                <w:sz w:val="16"/>
              </w:rPr>
            </w:pPr>
            <w:r>
              <w:rPr>
                <w:rFonts w:ascii="Verdana" w:hAnsi="Verdana"/>
                <w:i/>
                <w:noProof/>
                <w:color w:val="000000"/>
                <w:sz w:val="16"/>
              </w:rPr>
              <w:t>Autres</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319</w:t>
            </w:r>
          </w:p>
        </w:tc>
        <w:tc>
          <w:tcPr>
            <w:tcW w:w="1276"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3 792</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6 360</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3 884</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593</w:t>
            </w:r>
          </w:p>
        </w:tc>
        <w:tc>
          <w:tcPr>
            <w:tcW w:w="1089"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2 952</w:t>
            </w:r>
          </w:p>
        </w:tc>
        <w:tc>
          <w:tcPr>
            <w:tcW w:w="1462"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(4 590)</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13 310</w:t>
            </w:r>
          </w:p>
        </w:tc>
        <w:tc>
          <w:tcPr>
            <w:tcW w:w="13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5 262</w:t>
            </w:r>
          </w:p>
        </w:tc>
        <w:tc>
          <w:tcPr>
            <w:tcW w:w="1216"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18 572</w:t>
            </w:r>
          </w:p>
        </w:tc>
      </w:tr>
      <w:tr>
        <w:trPr>
          <w:trHeight w:hRule="exact" w:val="410"/>
        </w:trPr>
        <w:tc>
          <w:tcPr>
            <w:tcW w:w="2470" w:type="dxa"/>
            <w:tcBorders>
              <w:top w:val="nil"/>
              <w:left w:val="nil"/>
              <w:bottom w:val="nil"/>
              <w:right w:val="nil"/>
              <w:tl2br w:val="nil"/>
              <w:tr2bl w:val="nil"/>
            </w:tcBorders>
            <w:tcMar>
              <w:left w:w="60" w:type="dxa"/>
              <w:right w:w="60" w:type="dxa"/>
            </w:tcMar>
            <w:vAlign w:val="center"/>
          </w:tcPr>
          <w:p>
            <w:pPr>
              <w:pStyle w:val="DMETW36752BIPSEGREP"/>
              <w:rPr>
                <w:rFonts w:ascii="Verdana" w:eastAsia="Verdana" w:hAnsi="Verdana" w:cs="Verdana"/>
                <w:b/>
                <w:noProof/>
                <w:color w:val="000000"/>
                <w:sz w:val="16"/>
              </w:rPr>
            </w:pPr>
            <w:r>
              <w:rPr>
                <w:rFonts w:ascii="Verdana" w:hAnsi="Verdana"/>
                <w:b/>
                <w:noProof/>
                <w:color w:val="000000"/>
                <w:sz w:val="16"/>
              </w:rPr>
              <w:t>Produit des opérations sans contrepartie directe</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1 268</w:t>
            </w:r>
          </w:p>
        </w:tc>
        <w:tc>
          <w:tcPr>
            <w:tcW w:w="1276"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4 139</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6 360</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4 262</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 xml:space="preserve"> 605</w:t>
            </w:r>
          </w:p>
        </w:tc>
        <w:tc>
          <w:tcPr>
            <w:tcW w:w="1089"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3 053</w:t>
            </w:r>
          </w:p>
        </w:tc>
        <w:tc>
          <w:tcPr>
            <w:tcW w:w="1462"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163 389</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183 077</w:t>
            </w:r>
          </w:p>
        </w:tc>
        <w:tc>
          <w:tcPr>
            <w:tcW w:w="13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5 272</w:t>
            </w:r>
          </w:p>
        </w:tc>
        <w:tc>
          <w:tcPr>
            <w:tcW w:w="1216"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188 348</w:t>
            </w:r>
          </w:p>
        </w:tc>
      </w:tr>
      <w:tr>
        <w:trPr>
          <w:trHeight w:hRule="exact" w:val="170"/>
        </w:trPr>
        <w:tc>
          <w:tcPr>
            <w:tcW w:w="2470" w:type="dxa"/>
            <w:tcBorders>
              <w:top w:val="nil"/>
              <w:left w:val="nil"/>
              <w:bottom w:val="nil"/>
              <w:right w:val="nil"/>
              <w:tl2br w:val="nil"/>
              <w:tr2bl w:val="nil"/>
            </w:tcBorders>
            <w:tcMar>
              <w:left w:w="60" w:type="dxa"/>
              <w:right w:w="60" w:type="dxa"/>
            </w:tcMar>
            <w:vAlign w:val="center"/>
          </w:tcPr>
          <w:p>
            <w:pPr>
              <w:pStyle w:val="DMETW36752BIPSEGREP"/>
              <w:rPr>
                <w:rFonts w:ascii="Verdana" w:eastAsia="Verdana" w:hAnsi="Verdana" w:cs="Verdana"/>
                <w:i/>
                <w:noProof/>
                <w:color w:val="000000"/>
                <w:sz w:val="16"/>
              </w:rPr>
            </w:pPr>
            <w:r>
              <w:rPr>
                <w:rFonts w:ascii="Verdana" w:hAnsi="Verdana"/>
                <w:i/>
                <w:noProof/>
                <w:color w:val="000000"/>
                <w:sz w:val="16"/>
              </w:rPr>
              <w:t>Produit financier</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0</w:t>
            </w:r>
          </w:p>
        </w:tc>
        <w:tc>
          <w:tcPr>
            <w:tcW w:w="1276"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1</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16 506</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1 844</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(258)</w:t>
            </w:r>
          </w:p>
        </w:tc>
        <w:tc>
          <w:tcPr>
            <w:tcW w:w="1089"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340</w:t>
            </w:r>
          </w:p>
        </w:tc>
        <w:tc>
          <w:tcPr>
            <w:tcW w:w="1462"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(6 856)</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11 579</w:t>
            </w:r>
          </w:p>
        </w:tc>
        <w:tc>
          <w:tcPr>
            <w:tcW w:w="13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68</w:t>
            </w:r>
          </w:p>
        </w:tc>
        <w:tc>
          <w:tcPr>
            <w:tcW w:w="1216"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11 646</w:t>
            </w:r>
          </w:p>
        </w:tc>
      </w:tr>
      <w:tr>
        <w:trPr>
          <w:trHeight w:hRule="exact" w:val="170"/>
        </w:trPr>
        <w:tc>
          <w:tcPr>
            <w:tcW w:w="2470" w:type="dxa"/>
            <w:tcBorders>
              <w:top w:val="nil"/>
              <w:left w:val="nil"/>
              <w:bottom w:val="nil"/>
              <w:right w:val="nil"/>
              <w:tl2br w:val="nil"/>
              <w:tr2bl w:val="nil"/>
            </w:tcBorders>
            <w:tcMar>
              <w:left w:w="60" w:type="dxa"/>
              <w:right w:w="60" w:type="dxa"/>
            </w:tcMar>
            <w:vAlign w:val="center"/>
          </w:tcPr>
          <w:p>
            <w:pPr>
              <w:pStyle w:val="DMETW36752BIPSEGREP"/>
              <w:rPr>
                <w:rFonts w:ascii="Verdana" w:eastAsia="Verdana" w:hAnsi="Verdana" w:cs="Verdana"/>
                <w:i/>
                <w:noProof/>
                <w:color w:val="000000"/>
                <w:sz w:val="16"/>
              </w:rPr>
            </w:pPr>
            <w:r>
              <w:rPr>
                <w:rFonts w:ascii="Verdana" w:hAnsi="Verdana"/>
                <w:i/>
                <w:noProof/>
                <w:color w:val="000000"/>
                <w:sz w:val="16"/>
              </w:rPr>
              <w:t>Autres</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(5)</w:t>
            </w:r>
          </w:p>
        </w:tc>
        <w:tc>
          <w:tcPr>
            <w:tcW w:w="1276"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(4)</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142</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344</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183</w:t>
            </w:r>
          </w:p>
        </w:tc>
        <w:tc>
          <w:tcPr>
            <w:tcW w:w="1089"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(40)</w:t>
            </w:r>
          </w:p>
        </w:tc>
        <w:tc>
          <w:tcPr>
            <w:tcW w:w="1462"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823</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1 443</w:t>
            </w:r>
          </w:p>
        </w:tc>
        <w:tc>
          <w:tcPr>
            <w:tcW w:w="13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1 057</w:t>
            </w:r>
          </w:p>
        </w:tc>
        <w:tc>
          <w:tcPr>
            <w:tcW w:w="1216"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2 500</w:t>
            </w:r>
          </w:p>
        </w:tc>
      </w:tr>
      <w:tr>
        <w:trPr>
          <w:trHeight w:hRule="exact" w:val="642"/>
        </w:trPr>
        <w:tc>
          <w:tcPr>
            <w:tcW w:w="2470" w:type="dxa"/>
            <w:tcBorders>
              <w:top w:val="nil"/>
              <w:left w:val="nil"/>
              <w:bottom w:val="single" w:sz="4" w:space="0" w:color="016794"/>
              <w:right w:val="nil"/>
              <w:tl2br w:val="nil"/>
              <w:tr2bl w:val="nil"/>
            </w:tcBorders>
            <w:tcMar>
              <w:left w:w="60" w:type="dxa"/>
              <w:right w:w="60" w:type="dxa"/>
            </w:tcMar>
            <w:vAlign w:val="center"/>
          </w:tcPr>
          <w:p>
            <w:pPr>
              <w:pStyle w:val="DMETW36752BIPSEGREP"/>
              <w:rPr>
                <w:rFonts w:ascii="Verdana" w:eastAsia="Verdana" w:hAnsi="Verdana" w:cs="Verdana"/>
                <w:b/>
                <w:noProof/>
                <w:color w:val="000000"/>
                <w:sz w:val="16"/>
              </w:rPr>
            </w:pPr>
            <w:r>
              <w:rPr>
                <w:rFonts w:ascii="Verdana" w:hAnsi="Verdana"/>
                <w:b/>
                <w:noProof/>
                <w:color w:val="000000"/>
                <w:sz w:val="16"/>
              </w:rPr>
              <w:t>Produit des opérations avec contrepartie directe</w:t>
            </w:r>
          </w:p>
        </w:tc>
        <w:tc>
          <w:tcPr>
            <w:tcW w:w="1134" w:type="dxa"/>
            <w:tcBorders>
              <w:top w:val="nil"/>
              <w:left w:val="nil"/>
              <w:bottom w:val="single" w:sz="4" w:space="0" w:color="016794"/>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 xml:space="preserve"> (5)</w:t>
            </w:r>
          </w:p>
        </w:tc>
        <w:tc>
          <w:tcPr>
            <w:tcW w:w="1276" w:type="dxa"/>
            <w:tcBorders>
              <w:top w:val="nil"/>
              <w:left w:val="nil"/>
              <w:bottom w:val="single" w:sz="4" w:space="0" w:color="016794"/>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 xml:space="preserve"> (3)</w:t>
            </w:r>
          </w:p>
        </w:tc>
        <w:tc>
          <w:tcPr>
            <w:tcW w:w="1134" w:type="dxa"/>
            <w:tcBorders>
              <w:top w:val="nil"/>
              <w:left w:val="nil"/>
              <w:bottom w:val="single" w:sz="4" w:space="0" w:color="016794"/>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16 649</w:t>
            </w:r>
          </w:p>
        </w:tc>
        <w:tc>
          <w:tcPr>
            <w:tcW w:w="1134" w:type="dxa"/>
            <w:tcBorders>
              <w:top w:val="nil"/>
              <w:left w:val="nil"/>
              <w:bottom w:val="single" w:sz="4" w:space="0" w:color="016794"/>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2 188</w:t>
            </w:r>
          </w:p>
        </w:tc>
        <w:tc>
          <w:tcPr>
            <w:tcW w:w="1134" w:type="dxa"/>
            <w:tcBorders>
              <w:top w:val="nil"/>
              <w:left w:val="nil"/>
              <w:bottom w:val="single" w:sz="4" w:space="0" w:color="016794"/>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 xml:space="preserve"> (74)</w:t>
            </w:r>
          </w:p>
        </w:tc>
        <w:tc>
          <w:tcPr>
            <w:tcW w:w="1089" w:type="dxa"/>
            <w:tcBorders>
              <w:top w:val="nil"/>
              <w:left w:val="nil"/>
              <w:bottom w:val="single" w:sz="4" w:space="0" w:color="016794"/>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 xml:space="preserve"> 300</w:t>
            </w:r>
          </w:p>
        </w:tc>
        <w:tc>
          <w:tcPr>
            <w:tcW w:w="1462" w:type="dxa"/>
            <w:tcBorders>
              <w:top w:val="nil"/>
              <w:left w:val="nil"/>
              <w:bottom w:val="single" w:sz="4" w:space="0" w:color="016794"/>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(6 033)</w:t>
            </w:r>
          </w:p>
        </w:tc>
        <w:tc>
          <w:tcPr>
            <w:tcW w:w="1134" w:type="dxa"/>
            <w:tcBorders>
              <w:top w:val="nil"/>
              <w:left w:val="nil"/>
              <w:bottom w:val="single" w:sz="4" w:space="0" w:color="016794"/>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13 021</w:t>
            </w:r>
          </w:p>
        </w:tc>
        <w:tc>
          <w:tcPr>
            <w:tcW w:w="1334" w:type="dxa"/>
            <w:tcBorders>
              <w:top w:val="nil"/>
              <w:left w:val="nil"/>
              <w:bottom w:val="single" w:sz="4" w:space="0" w:color="016794"/>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1 125</w:t>
            </w:r>
          </w:p>
        </w:tc>
        <w:tc>
          <w:tcPr>
            <w:tcW w:w="1216" w:type="dxa"/>
            <w:tcBorders>
              <w:top w:val="nil"/>
              <w:left w:val="nil"/>
              <w:bottom w:val="single" w:sz="4" w:space="0" w:color="016794"/>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14 146</w:t>
            </w:r>
          </w:p>
        </w:tc>
      </w:tr>
      <w:tr>
        <w:trPr>
          <w:trHeight w:hRule="exact" w:val="256"/>
        </w:trPr>
        <w:tc>
          <w:tcPr>
            <w:tcW w:w="247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2BIPSEGREP"/>
              <w:rPr>
                <w:rFonts w:ascii="Verdana" w:eastAsia="Verdana" w:hAnsi="Verdana" w:cs="Verdana"/>
                <w:b/>
                <w:noProof/>
                <w:color w:val="000000"/>
                <w:sz w:val="16"/>
              </w:rPr>
            </w:pPr>
            <w:r>
              <w:rPr>
                <w:rFonts w:ascii="Verdana" w:hAnsi="Verdana"/>
                <w:b/>
                <w:noProof/>
                <w:color w:val="000000"/>
                <w:sz w:val="16"/>
              </w:rPr>
              <w:t>Total des recettes</w:t>
            </w:r>
          </w:p>
        </w:tc>
        <w:tc>
          <w:tcPr>
            <w:tcW w:w="113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1 263</w:t>
            </w:r>
          </w:p>
        </w:tc>
        <w:tc>
          <w:tcPr>
            <w:tcW w:w="127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4 136</w:t>
            </w:r>
          </w:p>
        </w:tc>
        <w:tc>
          <w:tcPr>
            <w:tcW w:w="113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23 009</w:t>
            </w:r>
          </w:p>
        </w:tc>
        <w:tc>
          <w:tcPr>
            <w:tcW w:w="113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6 450</w:t>
            </w:r>
          </w:p>
        </w:tc>
        <w:tc>
          <w:tcPr>
            <w:tcW w:w="113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 xml:space="preserve"> 531</w:t>
            </w:r>
          </w:p>
        </w:tc>
        <w:tc>
          <w:tcPr>
            <w:tcW w:w="108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3 353</w:t>
            </w:r>
          </w:p>
        </w:tc>
        <w:tc>
          <w:tcPr>
            <w:tcW w:w="146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157 355</w:t>
            </w:r>
          </w:p>
        </w:tc>
        <w:tc>
          <w:tcPr>
            <w:tcW w:w="113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196 098</w:t>
            </w:r>
          </w:p>
        </w:tc>
        <w:tc>
          <w:tcPr>
            <w:tcW w:w="133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6 397</w:t>
            </w:r>
          </w:p>
        </w:tc>
        <w:tc>
          <w:tcPr>
            <w:tcW w:w="121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202 495</w:t>
            </w:r>
          </w:p>
        </w:tc>
      </w:tr>
      <w:tr>
        <w:trPr>
          <w:trHeight w:hRule="exact" w:val="509"/>
        </w:trPr>
        <w:tc>
          <w:tcPr>
            <w:tcW w:w="2470" w:type="dxa"/>
            <w:tcBorders>
              <w:top w:val="single" w:sz="4" w:space="0" w:color="016794"/>
              <w:left w:val="nil"/>
              <w:bottom w:val="nil"/>
              <w:right w:val="nil"/>
              <w:tl2br w:val="nil"/>
              <w:tr2bl w:val="nil"/>
            </w:tcBorders>
            <w:tcMar>
              <w:left w:w="60" w:type="dxa"/>
              <w:right w:w="60" w:type="dxa"/>
            </w:tcMar>
            <w:vAlign w:val="center"/>
          </w:tcPr>
          <w:p>
            <w:pPr>
              <w:pStyle w:val="DMETW36752BIPSEGREP"/>
              <w:rPr>
                <w:rFonts w:ascii="Verdana" w:eastAsia="Verdana" w:hAnsi="Verdana" w:cs="Verdana"/>
                <w:i/>
                <w:noProof/>
                <w:color w:val="000000"/>
                <w:sz w:val="16"/>
              </w:rPr>
            </w:pPr>
            <w:r>
              <w:rPr>
                <w:rFonts w:ascii="Verdana" w:hAnsi="Verdana"/>
                <w:i/>
                <w:noProof/>
                <w:color w:val="000000"/>
                <w:sz w:val="16"/>
              </w:rPr>
              <w:t>Dépenses déléguées aux États membres</w:t>
            </w:r>
          </w:p>
        </w:tc>
        <w:tc>
          <w:tcPr>
            <w:tcW w:w="1134" w:type="dxa"/>
            <w:tcBorders>
              <w:top w:val="single" w:sz="4" w:space="0" w:color="016794"/>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p>
        </w:tc>
        <w:tc>
          <w:tcPr>
            <w:tcW w:w="1276" w:type="dxa"/>
            <w:tcBorders>
              <w:top w:val="single" w:sz="4" w:space="0" w:color="016794"/>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p>
        </w:tc>
        <w:tc>
          <w:tcPr>
            <w:tcW w:w="1134" w:type="dxa"/>
            <w:tcBorders>
              <w:top w:val="single" w:sz="4" w:space="0" w:color="016794"/>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p>
        </w:tc>
        <w:tc>
          <w:tcPr>
            <w:tcW w:w="1134" w:type="dxa"/>
            <w:tcBorders>
              <w:top w:val="single" w:sz="4" w:space="0" w:color="016794"/>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p>
        </w:tc>
        <w:tc>
          <w:tcPr>
            <w:tcW w:w="1134" w:type="dxa"/>
            <w:tcBorders>
              <w:top w:val="single" w:sz="4" w:space="0" w:color="016794"/>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p>
        </w:tc>
        <w:tc>
          <w:tcPr>
            <w:tcW w:w="1089" w:type="dxa"/>
            <w:tcBorders>
              <w:top w:val="single" w:sz="4" w:space="0" w:color="016794"/>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p>
        </w:tc>
        <w:tc>
          <w:tcPr>
            <w:tcW w:w="1462" w:type="dxa"/>
            <w:tcBorders>
              <w:top w:val="single" w:sz="4" w:space="0" w:color="016794"/>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p>
        </w:tc>
        <w:tc>
          <w:tcPr>
            <w:tcW w:w="1134" w:type="dxa"/>
            <w:tcBorders>
              <w:top w:val="single" w:sz="4" w:space="0" w:color="016794"/>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p>
        </w:tc>
        <w:tc>
          <w:tcPr>
            <w:tcW w:w="1334" w:type="dxa"/>
            <w:tcBorders>
              <w:top w:val="single" w:sz="4" w:space="0" w:color="016794"/>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p>
        </w:tc>
        <w:tc>
          <w:tcPr>
            <w:tcW w:w="1216" w:type="dxa"/>
            <w:tcBorders>
              <w:top w:val="single" w:sz="4" w:space="0" w:color="016794"/>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lang w:bidi="en-GB"/>
              </w:rPr>
            </w:pPr>
          </w:p>
        </w:tc>
      </w:tr>
      <w:tr>
        <w:trPr>
          <w:trHeight w:hRule="exact" w:val="170"/>
        </w:trPr>
        <w:tc>
          <w:tcPr>
            <w:tcW w:w="2470" w:type="dxa"/>
            <w:tcBorders>
              <w:top w:val="nil"/>
              <w:left w:val="nil"/>
              <w:bottom w:val="nil"/>
              <w:right w:val="nil"/>
              <w:tl2br w:val="nil"/>
              <w:tr2bl w:val="nil"/>
            </w:tcBorders>
            <w:tcMar>
              <w:left w:w="60" w:type="dxa"/>
              <w:right w:w="60" w:type="dxa"/>
            </w:tcMar>
            <w:vAlign w:val="center"/>
          </w:tcPr>
          <w:p>
            <w:pPr>
              <w:pStyle w:val="DMETW36752BIPSEGREP"/>
              <w:rPr>
                <w:rFonts w:ascii="Verdana" w:eastAsia="Verdana" w:hAnsi="Verdana" w:cs="Verdana"/>
                <w:i/>
                <w:noProof/>
                <w:color w:val="000000"/>
                <w:sz w:val="16"/>
              </w:rPr>
            </w:pPr>
            <w:r>
              <w:rPr>
                <w:rFonts w:ascii="Verdana" w:hAnsi="Verdana"/>
                <w:i/>
                <w:noProof/>
                <w:color w:val="000000"/>
                <w:sz w:val="16"/>
              </w:rPr>
              <w:t xml:space="preserve">     FEAGA</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(40 914)</w:t>
            </w:r>
          </w:p>
        </w:tc>
        <w:tc>
          <w:tcPr>
            <w:tcW w:w="1276"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089"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462"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(40 914)</w:t>
            </w:r>
          </w:p>
        </w:tc>
        <w:tc>
          <w:tcPr>
            <w:tcW w:w="13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216"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(40 914)</w:t>
            </w:r>
          </w:p>
        </w:tc>
      </w:tr>
      <w:tr>
        <w:trPr>
          <w:trHeight w:hRule="exact" w:val="170"/>
        </w:trPr>
        <w:tc>
          <w:tcPr>
            <w:tcW w:w="2470" w:type="dxa"/>
            <w:tcBorders>
              <w:top w:val="nil"/>
              <w:left w:val="nil"/>
              <w:bottom w:val="nil"/>
              <w:right w:val="nil"/>
              <w:tl2br w:val="nil"/>
              <w:tr2bl w:val="nil"/>
            </w:tcBorders>
            <w:tcMar>
              <w:left w:w="60" w:type="dxa"/>
              <w:right w:w="60" w:type="dxa"/>
            </w:tcMar>
            <w:vAlign w:val="center"/>
          </w:tcPr>
          <w:p>
            <w:pPr>
              <w:pStyle w:val="DMETW36752BIPSEGREP"/>
              <w:rPr>
                <w:rFonts w:ascii="Verdana" w:eastAsia="Verdana" w:hAnsi="Verdana" w:cs="Verdana"/>
                <w:i/>
                <w:noProof/>
                <w:color w:val="000000"/>
                <w:sz w:val="16"/>
              </w:rPr>
            </w:pPr>
            <w:r>
              <w:rPr>
                <w:rFonts w:ascii="Verdana" w:hAnsi="Verdana"/>
                <w:i/>
                <w:noProof/>
                <w:color w:val="000000"/>
                <w:sz w:val="16"/>
              </w:rPr>
              <w:t xml:space="preserve">     Feader et autres</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(17 017)</w:t>
            </w:r>
          </w:p>
        </w:tc>
        <w:tc>
          <w:tcPr>
            <w:tcW w:w="1276"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089"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462"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(17 017)</w:t>
            </w:r>
          </w:p>
        </w:tc>
        <w:tc>
          <w:tcPr>
            <w:tcW w:w="13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216"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(17 017)</w:t>
            </w:r>
          </w:p>
        </w:tc>
      </w:tr>
      <w:tr>
        <w:trPr>
          <w:trHeight w:hRule="exact" w:val="170"/>
        </w:trPr>
        <w:tc>
          <w:tcPr>
            <w:tcW w:w="2470" w:type="dxa"/>
            <w:tcBorders>
              <w:top w:val="nil"/>
              <w:left w:val="nil"/>
              <w:bottom w:val="nil"/>
              <w:right w:val="nil"/>
              <w:tl2br w:val="nil"/>
              <w:tr2bl w:val="nil"/>
            </w:tcBorders>
            <w:tcMar>
              <w:left w:w="60" w:type="dxa"/>
              <w:right w:w="60" w:type="dxa"/>
            </w:tcMar>
            <w:vAlign w:val="center"/>
          </w:tcPr>
          <w:p>
            <w:pPr>
              <w:pStyle w:val="DMETW36752BIPSEGREP"/>
              <w:rPr>
                <w:rFonts w:ascii="Verdana" w:eastAsia="Verdana" w:hAnsi="Verdana" w:cs="Verdana"/>
                <w:i/>
                <w:noProof/>
                <w:color w:val="000000"/>
                <w:sz w:val="16"/>
              </w:rPr>
            </w:pPr>
            <w:r>
              <w:rPr>
                <w:rFonts w:ascii="Verdana" w:hAnsi="Verdana"/>
                <w:i/>
                <w:noProof/>
                <w:color w:val="000000"/>
                <w:sz w:val="16"/>
              </w:rPr>
              <w:t xml:space="preserve">     FEDER et FC</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276"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(31 032)</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089"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462"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(31 032)</w:t>
            </w:r>
          </w:p>
        </w:tc>
        <w:tc>
          <w:tcPr>
            <w:tcW w:w="13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216"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(31 032)</w:t>
            </w:r>
          </w:p>
        </w:tc>
      </w:tr>
      <w:tr>
        <w:trPr>
          <w:trHeight w:hRule="exact" w:val="170"/>
        </w:trPr>
        <w:tc>
          <w:tcPr>
            <w:tcW w:w="2470" w:type="dxa"/>
            <w:tcBorders>
              <w:top w:val="nil"/>
              <w:left w:val="nil"/>
              <w:bottom w:val="nil"/>
              <w:right w:val="nil"/>
              <w:tl2br w:val="nil"/>
              <w:tr2bl w:val="nil"/>
            </w:tcBorders>
            <w:tcMar>
              <w:left w:w="60" w:type="dxa"/>
              <w:right w:w="60" w:type="dxa"/>
            </w:tcMar>
            <w:vAlign w:val="center"/>
          </w:tcPr>
          <w:p>
            <w:pPr>
              <w:pStyle w:val="DMETW36752BIPSEGREP"/>
              <w:rPr>
                <w:rFonts w:ascii="Verdana" w:eastAsia="Verdana" w:hAnsi="Verdana" w:cs="Verdana"/>
                <w:i/>
                <w:noProof/>
                <w:color w:val="000000"/>
                <w:sz w:val="16"/>
              </w:rPr>
            </w:pPr>
            <w:r>
              <w:rPr>
                <w:rFonts w:ascii="Verdana" w:hAnsi="Verdana"/>
                <w:i/>
                <w:noProof/>
                <w:color w:val="000000"/>
                <w:sz w:val="16"/>
              </w:rPr>
              <w:t xml:space="preserve">     FSE</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276"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(17 308)</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089"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462"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(17 308)</w:t>
            </w:r>
          </w:p>
        </w:tc>
        <w:tc>
          <w:tcPr>
            <w:tcW w:w="13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216"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(17 308)</w:t>
            </w:r>
          </w:p>
        </w:tc>
      </w:tr>
      <w:tr>
        <w:trPr>
          <w:trHeight w:hRule="exact" w:val="170"/>
        </w:trPr>
        <w:tc>
          <w:tcPr>
            <w:tcW w:w="2470" w:type="dxa"/>
            <w:tcBorders>
              <w:top w:val="nil"/>
              <w:left w:val="nil"/>
              <w:bottom w:val="nil"/>
              <w:right w:val="nil"/>
              <w:tl2br w:val="nil"/>
              <w:tr2bl w:val="nil"/>
            </w:tcBorders>
            <w:tcMar>
              <w:left w:w="60" w:type="dxa"/>
              <w:right w:w="60" w:type="dxa"/>
            </w:tcMar>
            <w:vAlign w:val="center"/>
          </w:tcPr>
          <w:p>
            <w:pPr>
              <w:pStyle w:val="DMETW36752BIPSEGREP"/>
              <w:rPr>
                <w:rFonts w:ascii="Verdana" w:eastAsia="Verdana" w:hAnsi="Verdana" w:cs="Verdana"/>
                <w:i/>
                <w:noProof/>
                <w:color w:val="000000"/>
                <w:sz w:val="16"/>
              </w:rPr>
            </w:pPr>
            <w:r>
              <w:rPr>
                <w:rFonts w:ascii="Verdana" w:hAnsi="Verdana"/>
                <w:i/>
                <w:noProof/>
                <w:color w:val="000000"/>
                <w:sz w:val="16"/>
              </w:rPr>
              <w:t xml:space="preserve">     Autres</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276"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(3 081)</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089"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462"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(1 432)</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(4 514)</w:t>
            </w:r>
          </w:p>
        </w:tc>
        <w:tc>
          <w:tcPr>
            <w:tcW w:w="13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216"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(4 514)</w:t>
            </w:r>
          </w:p>
        </w:tc>
      </w:tr>
      <w:tr>
        <w:trPr>
          <w:trHeight w:hRule="exact" w:val="703"/>
        </w:trPr>
        <w:tc>
          <w:tcPr>
            <w:tcW w:w="2470" w:type="dxa"/>
            <w:tcBorders>
              <w:top w:val="nil"/>
              <w:left w:val="nil"/>
              <w:bottom w:val="nil"/>
              <w:right w:val="nil"/>
              <w:tl2br w:val="nil"/>
              <w:tr2bl w:val="nil"/>
            </w:tcBorders>
            <w:tcMar>
              <w:left w:w="60" w:type="dxa"/>
              <w:right w:w="60" w:type="dxa"/>
            </w:tcMar>
            <w:vAlign w:val="center"/>
          </w:tcPr>
          <w:p>
            <w:pPr>
              <w:pStyle w:val="DMETW36752BIPSEGREP"/>
              <w:rPr>
                <w:rFonts w:ascii="Verdana" w:eastAsia="Verdana" w:hAnsi="Verdana" w:cs="Verdana"/>
                <w:i/>
                <w:noProof/>
                <w:color w:val="000000"/>
                <w:sz w:val="16"/>
              </w:rPr>
            </w:pPr>
            <w:r>
              <w:rPr>
                <w:rFonts w:ascii="Verdana" w:hAnsi="Verdana"/>
                <w:i/>
                <w:noProof/>
                <w:color w:val="000000"/>
                <w:sz w:val="16"/>
              </w:rPr>
              <w:t>Transferts, y compris subventions et appui budgétaire</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p>
        </w:tc>
        <w:tc>
          <w:tcPr>
            <w:tcW w:w="1276"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p>
        </w:tc>
        <w:tc>
          <w:tcPr>
            <w:tcW w:w="1089"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p>
        </w:tc>
        <w:tc>
          <w:tcPr>
            <w:tcW w:w="1462"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3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216"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lang w:bidi="en-GB"/>
              </w:rPr>
            </w:pPr>
          </w:p>
        </w:tc>
      </w:tr>
      <w:tr>
        <w:trPr>
          <w:trHeight w:hRule="exact" w:val="170"/>
        </w:trPr>
        <w:tc>
          <w:tcPr>
            <w:tcW w:w="2470" w:type="dxa"/>
            <w:tcBorders>
              <w:top w:val="nil"/>
              <w:left w:val="nil"/>
              <w:bottom w:val="nil"/>
              <w:right w:val="nil"/>
              <w:tl2br w:val="nil"/>
              <w:tr2bl w:val="nil"/>
            </w:tcBorders>
            <w:tcMar>
              <w:left w:w="60" w:type="dxa"/>
              <w:right w:w="60" w:type="dxa"/>
            </w:tcMar>
            <w:vAlign w:val="center"/>
          </w:tcPr>
          <w:p>
            <w:pPr>
              <w:pStyle w:val="DMETW36752BIPSEGREP"/>
              <w:rPr>
                <w:rFonts w:ascii="Verdana" w:eastAsia="Verdana" w:hAnsi="Verdana" w:cs="Verdana"/>
                <w:i/>
                <w:noProof/>
                <w:color w:val="000000"/>
                <w:sz w:val="16"/>
              </w:rPr>
            </w:pPr>
            <w:r>
              <w:rPr>
                <w:rFonts w:ascii="Verdana" w:hAnsi="Verdana"/>
                <w:i/>
                <w:noProof/>
                <w:color w:val="000000"/>
                <w:sz w:val="16"/>
              </w:rPr>
              <w:t xml:space="preserve">     FRR</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276"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(46 815)</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089"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462"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(46 815)</w:t>
            </w:r>
          </w:p>
        </w:tc>
        <w:tc>
          <w:tcPr>
            <w:tcW w:w="13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216"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(46 815)</w:t>
            </w:r>
          </w:p>
        </w:tc>
      </w:tr>
      <w:tr>
        <w:trPr>
          <w:trHeight w:hRule="exact" w:val="170"/>
        </w:trPr>
        <w:tc>
          <w:tcPr>
            <w:tcW w:w="2470" w:type="dxa"/>
            <w:tcBorders>
              <w:top w:val="nil"/>
              <w:left w:val="nil"/>
              <w:bottom w:val="nil"/>
              <w:right w:val="nil"/>
              <w:tl2br w:val="nil"/>
              <w:tr2bl w:val="nil"/>
            </w:tcBorders>
            <w:tcMar>
              <w:left w:w="60" w:type="dxa"/>
              <w:right w:w="60" w:type="dxa"/>
            </w:tcMar>
            <w:vAlign w:val="center"/>
          </w:tcPr>
          <w:p>
            <w:pPr>
              <w:pStyle w:val="DMETW36752BIPSEGREP"/>
              <w:rPr>
                <w:rFonts w:ascii="Verdana" w:eastAsia="Verdana" w:hAnsi="Verdana" w:cs="Verdana"/>
                <w:i/>
                <w:noProof/>
                <w:color w:val="000000"/>
                <w:sz w:val="16"/>
              </w:rPr>
            </w:pPr>
            <w:r>
              <w:rPr>
                <w:rFonts w:ascii="Verdana" w:hAnsi="Verdana"/>
                <w:i/>
                <w:noProof/>
                <w:color w:val="000000"/>
                <w:sz w:val="16"/>
              </w:rPr>
              <w:t xml:space="preserve">     Autres</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(38)</w:t>
            </w:r>
          </w:p>
        </w:tc>
        <w:tc>
          <w:tcPr>
            <w:tcW w:w="1276"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(203)</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(1 489)</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(18 938)</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(5 901)</w:t>
            </w:r>
          </w:p>
        </w:tc>
        <w:tc>
          <w:tcPr>
            <w:tcW w:w="1089"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(104)</w:t>
            </w:r>
          </w:p>
        </w:tc>
        <w:tc>
          <w:tcPr>
            <w:tcW w:w="1462"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(1 615)</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(28 289)</w:t>
            </w:r>
          </w:p>
        </w:tc>
        <w:tc>
          <w:tcPr>
            <w:tcW w:w="13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(3 737)</w:t>
            </w:r>
          </w:p>
        </w:tc>
        <w:tc>
          <w:tcPr>
            <w:tcW w:w="1216"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(32 025)</w:t>
            </w:r>
          </w:p>
        </w:tc>
      </w:tr>
      <w:tr>
        <w:trPr>
          <w:trHeight w:hRule="exact" w:val="702"/>
        </w:trPr>
        <w:tc>
          <w:tcPr>
            <w:tcW w:w="2470" w:type="dxa"/>
            <w:tcBorders>
              <w:top w:val="nil"/>
              <w:left w:val="nil"/>
              <w:bottom w:val="nil"/>
              <w:right w:val="nil"/>
              <w:tl2br w:val="nil"/>
              <w:tr2bl w:val="nil"/>
            </w:tcBorders>
            <w:tcMar>
              <w:left w:w="60" w:type="dxa"/>
              <w:right w:w="60" w:type="dxa"/>
            </w:tcMar>
            <w:vAlign w:val="center"/>
          </w:tcPr>
          <w:p>
            <w:pPr>
              <w:pStyle w:val="DMETW36752BIPSEGREP"/>
              <w:rPr>
                <w:rFonts w:ascii="Verdana" w:eastAsia="Verdana" w:hAnsi="Verdana" w:cs="Verdana"/>
                <w:i/>
                <w:noProof/>
                <w:color w:val="000000"/>
                <w:sz w:val="16"/>
              </w:rPr>
            </w:pPr>
            <w:r>
              <w:rPr>
                <w:rFonts w:ascii="Verdana" w:hAnsi="Verdana"/>
                <w:i/>
                <w:noProof/>
                <w:color w:val="000000"/>
                <w:sz w:val="16"/>
              </w:rPr>
              <w:t>Conventions de contribution, y compris les organes de l’UE</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(124)</w:t>
            </w:r>
          </w:p>
        </w:tc>
        <w:tc>
          <w:tcPr>
            <w:tcW w:w="1276"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(546)</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197</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(5 159)</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(7 190)</w:t>
            </w:r>
          </w:p>
        </w:tc>
        <w:tc>
          <w:tcPr>
            <w:tcW w:w="1089"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(526)</w:t>
            </w:r>
          </w:p>
        </w:tc>
        <w:tc>
          <w:tcPr>
            <w:tcW w:w="1462"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(5 988)</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(19 337)</w:t>
            </w:r>
          </w:p>
        </w:tc>
        <w:tc>
          <w:tcPr>
            <w:tcW w:w="13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6 137</w:t>
            </w:r>
          </w:p>
        </w:tc>
        <w:tc>
          <w:tcPr>
            <w:tcW w:w="1216"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(13 200)</w:t>
            </w:r>
          </w:p>
        </w:tc>
      </w:tr>
      <w:tr>
        <w:trPr>
          <w:trHeight w:hRule="exact" w:val="594"/>
        </w:trPr>
        <w:tc>
          <w:tcPr>
            <w:tcW w:w="2470" w:type="dxa"/>
            <w:tcBorders>
              <w:top w:val="nil"/>
              <w:left w:val="nil"/>
              <w:bottom w:val="nil"/>
              <w:right w:val="nil"/>
              <w:tl2br w:val="nil"/>
              <w:tr2bl w:val="nil"/>
            </w:tcBorders>
            <w:tcMar>
              <w:left w:w="60" w:type="dxa"/>
              <w:right w:w="60" w:type="dxa"/>
            </w:tcMar>
            <w:vAlign w:val="center"/>
          </w:tcPr>
          <w:p>
            <w:pPr>
              <w:pStyle w:val="DMETW36752BIPSEGREP"/>
              <w:rPr>
                <w:rFonts w:ascii="Verdana" w:eastAsia="Verdana" w:hAnsi="Verdana" w:cs="Verdana"/>
                <w:i/>
                <w:noProof/>
                <w:color w:val="000000"/>
                <w:sz w:val="16"/>
              </w:rPr>
            </w:pPr>
            <w:r>
              <w:rPr>
                <w:rFonts w:ascii="Verdana" w:hAnsi="Verdana"/>
                <w:i/>
                <w:noProof/>
                <w:color w:val="000000"/>
                <w:sz w:val="16"/>
              </w:rPr>
              <w:t>Coûts du personnel et des pensions</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3</w:t>
            </w:r>
          </w:p>
        </w:tc>
        <w:tc>
          <w:tcPr>
            <w:tcW w:w="1276"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1</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(3)</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(0)</w:t>
            </w:r>
          </w:p>
        </w:tc>
        <w:tc>
          <w:tcPr>
            <w:tcW w:w="1089"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1</w:t>
            </w:r>
          </w:p>
        </w:tc>
        <w:tc>
          <w:tcPr>
            <w:tcW w:w="1462"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(10 695)</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(10 694)</w:t>
            </w:r>
          </w:p>
        </w:tc>
        <w:tc>
          <w:tcPr>
            <w:tcW w:w="13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(5 260)</w:t>
            </w:r>
          </w:p>
        </w:tc>
        <w:tc>
          <w:tcPr>
            <w:tcW w:w="1216"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(15 954)</w:t>
            </w:r>
          </w:p>
        </w:tc>
      </w:tr>
      <w:tr>
        <w:trPr>
          <w:trHeight w:hRule="exact" w:val="298"/>
        </w:trPr>
        <w:tc>
          <w:tcPr>
            <w:tcW w:w="2470" w:type="dxa"/>
            <w:tcBorders>
              <w:top w:val="nil"/>
              <w:left w:val="nil"/>
              <w:bottom w:val="nil"/>
              <w:right w:val="nil"/>
              <w:tl2br w:val="nil"/>
              <w:tr2bl w:val="nil"/>
            </w:tcBorders>
            <w:tcMar>
              <w:left w:w="60" w:type="dxa"/>
              <w:right w:w="60" w:type="dxa"/>
            </w:tcMar>
            <w:vAlign w:val="center"/>
          </w:tcPr>
          <w:p>
            <w:pPr>
              <w:pStyle w:val="DMETW36752BIPSEGREP"/>
              <w:rPr>
                <w:rFonts w:ascii="Verdana" w:eastAsia="Verdana" w:hAnsi="Verdana" w:cs="Verdana"/>
                <w:i/>
                <w:noProof/>
                <w:color w:val="000000"/>
                <w:sz w:val="16"/>
              </w:rPr>
            </w:pPr>
            <w:r>
              <w:rPr>
                <w:rFonts w:ascii="Verdana" w:hAnsi="Verdana"/>
                <w:i/>
                <w:noProof/>
                <w:color w:val="000000"/>
                <w:sz w:val="16"/>
              </w:rPr>
              <w:t>Charges financières</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(7)</w:t>
            </w:r>
          </w:p>
        </w:tc>
        <w:tc>
          <w:tcPr>
            <w:tcW w:w="1276"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0</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(22 718)</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(1 658)</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(1 943)</w:t>
            </w:r>
          </w:p>
        </w:tc>
        <w:tc>
          <w:tcPr>
            <w:tcW w:w="1089"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(1)</w:t>
            </w:r>
          </w:p>
        </w:tc>
        <w:tc>
          <w:tcPr>
            <w:tcW w:w="1462"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(773)</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(27 100)</w:t>
            </w:r>
          </w:p>
        </w:tc>
        <w:tc>
          <w:tcPr>
            <w:tcW w:w="13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(56)</w:t>
            </w:r>
          </w:p>
        </w:tc>
        <w:tc>
          <w:tcPr>
            <w:tcW w:w="1216"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(27 156)</w:t>
            </w:r>
          </w:p>
        </w:tc>
      </w:tr>
      <w:tr>
        <w:trPr>
          <w:trHeight w:hRule="exact" w:val="438"/>
        </w:trPr>
        <w:tc>
          <w:tcPr>
            <w:tcW w:w="2470" w:type="dxa"/>
            <w:tcBorders>
              <w:top w:val="nil"/>
              <w:left w:val="nil"/>
              <w:bottom w:val="nil"/>
              <w:right w:val="nil"/>
              <w:tl2br w:val="nil"/>
              <w:tr2bl w:val="nil"/>
            </w:tcBorders>
            <w:tcMar>
              <w:left w:w="60" w:type="dxa"/>
              <w:right w:w="60" w:type="dxa"/>
            </w:tcMar>
            <w:vAlign w:val="center"/>
          </w:tcPr>
          <w:p>
            <w:pPr>
              <w:pStyle w:val="DMETW36752BIPSEGREP"/>
              <w:rPr>
                <w:rFonts w:ascii="Verdana" w:eastAsia="Verdana" w:hAnsi="Verdana" w:cs="Verdana"/>
                <w:i/>
                <w:noProof/>
                <w:color w:val="000000"/>
                <w:sz w:val="16"/>
              </w:rPr>
            </w:pPr>
            <w:r>
              <w:rPr>
                <w:rFonts w:ascii="Verdana" w:hAnsi="Verdana"/>
                <w:i/>
                <w:noProof/>
                <w:color w:val="000000"/>
                <w:sz w:val="16"/>
              </w:rPr>
              <w:lastRenderedPageBreak/>
              <w:t>Accord de retrait du Royaume-Uni</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276"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089"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462"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(465)</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(465)</w:t>
            </w:r>
          </w:p>
        </w:tc>
        <w:tc>
          <w:tcPr>
            <w:tcW w:w="13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216"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(465)</w:t>
            </w:r>
          </w:p>
        </w:tc>
      </w:tr>
      <w:tr>
        <w:trPr>
          <w:trHeight w:hRule="exact" w:val="702"/>
        </w:trPr>
        <w:tc>
          <w:tcPr>
            <w:tcW w:w="2470" w:type="dxa"/>
            <w:tcBorders>
              <w:top w:val="nil"/>
              <w:left w:val="nil"/>
              <w:bottom w:val="single" w:sz="4" w:space="0" w:color="016794"/>
              <w:right w:val="nil"/>
              <w:tl2br w:val="nil"/>
              <w:tr2bl w:val="nil"/>
            </w:tcBorders>
            <w:tcMar>
              <w:left w:w="60" w:type="dxa"/>
              <w:right w:w="60" w:type="dxa"/>
            </w:tcMar>
            <w:vAlign w:val="center"/>
          </w:tcPr>
          <w:p>
            <w:pPr>
              <w:pStyle w:val="DMETW36752BIPSEGREP"/>
              <w:rPr>
                <w:rFonts w:ascii="Verdana" w:eastAsia="Verdana" w:hAnsi="Verdana" w:cs="Verdana"/>
                <w:i/>
                <w:noProof/>
                <w:color w:val="000000"/>
                <w:sz w:val="16"/>
              </w:rPr>
            </w:pPr>
            <w:r>
              <w:rPr>
                <w:rFonts w:ascii="Verdana" w:hAnsi="Verdana"/>
                <w:i/>
                <w:noProof/>
                <w:color w:val="000000"/>
                <w:sz w:val="16"/>
              </w:rPr>
              <w:t>Marchés publics, dépenses administratives et autres dépenses</w:t>
            </w:r>
          </w:p>
        </w:tc>
        <w:tc>
          <w:tcPr>
            <w:tcW w:w="1134" w:type="dxa"/>
            <w:tcBorders>
              <w:top w:val="nil"/>
              <w:left w:val="nil"/>
              <w:bottom w:val="single" w:sz="4" w:space="0" w:color="016794"/>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(54)</w:t>
            </w:r>
          </w:p>
        </w:tc>
        <w:tc>
          <w:tcPr>
            <w:tcW w:w="1276" w:type="dxa"/>
            <w:tcBorders>
              <w:top w:val="nil"/>
              <w:left w:val="nil"/>
              <w:bottom w:val="single" w:sz="4" w:space="0" w:color="016794"/>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(141)</w:t>
            </w:r>
          </w:p>
        </w:tc>
        <w:tc>
          <w:tcPr>
            <w:tcW w:w="1134" w:type="dxa"/>
            <w:tcBorders>
              <w:top w:val="nil"/>
              <w:left w:val="nil"/>
              <w:bottom w:val="single" w:sz="4" w:space="0" w:color="016794"/>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(62)</w:t>
            </w:r>
          </w:p>
        </w:tc>
        <w:tc>
          <w:tcPr>
            <w:tcW w:w="1134" w:type="dxa"/>
            <w:tcBorders>
              <w:top w:val="nil"/>
              <w:left w:val="nil"/>
              <w:bottom w:val="single" w:sz="4" w:space="0" w:color="016794"/>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(2 260)</w:t>
            </w:r>
          </w:p>
        </w:tc>
        <w:tc>
          <w:tcPr>
            <w:tcW w:w="1134" w:type="dxa"/>
            <w:tcBorders>
              <w:top w:val="nil"/>
              <w:left w:val="nil"/>
              <w:bottom w:val="single" w:sz="4" w:space="0" w:color="016794"/>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(1 027)</w:t>
            </w:r>
          </w:p>
        </w:tc>
        <w:tc>
          <w:tcPr>
            <w:tcW w:w="1089" w:type="dxa"/>
            <w:tcBorders>
              <w:top w:val="nil"/>
              <w:left w:val="nil"/>
              <w:bottom w:val="single" w:sz="4" w:space="0" w:color="016794"/>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(316)</w:t>
            </w:r>
          </w:p>
        </w:tc>
        <w:tc>
          <w:tcPr>
            <w:tcW w:w="1462" w:type="dxa"/>
            <w:tcBorders>
              <w:top w:val="nil"/>
              <w:left w:val="nil"/>
              <w:bottom w:val="single" w:sz="4" w:space="0" w:color="016794"/>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(3 563)</w:t>
            </w:r>
          </w:p>
        </w:tc>
        <w:tc>
          <w:tcPr>
            <w:tcW w:w="1134" w:type="dxa"/>
            <w:tcBorders>
              <w:top w:val="nil"/>
              <w:left w:val="nil"/>
              <w:bottom w:val="single" w:sz="4" w:space="0" w:color="016794"/>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(7 423)</w:t>
            </w:r>
          </w:p>
        </w:tc>
        <w:tc>
          <w:tcPr>
            <w:tcW w:w="1334" w:type="dxa"/>
            <w:tcBorders>
              <w:top w:val="nil"/>
              <w:left w:val="nil"/>
              <w:bottom w:val="single" w:sz="4" w:space="0" w:color="016794"/>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(3 310)</w:t>
            </w:r>
          </w:p>
        </w:tc>
        <w:tc>
          <w:tcPr>
            <w:tcW w:w="1216" w:type="dxa"/>
            <w:tcBorders>
              <w:top w:val="nil"/>
              <w:left w:val="nil"/>
              <w:bottom w:val="single" w:sz="4" w:space="0" w:color="016794"/>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(10 733)</w:t>
            </w:r>
          </w:p>
        </w:tc>
      </w:tr>
      <w:tr>
        <w:trPr>
          <w:trHeight w:hRule="exact" w:val="249"/>
        </w:trPr>
        <w:tc>
          <w:tcPr>
            <w:tcW w:w="2470" w:type="dxa"/>
            <w:tcBorders>
              <w:top w:val="single" w:sz="4" w:space="0" w:color="016794"/>
              <w:left w:val="nil"/>
              <w:bottom w:val="nil"/>
              <w:right w:val="nil"/>
              <w:tl2br w:val="nil"/>
              <w:tr2bl w:val="nil"/>
            </w:tcBorders>
            <w:tcMar>
              <w:left w:w="60" w:type="dxa"/>
              <w:right w:w="60" w:type="dxa"/>
            </w:tcMar>
            <w:vAlign w:val="center"/>
          </w:tcPr>
          <w:p>
            <w:pPr>
              <w:pStyle w:val="DMETW36752BIPSEGREP"/>
              <w:rPr>
                <w:rFonts w:ascii="Verdana" w:eastAsia="Verdana" w:hAnsi="Verdana" w:cs="Verdana"/>
                <w:b/>
                <w:noProof/>
                <w:color w:val="000000"/>
                <w:sz w:val="16"/>
              </w:rPr>
            </w:pPr>
            <w:r>
              <w:rPr>
                <w:rFonts w:ascii="Verdana" w:hAnsi="Verdana"/>
                <w:b/>
                <w:noProof/>
                <w:color w:val="000000"/>
                <w:sz w:val="16"/>
              </w:rPr>
              <w:t>Total des dépenses</w:t>
            </w:r>
          </w:p>
        </w:tc>
        <w:tc>
          <w:tcPr>
            <w:tcW w:w="1134" w:type="dxa"/>
            <w:tcBorders>
              <w:top w:val="single" w:sz="4" w:space="0" w:color="016794"/>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(58 152)</w:t>
            </w:r>
          </w:p>
        </w:tc>
        <w:tc>
          <w:tcPr>
            <w:tcW w:w="1276" w:type="dxa"/>
            <w:tcBorders>
              <w:top w:val="single" w:sz="4" w:space="0" w:color="016794"/>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(52 311)</w:t>
            </w:r>
          </w:p>
        </w:tc>
        <w:tc>
          <w:tcPr>
            <w:tcW w:w="1134" w:type="dxa"/>
            <w:tcBorders>
              <w:top w:val="single" w:sz="4" w:space="0" w:color="016794"/>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(70 888)</w:t>
            </w:r>
          </w:p>
        </w:tc>
        <w:tc>
          <w:tcPr>
            <w:tcW w:w="1134" w:type="dxa"/>
            <w:tcBorders>
              <w:top w:val="single" w:sz="4" w:space="0" w:color="016794"/>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(28 018)</w:t>
            </w:r>
          </w:p>
        </w:tc>
        <w:tc>
          <w:tcPr>
            <w:tcW w:w="1134" w:type="dxa"/>
            <w:tcBorders>
              <w:top w:val="single" w:sz="4" w:space="0" w:color="016794"/>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(16 062)</w:t>
            </w:r>
          </w:p>
        </w:tc>
        <w:tc>
          <w:tcPr>
            <w:tcW w:w="1089" w:type="dxa"/>
            <w:tcBorders>
              <w:top w:val="single" w:sz="4" w:space="0" w:color="016794"/>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 xml:space="preserve"> (946)</w:t>
            </w:r>
          </w:p>
        </w:tc>
        <w:tc>
          <w:tcPr>
            <w:tcW w:w="1462" w:type="dxa"/>
            <w:tcBorders>
              <w:top w:val="single" w:sz="4" w:space="0" w:color="016794"/>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(24 531)</w:t>
            </w:r>
          </w:p>
        </w:tc>
        <w:tc>
          <w:tcPr>
            <w:tcW w:w="1134" w:type="dxa"/>
            <w:tcBorders>
              <w:top w:val="single" w:sz="4" w:space="0" w:color="016794"/>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(250 907)</w:t>
            </w:r>
          </w:p>
        </w:tc>
        <w:tc>
          <w:tcPr>
            <w:tcW w:w="1334" w:type="dxa"/>
            <w:tcBorders>
              <w:top w:val="single" w:sz="4" w:space="0" w:color="016794"/>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(6 226)</w:t>
            </w:r>
          </w:p>
        </w:tc>
        <w:tc>
          <w:tcPr>
            <w:tcW w:w="1216" w:type="dxa"/>
            <w:tcBorders>
              <w:top w:val="single" w:sz="4" w:space="0" w:color="016794"/>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(257 134)</w:t>
            </w:r>
          </w:p>
        </w:tc>
      </w:tr>
      <w:tr>
        <w:trPr>
          <w:trHeight w:hRule="exact" w:val="486"/>
        </w:trPr>
        <w:tc>
          <w:tcPr>
            <w:tcW w:w="2470" w:type="dxa"/>
            <w:tcBorders>
              <w:top w:val="nil"/>
              <w:left w:val="nil"/>
              <w:bottom w:val="nil"/>
              <w:right w:val="nil"/>
              <w:tl2br w:val="nil"/>
              <w:tr2bl w:val="nil"/>
            </w:tcBorders>
            <w:shd w:val="solid" w:color="CCE1EA" w:fill="FFFFFF"/>
            <w:tcMar>
              <w:left w:w="60" w:type="dxa"/>
              <w:right w:w="60" w:type="dxa"/>
            </w:tcMar>
            <w:vAlign w:val="center"/>
          </w:tcPr>
          <w:p>
            <w:pPr>
              <w:pStyle w:val="DMETW36752BIPSEGREP"/>
              <w:rPr>
                <w:rFonts w:ascii="Verdana" w:eastAsia="Verdana" w:hAnsi="Verdana" w:cs="Verdana"/>
                <w:b/>
                <w:noProof/>
                <w:color w:val="000000"/>
                <w:sz w:val="16"/>
              </w:rPr>
            </w:pPr>
            <w:r>
              <w:rPr>
                <w:rFonts w:ascii="Verdana" w:hAnsi="Verdana"/>
                <w:b/>
                <w:noProof/>
                <w:color w:val="000000"/>
                <w:sz w:val="16"/>
              </w:rPr>
              <w:t>Résultat économique de l’exercice</w:t>
            </w:r>
          </w:p>
        </w:tc>
        <w:tc>
          <w:tcPr>
            <w:tcW w:w="1134" w:type="dxa"/>
            <w:tcBorders>
              <w:top w:val="nil"/>
              <w:left w:val="nil"/>
              <w:bottom w:val="nil"/>
              <w:right w:val="nil"/>
              <w:tl2br w:val="nil"/>
              <w:tr2bl w:val="nil"/>
            </w:tcBorders>
            <w:shd w:val="solid" w:color="CCE1EA" w:fill="FFFFFF"/>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(56 889)</w:t>
            </w:r>
          </w:p>
        </w:tc>
        <w:tc>
          <w:tcPr>
            <w:tcW w:w="1276" w:type="dxa"/>
            <w:tcBorders>
              <w:top w:val="nil"/>
              <w:left w:val="nil"/>
              <w:bottom w:val="nil"/>
              <w:right w:val="nil"/>
              <w:tl2br w:val="nil"/>
              <w:tr2bl w:val="nil"/>
            </w:tcBorders>
            <w:shd w:val="solid" w:color="CCE1EA" w:fill="FFFFFF"/>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(48 174)</w:t>
            </w:r>
          </w:p>
        </w:tc>
        <w:tc>
          <w:tcPr>
            <w:tcW w:w="1134" w:type="dxa"/>
            <w:tcBorders>
              <w:top w:val="nil"/>
              <w:left w:val="nil"/>
              <w:bottom w:val="nil"/>
              <w:right w:val="nil"/>
              <w:tl2br w:val="nil"/>
              <w:tr2bl w:val="nil"/>
            </w:tcBorders>
            <w:shd w:val="solid" w:color="CCE1EA" w:fill="FFFFFF"/>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(47 879)</w:t>
            </w:r>
          </w:p>
        </w:tc>
        <w:tc>
          <w:tcPr>
            <w:tcW w:w="1134" w:type="dxa"/>
            <w:tcBorders>
              <w:top w:val="nil"/>
              <w:left w:val="nil"/>
              <w:bottom w:val="nil"/>
              <w:right w:val="nil"/>
              <w:tl2br w:val="nil"/>
              <w:tr2bl w:val="nil"/>
            </w:tcBorders>
            <w:shd w:val="solid" w:color="CCE1EA" w:fill="FFFFFF"/>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(21 568)</w:t>
            </w:r>
          </w:p>
        </w:tc>
        <w:tc>
          <w:tcPr>
            <w:tcW w:w="1134" w:type="dxa"/>
            <w:tcBorders>
              <w:top w:val="nil"/>
              <w:left w:val="nil"/>
              <w:bottom w:val="nil"/>
              <w:right w:val="nil"/>
              <w:tl2br w:val="nil"/>
              <w:tr2bl w:val="nil"/>
            </w:tcBorders>
            <w:shd w:val="solid" w:color="CCE1EA" w:fill="FFFFFF"/>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(15 531)</w:t>
            </w:r>
          </w:p>
        </w:tc>
        <w:tc>
          <w:tcPr>
            <w:tcW w:w="1089" w:type="dxa"/>
            <w:tcBorders>
              <w:top w:val="nil"/>
              <w:left w:val="nil"/>
              <w:bottom w:val="nil"/>
              <w:right w:val="nil"/>
              <w:tl2br w:val="nil"/>
              <w:tr2bl w:val="nil"/>
            </w:tcBorders>
            <w:shd w:val="solid" w:color="CCE1EA" w:fill="FFFFFF"/>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2 407</w:t>
            </w:r>
          </w:p>
        </w:tc>
        <w:tc>
          <w:tcPr>
            <w:tcW w:w="1462" w:type="dxa"/>
            <w:tcBorders>
              <w:top w:val="nil"/>
              <w:left w:val="nil"/>
              <w:bottom w:val="nil"/>
              <w:right w:val="nil"/>
              <w:tl2br w:val="nil"/>
              <w:tr2bl w:val="nil"/>
            </w:tcBorders>
            <w:shd w:val="solid" w:color="CCE1EA" w:fill="FFFFFF"/>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132 825</w:t>
            </w:r>
          </w:p>
        </w:tc>
        <w:tc>
          <w:tcPr>
            <w:tcW w:w="1134" w:type="dxa"/>
            <w:tcBorders>
              <w:top w:val="nil"/>
              <w:left w:val="nil"/>
              <w:bottom w:val="nil"/>
              <w:right w:val="nil"/>
              <w:tl2br w:val="nil"/>
              <w:tr2bl w:val="nil"/>
            </w:tcBorders>
            <w:shd w:val="solid" w:color="CCE1EA" w:fill="FFFFFF"/>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(54 810)</w:t>
            </w:r>
          </w:p>
        </w:tc>
        <w:tc>
          <w:tcPr>
            <w:tcW w:w="1334" w:type="dxa"/>
            <w:tcBorders>
              <w:top w:val="nil"/>
              <w:left w:val="nil"/>
              <w:bottom w:val="nil"/>
              <w:right w:val="nil"/>
              <w:tl2br w:val="nil"/>
              <w:tr2bl w:val="nil"/>
            </w:tcBorders>
            <w:shd w:val="solid" w:color="CCE1EA" w:fill="FFFFFF"/>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 xml:space="preserve"> 171</w:t>
            </w:r>
          </w:p>
        </w:tc>
        <w:tc>
          <w:tcPr>
            <w:tcW w:w="1216" w:type="dxa"/>
            <w:tcBorders>
              <w:top w:val="nil"/>
              <w:left w:val="nil"/>
              <w:bottom w:val="nil"/>
              <w:right w:val="nil"/>
              <w:tl2br w:val="nil"/>
              <w:tr2bl w:val="nil"/>
            </w:tcBorders>
            <w:shd w:val="solid" w:color="CCE1EA" w:fill="FFFFFF"/>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(54 639)</w:t>
            </w:r>
          </w:p>
        </w:tc>
      </w:tr>
    </w:tbl>
    <w:p>
      <w:pPr>
        <w:pStyle w:val="Textstand-alone"/>
        <w:tabs>
          <w:tab w:val="left" w:pos="170"/>
        </w:tabs>
        <w:spacing w:before="160" w:after="0"/>
        <w:ind w:left="170" w:hanging="170"/>
        <w:jc w:val="left"/>
        <w:rPr>
          <w:i/>
          <w:iCs/>
        </w:rPr>
        <w:sectPr>
          <w:headerReference w:type="default" r:id="rId125"/>
          <w:footerReference w:type="default" r:id="rId126"/>
          <w:pgSz w:w="16838" w:h="11906" w:orient="landscape"/>
          <w:pgMar w:top="1134" w:right="1134" w:bottom="1134" w:left="1134" w:header="708" w:footer="708" w:gutter="0"/>
          <w:cols w:space="708"/>
          <w:docGrid w:linePitch="360"/>
        </w:sectPr>
      </w:pPr>
      <w:r>
        <w:rPr>
          <w:sz w:val="16"/>
          <w:vertAlign w:val="superscript"/>
        </w:rPr>
        <w:t>*</w:t>
      </w:r>
      <w:r>
        <w:rPr>
          <w:sz w:val="16"/>
        </w:rPr>
        <w:tab/>
      </w:r>
      <w:r>
        <w:rPr>
          <w:i/>
          <w:iCs/>
        </w:rPr>
        <w:t>Les recettes présentées sous la rubrique «Autres politiques» comprennent principalement les recettes provenant des ressources propres de l’UE, lesquelles relèvent du principe d’universalité et sont utilisées indistinctement pour financer tout type de dépenses inscrites au budget annuel de l’Union.</w:t>
      </w:r>
      <w:bookmarkEnd w:id="196"/>
    </w:p>
    <w:p>
      <w:pPr>
        <w:pStyle w:val="HEADER2NOTES"/>
        <w:rPr>
          <w:noProof/>
        </w:rPr>
      </w:pPr>
      <w:bookmarkStart w:id="198" w:name="_DMBM_38211"/>
      <w:bookmarkStart w:id="199" w:name="_CSF_TOC_1_0"/>
      <w:r>
        <w:rPr>
          <w:noProof/>
        </w:rPr>
        <w:lastRenderedPageBreak/>
        <w:t>RECLASSEMENT DE CHIFFRES COMPARATIFS DANS LE COMPTE DE RÉSULTAT ÉCONOMIQUE</w:t>
      </w:r>
    </w:p>
    <w:p>
      <w:pPr>
        <w:pStyle w:val="DGTextstand-alone"/>
      </w:pPr>
      <w:r>
        <w:t>À partir des comptes annuels de 2025, les principales dépenses figurant dans le compte de résultat économique sont présentées dans une nouvelle structure, axée sur le type d’instrument plutôt que sur le type d’exécution budgétaire (gestion partagée, gestion directe, gestion indirecte). Conformément aux règles comptables de l’UE, les chiffres comparatifs de 2024 ont été reclassés en conséquence. L’incidence du reclassement est illustrée ci-dessous:</w:t>
      </w:r>
    </w:p>
    <w:tbl>
      <w:tblPr>
        <w:tblW w:w="49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04"/>
        <w:gridCol w:w="1190"/>
        <w:gridCol w:w="1188"/>
        <w:gridCol w:w="1188"/>
        <w:gridCol w:w="1247"/>
        <w:gridCol w:w="1082"/>
        <w:gridCol w:w="1077"/>
        <w:gridCol w:w="1077"/>
        <w:gridCol w:w="1077"/>
        <w:gridCol w:w="1077"/>
        <w:gridCol w:w="1362"/>
      </w:tblGrid>
      <w:tr>
        <w:trPr>
          <w:trHeight w:val="255"/>
        </w:trPr>
        <w:tc>
          <w:tcPr>
            <w:tcW w:w="3004" w:type="dxa"/>
            <w:tcBorders>
              <w:top w:val="nil"/>
              <w:left w:val="nil"/>
              <w:bottom w:val="nil"/>
              <w:right w:val="nil"/>
              <w:tl2br w:val="nil"/>
              <w:tr2bl w:val="nil"/>
            </w:tcBorders>
            <w:tcMar>
              <w:left w:w="60" w:type="dxa"/>
              <w:right w:w="60" w:type="dxa"/>
            </w:tcMar>
            <w:vAlign w:val="center"/>
          </w:tcPr>
          <w:p>
            <w:pPr>
              <w:pStyle w:val="DMETW38212BIPPLreclass"/>
              <w:rPr>
                <w:rFonts w:ascii="Verdana" w:eastAsia="Verdana" w:hAnsi="Verdana" w:cs="Verdana"/>
                <w:noProof/>
                <w:color w:val="000000"/>
                <w:sz w:val="14"/>
              </w:rPr>
            </w:pPr>
            <w:bookmarkStart w:id="200" w:name="DOC_TBL00078_1_1"/>
            <w:bookmarkEnd w:id="200"/>
          </w:p>
        </w:tc>
        <w:tc>
          <w:tcPr>
            <w:tcW w:w="1190" w:type="dxa"/>
            <w:tcBorders>
              <w:top w:val="nil"/>
              <w:left w:val="nil"/>
              <w:bottom w:val="nil"/>
              <w:right w:val="nil"/>
              <w:tl2br w:val="nil"/>
              <w:tr2bl w:val="nil"/>
            </w:tcBorders>
            <w:tcMar>
              <w:left w:w="60" w:type="dxa"/>
              <w:right w:w="60" w:type="dxa"/>
            </w:tcMar>
            <w:vAlign w:val="center"/>
          </w:tcPr>
          <w:p>
            <w:pPr>
              <w:pStyle w:val="DMETW38212BIPPLreclass"/>
              <w:rPr>
                <w:rFonts w:ascii="Verdana" w:eastAsia="Verdana" w:hAnsi="Verdana" w:cs="Verdana"/>
                <w:noProof/>
                <w:color w:val="000000"/>
                <w:sz w:val="14"/>
              </w:rPr>
            </w:pPr>
          </w:p>
        </w:tc>
        <w:tc>
          <w:tcPr>
            <w:tcW w:w="1188" w:type="dxa"/>
            <w:tcBorders>
              <w:top w:val="nil"/>
              <w:left w:val="nil"/>
              <w:bottom w:val="nil"/>
              <w:right w:val="nil"/>
              <w:tl2br w:val="nil"/>
              <w:tr2bl w:val="nil"/>
            </w:tcBorders>
            <w:tcMar>
              <w:left w:w="60" w:type="dxa"/>
              <w:right w:w="60" w:type="dxa"/>
            </w:tcMar>
            <w:vAlign w:val="center"/>
          </w:tcPr>
          <w:p>
            <w:pPr>
              <w:pStyle w:val="DMETW38212BIPPLreclass"/>
              <w:rPr>
                <w:rFonts w:ascii="Verdana" w:eastAsia="Verdana" w:hAnsi="Verdana" w:cs="Verdana"/>
                <w:noProof/>
                <w:color w:val="000000"/>
                <w:sz w:val="14"/>
              </w:rPr>
            </w:pPr>
          </w:p>
        </w:tc>
        <w:tc>
          <w:tcPr>
            <w:tcW w:w="1188" w:type="dxa"/>
            <w:tcBorders>
              <w:top w:val="nil"/>
              <w:left w:val="nil"/>
              <w:bottom w:val="nil"/>
              <w:right w:val="nil"/>
              <w:tl2br w:val="nil"/>
              <w:tr2bl w:val="nil"/>
            </w:tcBorders>
            <w:tcMar>
              <w:left w:w="60" w:type="dxa"/>
              <w:right w:w="60" w:type="dxa"/>
            </w:tcMar>
            <w:vAlign w:val="center"/>
          </w:tcPr>
          <w:p>
            <w:pPr>
              <w:pStyle w:val="DMETW38212BIPPLreclass"/>
              <w:rPr>
                <w:rFonts w:ascii="Verdana" w:eastAsia="Verdana" w:hAnsi="Verdana" w:cs="Verdana"/>
                <w:noProof/>
                <w:color w:val="000000"/>
                <w:sz w:val="14"/>
              </w:rPr>
            </w:pPr>
          </w:p>
        </w:tc>
        <w:tc>
          <w:tcPr>
            <w:tcW w:w="1247" w:type="dxa"/>
            <w:tcBorders>
              <w:top w:val="nil"/>
              <w:left w:val="nil"/>
              <w:bottom w:val="nil"/>
              <w:right w:val="nil"/>
              <w:tl2br w:val="nil"/>
              <w:tr2bl w:val="nil"/>
            </w:tcBorders>
            <w:tcMar>
              <w:left w:w="60" w:type="dxa"/>
              <w:right w:w="60" w:type="dxa"/>
            </w:tcMar>
            <w:vAlign w:val="center"/>
          </w:tcPr>
          <w:p>
            <w:pPr>
              <w:pStyle w:val="DMETW38212BIPPLreclass"/>
              <w:rPr>
                <w:rFonts w:ascii="Verdana" w:eastAsia="Verdana" w:hAnsi="Verdana" w:cs="Verdana"/>
                <w:noProof/>
                <w:color w:val="000000"/>
                <w:sz w:val="14"/>
              </w:rPr>
            </w:pPr>
          </w:p>
        </w:tc>
        <w:tc>
          <w:tcPr>
            <w:tcW w:w="1082" w:type="dxa"/>
            <w:tcBorders>
              <w:top w:val="nil"/>
              <w:left w:val="nil"/>
              <w:bottom w:val="nil"/>
              <w:right w:val="nil"/>
              <w:tl2br w:val="nil"/>
              <w:tr2bl w:val="nil"/>
            </w:tcBorders>
            <w:tcMar>
              <w:left w:w="60" w:type="dxa"/>
              <w:right w:w="60" w:type="dxa"/>
            </w:tcMar>
            <w:vAlign w:val="center"/>
          </w:tcPr>
          <w:p>
            <w:pPr>
              <w:pStyle w:val="DMETW38212BIPPLreclass"/>
              <w:rPr>
                <w:rFonts w:ascii="Verdana" w:eastAsia="Verdana" w:hAnsi="Verdana" w:cs="Verdana"/>
                <w:noProof/>
                <w:color w:val="000000"/>
                <w:sz w:val="14"/>
              </w:rPr>
            </w:pPr>
          </w:p>
        </w:tc>
        <w:tc>
          <w:tcPr>
            <w:tcW w:w="1077" w:type="dxa"/>
            <w:tcBorders>
              <w:top w:val="nil"/>
              <w:left w:val="nil"/>
              <w:bottom w:val="nil"/>
              <w:right w:val="nil"/>
              <w:tl2br w:val="nil"/>
              <w:tr2bl w:val="nil"/>
            </w:tcBorders>
            <w:tcMar>
              <w:left w:w="60" w:type="dxa"/>
              <w:right w:w="60" w:type="dxa"/>
            </w:tcMar>
            <w:vAlign w:val="center"/>
          </w:tcPr>
          <w:p>
            <w:pPr>
              <w:pStyle w:val="DMETW38212BIPPLreclass"/>
              <w:rPr>
                <w:rFonts w:ascii="Verdana" w:eastAsia="Verdana" w:hAnsi="Verdana" w:cs="Verdana"/>
                <w:noProof/>
                <w:color w:val="000000"/>
                <w:sz w:val="14"/>
              </w:rPr>
            </w:pPr>
          </w:p>
        </w:tc>
        <w:tc>
          <w:tcPr>
            <w:tcW w:w="1077" w:type="dxa"/>
            <w:tcBorders>
              <w:top w:val="nil"/>
              <w:left w:val="nil"/>
              <w:bottom w:val="nil"/>
              <w:right w:val="nil"/>
              <w:tl2br w:val="nil"/>
              <w:tr2bl w:val="nil"/>
            </w:tcBorders>
            <w:tcMar>
              <w:left w:w="60" w:type="dxa"/>
              <w:right w:w="60" w:type="dxa"/>
            </w:tcMar>
            <w:vAlign w:val="center"/>
          </w:tcPr>
          <w:p>
            <w:pPr>
              <w:pStyle w:val="DMETW38212BIPPLreclass"/>
              <w:rPr>
                <w:rFonts w:ascii="Verdana" w:eastAsia="Verdana" w:hAnsi="Verdana" w:cs="Verdana"/>
                <w:noProof/>
                <w:color w:val="000000"/>
                <w:sz w:val="14"/>
              </w:rPr>
            </w:pPr>
          </w:p>
        </w:tc>
        <w:tc>
          <w:tcPr>
            <w:tcW w:w="1077" w:type="dxa"/>
            <w:tcBorders>
              <w:top w:val="nil"/>
              <w:left w:val="nil"/>
              <w:bottom w:val="nil"/>
              <w:right w:val="nil"/>
              <w:tl2br w:val="nil"/>
              <w:tr2bl w:val="nil"/>
            </w:tcBorders>
            <w:tcMar>
              <w:left w:w="60" w:type="dxa"/>
              <w:right w:w="60" w:type="dxa"/>
            </w:tcMar>
            <w:vAlign w:val="center"/>
          </w:tcPr>
          <w:p>
            <w:pPr>
              <w:pStyle w:val="DMETW38212BIPPLreclass"/>
              <w:rPr>
                <w:rFonts w:ascii="Verdana" w:eastAsia="Verdana" w:hAnsi="Verdana" w:cs="Verdana"/>
                <w:noProof/>
                <w:color w:val="000000"/>
                <w:sz w:val="14"/>
              </w:rPr>
            </w:pPr>
          </w:p>
        </w:tc>
        <w:tc>
          <w:tcPr>
            <w:tcW w:w="1077" w:type="dxa"/>
            <w:tcBorders>
              <w:top w:val="nil"/>
              <w:left w:val="nil"/>
              <w:bottom w:val="nil"/>
              <w:right w:val="nil"/>
              <w:tl2br w:val="nil"/>
              <w:tr2bl w:val="nil"/>
            </w:tcBorders>
            <w:tcMar>
              <w:left w:w="60" w:type="dxa"/>
              <w:right w:w="60" w:type="dxa"/>
            </w:tcMar>
            <w:vAlign w:val="center"/>
          </w:tcPr>
          <w:p>
            <w:pPr>
              <w:pStyle w:val="DMETW38212BIPPLreclass"/>
              <w:rPr>
                <w:rFonts w:ascii="Verdana" w:eastAsia="Verdana" w:hAnsi="Verdana" w:cs="Verdana"/>
                <w:noProof/>
                <w:color w:val="000000"/>
                <w:sz w:val="14"/>
              </w:rPr>
            </w:pPr>
          </w:p>
        </w:tc>
        <w:tc>
          <w:tcPr>
            <w:tcW w:w="1362"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4"/>
              </w:rPr>
            </w:pPr>
            <w:r>
              <w:rPr>
                <w:rFonts w:ascii="Verdana" w:hAnsi="Verdana"/>
                <w:i/>
                <w:noProof/>
                <w:color w:val="000000"/>
                <w:sz w:val="14"/>
              </w:rPr>
              <w:t>en Mio EUR</w:t>
            </w:r>
          </w:p>
        </w:tc>
      </w:tr>
      <w:tr>
        <w:trPr>
          <w:trHeight w:val="255"/>
        </w:trPr>
        <w:tc>
          <w:tcPr>
            <w:tcW w:w="3004" w:type="dxa"/>
            <w:tcBorders>
              <w:top w:val="nil"/>
              <w:left w:val="nil"/>
              <w:bottom w:val="nil"/>
              <w:right w:val="nil"/>
              <w:tl2br w:val="nil"/>
              <w:tr2bl w:val="nil"/>
            </w:tcBorders>
            <w:shd w:val="solid" w:color="016794" w:fill="FFFFFF"/>
            <w:tcMar>
              <w:left w:w="60" w:type="dxa"/>
              <w:right w:w="60" w:type="dxa"/>
            </w:tcMar>
            <w:vAlign w:val="center"/>
          </w:tcPr>
          <w:p>
            <w:pPr>
              <w:pStyle w:val="DMETW38212BIPPLreclass"/>
              <w:jc w:val="right"/>
              <w:rPr>
                <w:rFonts w:ascii="Verdana" w:eastAsia="Verdana" w:hAnsi="Verdana" w:cs="Verdana"/>
                <w:noProof/>
                <w:color w:val="FFFFFF"/>
                <w:sz w:val="16"/>
              </w:rPr>
            </w:pPr>
          </w:p>
        </w:tc>
        <w:tc>
          <w:tcPr>
            <w:tcW w:w="5895" w:type="dxa"/>
            <w:gridSpan w:val="5"/>
            <w:tcBorders>
              <w:top w:val="nil"/>
              <w:left w:val="nil"/>
              <w:bottom w:val="nil"/>
              <w:right w:val="nil"/>
              <w:tl2br w:val="nil"/>
              <w:tr2bl w:val="nil"/>
            </w:tcBorders>
            <w:shd w:val="solid" w:color="007BB8" w:fill="FFFFFF"/>
            <w:tcMar>
              <w:left w:w="60" w:type="dxa"/>
              <w:right w:w="60" w:type="dxa"/>
            </w:tcMar>
            <w:vAlign w:val="center"/>
          </w:tcPr>
          <w:p>
            <w:pPr>
              <w:pStyle w:val="DMETW38212BIPPLreclass"/>
              <w:jc w:val="center"/>
              <w:rPr>
                <w:rFonts w:ascii="Verdana" w:eastAsia="Verdana" w:hAnsi="Verdana" w:cs="Verdana"/>
                <w:noProof/>
                <w:color w:val="FFFFFF"/>
                <w:sz w:val="16"/>
              </w:rPr>
            </w:pPr>
            <w:r>
              <w:rPr>
                <w:rFonts w:ascii="Verdana" w:hAnsi="Verdana"/>
                <w:noProof/>
                <w:color w:val="FFFFFF"/>
                <w:sz w:val="16"/>
              </w:rPr>
              <w:t>Exécution en</w:t>
            </w:r>
          </w:p>
        </w:tc>
        <w:tc>
          <w:tcPr>
            <w:tcW w:w="1077" w:type="dxa"/>
            <w:tcBorders>
              <w:top w:val="nil"/>
              <w:left w:val="nil"/>
              <w:bottom w:val="nil"/>
              <w:right w:val="nil"/>
              <w:tl2br w:val="nil"/>
              <w:tr2bl w:val="nil"/>
            </w:tcBorders>
            <w:shd w:val="solid" w:color="016794" w:fill="FFFFFF"/>
            <w:tcMar>
              <w:left w:w="60" w:type="dxa"/>
              <w:right w:w="60" w:type="dxa"/>
            </w:tcMar>
            <w:vAlign w:val="center"/>
          </w:tcPr>
          <w:p>
            <w:pPr>
              <w:pStyle w:val="DMETW38212BIPPLreclass"/>
              <w:jc w:val="right"/>
              <w:rPr>
                <w:rFonts w:ascii="Verdana" w:eastAsia="Verdana" w:hAnsi="Verdana" w:cs="Verdana"/>
                <w:noProof/>
                <w:color w:val="FFFFFF"/>
                <w:sz w:val="16"/>
              </w:rPr>
            </w:pPr>
          </w:p>
        </w:tc>
        <w:tc>
          <w:tcPr>
            <w:tcW w:w="1077" w:type="dxa"/>
            <w:tcBorders>
              <w:top w:val="nil"/>
              <w:left w:val="nil"/>
              <w:bottom w:val="nil"/>
              <w:right w:val="nil"/>
              <w:tl2br w:val="nil"/>
              <w:tr2bl w:val="nil"/>
            </w:tcBorders>
            <w:shd w:val="solid" w:color="016794" w:fill="FFFFFF"/>
            <w:tcMar>
              <w:left w:w="60" w:type="dxa"/>
              <w:right w:w="60" w:type="dxa"/>
            </w:tcMar>
            <w:vAlign w:val="center"/>
          </w:tcPr>
          <w:p>
            <w:pPr>
              <w:pStyle w:val="DMETW38212BIPPLreclass"/>
              <w:jc w:val="right"/>
              <w:rPr>
                <w:rFonts w:ascii="Verdana" w:eastAsia="Verdana" w:hAnsi="Verdana" w:cs="Verdana"/>
                <w:noProof/>
                <w:color w:val="FFFFFF"/>
                <w:sz w:val="16"/>
              </w:rPr>
            </w:pPr>
          </w:p>
        </w:tc>
        <w:tc>
          <w:tcPr>
            <w:tcW w:w="1077" w:type="dxa"/>
            <w:tcBorders>
              <w:top w:val="nil"/>
              <w:left w:val="nil"/>
              <w:bottom w:val="nil"/>
              <w:right w:val="nil"/>
              <w:tl2br w:val="nil"/>
              <w:tr2bl w:val="nil"/>
            </w:tcBorders>
            <w:shd w:val="solid" w:color="016794" w:fill="FFFFFF"/>
            <w:tcMar>
              <w:left w:w="60" w:type="dxa"/>
              <w:right w:w="60" w:type="dxa"/>
            </w:tcMar>
            <w:vAlign w:val="center"/>
          </w:tcPr>
          <w:p>
            <w:pPr>
              <w:pStyle w:val="DMETW38212BIPPLreclass"/>
              <w:jc w:val="right"/>
              <w:rPr>
                <w:rFonts w:ascii="Verdana" w:eastAsia="Verdana" w:hAnsi="Verdana" w:cs="Verdana"/>
                <w:noProof/>
                <w:color w:val="FFFFFF"/>
                <w:sz w:val="16"/>
              </w:rPr>
            </w:pPr>
          </w:p>
        </w:tc>
        <w:tc>
          <w:tcPr>
            <w:tcW w:w="1077" w:type="dxa"/>
            <w:tcBorders>
              <w:top w:val="nil"/>
              <w:left w:val="nil"/>
              <w:bottom w:val="nil"/>
              <w:right w:val="nil"/>
              <w:tl2br w:val="nil"/>
              <w:tr2bl w:val="nil"/>
            </w:tcBorders>
            <w:shd w:val="solid" w:color="016794" w:fill="FFFFFF"/>
            <w:tcMar>
              <w:left w:w="60" w:type="dxa"/>
              <w:right w:w="60" w:type="dxa"/>
            </w:tcMar>
            <w:vAlign w:val="center"/>
          </w:tcPr>
          <w:p>
            <w:pPr>
              <w:pStyle w:val="DMETW38212BIPPLreclass"/>
              <w:jc w:val="right"/>
              <w:rPr>
                <w:rFonts w:ascii="Verdana" w:eastAsia="Verdana" w:hAnsi="Verdana" w:cs="Verdana"/>
                <w:noProof/>
                <w:color w:val="FFFFFF"/>
                <w:sz w:val="16"/>
              </w:rPr>
            </w:pPr>
          </w:p>
        </w:tc>
        <w:tc>
          <w:tcPr>
            <w:tcW w:w="1362" w:type="dxa"/>
            <w:tcBorders>
              <w:top w:val="nil"/>
              <w:left w:val="nil"/>
              <w:bottom w:val="nil"/>
              <w:right w:val="nil"/>
              <w:tl2br w:val="nil"/>
              <w:tr2bl w:val="nil"/>
            </w:tcBorders>
            <w:shd w:val="solid" w:color="016794" w:fill="FFFFFF"/>
            <w:tcMar>
              <w:left w:w="60" w:type="dxa"/>
              <w:right w:w="60" w:type="dxa"/>
            </w:tcMar>
            <w:vAlign w:val="center"/>
          </w:tcPr>
          <w:p>
            <w:pPr>
              <w:pStyle w:val="DMETW38212BIPPLreclass"/>
              <w:jc w:val="right"/>
              <w:rPr>
                <w:rFonts w:ascii="Verdana" w:eastAsia="Verdana" w:hAnsi="Verdana" w:cs="Verdana"/>
                <w:noProof/>
                <w:color w:val="FFFFFF"/>
                <w:sz w:val="16"/>
                <w:lang w:bidi="en-GB"/>
              </w:rPr>
            </w:pPr>
          </w:p>
        </w:tc>
      </w:tr>
      <w:tr>
        <w:trPr>
          <w:trHeight w:val="255"/>
        </w:trPr>
        <w:tc>
          <w:tcPr>
            <w:tcW w:w="3004" w:type="dxa"/>
            <w:tcBorders>
              <w:top w:val="nil"/>
              <w:left w:val="nil"/>
              <w:bottom w:val="nil"/>
              <w:right w:val="nil"/>
              <w:tl2br w:val="nil"/>
              <w:tr2bl w:val="nil"/>
            </w:tcBorders>
            <w:shd w:val="solid" w:color="016794" w:fill="FFFFFF"/>
            <w:tcMar>
              <w:left w:w="60" w:type="dxa"/>
              <w:right w:w="60" w:type="dxa"/>
            </w:tcMar>
            <w:vAlign w:val="center"/>
          </w:tcPr>
          <w:p>
            <w:pPr>
              <w:pStyle w:val="DMETW38212BIPPLreclass"/>
              <w:jc w:val="right"/>
              <w:rPr>
                <w:rFonts w:ascii="Verdana" w:eastAsia="Verdana" w:hAnsi="Verdana" w:cs="Verdana"/>
                <w:noProof/>
                <w:color w:val="FFFFFF"/>
                <w:sz w:val="16"/>
              </w:rPr>
            </w:pPr>
          </w:p>
        </w:tc>
        <w:tc>
          <w:tcPr>
            <w:tcW w:w="1190" w:type="dxa"/>
            <w:tcBorders>
              <w:top w:val="nil"/>
              <w:left w:val="nil"/>
              <w:bottom w:val="nil"/>
              <w:right w:val="nil"/>
              <w:tl2br w:val="nil"/>
              <w:tr2bl w:val="nil"/>
            </w:tcBorders>
            <w:shd w:val="solid" w:color="007BB8" w:fill="FFFFFF"/>
            <w:tcMar>
              <w:left w:w="60" w:type="dxa"/>
              <w:right w:w="60" w:type="dxa"/>
            </w:tcMar>
            <w:vAlign w:val="center"/>
          </w:tcPr>
          <w:p>
            <w:pPr>
              <w:pStyle w:val="DMETW38212BIPPLreclass"/>
              <w:jc w:val="right"/>
              <w:rPr>
                <w:rFonts w:ascii="Verdana" w:eastAsia="Verdana" w:hAnsi="Verdana" w:cs="Verdana"/>
                <w:noProof/>
                <w:color w:val="FFFFFF"/>
                <w:sz w:val="16"/>
              </w:rPr>
            </w:pPr>
            <w:r>
              <w:rPr>
                <w:rFonts w:ascii="Verdana" w:hAnsi="Verdana"/>
                <w:noProof/>
                <w:color w:val="FFFFFF"/>
                <w:sz w:val="16"/>
              </w:rPr>
              <w:t>Gestion</w:t>
            </w:r>
          </w:p>
          <w:p>
            <w:pPr>
              <w:pStyle w:val="DMETW38212BIPPLreclass"/>
              <w:jc w:val="right"/>
              <w:rPr>
                <w:rFonts w:ascii="Verdana" w:eastAsia="Verdana" w:hAnsi="Verdana" w:cs="Verdana"/>
                <w:noProof/>
                <w:color w:val="FFFFFF"/>
                <w:sz w:val="16"/>
              </w:rPr>
            </w:pPr>
            <w:r>
              <w:rPr>
                <w:rFonts w:ascii="Verdana" w:hAnsi="Verdana"/>
                <w:noProof/>
                <w:color w:val="FFFFFF"/>
                <w:sz w:val="16"/>
              </w:rPr>
              <w:t>partagée</w:t>
            </w:r>
          </w:p>
        </w:tc>
        <w:tc>
          <w:tcPr>
            <w:tcW w:w="1188" w:type="dxa"/>
            <w:tcBorders>
              <w:top w:val="nil"/>
              <w:left w:val="nil"/>
              <w:bottom w:val="nil"/>
              <w:right w:val="nil"/>
              <w:tl2br w:val="nil"/>
              <w:tr2bl w:val="nil"/>
            </w:tcBorders>
            <w:shd w:val="solid" w:color="007BB8" w:fill="FFFFFF"/>
            <w:tcMar>
              <w:left w:w="60" w:type="dxa"/>
              <w:right w:w="60" w:type="dxa"/>
            </w:tcMar>
            <w:vAlign w:val="center"/>
          </w:tcPr>
          <w:p>
            <w:pPr>
              <w:pStyle w:val="DMETW38212BIPPLreclass"/>
              <w:jc w:val="right"/>
              <w:rPr>
                <w:rFonts w:ascii="Verdana" w:eastAsia="Verdana" w:hAnsi="Verdana" w:cs="Verdana"/>
                <w:noProof/>
                <w:color w:val="FFFFFF"/>
                <w:sz w:val="16"/>
              </w:rPr>
            </w:pPr>
            <w:r>
              <w:rPr>
                <w:rFonts w:ascii="Verdana" w:hAnsi="Verdana"/>
                <w:noProof/>
                <w:color w:val="FFFFFF"/>
                <w:sz w:val="16"/>
              </w:rPr>
              <w:t>Gestion</w:t>
            </w:r>
          </w:p>
          <w:p>
            <w:pPr>
              <w:pStyle w:val="DMETW38212BIPPLreclass"/>
              <w:jc w:val="right"/>
              <w:rPr>
                <w:rFonts w:ascii="Verdana" w:eastAsia="Verdana" w:hAnsi="Verdana" w:cs="Verdana"/>
                <w:noProof/>
                <w:color w:val="FFFFFF"/>
                <w:sz w:val="16"/>
              </w:rPr>
            </w:pPr>
            <w:r>
              <w:rPr>
                <w:rFonts w:ascii="Verdana" w:hAnsi="Verdana"/>
                <w:noProof/>
                <w:color w:val="FFFFFF"/>
                <w:sz w:val="16"/>
              </w:rPr>
              <w:t>directe</w:t>
            </w:r>
          </w:p>
        </w:tc>
        <w:tc>
          <w:tcPr>
            <w:tcW w:w="3517" w:type="dxa"/>
            <w:gridSpan w:val="3"/>
            <w:tcBorders>
              <w:top w:val="nil"/>
              <w:left w:val="nil"/>
              <w:bottom w:val="nil"/>
              <w:right w:val="nil"/>
              <w:tl2br w:val="nil"/>
              <w:tr2bl w:val="nil"/>
            </w:tcBorders>
            <w:shd w:val="solid" w:color="007BB8" w:fill="FFFFFF"/>
            <w:tcMar>
              <w:left w:w="60" w:type="dxa"/>
              <w:right w:w="60" w:type="dxa"/>
            </w:tcMar>
            <w:vAlign w:val="center"/>
          </w:tcPr>
          <w:p>
            <w:pPr>
              <w:pStyle w:val="DMETW38212BIPPLreclass"/>
              <w:jc w:val="center"/>
              <w:rPr>
                <w:rFonts w:ascii="Verdana" w:eastAsia="Verdana" w:hAnsi="Verdana" w:cs="Verdana"/>
                <w:noProof/>
                <w:color w:val="FFFFFF"/>
                <w:sz w:val="16"/>
              </w:rPr>
            </w:pPr>
            <w:r>
              <w:rPr>
                <w:rFonts w:ascii="Verdana" w:hAnsi="Verdana"/>
                <w:noProof/>
                <w:color w:val="FFFFFF"/>
                <w:sz w:val="16"/>
              </w:rPr>
              <w:t>Gestion</w:t>
            </w:r>
          </w:p>
          <w:p>
            <w:pPr>
              <w:pStyle w:val="DMETW38212BIPPLreclass"/>
              <w:jc w:val="center"/>
              <w:rPr>
                <w:rFonts w:ascii="Verdana" w:eastAsia="Verdana" w:hAnsi="Verdana" w:cs="Verdana"/>
                <w:noProof/>
                <w:color w:val="FFFFFF"/>
                <w:sz w:val="16"/>
              </w:rPr>
            </w:pPr>
            <w:r>
              <w:rPr>
                <w:rFonts w:ascii="Verdana" w:hAnsi="Verdana"/>
                <w:noProof/>
                <w:color w:val="FFFFFF"/>
                <w:sz w:val="16"/>
              </w:rPr>
              <w:t>indirecte</w:t>
            </w:r>
          </w:p>
        </w:tc>
        <w:tc>
          <w:tcPr>
            <w:tcW w:w="1077" w:type="dxa"/>
            <w:tcBorders>
              <w:top w:val="nil"/>
              <w:left w:val="nil"/>
              <w:bottom w:val="nil"/>
              <w:right w:val="nil"/>
              <w:tl2br w:val="nil"/>
              <w:tr2bl w:val="nil"/>
            </w:tcBorders>
            <w:shd w:val="solid" w:color="016794" w:fill="FFFFFF"/>
            <w:tcMar>
              <w:left w:w="60" w:type="dxa"/>
              <w:right w:w="60" w:type="dxa"/>
            </w:tcMar>
            <w:vAlign w:val="center"/>
          </w:tcPr>
          <w:p>
            <w:pPr>
              <w:pStyle w:val="DMETW38212BIPPLreclass"/>
              <w:jc w:val="right"/>
              <w:rPr>
                <w:rFonts w:ascii="Verdana" w:eastAsia="Verdana" w:hAnsi="Verdana" w:cs="Verdana"/>
                <w:noProof/>
                <w:color w:val="FFFFFF"/>
                <w:sz w:val="16"/>
              </w:rPr>
            </w:pPr>
          </w:p>
        </w:tc>
        <w:tc>
          <w:tcPr>
            <w:tcW w:w="1077" w:type="dxa"/>
            <w:tcBorders>
              <w:top w:val="nil"/>
              <w:left w:val="nil"/>
              <w:bottom w:val="nil"/>
              <w:right w:val="nil"/>
              <w:tl2br w:val="nil"/>
              <w:tr2bl w:val="nil"/>
            </w:tcBorders>
            <w:shd w:val="solid" w:color="016794" w:fill="FFFFFF"/>
            <w:tcMar>
              <w:left w:w="60" w:type="dxa"/>
              <w:right w:w="60" w:type="dxa"/>
            </w:tcMar>
            <w:vAlign w:val="center"/>
          </w:tcPr>
          <w:p>
            <w:pPr>
              <w:pStyle w:val="DMETW38212BIPPLreclass"/>
              <w:jc w:val="right"/>
              <w:rPr>
                <w:rFonts w:ascii="Verdana" w:eastAsia="Verdana" w:hAnsi="Verdana" w:cs="Verdana"/>
                <w:noProof/>
                <w:color w:val="FFFFFF"/>
                <w:sz w:val="16"/>
              </w:rPr>
            </w:pPr>
          </w:p>
        </w:tc>
        <w:tc>
          <w:tcPr>
            <w:tcW w:w="1077" w:type="dxa"/>
            <w:tcBorders>
              <w:top w:val="nil"/>
              <w:left w:val="nil"/>
              <w:bottom w:val="nil"/>
              <w:right w:val="nil"/>
              <w:tl2br w:val="nil"/>
              <w:tr2bl w:val="nil"/>
            </w:tcBorders>
            <w:shd w:val="solid" w:color="016794" w:fill="FFFFFF"/>
            <w:tcMar>
              <w:left w:w="60" w:type="dxa"/>
              <w:right w:w="60" w:type="dxa"/>
            </w:tcMar>
            <w:vAlign w:val="center"/>
          </w:tcPr>
          <w:p>
            <w:pPr>
              <w:pStyle w:val="DMETW38212BIPPLreclass"/>
              <w:jc w:val="right"/>
              <w:rPr>
                <w:rFonts w:ascii="Verdana" w:eastAsia="Verdana" w:hAnsi="Verdana" w:cs="Verdana"/>
                <w:noProof/>
                <w:color w:val="FFFFFF"/>
                <w:sz w:val="16"/>
              </w:rPr>
            </w:pPr>
          </w:p>
        </w:tc>
        <w:tc>
          <w:tcPr>
            <w:tcW w:w="1077" w:type="dxa"/>
            <w:tcBorders>
              <w:top w:val="nil"/>
              <w:left w:val="nil"/>
              <w:bottom w:val="nil"/>
              <w:right w:val="nil"/>
              <w:tl2br w:val="nil"/>
              <w:tr2bl w:val="nil"/>
            </w:tcBorders>
            <w:shd w:val="solid" w:color="016794" w:fill="FFFFFF"/>
            <w:tcMar>
              <w:left w:w="60" w:type="dxa"/>
              <w:right w:w="60" w:type="dxa"/>
            </w:tcMar>
            <w:vAlign w:val="center"/>
          </w:tcPr>
          <w:p>
            <w:pPr>
              <w:pStyle w:val="DMETW38212BIPPLreclass"/>
              <w:jc w:val="right"/>
              <w:rPr>
                <w:rFonts w:ascii="Verdana" w:eastAsia="Verdana" w:hAnsi="Verdana" w:cs="Verdana"/>
                <w:noProof/>
                <w:color w:val="FFFFFF"/>
                <w:sz w:val="16"/>
              </w:rPr>
            </w:pPr>
          </w:p>
        </w:tc>
        <w:tc>
          <w:tcPr>
            <w:tcW w:w="1362" w:type="dxa"/>
            <w:tcBorders>
              <w:top w:val="nil"/>
              <w:left w:val="nil"/>
              <w:bottom w:val="nil"/>
              <w:right w:val="nil"/>
              <w:tl2br w:val="nil"/>
              <w:tr2bl w:val="nil"/>
            </w:tcBorders>
            <w:shd w:val="solid" w:color="016794" w:fill="FFFFFF"/>
            <w:tcMar>
              <w:left w:w="60" w:type="dxa"/>
              <w:right w:w="60" w:type="dxa"/>
            </w:tcMar>
            <w:vAlign w:val="center"/>
          </w:tcPr>
          <w:p>
            <w:pPr>
              <w:pStyle w:val="DMETW38212BIPPLreclass"/>
              <w:jc w:val="right"/>
              <w:rPr>
                <w:rFonts w:ascii="Verdana" w:eastAsia="Verdana" w:hAnsi="Verdana" w:cs="Verdana"/>
                <w:noProof/>
                <w:color w:val="FFFFFF"/>
                <w:sz w:val="16"/>
                <w:lang w:bidi="en-GB"/>
              </w:rPr>
            </w:pPr>
          </w:p>
        </w:tc>
      </w:tr>
      <w:tr>
        <w:trPr>
          <w:trHeight w:val="255"/>
        </w:trPr>
        <w:tc>
          <w:tcPr>
            <w:tcW w:w="3004" w:type="dxa"/>
            <w:tcBorders>
              <w:top w:val="nil"/>
              <w:left w:val="nil"/>
              <w:bottom w:val="single" w:sz="12" w:space="0" w:color="016794"/>
              <w:right w:val="nil"/>
              <w:tl2br w:val="nil"/>
              <w:tr2bl w:val="nil"/>
            </w:tcBorders>
            <w:shd w:val="solid" w:color="016794" w:fill="FFFFFF"/>
            <w:tcMar>
              <w:left w:w="60" w:type="dxa"/>
              <w:right w:w="60" w:type="dxa"/>
            </w:tcMar>
            <w:vAlign w:val="center"/>
          </w:tcPr>
          <w:p>
            <w:pPr>
              <w:pStyle w:val="DMETW38212BIPPLreclass"/>
              <w:jc w:val="right"/>
              <w:rPr>
                <w:rFonts w:ascii="Verdana" w:eastAsia="Verdana" w:hAnsi="Verdana" w:cs="Verdana"/>
                <w:noProof/>
                <w:color w:val="FFFFFF"/>
                <w:sz w:val="16"/>
              </w:rPr>
            </w:pPr>
          </w:p>
        </w:tc>
        <w:tc>
          <w:tcPr>
            <w:tcW w:w="1190" w:type="dxa"/>
            <w:tcBorders>
              <w:top w:val="nil"/>
              <w:left w:val="nil"/>
              <w:bottom w:val="nil"/>
              <w:right w:val="nil"/>
              <w:tl2br w:val="nil"/>
              <w:tr2bl w:val="nil"/>
            </w:tcBorders>
            <w:shd w:val="solid" w:color="016794" w:fill="FFFFFF"/>
            <w:tcMar>
              <w:left w:w="60" w:type="dxa"/>
              <w:right w:w="60" w:type="dxa"/>
            </w:tcMar>
            <w:vAlign w:val="bottom"/>
          </w:tcPr>
          <w:p>
            <w:pPr>
              <w:pStyle w:val="DMETW38212BIPPLreclass"/>
              <w:jc w:val="right"/>
              <w:rPr>
                <w:rFonts w:ascii="Verdana" w:eastAsia="Verdana" w:hAnsi="Verdana" w:cs="Verdana"/>
                <w:noProof/>
                <w:color w:val="FFFFFF"/>
                <w:sz w:val="16"/>
              </w:rPr>
            </w:pPr>
            <w:r>
              <w:rPr>
                <w:rFonts w:ascii="Verdana" w:hAnsi="Verdana"/>
                <w:noProof/>
                <w:color w:val="FFFFFF"/>
                <w:sz w:val="16"/>
              </w:rPr>
              <w:t>États</w:t>
            </w:r>
          </w:p>
          <w:p>
            <w:pPr>
              <w:pStyle w:val="DMETW38212BIPPLreclass"/>
              <w:jc w:val="right"/>
              <w:rPr>
                <w:rFonts w:ascii="Verdana" w:eastAsia="Verdana" w:hAnsi="Verdana" w:cs="Verdana"/>
                <w:noProof/>
                <w:color w:val="FFFFFF"/>
                <w:sz w:val="16"/>
              </w:rPr>
            </w:pPr>
            <w:r>
              <w:rPr>
                <w:rFonts w:ascii="Verdana" w:hAnsi="Verdana"/>
                <w:noProof/>
                <w:color w:val="FFFFFF"/>
                <w:sz w:val="16"/>
              </w:rPr>
              <w:t>membres</w:t>
            </w:r>
          </w:p>
        </w:tc>
        <w:tc>
          <w:tcPr>
            <w:tcW w:w="1188" w:type="dxa"/>
            <w:tcBorders>
              <w:top w:val="nil"/>
              <w:left w:val="nil"/>
              <w:bottom w:val="nil"/>
              <w:right w:val="nil"/>
              <w:tl2br w:val="nil"/>
              <w:tr2bl w:val="nil"/>
            </w:tcBorders>
            <w:shd w:val="solid" w:color="016794" w:fill="FFFFFF"/>
            <w:tcMar>
              <w:left w:w="60" w:type="dxa"/>
              <w:right w:w="60" w:type="dxa"/>
            </w:tcMar>
            <w:vAlign w:val="bottom"/>
          </w:tcPr>
          <w:p>
            <w:pPr>
              <w:pStyle w:val="DMETW38212BIPPLreclass"/>
              <w:jc w:val="right"/>
              <w:rPr>
                <w:rFonts w:ascii="Verdana" w:eastAsia="Verdana" w:hAnsi="Verdana" w:cs="Verdana"/>
                <w:noProof/>
                <w:color w:val="FFFFFF"/>
                <w:sz w:val="16"/>
              </w:rPr>
            </w:pPr>
            <w:r>
              <w:rPr>
                <w:rFonts w:ascii="Verdana" w:hAnsi="Verdana"/>
                <w:noProof/>
                <w:color w:val="FFFFFF"/>
                <w:sz w:val="16"/>
              </w:rPr>
              <w:t>Commission,</w:t>
            </w:r>
          </w:p>
          <w:p>
            <w:pPr>
              <w:pStyle w:val="DMETW38212BIPPLreclass"/>
              <w:jc w:val="right"/>
              <w:rPr>
                <w:rFonts w:ascii="Verdana" w:eastAsia="Verdana" w:hAnsi="Verdana" w:cs="Verdana"/>
                <w:noProof/>
                <w:color w:val="FFFFFF"/>
                <w:sz w:val="16"/>
              </w:rPr>
            </w:pPr>
            <w:r>
              <w:rPr>
                <w:rFonts w:ascii="Verdana" w:hAnsi="Verdana"/>
                <w:noProof/>
                <w:color w:val="FFFFFF"/>
                <w:sz w:val="16"/>
              </w:rPr>
              <w:t>agences exécutives et</w:t>
            </w:r>
          </w:p>
          <w:p>
            <w:pPr>
              <w:pStyle w:val="DMETW38212BIPPLreclass"/>
              <w:jc w:val="right"/>
              <w:rPr>
                <w:rFonts w:ascii="Verdana" w:eastAsia="Verdana" w:hAnsi="Verdana" w:cs="Verdana"/>
                <w:noProof/>
                <w:color w:val="FFFFFF"/>
                <w:sz w:val="16"/>
              </w:rPr>
            </w:pPr>
            <w:r>
              <w:rPr>
                <w:rFonts w:ascii="Verdana" w:hAnsi="Verdana"/>
                <w:noProof/>
                <w:color w:val="FFFFFF"/>
                <w:sz w:val="16"/>
              </w:rPr>
              <w:t>fonds fiduciaires</w:t>
            </w:r>
          </w:p>
        </w:tc>
        <w:tc>
          <w:tcPr>
            <w:tcW w:w="1188" w:type="dxa"/>
            <w:tcBorders>
              <w:top w:val="nil"/>
              <w:left w:val="nil"/>
              <w:bottom w:val="nil"/>
              <w:right w:val="nil"/>
              <w:tl2br w:val="nil"/>
              <w:tr2bl w:val="nil"/>
            </w:tcBorders>
            <w:shd w:val="solid" w:color="016794" w:fill="FFFFFF"/>
            <w:tcMar>
              <w:left w:w="60" w:type="dxa"/>
              <w:right w:w="60" w:type="dxa"/>
            </w:tcMar>
            <w:vAlign w:val="bottom"/>
          </w:tcPr>
          <w:p>
            <w:pPr>
              <w:pStyle w:val="DMETW38212BIPPLreclass"/>
              <w:jc w:val="right"/>
              <w:rPr>
                <w:rFonts w:ascii="Verdana" w:eastAsia="Verdana" w:hAnsi="Verdana" w:cs="Verdana"/>
                <w:noProof/>
                <w:color w:val="FFFFFF"/>
                <w:sz w:val="16"/>
              </w:rPr>
            </w:pPr>
            <w:r>
              <w:rPr>
                <w:rFonts w:ascii="Verdana" w:hAnsi="Verdana"/>
                <w:noProof/>
                <w:color w:val="FFFFFF"/>
                <w:sz w:val="16"/>
              </w:rPr>
              <w:t>Autres agences</w:t>
            </w:r>
          </w:p>
          <w:p>
            <w:pPr>
              <w:pStyle w:val="DMETW38212BIPPLreclass"/>
              <w:jc w:val="right"/>
              <w:rPr>
                <w:rFonts w:ascii="Verdana" w:eastAsia="Verdana" w:hAnsi="Verdana" w:cs="Verdana"/>
                <w:noProof/>
                <w:color w:val="FFFFFF"/>
                <w:sz w:val="16"/>
              </w:rPr>
            </w:pPr>
            <w:r>
              <w:rPr>
                <w:rFonts w:ascii="Verdana" w:hAnsi="Verdana"/>
                <w:noProof/>
                <w:color w:val="FFFFFF"/>
                <w:sz w:val="16"/>
              </w:rPr>
              <w:t>et organismes</w:t>
            </w:r>
          </w:p>
          <w:p>
            <w:pPr>
              <w:pStyle w:val="DMETW38212BIPPLreclass"/>
              <w:jc w:val="right"/>
              <w:rPr>
                <w:rFonts w:ascii="Verdana" w:eastAsia="Verdana" w:hAnsi="Verdana" w:cs="Verdana"/>
                <w:noProof/>
                <w:color w:val="FFFFFF"/>
                <w:sz w:val="16"/>
              </w:rPr>
            </w:pPr>
            <w:r>
              <w:rPr>
                <w:rFonts w:ascii="Verdana" w:hAnsi="Verdana"/>
                <w:noProof/>
                <w:color w:val="FFFFFF"/>
                <w:sz w:val="16"/>
              </w:rPr>
              <w:t>de l’UE</w:t>
            </w:r>
          </w:p>
        </w:tc>
        <w:tc>
          <w:tcPr>
            <w:tcW w:w="1247" w:type="dxa"/>
            <w:tcBorders>
              <w:top w:val="nil"/>
              <w:left w:val="nil"/>
              <w:bottom w:val="nil"/>
              <w:right w:val="nil"/>
              <w:tl2br w:val="nil"/>
              <w:tr2bl w:val="nil"/>
            </w:tcBorders>
            <w:shd w:val="solid" w:color="016794" w:fill="FFFFFF"/>
            <w:tcMar>
              <w:left w:w="60" w:type="dxa"/>
              <w:right w:w="60" w:type="dxa"/>
            </w:tcMar>
            <w:vAlign w:val="bottom"/>
          </w:tcPr>
          <w:p>
            <w:pPr>
              <w:pStyle w:val="DMETW38212BIPPLreclass"/>
              <w:jc w:val="right"/>
              <w:rPr>
                <w:rFonts w:ascii="Verdana" w:eastAsia="Verdana" w:hAnsi="Verdana" w:cs="Verdana"/>
                <w:noProof/>
                <w:color w:val="FFFFFF"/>
                <w:sz w:val="16"/>
              </w:rPr>
            </w:pPr>
            <w:r>
              <w:rPr>
                <w:rFonts w:ascii="Verdana" w:hAnsi="Verdana"/>
                <w:noProof/>
                <w:color w:val="FFFFFF"/>
                <w:sz w:val="16"/>
              </w:rPr>
              <w:t>Pays tiers</w:t>
            </w:r>
          </w:p>
          <w:p>
            <w:pPr>
              <w:pStyle w:val="DMETW38212BIPPLreclass"/>
              <w:jc w:val="right"/>
              <w:rPr>
                <w:rFonts w:ascii="Verdana" w:eastAsia="Verdana" w:hAnsi="Verdana" w:cs="Verdana"/>
                <w:noProof/>
                <w:color w:val="FFFFFF"/>
                <w:sz w:val="16"/>
              </w:rPr>
            </w:pPr>
            <w:r>
              <w:rPr>
                <w:rFonts w:ascii="Verdana" w:hAnsi="Verdana"/>
                <w:noProof/>
                <w:color w:val="FFFFFF"/>
                <w:sz w:val="16"/>
              </w:rPr>
              <w:t>et organisations</w:t>
            </w:r>
          </w:p>
          <w:p>
            <w:pPr>
              <w:pStyle w:val="DMETW38212BIPPLreclass"/>
              <w:jc w:val="right"/>
              <w:rPr>
                <w:rFonts w:ascii="Verdana" w:eastAsia="Verdana" w:hAnsi="Verdana" w:cs="Verdana"/>
                <w:noProof/>
                <w:color w:val="FFFFFF"/>
                <w:sz w:val="16"/>
              </w:rPr>
            </w:pPr>
            <w:r>
              <w:rPr>
                <w:rFonts w:ascii="Verdana" w:hAnsi="Verdana"/>
                <w:noProof/>
                <w:color w:val="FFFFFF"/>
                <w:sz w:val="16"/>
              </w:rPr>
              <w:t>internationales</w:t>
            </w:r>
          </w:p>
        </w:tc>
        <w:tc>
          <w:tcPr>
            <w:tcW w:w="1082" w:type="dxa"/>
            <w:tcBorders>
              <w:top w:val="nil"/>
              <w:left w:val="nil"/>
              <w:bottom w:val="nil"/>
              <w:right w:val="nil"/>
              <w:tl2br w:val="nil"/>
              <w:tr2bl w:val="nil"/>
            </w:tcBorders>
            <w:shd w:val="solid" w:color="016794" w:fill="FFFFFF"/>
            <w:tcMar>
              <w:left w:w="60" w:type="dxa"/>
              <w:right w:w="60" w:type="dxa"/>
            </w:tcMar>
            <w:vAlign w:val="bottom"/>
          </w:tcPr>
          <w:p>
            <w:pPr>
              <w:pStyle w:val="DMETW38212BIPPLreclass"/>
              <w:jc w:val="right"/>
              <w:rPr>
                <w:rFonts w:ascii="Verdana" w:eastAsia="Verdana" w:hAnsi="Verdana" w:cs="Verdana"/>
                <w:noProof/>
                <w:color w:val="FFFFFF"/>
                <w:sz w:val="16"/>
              </w:rPr>
            </w:pPr>
            <w:r>
              <w:rPr>
                <w:rFonts w:ascii="Verdana" w:hAnsi="Verdana"/>
                <w:noProof/>
                <w:color w:val="FFFFFF"/>
                <w:sz w:val="16"/>
              </w:rPr>
              <w:t>Autres</w:t>
            </w:r>
          </w:p>
          <w:p>
            <w:pPr>
              <w:pStyle w:val="DMETW38212BIPPLreclass"/>
              <w:jc w:val="right"/>
              <w:rPr>
                <w:rFonts w:ascii="Verdana" w:eastAsia="Verdana" w:hAnsi="Verdana" w:cs="Verdana"/>
                <w:noProof/>
                <w:color w:val="FFFFFF"/>
                <w:sz w:val="16"/>
              </w:rPr>
            </w:pPr>
            <w:r>
              <w:rPr>
                <w:rFonts w:ascii="Verdana" w:hAnsi="Verdana"/>
                <w:noProof/>
                <w:color w:val="FFFFFF"/>
                <w:sz w:val="16"/>
              </w:rPr>
              <w:t>entités</w:t>
            </w:r>
          </w:p>
        </w:tc>
        <w:tc>
          <w:tcPr>
            <w:tcW w:w="1077" w:type="dxa"/>
            <w:tcBorders>
              <w:top w:val="nil"/>
              <w:left w:val="nil"/>
              <w:bottom w:val="nil"/>
              <w:right w:val="nil"/>
              <w:tl2br w:val="nil"/>
              <w:tr2bl w:val="nil"/>
            </w:tcBorders>
            <w:shd w:val="solid" w:color="016794" w:fill="FFFFFF"/>
            <w:tcMar>
              <w:left w:w="60" w:type="dxa"/>
              <w:right w:w="60" w:type="dxa"/>
            </w:tcMar>
            <w:vAlign w:val="bottom"/>
          </w:tcPr>
          <w:p>
            <w:pPr>
              <w:pStyle w:val="DMETW38212BIPPLreclass"/>
              <w:jc w:val="right"/>
              <w:rPr>
                <w:rFonts w:ascii="Verdana" w:eastAsia="Verdana" w:hAnsi="Verdana" w:cs="Verdana"/>
                <w:noProof/>
                <w:color w:val="FFFFFF"/>
                <w:sz w:val="16"/>
              </w:rPr>
            </w:pPr>
            <w:r>
              <w:rPr>
                <w:rFonts w:ascii="Verdana" w:hAnsi="Verdana"/>
                <w:noProof/>
                <w:color w:val="FFFFFF"/>
                <w:sz w:val="16"/>
              </w:rPr>
              <w:t>Coûts du personnel et</w:t>
            </w:r>
          </w:p>
          <w:p>
            <w:pPr>
              <w:pStyle w:val="DMETW38212BIPPLreclass"/>
              <w:jc w:val="right"/>
              <w:rPr>
                <w:rFonts w:ascii="Verdana" w:eastAsia="Verdana" w:hAnsi="Verdana" w:cs="Verdana"/>
                <w:noProof/>
                <w:color w:val="FFFFFF"/>
                <w:sz w:val="16"/>
              </w:rPr>
            </w:pPr>
            <w:r>
              <w:rPr>
                <w:rFonts w:ascii="Verdana" w:hAnsi="Verdana"/>
                <w:noProof/>
                <w:color w:val="FFFFFF"/>
                <w:sz w:val="16"/>
              </w:rPr>
              <w:t>des pensions</w:t>
            </w:r>
          </w:p>
        </w:tc>
        <w:tc>
          <w:tcPr>
            <w:tcW w:w="1077" w:type="dxa"/>
            <w:tcBorders>
              <w:top w:val="nil"/>
              <w:left w:val="nil"/>
              <w:bottom w:val="nil"/>
              <w:right w:val="nil"/>
              <w:tl2br w:val="nil"/>
              <w:tr2bl w:val="nil"/>
            </w:tcBorders>
            <w:shd w:val="solid" w:color="016794" w:fill="FFFFFF"/>
            <w:tcMar>
              <w:left w:w="60" w:type="dxa"/>
              <w:right w:w="60" w:type="dxa"/>
            </w:tcMar>
            <w:vAlign w:val="bottom"/>
          </w:tcPr>
          <w:p>
            <w:pPr>
              <w:pStyle w:val="DMETW38212BIPPLreclass"/>
              <w:jc w:val="right"/>
              <w:rPr>
                <w:rFonts w:ascii="Verdana" w:eastAsia="Verdana" w:hAnsi="Verdana" w:cs="Verdana"/>
                <w:noProof/>
                <w:color w:val="FFFFFF"/>
                <w:sz w:val="16"/>
              </w:rPr>
            </w:pPr>
            <w:r>
              <w:rPr>
                <w:rFonts w:ascii="Verdana" w:hAnsi="Verdana"/>
                <w:noProof/>
                <w:color w:val="FFFFFF"/>
                <w:sz w:val="16"/>
              </w:rPr>
              <w:t>Charges</w:t>
            </w:r>
          </w:p>
          <w:p>
            <w:pPr>
              <w:pStyle w:val="DMETW38212BIPPLreclass"/>
              <w:jc w:val="right"/>
              <w:rPr>
                <w:rFonts w:ascii="Verdana" w:eastAsia="Verdana" w:hAnsi="Verdana" w:cs="Verdana"/>
                <w:noProof/>
                <w:color w:val="FFFFFF"/>
                <w:sz w:val="16"/>
              </w:rPr>
            </w:pPr>
            <w:r>
              <w:rPr>
                <w:rFonts w:ascii="Verdana" w:hAnsi="Verdana"/>
                <w:noProof/>
                <w:color w:val="FFFFFF"/>
                <w:sz w:val="16"/>
              </w:rPr>
              <w:t>financières</w:t>
            </w:r>
          </w:p>
        </w:tc>
        <w:tc>
          <w:tcPr>
            <w:tcW w:w="1077" w:type="dxa"/>
            <w:tcBorders>
              <w:top w:val="nil"/>
              <w:left w:val="nil"/>
              <w:bottom w:val="nil"/>
              <w:right w:val="nil"/>
              <w:tl2br w:val="nil"/>
              <w:tr2bl w:val="nil"/>
            </w:tcBorders>
            <w:shd w:val="solid" w:color="016794" w:fill="FFFFFF"/>
            <w:tcMar>
              <w:left w:w="60" w:type="dxa"/>
              <w:right w:w="60" w:type="dxa"/>
            </w:tcMar>
            <w:vAlign w:val="bottom"/>
          </w:tcPr>
          <w:p>
            <w:pPr>
              <w:pStyle w:val="DMETW38212BIPPLreclass"/>
              <w:jc w:val="right"/>
              <w:rPr>
                <w:rFonts w:ascii="Verdana" w:eastAsia="Verdana" w:hAnsi="Verdana" w:cs="Verdana"/>
                <w:noProof/>
                <w:color w:val="FFFFFF"/>
                <w:sz w:val="16"/>
              </w:rPr>
            </w:pPr>
            <w:r>
              <w:rPr>
                <w:rFonts w:ascii="Verdana" w:hAnsi="Verdana"/>
                <w:noProof/>
                <w:color w:val="FFFFFF"/>
                <w:sz w:val="16"/>
              </w:rPr>
              <w:t>Accord de retrait</w:t>
            </w:r>
          </w:p>
          <w:p>
            <w:pPr>
              <w:pStyle w:val="DMETW38212BIPPLreclass"/>
              <w:jc w:val="right"/>
              <w:rPr>
                <w:rFonts w:ascii="Verdana" w:eastAsia="Verdana" w:hAnsi="Verdana" w:cs="Verdana"/>
                <w:noProof/>
                <w:color w:val="FFFFFF"/>
                <w:sz w:val="16"/>
              </w:rPr>
            </w:pPr>
            <w:r>
              <w:rPr>
                <w:rFonts w:ascii="Verdana" w:hAnsi="Verdana"/>
                <w:noProof/>
                <w:color w:val="FFFFFF"/>
                <w:sz w:val="16"/>
              </w:rPr>
              <w:t>du Royaume-Uni</w:t>
            </w:r>
          </w:p>
        </w:tc>
        <w:tc>
          <w:tcPr>
            <w:tcW w:w="1077" w:type="dxa"/>
            <w:tcBorders>
              <w:top w:val="nil"/>
              <w:left w:val="nil"/>
              <w:bottom w:val="nil"/>
              <w:right w:val="nil"/>
              <w:tl2br w:val="nil"/>
              <w:tr2bl w:val="nil"/>
            </w:tcBorders>
            <w:shd w:val="solid" w:color="016794" w:fill="FFFFFF"/>
            <w:tcMar>
              <w:left w:w="60" w:type="dxa"/>
              <w:right w:w="60" w:type="dxa"/>
            </w:tcMar>
            <w:vAlign w:val="bottom"/>
          </w:tcPr>
          <w:p>
            <w:pPr>
              <w:pStyle w:val="DMETW38212BIPPLreclass"/>
              <w:jc w:val="right"/>
              <w:rPr>
                <w:rFonts w:ascii="Verdana" w:eastAsia="Verdana" w:hAnsi="Verdana" w:cs="Verdana"/>
                <w:noProof/>
                <w:color w:val="FFFFFF"/>
                <w:sz w:val="16"/>
              </w:rPr>
            </w:pPr>
            <w:r>
              <w:rPr>
                <w:rFonts w:ascii="Verdana" w:hAnsi="Verdana"/>
                <w:noProof/>
                <w:color w:val="FFFFFF"/>
                <w:sz w:val="16"/>
              </w:rPr>
              <w:t>Autres</w:t>
            </w:r>
          </w:p>
          <w:p>
            <w:pPr>
              <w:pStyle w:val="DMETW38212BIPPLreclass"/>
              <w:jc w:val="right"/>
              <w:rPr>
                <w:rFonts w:ascii="Verdana" w:eastAsia="Verdana" w:hAnsi="Verdana" w:cs="Verdana"/>
                <w:noProof/>
                <w:color w:val="FFFFFF"/>
                <w:sz w:val="16"/>
              </w:rPr>
            </w:pPr>
            <w:r>
              <w:rPr>
                <w:rFonts w:ascii="Verdana" w:hAnsi="Verdana"/>
                <w:noProof/>
                <w:color w:val="FFFFFF"/>
                <w:sz w:val="16"/>
              </w:rPr>
              <w:t>dépenses</w:t>
            </w:r>
          </w:p>
        </w:tc>
        <w:tc>
          <w:tcPr>
            <w:tcW w:w="1362" w:type="dxa"/>
            <w:tcBorders>
              <w:top w:val="nil"/>
              <w:left w:val="nil"/>
              <w:bottom w:val="nil"/>
              <w:right w:val="nil"/>
              <w:tl2br w:val="nil"/>
              <w:tr2bl w:val="nil"/>
            </w:tcBorders>
            <w:shd w:val="solid" w:color="016794" w:fill="FFFFFF"/>
            <w:tcMar>
              <w:left w:w="60" w:type="dxa"/>
              <w:right w:w="60" w:type="dxa"/>
            </w:tcMar>
            <w:vAlign w:val="bottom"/>
          </w:tcPr>
          <w:p>
            <w:pPr>
              <w:pStyle w:val="DMETW38212BIPPLreclass"/>
              <w:jc w:val="right"/>
              <w:rPr>
                <w:rFonts w:ascii="Verdana" w:eastAsia="Verdana" w:hAnsi="Verdana" w:cs="Verdana"/>
                <w:b/>
                <w:noProof/>
                <w:color w:val="FFFFFF"/>
                <w:sz w:val="16"/>
              </w:rPr>
            </w:pPr>
            <w:r>
              <w:rPr>
                <w:rFonts w:ascii="Verdana" w:hAnsi="Verdana"/>
                <w:b/>
                <w:noProof/>
                <w:color w:val="FFFFFF"/>
                <w:sz w:val="16"/>
              </w:rPr>
              <w:t>Total des dépenses</w:t>
            </w:r>
          </w:p>
          <w:p>
            <w:pPr>
              <w:pStyle w:val="DMETW38212BIPPLreclass"/>
              <w:jc w:val="right"/>
              <w:rPr>
                <w:rFonts w:ascii="Verdana" w:eastAsia="Verdana" w:hAnsi="Verdana" w:cs="Verdana"/>
                <w:b/>
                <w:noProof/>
                <w:color w:val="FFFFFF"/>
                <w:sz w:val="16"/>
              </w:rPr>
            </w:pPr>
            <w:r>
              <w:rPr>
                <w:rFonts w:ascii="Verdana" w:hAnsi="Verdana"/>
                <w:b/>
                <w:noProof/>
                <w:color w:val="FFFFFF"/>
                <w:sz w:val="16"/>
              </w:rPr>
              <w:t>2024</w:t>
            </w:r>
          </w:p>
          <w:p>
            <w:pPr>
              <w:pStyle w:val="DMETW38212BIPPLreclass"/>
              <w:jc w:val="right"/>
              <w:rPr>
                <w:rFonts w:ascii="Verdana" w:eastAsia="Verdana" w:hAnsi="Verdana" w:cs="Verdana"/>
                <w:b/>
                <w:noProof/>
                <w:color w:val="FFFFFF"/>
                <w:sz w:val="16"/>
              </w:rPr>
            </w:pPr>
            <w:r>
              <w:rPr>
                <w:rFonts w:ascii="Verdana" w:hAnsi="Verdana"/>
                <w:b/>
                <w:noProof/>
                <w:color w:val="FFFFFF"/>
                <w:sz w:val="16"/>
              </w:rPr>
              <w:t>(reclassées)</w:t>
            </w:r>
          </w:p>
        </w:tc>
      </w:tr>
      <w:tr>
        <w:trPr>
          <w:trHeight w:val="255"/>
        </w:trPr>
        <w:tc>
          <w:tcPr>
            <w:tcW w:w="3004" w:type="dxa"/>
            <w:tcBorders>
              <w:top w:val="single" w:sz="12" w:space="0" w:color="016794"/>
              <w:left w:val="nil"/>
              <w:bottom w:val="nil"/>
              <w:right w:val="nil"/>
              <w:tl2br w:val="nil"/>
              <w:tr2bl w:val="nil"/>
            </w:tcBorders>
            <w:shd w:val="solid" w:color="FFFFFF" w:fill="FFFFFF"/>
            <w:tcMar>
              <w:left w:w="60" w:type="dxa"/>
              <w:right w:w="60" w:type="dxa"/>
            </w:tcMar>
            <w:vAlign w:val="center"/>
          </w:tcPr>
          <w:p>
            <w:pPr>
              <w:pStyle w:val="DMETW38212BIPPLreclass"/>
              <w:rPr>
                <w:rFonts w:ascii="Verdana" w:eastAsia="Verdana" w:hAnsi="Verdana" w:cs="Verdana"/>
                <w:i/>
                <w:noProof/>
                <w:color w:val="000000"/>
                <w:sz w:val="16"/>
              </w:rPr>
            </w:pPr>
            <w:r>
              <w:rPr>
                <w:rFonts w:ascii="Verdana" w:hAnsi="Verdana"/>
                <w:i/>
                <w:noProof/>
                <w:color w:val="000000"/>
                <w:sz w:val="16"/>
              </w:rPr>
              <w:t>Dépenses déléguées aux États membres</w:t>
            </w:r>
          </w:p>
        </w:tc>
        <w:tc>
          <w:tcPr>
            <w:tcW w:w="1190"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r>
              <w:rPr>
                <w:rFonts w:ascii="Verdana" w:hAnsi="Verdana"/>
                <w:i/>
                <w:noProof/>
                <w:color w:val="000000"/>
                <w:sz w:val="18"/>
              </w:rPr>
              <w:t>(105 770)</w:t>
            </w:r>
          </w:p>
        </w:tc>
        <w:tc>
          <w:tcPr>
            <w:tcW w:w="1188"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188"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24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082"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362"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r>
              <w:rPr>
                <w:rFonts w:ascii="Verdana" w:hAnsi="Verdana"/>
                <w:i/>
                <w:noProof/>
                <w:color w:val="000000"/>
                <w:sz w:val="18"/>
              </w:rPr>
              <w:t>(105 770)</w:t>
            </w:r>
          </w:p>
        </w:tc>
      </w:tr>
      <w:tr>
        <w:trPr>
          <w:trHeight w:val="255"/>
        </w:trPr>
        <w:tc>
          <w:tcPr>
            <w:tcW w:w="3004" w:type="dxa"/>
            <w:tcBorders>
              <w:top w:val="nil"/>
              <w:left w:val="nil"/>
              <w:bottom w:val="nil"/>
              <w:right w:val="nil"/>
              <w:tl2br w:val="nil"/>
              <w:tr2bl w:val="nil"/>
            </w:tcBorders>
            <w:shd w:val="solid" w:color="FFFFFF" w:fill="FFFFFF"/>
            <w:tcMar>
              <w:left w:w="60" w:type="dxa"/>
              <w:right w:w="60" w:type="dxa"/>
            </w:tcMar>
            <w:vAlign w:val="center"/>
          </w:tcPr>
          <w:p>
            <w:pPr>
              <w:pStyle w:val="DMETW38212BIPPLreclass"/>
              <w:rPr>
                <w:rFonts w:ascii="Verdana" w:eastAsia="Verdana" w:hAnsi="Verdana" w:cs="Verdana"/>
                <w:i/>
                <w:noProof/>
                <w:color w:val="000000"/>
                <w:sz w:val="16"/>
              </w:rPr>
            </w:pPr>
            <w:r>
              <w:rPr>
                <w:rFonts w:ascii="Verdana" w:hAnsi="Verdana"/>
                <w:i/>
                <w:noProof/>
                <w:color w:val="000000"/>
                <w:sz w:val="16"/>
              </w:rPr>
              <w:t>Transferts, y compris</w:t>
            </w:r>
          </w:p>
          <w:p>
            <w:pPr>
              <w:pStyle w:val="DMETW38212BIPPLreclass"/>
              <w:rPr>
                <w:rFonts w:ascii="Verdana" w:eastAsia="Verdana" w:hAnsi="Verdana" w:cs="Verdana"/>
                <w:i/>
                <w:noProof/>
                <w:color w:val="000000"/>
                <w:sz w:val="16"/>
              </w:rPr>
            </w:pPr>
            <w:r>
              <w:rPr>
                <w:rFonts w:ascii="Verdana" w:hAnsi="Verdana"/>
                <w:i/>
                <w:noProof/>
                <w:color w:val="000000"/>
                <w:sz w:val="16"/>
              </w:rPr>
              <w:t>subventions et appui budgétaire</w:t>
            </w:r>
          </w:p>
        </w:tc>
        <w:tc>
          <w:tcPr>
            <w:tcW w:w="1190"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188"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188"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24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082"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362"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lang w:bidi="en-GB"/>
              </w:rPr>
            </w:pPr>
          </w:p>
        </w:tc>
      </w:tr>
      <w:tr>
        <w:trPr>
          <w:trHeight w:val="255"/>
        </w:trPr>
        <w:tc>
          <w:tcPr>
            <w:tcW w:w="3004" w:type="dxa"/>
            <w:tcBorders>
              <w:top w:val="nil"/>
              <w:left w:val="nil"/>
              <w:bottom w:val="nil"/>
              <w:right w:val="nil"/>
              <w:tl2br w:val="nil"/>
              <w:tr2bl w:val="nil"/>
            </w:tcBorders>
            <w:shd w:val="solid" w:color="FFFFFF" w:fill="FFFFFF"/>
            <w:tcMar>
              <w:left w:w="60" w:type="dxa"/>
              <w:right w:w="60" w:type="dxa"/>
            </w:tcMar>
            <w:vAlign w:val="center"/>
          </w:tcPr>
          <w:p>
            <w:pPr>
              <w:pStyle w:val="DMETW38212BIPPLreclass"/>
              <w:ind w:left="200" w:firstLine="8"/>
              <w:rPr>
                <w:rFonts w:ascii="Verdana" w:eastAsia="Verdana" w:hAnsi="Verdana" w:cs="Verdana"/>
                <w:i/>
                <w:noProof/>
                <w:color w:val="000000"/>
                <w:sz w:val="16"/>
              </w:rPr>
            </w:pPr>
            <w:r>
              <w:rPr>
                <w:rFonts w:ascii="Verdana" w:hAnsi="Verdana"/>
                <w:i/>
                <w:noProof/>
                <w:color w:val="000000"/>
                <w:sz w:val="16"/>
              </w:rPr>
              <w:t>FRR</w:t>
            </w:r>
          </w:p>
        </w:tc>
        <w:tc>
          <w:tcPr>
            <w:tcW w:w="1190"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188"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r>
              <w:rPr>
                <w:rFonts w:ascii="Verdana" w:hAnsi="Verdana"/>
                <w:i/>
                <w:noProof/>
                <w:color w:val="000000"/>
                <w:sz w:val="18"/>
              </w:rPr>
              <w:t>(65 787)</w:t>
            </w:r>
          </w:p>
        </w:tc>
        <w:tc>
          <w:tcPr>
            <w:tcW w:w="1188"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24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082"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362"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r>
              <w:rPr>
                <w:rFonts w:ascii="Verdana" w:hAnsi="Verdana"/>
                <w:i/>
                <w:noProof/>
                <w:color w:val="000000"/>
                <w:sz w:val="18"/>
              </w:rPr>
              <w:t>(65 787)</w:t>
            </w:r>
          </w:p>
        </w:tc>
      </w:tr>
      <w:tr>
        <w:trPr>
          <w:trHeight w:val="255"/>
        </w:trPr>
        <w:tc>
          <w:tcPr>
            <w:tcW w:w="3004" w:type="dxa"/>
            <w:tcBorders>
              <w:top w:val="nil"/>
              <w:left w:val="nil"/>
              <w:bottom w:val="nil"/>
              <w:right w:val="nil"/>
              <w:tl2br w:val="nil"/>
              <w:tr2bl w:val="nil"/>
            </w:tcBorders>
            <w:shd w:val="solid" w:color="FFFFFF" w:fill="FFFFFF"/>
            <w:tcMar>
              <w:left w:w="60" w:type="dxa"/>
              <w:right w:w="60" w:type="dxa"/>
            </w:tcMar>
            <w:vAlign w:val="center"/>
          </w:tcPr>
          <w:p>
            <w:pPr>
              <w:pStyle w:val="DMETW38212BIPPLreclass"/>
              <w:ind w:left="200" w:firstLine="8"/>
              <w:rPr>
                <w:rFonts w:ascii="Verdana" w:eastAsia="Verdana" w:hAnsi="Verdana" w:cs="Verdana"/>
                <w:i/>
                <w:noProof/>
                <w:color w:val="000000"/>
                <w:sz w:val="16"/>
              </w:rPr>
            </w:pPr>
            <w:r>
              <w:rPr>
                <w:rFonts w:ascii="Verdana" w:hAnsi="Verdana"/>
                <w:i/>
                <w:noProof/>
                <w:color w:val="000000"/>
                <w:sz w:val="16"/>
              </w:rPr>
              <w:t>Autres</w:t>
            </w:r>
          </w:p>
        </w:tc>
        <w:tc>
          <w:tcPr>
            <w:tcW w:w="1190"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188"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r>
              <w:rPr>
                <w:rFonts w:ascii="Verdana" w:hAnsi="Verdana"/>
                <w:i/>
                <w:noProof/>
                <w:color w:val="000000"/>
                <w:sz w:val="18"/>
              </w:rPr>
              <w:t>(32 992)</w:t>
            </w:r>
          </w:p>
        </w:tc>
        <w:tc>
          <w:tcPr>
            <w:tcW w:w="1188"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24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082"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362"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r>
              <w:rPr>
                <w:rFonts w:ascii="Verdana" w:hAnsi="Verdana"/>
                <w:i/>
                <w:noProof/>
                <w:color w:val="000000"/>
                <w:sz w:val="18"/>
              </w:rPr>
              <w:t>(32 992)</w:t>
            </w:r>
          </w:p>
        </w:tc>
      </w:tr>
      <w:tr>
        <w:trPr>
          <w:trHeight w:val="255"/>
        </w:trPr>
        <w:tc>
          <w:tcPr>
            <w:tcW w:w="3004" w:type="dxa"/>
            <w:tcBorders>
              <w:top w:val="nil"/>
              <w:left w:val="nil"/>
              <w:bottom w:val="nil"/>
              <w:right w:val="nil"/>
              <w:tl2br w:val="nil"/>
              <w:tr2bl w:val="nil"/>
            </w:tcBorders>
            <w:shd w:val="solid" w:color="FFFFFF" w:fill="FFFFFF"/>
            <w:tcMar>
              <w:left w:w="60" w:type="dxa"/>
              <w:right w:w="60" w:type="dxa"/>
            </w:tcMar>
            <w:vAlign w:val="center"/>
          </w:tcPr>
          <w:p>
            <w:pPr>
              <w:pStyle w:val="DMETW38212BIPPLreclass"/>
              <w:rPr>
                <w:rFonts w:ascii="Verdana" w:eastAsia="Verdana" w:hAnsi="Verdana" w:cs="Verdana"/>
                <w:i/>
                <w:noProof/>
                <w:color w:val="000000"/>
                <w:sz w:val="16"/>
              </w:rPr>
            </w:pPr>
            <w:r>
              <w:rPr>
                <w:rFonts w:ascii="Verdana" w:hAnsi="Verdana"/>
                <w:i/>
                <w:noProof/>
                <w:color w:val="000000"/>
                <w:sz w:val="16"/>
              </w:rPr>
              <w:t>Conventions de contribution</w:t>
            </w:r>
          </w:p>
          <w:p>
            <w:pPr>
              <w:pStyle w:val="DMETW38212BIPPLreclass"/>
              <w:rPr>
                <w:rFonts w:ascii="Verdana" w:eastAsia="Verdana" w:hAnsi="Verdana" w:cs="Verdana"/>
                <w:i/>
                <w:noProof/>
                <w:color w:val="000000"/>
                <w:sz w:val="16"/>
              </w:rPr>
            </w:pPr>
            <w:r>
              <w:rPr>
                <w:rFonts w:ascii="Verdana" w:hAnsi="Verdana"/>
                <w:i/>
                <w:noProof/>
                <w:color w:val="000000"/>
                <w:sz w:val="16"/>
              </w:rPr>
              <w:t>y compris les organes de l’UE</w:t>
            </w:r>
          </w:p>
        </w:tc>
        <w:tc>
          <w:tcPr>
            <w:tcW w:w="1190"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188"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r>
              <w:rPr>
                <w:rFonts w:ascii="Verdana" w:hAnsi="Verdana"/>
                <w:i/>
                <w:noProof/>
                <w:color w:val="000000"/>
                <w:sz w:val="18"/>
              </w:rPr>
              <w:t xml:space="preserve"> (194)</w:t>
            </w:r>
          </w:p>
        </w:tc>
        <w:tc>
          <w:tcPr>
            <w:tcW w:w="1188"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r>
              <w:rPr>
                <w:rFonts w:ascii="Verdana" w:hAnsi="Verdana"/>
                <w:i/>
                <w:noProof/>
                <w:color w:val="000000"/>
                <w:sz w:val="18"/>
              </w:rPr>
              <w:t>(4 388)</w:t>
            </w:r>
          </w:p>
        </w:tc>
        <w:tc>
          <w:tcPr>
            <w:tcW w:w="124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r>
              <w:rPr>
                <w:rFonts w:ascii="Verdana" w:hAnsi="Verdana"/>
                <w:i/>
                <w:noProof/>
                <w:color w:val="000000"/>
                <w:sz w:val="18"/>
              </w:rPr>
              <w:t>(6 639)</w:t>
            </w:r>
          </w:p>
        </w:tc>
        <w:tc>
          <w:tcPr>
            <w:tcW w:w="1082"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r>
              <w:rPr>
                <w:rFonts w:ascii="Verdana" w:hAnsi="Verdana"/>
                <w:i/>
                <w:noProof/>
                <w:color w:val="000000"/>
                <w:sz w:val="18"/>
              </w:rPr>
              <w:t>(5 599)</w:t>
            </w:r>
          </w:p>
        </w:tc>
        <w:tc>
          <w:tcPr>
            <w:tcW w:w="107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362"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r>
              <w:rPr>
                <w:rFonts w:ascii="Verdana" w:hAnsi="Verdana"/>
                <w:i/>
                <w:noProof/>
                <w:color w:val="000000"/>
                <w:sz w:val="18"/>
              </w:rPr>
              <w:t>(16 820)</w:t>
            </w:r>
          </w:p>
        </w:tc>
      </w:tr>
      <w:tr>
        <w:trPr>
          <w:trHeight w:val="474"/>
        </w:trPr>
        <w:tc>
          <w:tcPr>
            <w:tcW w:w="3004" w:type="dxa"/>
            <w:tcBorders>
              <w:top w:val="nil"/>
              <w:left w:val="nil"/>
              <w:bottom w:val="nil"/>
              <w:right w:val="nil"/>
              <w:tl2br w:val="nil"/>
              <w:tr2bl w:val="nil"/>
            </w:tcBorders>
            <w:shd w:val="solid" w:color="FFFFFF" w:fill="FFFFFF"/>
            <w:tcMar>
              <w:left w:w="60" w:type="dxa"/>
              <w:right w:w="60" w:type="dxa"/>
            </w:tcMar>
            <w:vAlign w:val="center"/>
          </w:tcPr>
          <w:p>
            <w:pPr>
              <w:pStyle w:val="DMETW38212BIPPLreclass"/>
              <w:rPr>
                <w:rFonts w:ascii="Verdana" w:eastAsia="Verdana" w:hAnsi="Verdana" w:cs="Verdana"/>
                <w:i/>
                <w:noProof/>
                <w:color w:val="000000"/>
                <w:sz w:val="16"/>
              </w:rPr>
            </w:pPr>
            <w:r>
              <w:rPr>
                <w:rFonts w:ascii="Verdana" w:hAnsi="Verdana"/>
                <w:i/>
                <w:noProof/>
                <w:color w:val="000000"/>
                <w:sz w:val="16"/>
              </w:rPr>
              <w:t>Coûts du personnel et des pensions</w:t>
            </w:r>
          </w:p>
        </w:tc>
        <w:tc>
          <w:tcPr>
            <w:tcW w:w="1190"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188"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188"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24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082"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r>
              <w:rPr>
                <w:rFonts w:ascii="Verdana" w:hAnsi="Verdana"/>
                <w:i/>
                <w:noProof/>
                <w:color w:val="000000"/>
                <w:sz w:val="18"/>
              </w:rPr>
              <w:t>(14 966)</w:t>
            </w:r>
          </w:p>
        </w:tc>
        <w:tc>
          <w:tcPr>
            <w:tcW w:w="107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362"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r>
              <w:rPr>
                <w:rFonts w:ascii="Verdana" w:hAnsi="Verdana"/>
                <w:i/>
                <w:noProof/>
                <w:color w:val="000000"/>
                <w:sz w:val="18"/>
              </w:rPr>
              <w:t>(14 966)</w:t>
            </w:r>
          </w:p>
        </w:tc>
      </w:tr>
      <w:tr>
        <w:trPr>
          <w:trHeight w:val="255"/>
        </w:trPr>
        <w:tc>
          <w:tcPr>
            <w:tcW w:w="3004" w:type="dxa"/>
            <w:tcBorders>
              <w:top w:val="nil"/>
              <w:left w:val="nil"/>
              <w:bottom w:val="nil"/>
              <w:right w:val="nil"/>
              <w:tl2br w:val="nil"/>
              <w:tr2bl w:val="nil"/>
            </w:tcBorders>
            <w:shd w:val="solid" w:color="FFFFFF" w:fill="FFFFFF"/>
            <w:tcMar>
              <w:left w:w="60" w:type="dxa"/>
              <w:right w:w="60" w:type="dxa"/>
            </w:tcMar>
            <w:vAlign w:val="center"/>
          </w:tcPr>
          <w:p>
            <w:pPr>
              <w:pStyle w:val="DMETW38212BIPPLreclass"/>
              <w:rPr>
                <w:rFonts w:ascii="Verdana" w:eastAsia="Verdana" w:hAnsi="Verdana" w:cs="Verdana"/>
                <w:i/>
                <w:noProof/>
                <w:color w:val="000000"/>
                <w:sz w:val="16"/>
              </w:rPr>
            </w:pPr>
            <w:r>
              <w:rPr>
                <w:rFonts w:ascii="Verdana" w:hAnsi="Verdana"/>
                <w:i/>
                <w:noProof/>
                <w:color w:val="000000"/>
                <w:sz w:val="16"/>
              </w:rPr>
              <w:t>Coûts financiers</w:t>
            </w:r>
          </w:p>
        </w:tc>
        <w:tc>
          <w:tcPr>
            <w:tcW w:w="1190"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188"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188"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24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082"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r>
              <w:rPr>
                <w:rFonts w:ascii="Verdana" w:hAnsi="Verdana"/>
                <w:i/>
                <w:noProof/>
                <w:color w:val="000000"/>
                <w:sz w:val="18"/>
              </w:rPr>
              <w:t>(27 226)</w:t>
            </w:r>
          </w:p>
        </w:tc>
        <w:tc>
          <w:tcPr>
            <w:tcW w:w="107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362"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r>
              <w:rPr>
                <w:rFonts w:ascii="Verdana" w:hAnsi="Verdana"/>
                <w:i/>
                <w:noProof/>
                <w:color w:val="000000"/>
                <w:sz w:val="18"/>
              </w:rPr>
              <w:t>(27 226)</w:t>
            </w:r>
          </w:p>
        </w:tc>
      </w:tr>
      <w:tr>
        <w:trPr>
          <w:trHeight w:val="255"/>
        </w:trPr>
        <w:tc>
          <w:tcPr>
            <w:tcW w:w="3004" w:type="dxa"/>
            <w:tcBorders>
              <w:top w:val="nil"/>
              <w:left w:val="nil"/>
              <w:bottom w:val="nil"/>
              <w:right w:val="nil"/>
              <w:tl2br w:val="nil"/>
              <w:tr2bl w:val="nil"/>
            </w:tcBorders>
            <w:shd w:val="solid" w:color="FFFFFF" w:fill="FFFFFF"/>
            <w:tcMar>
              <w:left w:w="60" w:type="dxa"/>
              <w:right w:w="60" w:type="dxa"/>
            </w:tcMar>
            <w:vAlign w:val="center"/>
          </w:tcPr>
          <w:p>
            <w:pPr>
              <w:pStyle w:val="DMETW38212BIPPLreclass"/>
              <w:rPr>
                <w:rFonts w:ascii="Verdana" w:eastAsia="Verdana" w:hAnsi="Verdana" w:cs="Verdana"/>
                <w:i/>
                <w:noProof/>
                <w:color w:val="000000"/>
                <w:sz w:val="16"/>
              </w:rPr>
            </w:pPr>
            <w:r>
              <w:rPr>
                <w:rFonts w:ascii="Verdana" w:hAnsi="Verdana"/>
                <w:i/>
                <w:noProof/>
                <w:color w:val="000000"/>
                <w:sz w:val="16"/>
              </w:rPr>
              <w:t>Accord de retrait du Royaume-Uni</w:t>
            </w:r>
          </w:p>
        </w:tc>
        <w:tc>
          <w:tcPr>
            <w:tcW w:w="1190"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188"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188"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24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082"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r>
              <w:rPr>
                <w:rFonts w:ascii="Verdana" w:hAnsi="Verdana"/>
                <w:i/>
                <w:noProof/>
                <w:color w:val="000000"/>
                <w:sz w:val="18"/>
              </w:rPr>
              <w:t xml:space="preserve"> (315)</w:t>
            </w:r>
          </w:p>
        </w:tc>
        <w:tc>
          <w:tcPr>
            <w:tcW w:w="107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362"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r>
              <w:rPr>
                <w:rFonts w:ascii="Verdana" w:hAnsi="Verdana"/>
                <w:i/>
                <w:noProof/>
                <w:color w:val="000000"/>
                <w:sz w:val="18"/>
              </w:rPr>
              <w:t xml:space="preserve"> (315)</w:t>
            </w:r>
          </w:p>
        </w:tc>
      </w:tr>
      <w:tr>
        <w:trPr>
          <w:trHeight w:val="582"/>
        </w:trPr>
        <w:tc>
          <w:tcPr>
            <w:tcW w:w="3004" w:type="dxa"/>
            <w:tcBorders>
              <w:top w:val="nil"/>
              <w:left w:val="nil"/>
              <w:bottom w:val="single" w:sz="12" w:space="0" w:color="016794"/>
              <w:right w:val="nil"/>
              <w:tl2br w:val="nil"/>
              <w:tr2bl w:val="nil"/>
            </w:tcBorders>
            <w:shd w:val="solid" w:color="FFFFFF" w:fill="FFFFFF"/>
            <w:tcMar>
              <w:left w:w="60" w:type="dxa"/>
              <w:right w:w="60" w:type="dxa"/>
            </w:tcMar>
            <w:vAlign w:val="center"/>
          </w:tcPr>
          <w:p>
            <w:pPr>
              <w:pStyle w:val="DMETW38212BIPPLreclass"/>
              <w:rPr>
                <w:rFonts w:ascii="Verdana" w:eastAsia="Verdana" w:hAnsi="Verdana" w:cs="Verdana"/>
                <w:i/>
                <w:noProof/>
                <w:color w:val="000000"/>
                <w:sz w:val="16"/>
              </w:rPr>
            </w:pPr>
            <w:r>
              <w:rPr>
                <w:rFonts w:ascii="Verdana" w:hAnsi="Verdana"/>
                <w:i/>
                <w:noProof/>
                <w:color w:val="000000"/>
                <w:sz w:val="16"/>
              </w:rPr>
              <w:t>Passation de marchés, dépenses administratives et autres dépenses</w:t>
            </w:r>
          </w:p>
        </w:tc>
        <w:tc>
          <w:tcPr>
            <w:tcW w:w="1190" w:type="dxa"/>
            <w:tcBorders>
              <w:top w:val="nil"/>
              <w:left w:val="nil"/>
              <w:bottom w:val="single" w:sz="12" w:space="0" w:color="016794"/>
              <w:right w:val="nil"/>
              <w:tl2br w:val="nil"/>
              <w:tr2bl w:val="nil"/>
            </w:tcBorders>
            <w:shd w:val="solid" w:color="FFFFFF" w:fill="FFFFFF"/>
            <w:tcMar>
              <w:left w:w="60" w:type="dxa"/>
              <w:right w:w="60" w:type="dxa"/>
            </w:tcMar>
            <w:vAlign w:val="center"/>
          </w:tcPr>
          <w:p>
            <w:pPr>
              <w:pStyle w:val="DMETW38212BIPPLreclass"/>
              <w:jc w:val="right"/>
              <w:rPr>
                <w:rFonts w:ascii="Verdana" w:eastAsia="Verdana" w:hAnsi="Verdana" w:cs="Verdana"/>
                <w:i/>
                <w:noProof/>
                <w:color w:val="000000"/>
                <w:sz w:val="16"/>
              </w:rPr>
            </w:pPr>
          </w:p>
        </w:tc>
        <w:tc>
          <w:tcPr>
            <w:tcW w:w="1188" w:type="dxa"/>
            <w:tcBorders>
              <w:top w:val="nil"/>
              <w:left w:val="nil"/>
              <w:bottom w:val="single" w:sz="12" w:space="0" w:color="016794"/>
              <w:right w:val="nil"/>
              <w:tl2br w:val="nil"/>
              <w:tr2bl w:val="nil"/>
            </w:tcBorders>
            <w:shd w:val="solid" w:color="FFFFFF" w:fill="FFFFFF"/>
            <w:tcMar>
              <w:left w:w="60" w:type="dxa"/>
              <w:right w:w="60" w:type="dxa"/>
            </w:tcMar>
            <w:vAlign w:val="center"/>
          </w:tcPr>
          <w:p>
            <w:pPr>
              <w:pStyle w:val="DMETW38212BIPPLreclass"/>
              <w:jc w:val="right"/>
              <w:rPr>
                <w:rFonts w:ascii="Verdana" w:eastAsia="Verdana" w:hAnsi="Verdana" w:cs="Verdana"/>
                <w:i/>
                <w:noProof/>
                <w:color w:val="000000"/>
                <w:sz w:val="18"/>
              </w:rPr>
            </w:pPr>
            <w:r>
              <w:rPr>
                <w:rFonts w:ascii="Verdana" w:hAnsi="Verdana"/>
                <w:i/>
                <w:noProof/>
                <w:color w:val="000000"/>
                <w:sz w:val="18"/>
              </w:rPr>
              <w:t>2</w:t>
            </w:r>
          </w:p>
        </w:tc>
        <w:tc>
          <w:tcPr>
            <w:tcW w:w="1188" w:type="dxa"/>
            <w:tcBorders>
              <w:top w:val="nil"/>
              <w:left w:val="nil"/>
              <w:bottom w:val="single" w:sz="12" w:space="0" w:color="016794"/>
              <w:right w:val="nil"/>
              <w:tl2br w:val="nil"/>
              <w:tr2bl w:val="nil"/>
            </w:tcBorders>
            <w:shd w:val="solid" w:color="FFFFFF" w:fill="FFFFFF"/>
            <w:tcMar>
              <w:left w:w="60" w:type="dxa"/>
              <w:right w:w="60" w:type="dxa"/>
            </w:tcMar>
            <w:vAlign w:val="center"/>
          </w:tcPr>
          <w:p>
            <w:pPr>
              <w:pStyle w:val="DMETW38212BIPPLreclass"/>
              <w:jc w:val="right"/>
              <w:rPr>
                <w:rFonts w:ascii="Verdana" w:eastAsia="Verdana" w:hAnsi="Verdana" w:cs="Verdana"/>
                <w:i/>
                <w:noProof/>
                <w:color w:val="000000"/>
                <w:sz w:val="16"/>
              </w:rPr>
            </w:pPr>
          </w:p>
        </w:tc>
        <w:tc>
          <w:tcPr>
            <w:tcW w:w="1247" w:type="dxa"/>
            <w:tcBorders>
              <w:top w:val="nil"/>
              <w:left w:val="nil"/>
              <w:bottom w:val="single" w:sz="12" w:space="0" w:color="016794"/>
              <w:right w:val="nil"/>
              <w:tl2br w:val="nil"/>
              <w:tr2bl w:val="nil"/>
            </w:tcBorders>
            <w:shd w:val="solid" w:color="FFFFFF" w:fill="FFFFFF"/>
            <w:tcMar>
              <w:left w:w="60" w:type="dxa"/>
              <w:right w:w="60" w:type="dxa"/>
            </w:tcMar>
            <w:vAlign w:val="center"/>
          </w:tcPr>
          <w:p>
            <w:pPr>
              <w:pStyle w:val="DMETW38212BIPPLreclass"/>
              <w:jc w:val="right"/>
              <w:rPr>
                <w:rFonts w:ascii="Verdana" w:eastAsia="Verdana" w:hAnsi="Verdana" w:cs="Verdana"/>
                <w:i/>
                <w:noProof/>
                <w:color w:val="000000"/>
                <w:sz w:val="16"/>
              </w:rPr>
            </w:pPr>
          </w:p>
        </w:tc>
        <w:tc>
          <w:tcPr>
            <w:tcW w:w="1082" w:type="dxa"/>
            <w:tcBorders>
              <w:top w:val="nil"/>
              <w:left w:val="nil"/>
              <w:bottom w:val="single" w:sz="12" w:space="0" w:color="016794"/>
              <w:right w:val="nil"/>
              <w:tl2br w:val="nil"/>
              <w:tr2bl w:val="nil"/>
            </w:tcBorders>
            <w:shd w:val="solid" w:color="FFFFFF" w:fill="FFFFFF"/>
            <w:tcMar>
              <w:left w:w="60" w:type="dxa"/>
              <w:right w:w="60" w:type="dxa"/>
            </w:tcMar>
            <w:vAlign w:val="center"/>
          </w:tcPr>
          <w:p>
            <w:pPr>
              <w:pStyle w:val="DMETW38212BIPPLreclass"/>
              <w:jc w:val="right"/>
              <w:rPr>
                <w:rFonts w:ascii="Verdana" w:eastAsia="Verdana" w:hAnsi="Verdana" w:cs="Verdana"/>
                <w:i/>
                <w:noProof/>
                <w:color w:val="000000"/>
                <w:sz w:val="16"/>
              </w:rPr>
            </w:pPr>
          </w:p>
        </w:tc>
        <w:tc>
          <w:tcPr>
            <w:tcW w:w="1077" w:type="dxa"/>
            <w:tcBorders>
              <w:top w:val="nil"/>
              <w:left w:val="nil"/>
              <w:bottom w:val="single" w:sz="12" w:space="0" w:color="016794"/>
              <w:right w:val="nil"/>
              <w:tl2br w:val="nil"/>
              <w:tr2bl w:val="nil"/>
            </w:tcBorders>
            <w:shd w:val="solid" w:color="FFFFFF" w:fill="FFFFFF"/>
            <w:tcMar>
              <w:left w:w="60" w:type="dxa"/>
              <w:right w:w="60" w:type="dxa"/>
            </w:tcMar>
            <w:vAlign w:val="center"/>
          </w:tcPr>
          <w:p>
            <w:pPr>
              <w:pStyle w:val="DMETW38212BIPPLreclass"/>
              <w:jc w:val="right"/>
              <w:rPr>
                <w:rFonts w:ascii="Verdana" w:eastAsia="Verdana" w:hAnsi="Verdana" w:cs="Verdana"/>
                <w:i/>
                <w:noProof/>
                <w:color w:val="000000"/>
                <w:sz w:val="16"/>
              </w:rPr>
            </w:pPr>
          </w:p>
        </w:tc>
        <w:tc>
          <w:tcPr>
            <w:tcW w:w="1077" w:type="dxa"/>
            <w:tcBorders>
              <w:top w:val="nil"/>
              <w:left w:val="nil"/>
              <w:bottom w:val="single" w:sz="12" w:space="0" w:color="016794"/>
              <w:right w:val="nil"/>
              <w:tl2br w:val="nil"/>
              <w:tr2bl w:val="nil"/>
            </w:tcBorders>
            <w:shd w:val="solid" w:color="FFFFFF" w:fill="FFFFFF"/>
            <w:tcMar>
              <w:left w:w="60" w:type="dxa"/>
              <w:right w:w="60" w:type="dxa"/>
            </w:tcMar>
            <w:vAlign w:val="center"/>
          </w:tcPr>
          <w:p>
            <w:pPr>
              <w:pStyle w:val="DMETW38212BIPPLreclass"/>
              <w:jc w:val="right"/>
              <w:rPr>
                <w:rFonts w:ascii="Verdana" w:eastAsia="Verdana" w:hAnsi="Verdana" w:cs="Verdana"/>
                <w:i/>
                <w:noProof/>
                <w:color w:val="000000"/>
                <w:sz w:val="16"/>
              </w:rPr>
            </w:pPr>
          </w:p>
        </w:tc>
        <w:tc>
          <w:tcPr>
            <w:tcW w:w="1077" w:type="dxa"/>
            <w:tcBorders>
              <w:top w:val="nil"/>
              <w:left w:val="nil"/>
              <w:bottom w:val="single" w:sz="12" w:space="0" w:color="016794"/>
              <w:right w:val="nil"/>
              <w:tl2br w:val="nil"/>
              <w:tr2bl w:val="nil"/>
            </w:tcBorders>
            <w:shd w:val="solid" w:color="FFFFFF" w:fill="FFFFFF"/>
            <w:tcMar>
              <w:left w:w="60" w:type="dxa"/>
              <w:right w:w="60" w:type="dxa"/>
            </w:tcMar>
            <w:vAlign w:val="center"/>
          </w:tcPr>
          <w:p>
            <w:pPr>
              <w:pStyle w:val="DMETW38212BIPPLreclass"/>
              <w:jc w:val="right"/>
              <w:rPr>
                <w:rFonts w:ascii="Verdana" w:eastAsia="Verdana" w:hAnsi="Verdana" w:cs="Verdana"/>
                <w:i/>
                <w:noProof/>
                <w:color w:val="000000"/>
                <w:sz w:val="16"/>
              </w:rPr>
            </w:pPr>
          </w:p>
        </w:tc>
        <w:tc>
          <w:tcPr>
            <w:tcW w:w="1077" w:type="dxa"/>
            <w:tcBorders>
              <w:top w:val="nil"/>
              <w:left w:val="nil"/>
              <w:bottom w:val="single" w:sz="12" w:space="0" w:color="016794"/>
              <w:right w:val="nil"/>
              <w:tl2br w:val="nil"/>
              <w:tr2bl w:val="nil"/>
            </w:tcBorders>
            <w:shd w:val="solid" w:color="FFFFFF" w:fill="FFFFFF"/>
            <w:tcMar>
              <w:left w:w="60" w:type="dxa"/>
              <w:right w:w="60" w:type="dxa"/>
            </w:tcMar>
            <w:vAlign w:val="center"/>
          </w:tcPr>
          <w:p>
            <w:pPr>
              <w:pStyle w:val="DMETW38212BIPPLreclass"/>
              <w:jc w:val="right"/>
              <w:rPr>
                <w:rFonts w:ascii="Verdana" w:eastAsia="Verdana" w:hAnsi="Verdana" w:cs="Verdana"/>
                <w:i/>
                <w:noProof/>
                <w:color w:val="000000"/>
                <w:sz w:val="18"/>
              </w:rPr>
            </w:pPr>
            <w:r>
              <w:rPr>
                <w:rFonts w:ascii="Verdana" w:hAnsi="Verdana"/>
                <w:i/>
                <w:noProof/>
                <w:color w:val="000000"/>
                <w:sz w:val="18"/>
              </w:rPr>
              <w:t>(8 999)</w:t>
            </w:r>
          </w:p>
        </w:tc>
        <w:tc>
          <w:tcPr>
            <w:tcW w:w="1362" w:type="dxa"/>
            <w:tcBorders>
              <w:top w:val="nil"/>
              <w:left w:val="nil"/>
              <w:bottom w:val="single" w:sz="12" w:space="0" w:color="016794"/>
              <w:right w:val="nil"/>
              <w:tl2br w:val="nil"/>
              <w:tr2bl w:val="nil"/>
            </w:tcBorders>
            <w:shd w:val="solid" w:color="FFFFFF" w:fill="FFFFFF"/>
            <w:tcMar>
              <w:left w:w="60" w:type="dxa"/>
              <w:right w:w="60" w:type="dxa"/>
            </w:tcMar>
            <w:vAlign w:val="center"/>
          </w:tcPr>
          <w:p>
            <w:pPr>
              <w:pStyle w:val="DMETW38212BIPPLreclass"/>
              <w:jc w:val="right"/>
              <w:rPr>
                <w:rFonts w:ascii="Verdana" w:eastAsia="Verdana" w:hAnsi="Verdana" w:cs="Verdana"/>
                <w:i/>
                <w:noProof/>
                <w:color w:val="000000"/>
                <w:sz w:val="18"/>
              </w:rPr>
            </w:pPr>
            <w:r>
              <w:rPr>
                <w:rFonts w:ascii="Verdana" w:hAnsi="Verdana"/>
                <w:i/>
                <w:noProof/>
                <w:color w:val="000000"/>
                <w:sz w:val="18"/>
              </w:rPr>
              <w:t>(8 997)</w:t>
            </w:r>
          </w:p>
        </w:tc>
      </w:tr>
      <w:tr>
        <w:trPr>
          <w:trHeight w:val="255"/>
        </w:trPr>
        <w:tc>
          <w:tcPr>
            <w:tcW w:w="3004" w:type="dxa"/>
            <w:tcBorders>
              <w:top w:val="single" w:sz="12" w:space="0" w:color="016794"/>
              <w:left w:val="nil"/>
              <w:bottom w:val="nil"/>
              <w:right w:val="nil"/>
              <w:tl2br w:val="nil"/>
              <w:tr2bl w:val="nil"/>
            </w:tcBorders>
            <w:shd w:val="solid" w:color="FFFFFF" w:fill="FFFFFF"/>
            <w:tcMar>
              <w:left w:w="60" w:type="dxa"/>
              <w:right w:w="60" w:type="dxa"/>
            </w:tcMar>
            <w:vAlign w:val="center"/>
          </w:tcPr>
          <w:p>
            <w:pPr>
              <w:pStyle w:val="DMETW38212BIPPLreclass"/>
              <w:rPr>
                <w:rFonts w:ascii="Verdana" w:eastAsia="Verdana" w:hAnsi="Verdana" w:cs="Verdana"/>
                <w:b/>
                <w:noProof/>
                <w:color w:val="000000"/>
                <w:sz w:val="16"/>
              </w:rPr>
            </w:pPr>
            <w:r>
              <w:rPr>
                <w:rFonts w:ascii="Verdana" w:hAnsi="Verdana"/>
                <w:b/>
                <w:noProof/>
                <w:color w:val="000000"/>
                <w:sz w:val="16"/>
              </w:rPr>
              <w:t>Total des dépenses</w:t>
            </w:r>
          </w:p>
        </w:tc>
        <w:tc>
          <w:tcPr>
            <w:tcW w:w="1190" w:type="dxa"/>
            <w:tcBorders>
              <w:top w:val="single" w:sz="12" w:space="0" w:color="016794"/>
              <w:left w:val="nil"/>
              <w:bottom w:val="nil"/>
              <w:right w:val="nil"/>
              <w:tl2br w:val="nil"/>
              <w:tr2bl w:val="nil"/>
            </w:tcBorders>
            <w:shd w:val="solid" w:color="FFFFFF" w:fill="FFFFFF"/>
            <w:tcMar>
              <w:left w:w="60" w:type="dxa"/>
              <w:right w:w="60" w:type="dxa"/>
            </w:tcMar>
            <w:vAlign w:val="center"/>
          </w:tcPr>
          <w:p>
            <w:pPr>
              <w:pStyle w:val="DMETW38212BIPPLreclass"/>
              <w:jc w:val="right"/>
              <w:rPr>
                <w:rFonts w:ascii="Verdana" w:eastAsia="Verdana" w:hAnsi="Verdana" w:cs="Verdana"/>
                <w:b/>
                <w:noProof/>
                <w:color w:val="000000"/>
                <w:sz w:val="18"/>
              </w:rPr>
            </w:pPr>
            <w:r>
              <w:rPr>
                <w:rFonts w:ascii="Verdana" w:hAnsi="Verdana"/>
                <w:b/>
                <w:noProof/>
                <w:color w:val="000000"/>
                <w:sz w:val="18"/>
              </w:rPr>
              <w:t>(105 770)</w:t>
            </w:r>
          </w:p>
        </w:tc>
        <w:tc>
          <w:tcPr>
            <w:tcW w:w="1188" w:type="dxa"/>
            <w:tcBorders>
              <w:top w:val="single" w:sz="12" w:space="0" w:color="016794"/>
              <w:left w:val="nil"/>
              <w:bottom w:val="nil"/>
              <w:right w:val="nil"/>
              <w:tl2br w:val="nil"/>
              <w:tr2bl w:val="nil"/>
            </w:tcBorders>
            <w:shd w:val="solid" w:color="FFFFFF" w:fill="FFFFFF"/>
            <w:tcMar>
              <w:left w:w="60" w:type="dxa"/>
              <w:right w:w="60" w:type="dxa"/>
            </w:tcMar>
            <w:vAlign w:val="center"/>
          </w:tcPr>
          <w:p>
            <w:pPr>
              <w:pStyle w:val="DMETW38212BIPPLreclass"/>
              <w:jc w:val="right"/>
              <w:rPr>
                <w:rFonts w:ascii="Verdana" w:eastAsia="Verdana" w:hAnsi="Verdana" w:cs="Verdana"/>
                <w:b/>
                <w:noProof/>
                <w:color w:val="000000"/>
                <w:sz w:val="18"/>
              </w:rPr>
            </w:pPr>
            <w:r>
              <w:rPr>
                <w:rFonts w:ascii="Verdana" w:hAnsi="Verdana"/>
                <w:b/>
                <w:noProof/>
                <w:color w:val="000000"/>
                <w:sz w:val="18"/>
              </w:rPr>
              <w:t>(98 971)</w:t>
            </w:r>
          </w:p>
        </w:tc>
        <w:tc>
          <w:tcPr>
            <w:tcW w:w="1188" w:type="dxa"/>
            <w:tcBorders>
              <w:top w:val="single" w:sz="12" w:space="0" w:color="016794"/>
              <w:left w:val="nil"/>
              <w:bottom w:val="nil"/>
              <w:right w:val="nil"/>
              <w:tl2br w:val="nil"/>
              <w:tr2bl w:val="nil"/>
            </w:tcBorders>
            <w:shd w:val="solid" w:color="FFFFFF" w:fill="FFFFFF"/>
            <w:tcMar>
              <w:left w:w="60" w:type="dxa"/>
              <w:right w:w="60" w:type="dxa"/>
            </w:tcMar>
            <w:vAlign w:val="center"/>
          </w:tcPr>
          <w:p>
            <w:pPr>
              <w:pStyle w:val="DMETW38212BIPPLreclass"/>
              <w:jc w:val="right"/>
              <w:rPr>
                <w:rFonts w:ascii="Verdana" w:eastAsia="Verdana" w:hAnsi="Verdana" w:cs="Verdana"/>
                <w:b/>
                <w:noProof/>
                <w:color w:val="000000"/>
                <w:sz w:val="18"/>
              </w:rPr>
            </w:pPr>
            <w:r>
              <w:rPr>
                <w:rFonts w:ascii="Verdana" w:hAnsi="Verdana"/>
                <w:b/>
                <w:noProof/>
                <w:color w:val="000000"/>
                <w:sz w:val="18"/>
              </w:rPr>
              <w:t>(4 388)</w:t>
            </w:r>
          </w:p>
        </w:tc>
        <w:tc>
          <w:tcPr>
            <w:tcW w:w="1247" w:type="dxa"/>
            <w:tcBorders>
              <w:top w:val="single" w:sz="12" w:space="0" w:color="016794"/>
              <w:left w:val="nil"/>
              <w:bottom w:val="nil"/>
              <w:right w:val="nil"/>
              <w:tl2br w:val="nil"/>
              <w:tr2bl w:val="nil"/>
            </w:tcBorders>
            <w:shd w:val="solid" w:color="FFFFFF" w:fill="FFFFFF"/>
            <w:tcMar>
              <w:left w:w="60" w:type="dxa"/>
              <w:right w:w="60" w:type="dxa"/>
            </w:tcMar>
            <w:vAlign w:val="center"/>
          </w:tcPr>
          <w:p>
            <w:pPr>
              <w:pStyle w:val="DMETW38212BIPPLreclass"/>
              <w:jc w:val="right"/>
              <w:rPr>
                <w:rFonts w:ascii="Verdana" w:eastAsia="Verdana" w:hAnsi="Verdana" w:cs="Verdana"/>
                <w:b/>
                <w:noProof/>
                <w:color w:val="000000"/>
                <w:sz w:val="18"/>
              </w:rPr>
            </w:pPr>
            <w:r>
              <w:rPr>
                <w:rFonts w:ascii="Verdana" w:hAnsi="Verdana"/>
                <w:b/>
                <w:noProof/>
                <w:color w:val="000000"/>
                <w:sz w:val="18"/>
              </w:rPr>
              <w:t>(6 639)</w:t>
            </w:r>
          </w:p>
        </w:tc>
        <w:tc>
          <w:tcPr>
            <w:tcW w:w="1082" w:type="dxa"/>
            <w:tcBorders>
              <w:top w:val="single" w:sz="12" w:space="0" w:color="016794"/>
              <w:left w:val="nil"/>
              <w:bottom w:val="nil"/>
              <w:right w:val="nil"/>
              <w:tl2br w:val="nil"/>
              <w:tr2bl w:val="nil"/>
            </w:tcBorders>
            <w:shd w:val="solid" w:color="FFFFFF" w:fill="FFFFFF"/>
            <w:tcMar>
              <w:left w:w="60" w:type="dxa"/>
              <w:right w:w="60" w:type="dxa"/>
            </w:tcMar>
            <w:vAlign w:val="center"/>
          </w:tcPr>
          <w:p>
            <w:pPr>
              <w:pStyle w:val="DMETW38212BIPPLreclass"/>
              <w:jc w:val="right"/>
              <w:rPr>
                <w:rFonts w:ascii="Verdana" w:eastAsia="Verdana" w:hAnsi="Verdana" w:cs="Verdana"/>
                <w:b/>
                <w:noProof/>
                <w:color w:val="000000"/>
                <w:sz w:val="18"/>
              </w:rPr>
            </w:pPr>
            <w:r>
              <w:rPr>
                <w:rFonts w:ascii="Verdana" w:hAnsi="Verdana"/>
                <w:b/>
                <w:noProof/>
                <w:color w:val="000000"/>
                <w:sz w:val="18"/>
              </w:rPr>
              <w:t>(5 599)</w:t>
            </w:r>
          </w:p>
        </w:tc>
        <w:tc>
          <w:tcPr>
            <w:tcW w:w="1077" w:type="dxa"/>
            <w:tcBorders>
              <w:top w:val="single" w:sz="12" w:space="0" w:color="016794"/>
              <w:left w:val="nil"/>
              <w:bottom w:val="nil"/>
              <w:right w:val="nil"/>
              <w:tl2br w:val="nil"/>
              <w:tr2bl w:val="nil"/>
            </w:tcBorders>
            <w:shd w:val="solid" w:color="FFFFFF" w:fill="FFFFFF"/>
            <w:tcMar>
              <w:left w:w="60" w:type="dxa"/>
              <w:right w:w="60" w:type="dxa"/>
            </w:tcMar>
            <w:vAlign w:val="center"/>
          </w:tcPr>
          <w:p>
            <w:pPr>
              <w:pStyle w:val="DMETW38212BIPPLreclass"/>
              <w:jc w:val="right"/>
              <w:rPr>
                <w:rFonts w:ascii="Verdana" w:eastAsia="Verdana" w:hAnsi="Verdana" w:cs="Verdana"/>
                <w:b/>
                <w:noProof/>
                <w:color w:val="000000"/>
                <w:sz w:val="18"/>
              </w:rPr>
            </w:pPr>
            <w:r>
              <w:rPr>
                <w:rFonts w:ascii="Verdana" w:hAnsi="Verdana"/>
                <w:b/>
                <w:noProof/>
                <w:color w:val="000000"/>
                <w:sz w:val="18"/>
              </w:rPr>
              <w:t>(14 966)</w:t>
            </w:r>
          </w:p>
        </w:tc>
        <w:tc>
          <w:tcPr>
            <w:tcW w:w="1077" w:type="dxa"/>
            <w:tcBorders>
              <w:top w:val="single" w:sz="12" w:space="0" w:color="016794"/>
              <w:left w:val="nil"/>
              <w:bottom w:val="nil"/>
              <w:right w:val="nil"/>
              <w:tl2br w:val="nil"/>
              <w:tr2bl w:val="nil"/>
            </w:tcBorders>
            <w:shd w:val="solid" w:color="FFFFFF" w:fill="FFFFFF"/>
            <w:tcMar>
              <w:left w:w="60" w:type="dxa"/>
              <w:right w:w="60" w:type="dxa"/>
            </w:tcMar>
            <w:vAlign w:val="center"/>
          </w:tcPr>
          <w:p>
            <w:pPr>
              <w:pStyle w:val="DMETW38212BIPPLreclass"/>
              <w:jc w:val="right"/>
              <w:rPr>
                <w:rFonts w:ascii="Verdana" w:eastAsia="Verdana" w:hAnsi="Verdana" w:cs="Verdana"/>
                <w:b/>
                <w:noProof/>
                <w:color w:val="000000"/>
                <w:sz w:val="18"/>
              </w:rPr>
            </w:pPr>
            <w:r>
              <w:rPr>
                <w:rFonts w:ascii="Verdana" w:hAnsi="Verdana"/>
                <w:b/>
                <w:noProof/>
                <w:color w:val="000000"/>
                <w:sz w:val="18"/>
              </w:rPr>
              <w:t>(27 226)</w:t>
            </w:r>
          </w:p>
        </w:tc>
        <w:tc>
          <w:tcPr>
            <w:tcW w:w="1077" w:type="dxa"/>
            <w:tcBorders>
              <w:top w:val="single" w:sz="12" w:space="0" w:color="016794"/>
              <w:left w:val="nil"/>
              <w:bottom w:val="nil"/>
              <w:right w:val="nil"/>
              <w:tl2br w:val="nil"/>
              <w:tr2bl w:val="nil"/>
            </w:tcBorders>
            <w:shd w:val="solid" w:color="FFFFFF" w:fill="FFFFFF"/>
            <w:tcMar>
              <w:left w:w="60" w:type="dxa"/>
              <w:right w:w="60" w:type="dxa"/>
            </w:tcMar>
            <w:vAlign w:val="center"/>
          </w:tcPr>
          <w:p>
            <w:pPr>
              <w:pStyle w:val="DMETW38212BIPPLreclass"/>
              <w:jc w:val="right"/>
              <w:rPr>
                <w:rFonts w:ascii="Verdana" w:eastAsia="Verdana" w:hAnsi="Verdana" w:cs="Verdana"/>
                <w:b/>
                <w:noProof/>
                <w:color w:val="000000"/>
                <w:sz w:val="18"/>
              </w:rPr>
            </w:pPr>
            <w:r>
              <w:rPr>
                <w:rFonts w:ascii="Verdana" w:hAnsi="Verdana"/>
                <w:b/>
                <w:noProof/>
                <w:color w:val="000000"/>
                <w:sz w:val="18"/>
              </w:rPr>
              <w:t xml:space="preserve"> (315)</w:t>
            </w:r>
          </w:p>
        </w:tc>
        <w:tc>
          <w:tcPr>
            <w:tcW w:w="1077" w:type="dxa"/>
            <w:tcBorders>
              <w:top w:val="single" w:sz="12" w:space="0" w:color="016794"/>
              <w:left w:val="nil"/>
              <w:bottom w:val="nil"/>
              <w:right w:val="nil"/>
              <w:tl2br w:val="nil"/>
              <w:tr2bl w:val="nil"/>
            </w:tcBorders>
            <w:shd w:val="solid" w:color="FFFFFF" w:fill="FFFFFF"/>
            <w:tcMar>
              <w:left w:w="60" w:type="dxa"/>
              <w:right w:w="60" w:type="dxa"/>
            </w:tcMar>
            <w:vAlign w:val="center"/>
          </w:tcPr>
          <w:p>
            <w:pPr>
              <w:pStyle w:val="DMETW38212BIPPLreclass"/>
              <w:jc w:val="right"/>
              <w:rPr>
                <w:rFonts w:ascii="Verdana" w:eastAsia="Verdana" w:hAnsi="Verdana" w:cs="Verdana"/>
                <w:b/>
                <w:noProof/>
                <w:color w:val="000000"/>
                <w:sz w:val="18"/>
              </w:rPr>
            </w:pPr>
            <w:r>
              <w:rPr>
                <w:rFonts w:ascii="Verdana" w:hAnsi="Verdana"/>
                <w:b/>
                <w:noProof/>
                <w:color w:val="000000"/>
                <w:sz w:val="18"/>
              </w:rPr>
              <w:t>(8 999)</w:t>
            </w:r>
          </w:p>
        </w:tc>
        <w:tc>
          <w:tcPr>
            <w:tcW w:w="1362" w:type="dxa"/>
            <w:tcBorders>
              <w:top w:val="single" w:sz="12" w:space="0" w:color="016794"/>
              <w:left w:val="nil"/>
              <w:bottom w:val="nil"/>
              <w:right w:val="nil"/>
              <w:tl2br w:val="nil"/>
              <w:tr2bl w:val="nil"/>
            </w:tcBorders>
            <w:shd w:val="solid" w:color="FFFFFF" w:fill="FFFFFF"/>
            <w:tcMar>
              <w:left w:w="60" w:type="dxa"/>
              <w:right w:w="60" w:type="dxa"/>
            </w:tcMar>
            <w:vAlign w:val="center"/>
          </w:tcPr>
          <w:p>
            <w:pPr>
              <w:pStyle w:val="DMETW38212BIPPLreclass"/>
              <w:jc w:val="right"/>
              <w:rPr>
                <w:rFonts w:ascii="Verdana" w:eastAsia="Verdana" w:hAnsi="Verdana" w:cs="Verdana"/>
                <w:b/>
                <w:noProof/>
                <w:color w:val="000000"/>
                <w:sz w:val="18"/>
              </w:rPr>
            </w:pPr>
            <w:r>
              <w:rPr>
                <w:rFonts w:ascii="Verdana" w:hAnsi="Verdana"/>
                <w:b/>
                <w:noProof/>
                <w:color w:val="000000"/>
                <w:sz w:val="18"/>
              </w:rPr>
              <w:t>(272 873)</w:t>
            </w:r>
          </w:p>
        </w:tc>
      </w:tr>
      <w:bookmarkEnd w:id="198"/>
    </w:tbl>
    <w:p>
      <w:pPr>
        <w:pStyle w:val="DGTextstand-alone"/>
        <w:sectPr>
          <w:headerReference w:type="default" r:id="rId127"/>
          <w:footerReference w:type="default" r:id="rId128"/>
          <w:pgSz w:w="16840" w:h="11907" w:orient="landscape" w:code="9"/>
          <w:pgMar w:top="1134" w:right="1134" w:bottom="1134" w:left="1134" w:header="708" w:footer="708" w:gutter="0"/>
          <w:cols w:space="708"/>
          <w:docGrid w:linePitch="360"/>
        </w:sectPr>
      </w:pPr>
    </w:p>
    <w:p>
      <w:pPr>
        <w:pStyle w:val="HEADER1NOTES"/>
        <w:numPr>
          <w:ilvl w:val="0"/>
          <w:numId w:val="15"/>
        </w:numPr>
        <w:rPr>
          <w:noProof/>
        </w:rPr>
      </w:pPr>
      <w:bookmarkStart w:id="201" w:name="_Toc237350936"/>
      <w:bookmarkStart w:id="202" w:name="_DMBM_36698"/>
      <w:bookmarkEnd w:id="199"/>
      <w:r>
        <w:rPr>
          <w:noProof/>
        </w:rPr>
        <w:lastRenderedPageBreak/>
        <w:t>ACTIF ET PASSIF ÉVENTUELS</w:t>
      </w:r>
      <w:bookmarkEnd w:id="201"/>
    </w:p>
    <w:p>
      <w:pPr>
        <w:pStyle w:val="DGTextstand-alone"/>
        <w:rPr>
          <w:b/>
        </w:rPr>
      </w:pPr>
      <w:r>
        <w:t xml:space="preserve">Les passifs éventuels représentent les potentielles obligations de paiement futures de l’UE qui peuvent résulter d’événements passés ou d’engagements juridiquement contraignants mais qui dépendront d'événements à venir dont l'UE n'a pas l'entière maîtrise. Ils correspondent essentiellement aux garanties données et aux risques juridiques. </w:t>
      </w:r>
      <w:r>
        <w:rPr>
          <w:b/>
        </w:rPr>
        <w:t>Toutes les dettes éventuelles, à l’exception de celles liées aux amendes, aux garanties et aux instruments financiers jusqu’au niveau auquel ils sont couverts par des fonds (voir note 2.4.2.1), seraient financées, si elles devenaient exigibles, par le budget de l’UE (et donc par les États membres de l’Union) lors des exercices à venir.</w:t>
      </w:r>
    </w:p>
    <w:p>
      <w:pPr>
        <w:pStyle w:val="HEADER2NOTES"/>
        <w:numPr>
          <w:ilvl w:val="1"/>
          <w:numId w:val="15"/>
        </w:numPr>
        <w:rPr>
          <w:noProof/>
        </w:rPr>
      </w:pPr>
      <w:r>
        <w:rPr>
          <w:noProof/>
        </w:rPr>
        <w:t>Garanties fournies par le budget de l’UE</w:t>
      </w:r>
    </w:p>
    <w:p>
      <w:pPr>
        <w:pStyle w:val="HEADER3NOTES"/>
        <w:numPr>
          <w:ilvl w:val="2"/>
          <w:numId w:val="15"/>
        </w:numPr>
        <w:rPr>
          <w:noProof/>
        </w:rPr>
      </w:pPr>
      <w:r>
        <w:rPr>
          <w:noProof/>
        </w:rPr>
        <w:t>Garanties fournies dans le cadre des programmes de garantie budgétaire de l’UE (en valeur nominale)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88"/>
        <w:gridCol w:w="1178"/>
        <w:gridCol w:w="1174"/>
        <w:gridCol w:w="1174"/>
        <w:gridCol w:w="1344"/>
      </w:tblGrid>
      <w:tr>
        <w:trPr>
          <w:trHeight w:hRule="exact" w:val="255"/>
        </w:trPr>
        <w:tc>
          <w:tcPr>
            <w:tcW w:w="4888" w:type="dxa"/>
            <w:tcBorders>
              <w:top w:val="nil"/>
              <w:left w:val="nil"/>
              <w:bottom w:val="nil"/>
              <w:right w:val="nil"/>
              <w:tl2br w:val="nil"/>
              <w:tr2bl w:val="nil"/>
            </w:tcBorders>
            <w:tcMar>
              <w:left w:w="60" w:type="dxa"/>
              <w:right w:w="60" w:type="dxa"/>
            </w:tcMar>
            <w:vAlign w:val="bottom"/>
          </w:tcPr>
          <w:p>
            <w:pPr>
              <w:pStyle w:val="DMETW36639BIPGUARCY"/>
              <w:rPr>
                <w:rFonts w:ascii="Arial" w:eastAsia="Arial" w:hAnsi="Arial" w:cs="Arial"/>
                <w:noProof/>
                <w:color w:val="000000"/>
              </w:rPr>
            </w:pPr>
            <w:bookmarkStart w:id="203" w:name="DOC_TBL00079_1_1"/>
            <w:bookmarkEnd w:id="203"/>
          </w:p>
        </w:tc>
        <w:tc>
          <w:tcPr>
            <w:tcW w:w="1178" w:type="dxa"/>
            <w:tcBorders>
              <w:top w:val="nil"/>
              <w:left w:val="nil"/>
              <w:bottom w:val="nil"/>
              <w:right w:val="nil"/>
              <w:tl2br w:val="nil"/>
              <w:tr2bl w:val="nil"/>
            </w:tcBorders>
            <w:tcMar>
              <w:left w:w="60" w:type="dxa"/>
              <w:right w:w="60" w:type="dxa"/>
            </w:tcMar>
            <w:vAlign w:val="bottom"/>
          </w:tcPr>
          <w:p>
            <w:pPr>
              <w:pStyle w:val="DMETW36639BIPGUARCY"/>
              <w:rPr>
                <w:rFonts w:ascii="Arial" w:eastAsia="Arial" w:hAnsi="Arial" w:cs="Arial"/>
                <w:noProof/>
                <w:color w:val="000000"/>
              </w:rPr>
            </w:pPr>
          </w:p>
        </w:tc>
        <w:tc>
          <w:tcPr>
            <w:tcW w:w="1174" w:type="dxa"/>
            <w:tcBorders>
              <w:top w:val="nil"/>
              <w:left w:val="nil"/>
              <w:bottom w:val="nil"/>
              <w:right w:val="nil"/>
              <w:tl2br w:val="nil"/>
              <w:tr2bl w:val="nil"/>
            </w:tcBorders>
            <w:tcMar>
              <w:left w:w="60" w:type="dxa"/>
              <w:right w:w="60" w:type="dxa"/>
            </w:tcMar>
            <w:vAlign w:val="bottom"/>
          </w:tcPr>
          <w:p>
            <w:pPr>
              <w:pStyle w:val="DMETW36639BIPGUARCY"/>
              <w:rPr>
                <w:rFonts w:ascii="Arial" w:eastAsia="Arial" w:hAnsi="Arial" w:cs="Arial"/>
                <w:noProof/>
                <w:color w:val="000000"/>
              </w:rPr>
            </w:pPr>
          </w:p>
        </w:tc>
        <w:tc>
          <w:tcPr>
            <w:tcW w:w="1174" w:type="dxa"/>
            <w:tcBorders>
              <w:top w:val="nil"/>
              <w:left w:val="nil"/>
              <w:bottom w:val="nil"/>
              <w:right w:val="nil"/>
              <w:tl2br w:val="nil"/>
              <w:tr2bl w:val="nil"/>
            </w:tcBorders>
            <w:tcMar>
              <w:left w:w="60" w:type="dxa"/>
              <w:right w:w="60" w:type="dxa"/>
            </w:tcMar>
            <w:vAlign w:val="bottom"/>
          </w:tcPr>
          <w:p>
            <w:pPr>
              <w:pStyle w:val="DMETW36639BIPGUARCY"/>
              <w:jc w:val="right"/>
              <w:rPr>
                <w:rFonts w:ascii="Verdana" w:eastAsia="Verdana" w:hAnsi="Verdana" w:cs="Verdana"/>
                <w:i/>
                <w:noProof/>
                <w:color w:val="000000"/>
                <w:sz w:val="16"/>
              </w:rPr>
            </w:pPr>
          </w:p>
        </w:tc>
        <w:tc>
          <w:tcPr>
            <w:tcW w:w="1344" w:type="dxa"/>
            <w:tcBorders>
              <w:top w:val="nil"/>
              <w:left w:val="nil"/>
              <w:bottom w:val="nil"/>
              <w:right w:val="nil"/>
              <w:tl2br w:val="nil"/>
              <w:tr2bl w:val="nil"/>
            </w:tcBorders>
            <w:tcMar>
              <w:left w:w="60" w:type="dxa"/>
              <w:right w:w="60" w:type="dxa"/>
            </w:tcMar>
            <w:vAlign w:val="bottom"/>
          </w:tcPr>
          <w:p>
            <w:pPr>
              <w:pStyle w:val="DMETW36639BIPGUARCY"/>
              <w:jc w:val="right"/>
              <w:rPr>
                <w:rFonts w:ascii="Verdana" w:eastAsia="Verdana" w:hAnsi="Verdana" w:cs="Verdana"/>
                <w:i/>
                <w:noProof/>
                <w:color w:val="000000"/>
                <w:sz w:val="16"/>
              </w:rPr>
            </w:pPr>
            <w:r>
              <w:rPr>
                <w:rFonts w:ascii="Verdana" w:hAnsi="Verdana"/>
                <w:i/>
                <w:noProof/>
                <w:color w:val="000000"/>
                <w:sz w:val="16"/>
              </w:rPr>
              <w:t>en Mio EUR</w:t>
            </w:r>
          </w:p>
        </w:tc>
      </w:tr>
      <w:tr>
        <w:trPr>
          <w:trHeight w:hRule="exact" w:val="255"/>
        </w:trPr>
        <w:tc>
          <w:tcPr>
            <w:tcW w:w="4888" w:type="dxa"/>
            <w:tcBorders>
              <w:top w:val="nil"/>
              <w:left w:val="nil"/>
              <w:bottom w:val="nil"/>
              <w:right w:val="nil"/>
              <w:tl2br w:val="nil"/>
              <w:tr2bl w:val="nil"/>
            </w:tcBorders>
            <w:shd w:val="solid" w:color="016794" w:fill="FFFFFF"/>
            <w:tcMar>
              <w:left w:w="60" w:type="dxa"/>
              <w:right w:w="60" w:type="dxa"/>
            </w:tcMar>
            <w:vAlign w:val="center"/>
          </w:tcPr>
          <w:p>
            <w:pPr>
              <w:pStyle w:val="DMETW36639BIPGUARCY"/>
              <w:jc w:val="center"/>
              <w:rPr>
                <w:rFonts w:ascii="Verdana" w:eastAsia="Verdana" w:hAnsi="Verdana" w:cs="Verdana"/>
                <w:noProof/>
                <w:color w:val="FFFFFF"/>
              </w:rPr>
            </w:pPr>
          </w:p>
        </w:tc>
        <w:tc>
          <w:tcPr>
            <w:tcW w:w="1178" w:type="dxa"/>
            <w:gridSpan w:val="4"/>
            <w:tcBorders>
              <w:top w:val="nil"/>
              <w:left w:val="nil"/>
              <w:bottom w:val="nil"/>
              <w:right w:val="nil"/>
              <w:tl2br w:val="nil"/>
              <w:tr2bl w:val="nil"/>
            </w:tcBorders>
            <w:shd w:val="solid" w:color="016794" w:fill="FFFFFF"/>
            <w:tcMar>
              <w:left w:w="60" w:type="dxa"/>
              <w:right w:w="60" w:type="dxa"/>
            </w:tcMar>
            <w:vAlign w:val="center"/>
          </w:tcPr>
          <w:p>
            <w:pPr>
              <w:pStyle w:val="DMETW36639BIPGUARCY"/>
              <w:jc w:val="center"/>
              <w:rPr>
                <w:rFonts w:ascii="Verdana" w:eastAsia="Verdana" w:hAnsi="Verdana" w:cs="Verdana"/>
                <w:noProof/>
                <w:color w:val="FFFFFF"/>
              </w:rPr>
            </w:pPr>
            <w:r>
              <w:rPr>
                <w:rFonts w:ascii="Verdana" w:hAnsi="Verdana"/>
                <w:noProof/>
                <w:color w:val="FFFFFF"/>
              </w:rPr>
              <w:t>31.12.2025</w:t>
            </w:r>
          </w:p>
        </w:tc>
      </w:tr>
      <w:tr>
        <w:trPr>
          <w:trHeight w:hRule="exact" w:val="255"/>
        </w:trPr>
        <w:tc>
          <w:tcPr>
            <w:tcW w:w="4888" w:type="dxa"/>
            <w:tcBorders>
              <w:top w:val="nil"/>
              <w:left w:val="nil"/>
              <w:bottom w:val="nil"/>
              <w:right w:val="nil"/>
              <w:tl2br w:val="nil"/>
              <w:tr2bl w:val="nil"/>
            </w:tcBorders>
            <w:shd w:val="solid" w:color="016794" w:fill="FFFFFF"/>
            <w:tcMar>
              <w:left w:w="60" w:type="dxa"/>
              <w:right w:w="60" w:type="dxa"/>
            </w:tcMar>
            <w:vAlign w:val="center"/>
          </w:tcPr>
          <w:p>
            <w:pPr>
              <w:pStyle w:val="DMETW36639BIPGUARCY"/>
              <w:jc w:val="center"/>
              <w:rPr>
                <w:rFonts w:ascii="Verdana" w:eastAsia="Verdana" w:hAnsi="Verdana" w:cs="Verdana"/>
                <w:noProof/>
                <w:color w:val="FFFFFF"/>
              </w:rPr>
            </w:pPr>
          </w:p>
        </w:tc>
        <w:tc>
          <w:tcPr>
            <w:tcW w:w="1178" w:type="dxa"/>
            <w:gridSpan w:val="3"/>
            <w:tcBorders>
              <w:top w:val="nil"/>
              <w:left w:val="nil"/>
              <w:bottom w:val="nil"/>
              <w:right w:val="nil"/>
              <w:tl2br w:val="nil"/>
              <w:tr2bl w:val="nil"/>
            </w:tcBorders>
            <w:shd w:val="solid" w:color="016794" w:fill="FFFFFF"/>
            <w:tcMar>
              <w:left w:w="60" w:type="dxa"/>
              <w:right w:w="60" w:type="dxa"/>
            </w:tcMar>
            <w:vAlign w:val="center"/>
          </w:tcPr>
          <w:p>
            <w:pPr>
              <w:pStyle w:val="DMETW36639BIPGUARCY"/>
              <w:jc w:val="center"/>
              <w:rPr>
                <w:rFonts w:ascii="Verdana" w:eastAsia="Verdana" w:hAnsi="Verdana" w:cs="Verdana"/>
                <w:noProof/>
                <w:color w:val="FFFFFF"/>
              </w:rPr>
            </w:pPr>
            <w:r>
              <w:rPr>
                <w:rFonts w:ascii="Verdana" w:hAnsi="Verdana"/>
                <w:noProof/>
                <w:color w:val="FFFFFF"/>
              </w:rPr>
              <w:t>Garanties fournies</w:t>
            </w:r>
          </w:p>
        </w:tc>
        <w:tc>
          <w:tcPr>
            <w:tcW w:w="1344"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639BIPGUARCY"/>
              <w:jc w:val="center"/>
              <w:rPr>
                <w:rFonts w:ascii="Verdana" w:eastAsia="Verdana" w:hAnsi="Verdana" w:cs="Verdana"/>
                <w:noProof/>
                <w:color w:val="FFFFFF"/>
                <w:sz w:val="18"/>
              </w:rPr>
            </w:pPr>
            <w:r>
              <w:rPr>
                <w:rFonts w:ascii="Verdana" w:hAnsi="Verdana"/>
                <w:noProof/>
                <w:color w:val="FFFFFF"/>
                <w:sz w:val="18"/>
              </w:rPr>
              <w:t>Actifs provisionnés *</w:t>
            </w:r>
          </w:p>
        </w:tc>
      </w:tr>
      <w:tr>
        <w:trPr>
          <w:trHeight w:hRule="exact" w:val="255"/>
        </w:trPr>
        <w:tc>
          <w:tcPr>
            <w:tcW w:w="4888" w:type="dxa"/>
            <w:tcBorders>
              <w:top w:val="nil"/>
              <w:left w:val="nil"/>
              <w:bottom w:val="nil"/>
              <w:right w:val="nil"/>
              <w:tl2br w:val="nil"/>
              <w:tr2bl w:val="nil"/>
            </w:tcBorders>
            <w:shd w:val="solid" w:color="016794" w:fill="FFFFFF"/>
            <w:tcMar>
              <w:left w:w="60" w:type="dxa"/>
              <w:right w:w="60" w:type="dxa"/>
            </w:tcMar>
            <w:vAlign w:val="center"/>
          </w:tcPr>
          <w:p>
            <w:pPr>
              <w:pStyle w:val="DMETW36639BIPGUARCY"/>
              <w:jc w:val="center"/>
              <w:rPr>
                <w:rFonts w:ascii="Verdana" w:eastAsia="Verdana" w:hAnsi="Verdana" w:cs="Verdana"/>
                <w:noProof/>
                <w:color w:val="FFFFFF"/>
              </w:rPr>
            </w:pPr>
          </w:p>
        </w:tc>
        <w:tc>
          <w:tcPr>
            <w:tcW w:w="1178" w:type="dxa"/>
            <w:tcBorders>
              <w:top w:val="nil"/>
              <w:left w:val="nil"/>
              <w:bottom w:val="nil"/>
              <w:right w:val="nil"/>
              <w:tl2br w:val="nil"/>
              <w:tr2bl w:val="nil"/>
            </w:tcBorders>
            <w:shd w:val="solid" w:color="016794" w:fill="FFFFFF"/>
            <w:tcMar>
              <w:left w:w="60" w:type="dxa"/>
              <w:right w:w="60" w:type="dxa"/>
            </w:tcMar>
            <w:vAlign w:val="center"/>
          </w:tcPr>
          <w:p>
            <w:pPr>
              <w:pStyle w:val="DMETW36639BIPGUARCY"/>
              <w:jc w:val="right"/>
              <w:rPr>
                <w:rFonts w:ascii="Verdana" w:eastAsia="Verdana" w:hAnsi="Verdana" w:cs="Verdana"/>
                <w:noProof/>
                <w:color w:val="FFFFFF"/>
                <w:sz w:val="18"/>
              </w:rPr>
            </w:pPr>
            <w:r>
              <w:rPr>
                <w:rFonts w:ascii="Verdana" w:hAnsi="Verdana"/>
                <w:noProof/>
                <w:color w:val="FFFFFF"/>
                <w:sz w:val="18"/>
              </w:rPr>
              <w:t>Plafond</w:t>
            </w:r>
          </w:p>
        </w:tc>
        <w:tc>
          <w:tcPr>
            <w:tcW w:w="1174" w:type="dxa"/>
            <w:tcBorders>
              <w:top w:val="nil"/>
              <w:left w:val="nil"/>
              <w:bottom w:val="nil"/>
              <w:right w:val="nil"/>
              <w:tl2br w:val="nil"/>
              <w:tr2bl w:val="nil"/>
            </w:tcBorders>
            <w:shd w:val="solid" w:color="016794" w:fill="FFFFFF"/>
            <w:tcMar>
              <w:left w:w="60" w:type="dxa"/>
              <w:right w:w="60" w:type="dxa"/>
            </w:tcMar>
            <w:vAlign w:val="center"/>
          </w:tcPr>
          <w:p>
            <w:pPr>
              <w:pStyle w:val="DMETW36639BIPGUARCY"/>
              <w:jc w:val="right"/>
              <w:rPr>
                <w:rFonts w:ascii="Verdana" w:eastAsia="Verdana" w:hAnsi="Verdana" w:cs="Verdana"/>
                <w:noProof/>
                <w:color w:val="FFFFFF"/>
                <w:sz w:val="18"/>
              </w:rPr>
            </w:pPr>
            <w:r>
              <w:rPr>
                <w:rFonts w:ascii="Verdana" w:hAnsi="Verdana"/>
                <w:noProof/>
                <w:color w:val="FFFFFF"/>
                <w:sz w:val="18"/>
              </w:rPr>
              <w:t>Signés</w:t>
            </w:r>
          </w:p>
        </w:tc>
        <w:tc>
          <w:tcPr>
            <w:tcW w:w="1174" w:type="dxa"/>
            <w:tcBorders>
              <w:top w:val="nil"/>
              <w:left w:val="nil"/>
              <w:bottom w:val="nil"/>
              <w:right w:val="nil"/>
              <w:tl2br w:val="nil"/>
              <w:tr2bl w:val="nil"/>
            </w:tcBorders>
            <w:shd w:val="solid" w:color="016794" w:fill="FFFFFF"/>
            <w:tcMar>
              <w:left w:w="60" w:type="dxa"/>
              <w:right w:w="60" w:type="dxa"/>
            </w:tcMar>
            <w:vAlign w:val="center"/>
          </w:tcPr>
          <w:p>
            <w:pPr>
              <w:pStyle w:val="DMETW36639BIPGUARCY"/>
              <w:jc w:val="right"/>
              <w:rPr>
                <w:rFonts w:ascii="Verdana" w:eastAsia="Verdana" w:hAnsi="Verdana" w:cs="Verdana"/>
                <w:noProof/>
                <w:color w:val="FFFFFF"/>
                <w:sz w:val="18"/>
              </w:rPr>
            </w:pPr>
            <w:r>
              <w:rPr>
                <w:rFonts w:ascii="Verdana" w:hAnsi="Verdana"/>
                <w:noProof/>
                <w:color w:val="FFFFFF"/>
                <w:sz w:val="18"/>
              </w:rPr>
              <w:t>Décaissés</w:t>
            </w:r>
          </w:p>
        </w:tc>
        <w:tc>
          <w:tcPr>
            <w:tcW w:w="1335" w:type="dxa"/>
            <w:vMerge/>
            <w:tcBorders>
              <w:top w:val="nil"/>
              <w:left w:val="nil"/>
              <w:bottom w:val="nil"/>
              <w:right w:val="nil"/>
              <w:tl2br w:val="nil"/>
              <w:tr2bl w:val="nil"/>
            </w:tcBorders>
            <w:shd w:val="solid" w:color="016794" w:fill="FFFFFF"/>
            <w:tcMar>
              <w:left w:w="60" w:type="dxa"/>
              <w:right w:w="60" w:type="dxa"/>
            </w:tcMar>
            <w:vAlign w:val="center"/>
          </w:tcPr>
          <w:p>
            <w:pPr>
              <w:pStyle w:val="DMETW36639BIPGUARCY"/>
              <w:jc w:val="center"/>
              <w:rPr>
                <w:rFonts w:ascii="Verdana" w:eastAsia="Verdana" w:hAnsi="Verdana" w:cs="Verdana"/>
                <w:noProof/>
                <w:color w:val="FFFFFF"/>
                <w:sz w:val="18"/>
              </w:rPr>
            </w:pPr>
          </w:p>
        </w:tc>
      </w:tr>
      <w:tr>
        <w:trPr>
          <w:trHeight w:hRule="exact" w:val="255"/>
        </w:trPr>
        <w:tc>
          <w:tcPr>
            <w:tcW w:w="4888" w:type="dxa"/>
            <w:tcBorders>
              <w:top w:val="nil"/>
              <w:left w:val="nil"/>
              <w:bottom w:val="nil"/>
              <w:right w:val="nil"/>
              <w:tl2br w:val="nil"/>
              <w:tr2bl w:val="nil"/>
            </w:tcBorders>
            <w:tcMar>
              <w:left w:w="60" w:type="dxa"/>
              <w:right w:w="60" w:type="dxa"/>
            </w:tcMar>
            <w:vAlign w:val="center"/>
          </w:tcPr>
          <w:p>
            <w:pPr>
              <w:pStyle w:val="DMETW36639BIPGUARCY"/>
              <w:rPr>
                <w:rFonts w:ascii="Verdana" w:eastAsia="Verdana" w:hAnsi="Verdana" w:cs="Verdana"/>
                <w:i/>
                <w:noProof/>
                <w:color w:val="000000"/>
                <w:sz w:val="18"/>
              </w:rPr>
            </w:pPr>
            <w:r>
              <w:rPr>
                <w:rFonts w:ascii="Verdana" w:hAnsi="Verdana"/>
                <w:i/>
                <w:noProof/>
                <w:color w:val="000000"/>
                <w:sz w:val="18"/>
              </w:rPr>
              <w:t>Garanties MPE de la BEI</w:t>
            </w:r>
          </w:p>
        </w:tc>
        <w:tc>
          <w:tcPr>
            <w:tcW w:w="1178" w:type="dxa"/>
            <w:tcBorders>
              <w:top w:val="nil"/>
              <w:left w:val="nil"/>
              <w:bottom w:val="nil"/>
              <w:right w:val="nil"/>
              <w:tl2br w:val="nil"/>
              <w:tr2bl w:val="nil"/>
            </w:tcBorders>
            <w:tcMar>
              <w:left w:w="60" w:type="dxa"/>
              <w:right w:w="60" w:type="dxa"/>
            </w:tcMar>
            <w:vAlign w:val="bottom"/>
          </w:tcPr>
          <w:p>
            <w:pPr>
              <w:pStyle w:val="DMETW36639BIPGUARCY"/>
              <w:jc w:val="right"/>
              <w:rPr>
                <w:rFonts w:ascii="Verdana" w:eastAsia="Verdana" w:hAnsi="Verdana" w:cs="Verdana"/>
                <w:i/>
                <w:noProof/>
                <w:color w:val="000000"/>
                <w:sz w:val="18"/>
              </w:rPr>
            </w:pPr>
            <w:r>
              <w:rPr>
                <w:rFonts w:ascii="Verdana" w:hAnsi="Verdana"/>
                <w:i/>
                <w:noProof/>
                <w:color w:val="000000"/>
                <w:sz w:val="18"/>
              </w:rPr>
              <w:t>20 880</w:t>
            </w:r>
          </w:p>
        </w:tc>
        <w:tc>
          <w:tcPr>
            <w:tcW w:w="1174" w:type="dxa"/>
            <w:tcBorders>
              <w:top w:val="nil"/>
              <w:left w:val="nil"/>
              <w:bottom w:val="nil"/>
              <w:right w:val="nil"/>
              <w:tl2br w:val="nil"/>
              <w:tr2bl w:val="nil"/>
            </w:tcBorders>
            <w:tcMar>
              <w:left w:w="60" w:type="dxa"/>
              <w:right w:w="60" w:type="dxa"/>
            </w:tcMar>
            <w:vAlign w:val="bottom"/>
          </w:tcPr>
          <w:p>
            <w:pPr>
              <w:pStyle w:val="DMETW36639BIPGUARCY"/>
              <w:jc w:val="right"/>
              <w:rPr>
                <w:rFonts w:ascii="Verdana" w:eastAsia="Verdana" w:hAnsi="Verdana" w:cs="Verdana"/>
                <w:i/>
                <w:noProof/>
                <w:color w:val="000000"/>
                <w:sz w:val="18"/>
              </w:rPr>
            </w:pPr>
            <w:r>
              <w:rPr>
                <w:rFonts w:ascii="Verdana" w:hAnsi="Verdana"/>
                <w:i/>
                <w:noProof/>
                <w:color w:val="000000"/>
                <w:sz w:val="18"/>
              </w:rPr>
              <w:t>20 880</w:t>
            </w:r>
          </w:p>
        </w:tc>
        <w:tc>
          <w:tcPr>
            <w:tcW w:w="1174" w:type="dxa"/>
            <w:tcBorders>
              <w:top w:val="nil"/>
              <w:left w:val="nil"/>
              <w:bottom w:val="nil"/>
              <w:right w:val="nil"/>
              <w:tl2br w:val="nil"/>
              <w:tr2bl w:val="nil"/>
            </w:tcBorders>
            <w:tcMar>
              <w:left w:w="60" w:type="dxa"/>
              <w:right w:w="60" w:type="dxa"/>
            </w:tcMar>
            <w:vAlign w:val="bottom"/>
          </w:tcPr>
          <w:p>
            <w:pPr>
              <w:pStyle w:val="DMETW36639BIPGUARCY"/>
              <w:jc w:val="right"/>
              <w:rPr>
                <w:rFonts w:ascii="Verdana" w:eastAsia="Verdana" w:hAnsi="Verdana" w:cs="Verdana"/>
                <w:i/>
                <w:noProof/>
                <w:color w:val="000000"/>
                <w:sz w:val="18"/>
              </w:rPr>
            </w:pPr>
            <w:r>
              <w:rPr>
                <w:rFonts w:ascii="Verdana" w:hAnsi="Verdana"/>
                <w:i/>
                <w:noProof/>
                <w:color w:val="000000"/>
                <w:sz w:val="18"/>
              </w:rPr>
              <w:t>16 826</w:t>
            </w:r>
          </w:p>
        </w:tc>
        <w:tc>
          <w:tcPr>
            <w:tcW w:w="1344" w:type="dxa"/>
            <w:tcBorders>
              <w:top w:val="nil"/>
              <w:left w:val="nil"/>
              <w:bottom w:val="nil"/>
              <w:right w:val="nil"/>
              <w:tl2br w:val="nil"/>
              <w:tr2bl w:val="nil"/>
            </w:tcBorders>
            <w:tcMar>
              <w:left w:w="60" w:type="dxa"/>
              <w:right w:w="60" w:type="dxa"/>
            </w:tcMar>
            <w:vAlign w:val="bottom"/>
          </w:tcPr>
          <w:p>
            <w:pPr>
              <w:pStyle w:val="DMETW36639BIPGUARCY"/>
              <w:jc w:val="right"/>
              <w:rPr>
                <w:rFonts w:ascii="Verdana" w:eastAsia="Verdana" w:hAnsi="Verdana" w:cs="Verdana"/>
                <w:i/>
                <w:noProof/>
                <w:color w:val="000000"/>
                <w:sz w:val="18"/>
              </w:rPr>
            </w:pPr>
            <w:r>
              <w:rPr>
                <w:rFonts w:ascii="Verdana" w:hAnsi="Verdana"/>
                <w:i/>
                <w:noProof/>
                <w:color w:val="000000"/>
                <w:sz w:val="18"/>
              </w:rPr>
              <w:t>3 529</w:t>
            </w:r>
          </w:p>
        </w:tc>
      </w:tr>
      <w:tr>
        <w:trPr>
          <w:trHeight w:hRule="exact" w:val="255"/>
        </w:trPr>
        <w:tc>
          <w:tcPr>
            <w:tcW w:w="4888" w:type="dxa"/>
            <w:tcBorders>
              <w:top w:val="nil"/>
              <w:left w:val="nil"/>
              <w:bottom w:val="nil"/>
              <w:right w:val="nil"/>
              <w:tl2br w:val="nil"/>
              <w:tr2bl w:val="nil"/>
            </w:tcBorders>
            <w:tcMar>
              <w:left w:w="60" w:type="dxa"/>
              <w:right w:w="60" w:type="dxa"/>
            </w:tcMar>
            <w:vAlign w:val="center"/>
          </w:tcPr>
          <w:p>
            <w:pPr>
              <w:pStyle w:val="DMETW36639BIPGUARCY"/>
              <w:rPr>
                <w:rFonts w:ascii="Verdana" w:eastAsia="Verdana" w:hAnsi="Verdana" w:cs="Verdana"/>
                <w:i/>
                <w:noProof/>
                <w:color w:val="000000"/>
                <w:sz w:val="18"/>
              </w:rPr>
            </w:pPr>
            <w:r>
              <w:rPr>
                <w:rFonts w:ascii="Verdana" w:hAnsi="Verdana"/>
                <w:i/>
                <w:noProof/>
                <w:color w:val="000000"/>
                <w:sz w:val="18"/>
              </w:rPr>
              <w:t>Garantie EFSI</w:t>
            </w:r>
          </w:p>
        </w:tc>
        <w:tc>
          <w:tcPr>
            <w:tcW w:w="1178" w:type="dxa"/>
            <w:tcBorders>
              <w:top w:val="nil"/>
              <w:left w:val="nil"/>
              <w:bottom w:val="nil"/>
              <w:right w:val="nil"/>
              <w:tl2br w:val="nil"/>
              <w:tr2bl w:val="nil"/>
            </w:tcBorders>
            <w:tcMar>
              <w:left w:w="60" w:type="dxa"/>
              <w:right w:w="60" w:type="dxa"/>
            </w:tcMar>
            <w:vAlign w:val="bottom"/>
          </w:tcPr>
          <w:p>
            <w:pPr>
              <w:pStyle w:val="DMETW36639BIPGUARCY"/>
              <w:jc w:val="right"/>
              <w:rPr>
                <w:rFonts w:ascii="Verdana" w:eastAsia="Verdana" w:hAnsi="Verdana" w:cs="Verdana"/>
                <w:i/>
                <w:noProof/>
                <w:color w:val="000000"/>
                <w:sz w:val="18"/>
              </w:rPr>
            </w:pPr>
            <w:r>
              <w:rPr>
                <w:rFonts w:ascii="Verdana" w:hAnsi="Verdana"/>
                <w:i/>
                <w:noProof/>
                <w:color w:val="000000"/>
                <w:sz w:val="18"/>
              </w:rPr>
              <w:t>25 119</w:t>
            </w:r>
          </w:p>
        </w:tc>
        <w:tc>
          <w:tcPr>
            <w:tcW w:w="1174" w:type="dxa"/>
            <w:tcBorders>
              <w:top w:val="nil"/>
              <w:left w:val="nil"/>
              <w:bottom w:val="nil"/>
              <w:right w:val="nil"/>
              <w:tl2br w:val="nil"/>
              <w:tr2bl w:val="nil"/>
            </w:tcBorders>
            <w:tcMar>
              <w:left w:w="60" w:type="dxa"/>
              <w:right w:w="60" w:type="dxa"/>
            </w:tcMar>
            <w:vAlign w:val="bottom"/>
          </w:tcPr>
          <w:p>
            <w:pPr>
              <w:pStyle w:val="DMETW36639BIPGUARCY"/>
              <w:jc w:val="right"/>
              <w:rPr>
                <w:rFonts w:ascii="Verdana" w:eastAsia="Verdana" w:hAnsi="Verdana" w:cs="Verdana"/>
                <w:i/>
                <w:noProof/>
                <w:color w:val="000000"/>
                <w:sz w:val="18"/>
              </w:rPr>
            </w:pPr>
            <w:r>
              <w:rPr>
                <w:rFonts w:ascii="Verdana" w:hAnsi="Verdana"/>
                <w:i/>
                <w:noProof/>
                <w:color w:val="000000"/>
                <w:sz w:val="18"/>
              </w:rPr>
              <w:t>21 449</w:t>
            </w:r>
          </w:p>
        </w:tc>
        <w:tc>
          <w:tcPr>
            <w:tcW w:w="1174" w:type="dxa"/>
            <w:tcBorders>
              <w:top w:val="nil"/>
              <w:left w:val="nil"/>
              <w:bottom w:val="nil"/>
              <w:right w:val="nil"/>
              <w:tl2br w:val="nil"/>
              <w:tr2bl w:val="nil"/>
            </w:tcBorders>
            <w:tcMar>
              <w:left w:w="60" w:type="dxa"/>
              <w:right w:w="60" w:type="dxa"/>
            </w:tcMar>
            <w:vAlign w:val="bottom"/>
          </w:tcPr>
          <w:p>
            <w:pPr>
              <w:pStyle w:val="DMETW36639BIPGUARCY"/>
              <w:jc w:val="right"/>
              <w:rPr>
                <w:rFonts w:ascii="Verdana" w:eastAsia="Verdana" w:hAnsi="Verdana" w:cs="Verdana"/>
                <w:i/>
                <w:noProof/>
                <w:color w:val="000000"/>
                <w:sz w:val="18"/>
              </w:rPr>
            </w:pPr>
            <w:r>
              <w:rPr>
                <w:rFonts w:ascii="Verdana" w:hAnsi="Verdana"/>
                <w:i/>
                <w:noProof/>
                <w:color w:val="000000"/>
                <w:sz w:val="18"/>
              </w:rPr>
              <w:t>19 982</w:t>
            </w:r>
          </w:p>
        </w:tc>
        <w:tc>
          <w:tcPr>
            <w:tcW w:w="1344" w:type="dxa"/>
            <w:tcBorders>
              <w:top w:val="nil"/>
              <w:left w:val="nil"/>
              <w:bottom w:val="nil"/>
              <w:right w:val="nil"/>
              <w:tl2br w:val="nil"/>
              <w:tr2bl w:val="nil"/>
            </w:tcBorders>
            <w:tcMar>
              <w:left w:w="60" w:type="dxa"/>
              <w:right w:w="60" w:type="dxa"/>
            </w:tcMar>
            <w:vAlign w:val="bottom"/>
          </w:tcPr>
          <w:p>
            <w:pPr>
              <w:pStyle w:val="DMETW36639BIPGUARCY"/>
              <w:jc w:val="right"/>
              <w:rPr>
                <w:rFonts w:ascii="Verdana" w:eastAsia="Verdana" w:hAnsi="Verdana" w:cs="Verdana"/>
                <w:i/>
                <w:noProof/>
                <w:color w:val="000000"/>
                <w:sz w:val="18"/>
              </w:rPr>
            </w:pPr>
            <w:r>
              <w:rPr>
                <w:rFonts w:ascii="Verdana" w:hAnsi="Verdana"/>
                <w:i/>
                <w:noProof/>
                <w:color w:val="000000"/>
                <w:sz w:val="18"/>
              </w:rPr>
              <w:t>9 234</w:t>
            </w:r>
          </w:p>
        </w:tc>
      </w:tr>
      <w:tr>
        <w:trPr>
          <w:trHeight w:hRule="exact" w:val="255"/>
        </w:trPr>
        <w:tc>
          <w:tcPr>
            <w:tcW w:w="4888" w:type="dxa"/>
            <w:tcBorders>
              <w:top w:val="nil"/>
              <w:left w:val="nil"/>
              <w:bottom w:val="nil"/>
              <w:right w:val="nil"/>
              <w:tl2br w:val="nil"/>
              <w:tr2bl w:val="nil"/>
            </w:tcBorders>
            <w:tcMar>
              <w:left w:w="60" w:type="dxa"/>
              <w:right w:w="60" w:type="dxa"/>
            </w:tcMar>
            <w:vAlign w:val="center"/>
          </w:tcPr>
          <w:p>
            <w:pPr>
              <w:pStyle w:val="DMETW36639BIPGUARCY"/>
              <w:rPr>
                <w:rFonts w:ascii="Verdana" w:eastAsia="Verdana" w:hAnsi="Verdana" w:cs="Verdana"/>
                <w:i/>
                <w:noProof/>
                <w:color w:val="000000"/>
                <w:sz w:val="18"/>
              </w:rPr>
            </w:pPr>
            <w:r>
              <w:rPr>
                <w:rFonts w:ascii="Verdana" w:hAnsi="Verdana"/>
                <w:i/>
                <w:noProof/>
                <w:color w:val="000000"/>
                <w:sz w:val="18"/>
              </w:rPr>
              <w:t>Garantie FEDD</w:t>
            </w:r>
          </w:p>
        </w:tc>
        <w:tc>
          <w:tcPr>
            <w:tcW w:w="1178" w:type="dxa"/>
            <w:tcBorders>
              <w:top w:val="nil"/>
              <w:left w:val="nil"/>
              <w:bottom w:val="nil"/>
              <w:right w:val="nil"/>
              <w:tl2br w:val="nil"/>
              <w:tr2bl w:val="nil"/>
            </w:tcBorders>
            <w:tcMar>
              <w:left w:w="60" w:type="dxa"/>
              <w:right w:w="60" w:type="dxa"/>
            </w:tcMar>
            <w:vAlign w:val="bottom"/>
          </w:tcPr>
          <w:p>
            <w:pPr>
              <w:pStyle w:val="DMETW36639BIPGUARCY"/>
              <w:jc w:val="right"/>
              <w:rPr>
                <w:rFonts w:ascii="Verdana" w:eastAsia="Verdana" w:hAnsi="Verdana" w:cs="Verdana"/>
                <w:i/>
                <w:noProof/>
                <w:color w:val="000000"/>
                <w:sz w:val="18"/>
              </w:rPr>
            </w:pPr>
            <w:r>
              <w:rPr>
                <w:rFonts w:ascii="Verdana" w:hAnsi="Verdana"/>
                <w:i/>
                <w:noProof/>
                <w:color w:val="000000"/>
                <w:sz w:val="18"/>
              </w:rPr>
              <w:t xml:space="preserve"> 583</w:t>
            </w:r>
          </w:p>
        </w:tc>
        <w:tc>
          <w:tcPr>
            <w:tcW w:w="1174" w:type="dxa"/>
            <w:tcBorders>
              <w:top w:val="nil"/>
              <w:left w:val="nil"/>
              <w:bottom w:val="nil"/>
              <w:right w:val="nil"/>
              <w:tl2br w:val="nil"/>
              <w:tr2bl w:val="nil"/>
            </w:tcBorders>
            <w:tcMar>
              <w:left w:w="60" w:type="dxa"/>
              <w:right w:w="60" w:type="dxa"/>
            </w:tcMar>
            <w:vAlign w:val="bottom"/>
          </w:tcPr>
          <w:p>
            <w:pPr>
              <w:pStyle w:val="DMETW36639BIPGUARCY"/>
              <w:jc w:val="right"/>
              <w:rPr>
                <w:rFonts w:ascii="Verdana" w:eastAsia="Verdana" w:hAnsi="Verdana" w:cs="Verdana"/>
                <w:i/>
                <w:noProof/>
                <w:color w:val="000000"/>
                <w:sz w:val="18"/>
              </w:rPr>
            </w:pPr>
            <w:r>
              <w:rPr>
                <w:rFonts w:ascii="Verdana" w:hAnsi="Verdana"/>
                <w:i/>
                <w:noProof/>
                <w:color w:val="000000"/>
                <w:sz w:val="18"/>
              </w:rPr>
              <w:t xml:space="preserve"> 573</w:t>
            </w:r>
          </w:p>
        </w:tc>
        <w:tc>
          <w:tcPr>
            <w:tcW w:w="1174" w:type="dxa"/>
            <w:tcBorders>
              <w:top w:val="nil"/>
              <w:left w:val="nil"/>
              <w:bottom w:val="nil"/>
              <w:right w:val="nil"/>
              <w:tl2br w:val="nil"/>
              <w:tr2bl w:val="nil"/>
            </w:tcBorders>
            <w:tcMar>
              <w:left w:w="60" w:type="dxa"/>
              <w:right w:w="60" w:type="dxa"/>
            </w:tcMar>
            <w:vAlign w:val="bottom"/>
          </w:tcPr>
          <w:p>
            <w:pPr>
              <w:pStyle w:val="DMETW36639BIPGUARCY"/>
              <w:jc w:val="right"/>
              <w:rPr>
                <w:rFonts w:ascii="Verdana" w:eastAsia="Verdana" w:hAnsi="Verdana" w:cs="Verdana"/>
                <w:i/>
                <w:noProof/>
                <w:color w:val="000000"/>
                <w:sz w:val="18"/>
              </w:rPr>
            </w:pPr>
            <w:r>
              <w:rPr>
                <w:rFonts w:ascii="Verdana" w:hAnsi="Verdana"/>
                <w:i/>
                <w:noProof/>
                <w:color w:val="000000"/>
                <w:sz w:val="18"/>
              </w:rPr>
              <w:t xml:space="preserve"> 451</w:t>
            </w:r>
          </w:p>
        </w:tc>
        <w:tc>
          <w:tcPr>
            <w:tcW w:w="1344" w:type="dxa"/>
            <w:tcBorders>
              <w:top w:val="nil"/>
              <w:left w:val="nil"/>
              <w:bottom w:val="nil"/>
              <w:right w:val="nil"/>
              <w:tl2br w:val="nil"/>
              <w:tr2bl w:val="nil"/>
            </w:tcBorders>
            <w:tcMar>
              <w:left w:w="60" w:type="dxa"/>
              <w:right w:w="60" w:type="dxa"/>
            </w:tcMar>
            <w:vAlign w:val="bottom"/>
          </w:tcPr>
          <w:p>
            <w:pPr>
              <w:pStyle w:val="DMETW36639BIPGUARCY"/>
              <w:jc w:val="right"/>
              <w:rPr>
                <w:rFonts w:ascii="Verdana" w:eastAsia="Verdana" w:hAnsi="Verdana" w:cs="Verdana"/>
                <w:i/>
                <w:noProof/>
                <w:color w:val="000000"/>
                <w:sz w:val="18"/>
              </w:rPr>
            </w:pPr>
            <w:r>
              <w:rPr>
                <w:rFonts w:ascii="Verdana" w:hAnsi="Verdana"/>
                <w:i/>
                <w:noProof/>
                <w:color w:val="000000"/>
                <w:sz w:val="18"/>
              </w:rPr>
              <w:t xml:space="preserve"> 809</w:t>
            </w:r>
          </w:p>
        </w:tc>
      </w:tr>
      <w:tr>
        <w:trPr>
          <w:trHeight w:hRule="exact" w:val="255"/>
        </w:trPr>
        <w:tc>
          <w:tcPr>
            <w:tcW w:w="4888" w:type="dxa"/>
            <w:tcBorders>
              <w:top w:val="nil"/>
              <w:left w:val="nil"/>
              <w:bottom w:val="nil"/>
              <w:right w:val="nil"/>
              <w:tl2br w:val="nil"/>
              <w:tr2bl w:val="nil"/>
            </w:tcBorders>
            <w:tcMar>
              <w:left w:w="60" w:type="dxa"/>
              <w:right w:w="60" w:type="dxa"/>
            </w:tcMar>
            <w:vAlign w:val="center"/>
          </w:tcPr>
          <w:p>
            <w:pPr>
              <w:pStyle w:val="DMETW36639BIPGUARCY"/>
              <w:rPr>
                <w:rFonts w:ascii="Verdana" w:eastAsia="Verdana" w:hAnsi="Verdana" w:cs="Verdana"/>
                <w:i/>
                <w:noProof/>
                <w:color w:val="000000"/>
                <w:sz w:val="18"/>
              </w:rPr>
            </w:pPr>
            <w:r>
              <w:rPr>
                <w:rFonts w:ascii="Verdana" w:hAnsi="Verdana"/>
                <w:i/>
                <w:noProof/>
                <w:color w:val="000000"/>
                <w:sz w:val="18"/>
              </w:rPr>
              <w:t>Garantie InvestEU</w:t>
            </w:r>
          </w:p>
        </w:tc>
        <w:tc>
          <w:tcPr>
            <w:tcW w:w="1178" w:type="dxa"/>
            <w:tcBorders>
              <w:top w:val="nil"/>
              <w:left w:val="nil"/>
              <w:bottom w:val="nil"/>
              <w:right w:val="nil"/>
              <w:tl2br w:val="nil"/>
              <w:tr2bl w:val="nil"/>
            </w:tcBorders>
            <w:tcMar>
              <w:left w:w="60" w:type="dxa"/>
              <w:right w:w="60" w:type="dxa"/>
            </w:tcMar>
            <w:vAlign w:val="bottom"/>
          </w:tcPr>
          <w:p>
            <w:pPr>
              <w:pStyle w:val="DMETW36639BIPGUARCY"/>
              <w:jc w:val="right"/>
              <w:rPr>
                <w:rFonts w:ascii="Verdana" w:eastAsia="Verdana" w:hAnsi="Verdana" w:cs="Verdana"/>
                <w:i/>
                <w:noProof/>
                <w:color w:val="000000"/>
                <w:sz w:val="18"/>
              </w:rPr>
            </w:pPr>
            <w:r>
              <w:rPr>
                <w:rFonts w:ascii="Verdana" w:hAnsi="Verdana"/>
                <w:i/>
                <w:noProof/>
                <w:color w:val="000000"/>
                <w:sz w:val="18"/>
              </w:rPr>
              <w:t>28 469</w:t>
            </w:r>
          </w:p>
        </w:tc>
        <w:tc>
          <w:tcPr>
            <w:tcW w:w="1174" w:type="dxa"/>
            <w:tcBorders>
              <w:top w:val="nil"/>
              <w:left w:val="nil"/>
              <w:bottom w:val="nil"/>
              <w:right w:val="nil"/>
              <w:tl2br w:val="nil"/>
              <w:tr2bl w:val="nil"/>
            </w:tcBorders>
            <w:tcMar>
              <w:left w:w="60" w:type="dxa"/>
              <w:right w:w="60" w:type="dxa"/>
            </w:tcMar>
            <w:vAlign w:val="bottom"/>
          </w:tcPr>
          <w:p>
            <w:pPr>
              <w:pStyle w:val="DMETW36639BIPGUARCY"/>
              <w:jc w:val="right"/>
              <w:rPr>
                <w:rFonts w:ascii="Verdana" w:eastAsia="Verdana" w:hAnsi="Verdana" w:cs="Verdana"/>
                <w:i/>
                <w:noProof/>
                <w:color w:val="000000"/>
                <w:sz w:val="18"/>
              </w:rPr>
            </w:pPr>
            <w:r>
              <w:rPr>
                <w:rFonts w:ascii="Verdana" w:hAnsi="Verdana"/>
                <w:i/>
                <w:noProof/>
                <w:color w:val="000000"/>
                <w:sz w:val="18"/>
              </w:rPr>
              <w:t>15 519</w:t>
            </w:r>
          </w:p>
        </w:tc>
        <w:tc>
          <w:tcPr>
            <w:tcW w:w="1174" w:type="dxa"/>
            <w:tcBorders>
              <w:top w:val="nil"/>
              <w:left w:val="nil"/>
              <w:bottom w:val="nil"/>
              <w:right w:val="nil"/>
              <w:tl2br w:val="nil"/>
              <w:tr2bl w:val="nil"/>
            </w:tcBorders>
            <w:tcMar>
              <w:left w:w="60" w:type="dxa"/>
              <w:right w:w="60" w:type="dxa"/>
            </w:tcMar>
            <w:vAlign w:val="bottom"/>
          </w:tcPr>
          <w:p>
            <w:pPr>
              <w:pStyle w:val="DMETW36639BIPGUARCY"/>
              <w:jc w:val="right"/>
              <w:rPr>
                <w:rFonts w:ascii="Verdana" w:eastAsia="Verdana" w:hAnsi="Verdana" w:cs="Verdana"/>
                <w:i/>
                <w:noProof/>
                <w:color w:val="000000"/>
                <w:sz w:val="18"/>
              </w:rPr>
            </w:pPr>
            <w:r>
              <w:rPr>
                <w:rFonts w:ascii="Verdana" w:hAnsi="Verdana"/>
                <w:i/>
                <w:noProof/>
                <w:color w:val="000000"/>
                <w:sz w:val="18"/>
              </w:rPr>
              <w:t>6 010</w:t>
            </w:r>
          </w:p>
        </w:tc>
        <w:tc>
          <w:tcPr>
            <w:tcW w:w="1344" w:type="dxa"/>
            <w:tcBorders>
              <w:top w:val="nil"/>
              <w:left w:val="nil"/>
              <w:bottom w:val="nil"/>
              <w:right w:val="nil"/>
              <w:tl2br w:val="nil"/>
              <w:tr2bl w:val="nil"/>
            </w:tcBorders>
            <w:tcMar>
              <w:left w:w="60" w:type="dxa"/>
              <w:right w:w="60" w:type="dxa"/>
            </w:tcMar>
            <w:vAlign w:val="bottom"/>
          </w:tcPr>
          <w:p>
            <w:pPr>
              <w:pStyle w:val="DMETW36639BIPGUARCY"/>
              <w:jc w:val="right"/>
              <w:rPr>
                <w:rFonts w:ascii="Verdana" w:eastAsia="Verdana" w:hAnsi="Verdana" w:cs="Verdana"/>
                <w:i/>
                <w:noProof/>
                <w:color w:val="000000"/>
                <w:sz w:val="18"/>
              </w:rPr>
            </w:pPr>
            <w:r>
              <w:rPr>
                <w:rFonts w:ascii="Verdana" w:hAnsi="Verdana"/>
                <w:i/>
                <w:noProof/>
                <w:color w:val="000000"/>
                <w:sz w:val="18"/>
              </w:rPr>
              <w:t>8 912</w:t>
            </w:r>
          </w:p>
        </w:tc>
      </w:tr>
      <w:tr>
        <w:trPr>
          <w:trHeight w:hRule="exact" w:val="726"/>
        </w:trPr>
        <w:tc>
          <w:tcPr>
            <w:tcW w:w="4888" w:type="dxa"/>
            <w:tcBorders>
              <w:top w:val="nil"/>
              <w:left w:val="nil"/>
              <w:bottom w:val="nil"/>
              <w:right w:val="nil"/>
              <w:tl2br w:val="nil"/>
              <w:tr2bl w:val="nil"/>
            </w:tcBorders>
            <w:tcMar>
              <w:left w:w="60" w:type="dxa"/>
              <w:right w:w="60" w:type="dxa"/>
            </w:tcMar>
            <w:vAlign w:val="center"/>
          </w:tcPr>
          <w:p>
            <w:pPr>
              <w:pStyle w:val="DMETW36639BIPGUARCY"/>
              <w:rPr>
                <w:rFonts w:ascii="Verdana" w:eastAsia="Verdana" w:hAnsi="Verdana" w:cs="Verdana"/>
                <w:i/>
                <w:noProof/>
                <w:color w:val="000000"/>
                <w:sz w:val="18"/>
              </w:rPr>
            </w:pPr>
            <w:r>
              <w:rPr>
                <w:rFonts w:ascii="Verdana" w:hAnsi="Verdana"/>
                <w:i/>
                <w:noProof/>
                <w:color w:val="000000"/>
                <w:sz w:val="18"/>
              </w:rPr>
              <w:t>Garantie pour l’action extérieure au titre de l’IVCDCI</w:t>
            </w:r>
          </w:p>
        </w:tc>
        <w:tc>
          <w:tcPr>
            <w:tcW w:w="1178" w:type="dxa"/>
            <w:tcBorders>
              <w:top w:val="nil"/>
              <w:left w:val="nil"/>
              <w:bottom w:val="nil"/>
              <w:right w:val="nil"/>
              <w:tl2br w:val="nil"/>
              <w:tr2bl w:val="nil"/>
            </w:tcBorders>
            <w:tcMar>
              <w:left w:w="60" w:type="dxa"/>
              <w:right w:w="60" w:type="dxa"/>
            </w:tcMar>
            <w:vAlign w:val="bottom"/>
          </w:tcPr>
          <w:p>
            <w:pPr>
              <w:pStyle w:val="DMETW36639BIPGUARCY"/>
              <w:jc w:val="right"/>
              <w:rPr>
                <w:rFonts w:ascii="Verdana" w:eastAsia="Verdana" w:hAnsi="Verdana" w:cs="Verdana"/>
                <w:i/>
                <w:noProof/>
                <w:color w:val="000000"/>
                <w:sz w:val="18"/>
              </w:rPr>
            </w:pPr>
            <w:r>
              <w:rPr>
                <w:rFonts w:ascii="Verdana" w:hAnsi="Verdana"/>
                <w:i/>
                <w:noProof/>
                <w:color w:val="000000"/>
                <w:sz w:val="18"/>
              </w:rPr>
              <w:t>33 965</w:t>
            </w:r>
          </w:p>
        </w:tc>
        <w:tc>
          <w:tcPr>
            <w:tcW w:w="1174" w:type="dxa"/>
            <w:tcBorders>
              <w:top w:val="nil"/>
              <w:left w:val="nil"/>
              <w:bottom w:val="nil"/>
              <w:right w:val="nil"/>
              <w:tl2br w:val="nil"/>
              <w:tr2bl w:val="nil"/>
            </w:tcBorders>
            <w:tcMar>
              <w:left w:w="60" w:type="dxa"/>
              <w:right w:w="60" w:type="dxa"/>
            </w:tcMar>
            <w:vAlign w:val="bottom"/>
          </w:tcPr>
          <w:p>
            <w:pPr>
              <w:pStyle w:val="DMETW36639BIPGUARCY"/>
              <w:jc w:val="right"/>
              <w:rPr>
                <w:rFonts w:ascii="Verdana" w:eastAsia="Verdana" w:hAnsi="Verdana" w:cs="Verdana"/>
                <w:i/>
                <w:noProof/>
                <w:color w:val="000000"/>
                <w:sz w:val="18"/>
              </w:rPr>
            </w:pPr>
            <w:r>
              <w:rPr>
                <w:rFonts w:ascii="Verdana" w:hAnsi="Verdana"/>
                <w:i/>
                <w:noProof/>
                <w:color w:val="000000"/>
                <w:sz w:val="18"/>
              </w:rPr>
              <w:t>16 461</w:t>
            </w:r>
          </w:p>
        </w:tc>
        <w:tc>
          <w:tcPr>
            <w:tcW w:w="1174" w:type="dxa"/>
            <w:tcBorders>
              <w:top w:val="nil"/>
              <w:left w:val="nil"/>
              <w:bottom w:val="nil"/>
              <w:right w:val="nil"/>
              <w:tl2br w:val="nil"/>
              <w:tr2bl w:val="nil"/>
            </w:tcBorders>
            <w:tcMar>
              <w:left w:w="60" w:type="dxa"/>
              <w:right w:w="60" w:type="dxa"/>
            </w:tcMar>
            <w:vAlign w:val="bottom"/>
          </w:tcPr>
          <w:p>
            <w:pPr>
              <w:pStyle w:val="DMETW36639BIPGUARCY"/>
              <w:jc w:val="right"/>
              <w:rPr>
                <w:rFonts w:ascii="Verdana" w:eastAsia="Verdana" w:hAnsi="Verdana" w:cs="Verdana"/>
                <w:i/>
                <w:noProof/>
                <w:color w:val="000000"/>
                <w:sz w:val="18"/>
              </w:rPr>
            </w:pPr>
            <w:r>
              <w:rPr>
                <w:rFonts w:ascii="Verdana" w:hAnsi="Verdana"/>
                <w:i/>
                <w:noProof/>
                <w:color w:val="000000"/>
                <w:sz w:val="18"/>
              </w:rPr>
              <w:t>2 949</w:t>
            </w:r>
          </w:p>
        </w:tc>
        <w:tc>
          <w:tcPr>
            <w:tcW w:w="1344" w:type="dxa"/>
            <w:tcBorders>
              <w:top w:val="nil"/>
              <w:left w:val="nil"/>
              <w:bottom w:val="nil"/>
              <w:right w:val="nil"/>
              <w:tl2br w:val="nil"/>
              <w:tr2bl w:val="nil"/>
            </w:tcBorders>
            <w:tcMar>
              <w:left w:w="60" w:type="dxa"/>
              <w:right w:w="60" w:type="dxa"/>
            </w:tcMar>
            <w:vAlign w:val="bottom"/>
          </w:tcPr>
          <w:p>
            <w:pPr>
              <w:pStyle w:val="DMETW36639BIPGUARCY"/>
              <w:jc w:val="right"/>
              <w:rPr>
                <w:rFonts w:ascii="Verdana" w:eastAsia="Verdana" w:hAnsi="Verdana" w:cs="Verdana"/>
                <w:i/>
                <w:noProof/>
                <w:color w:val="000000"/>
                <w:sz w:val="18"/>
              </w:rPr>
            </w:pPr>
            <w:r>
              <w:rPr>
                <w:rFonts w:ascii="Verdana" w:hAnsi="Verdana"/>
                <w:i/>
                <w:noProof/>
                <w:color w:val="000000"/>
                <w:sz w:val="18"/>
              </w:rPr>
              <w:t>3 583</w:t>
            </w:r>
          </w:p>
        </w:tc>
      </w:tr>
      <w:tr>
        <w:trPr>
          <w:trHeight w:hRule="exact" w:val="264"/>
        </w:trPr>
        <w:tc>
          <w:tcPr>
            <w:tcW w:w="4888" w:type="dxa"/>
            <w:tcBorders>
              <w:top w:val="nil"/>
              <w:left w:val="nil"/>
              <w:bottom w:val="nil"/>
              <w:right w:val="nil"/>
              <w:tl2br w:val="nil"/>
              <w:tr2bl w:val="nil"/>
            </w:tcBorders>
            <w:tcMar>
              <w:left w:w="60" w:type="dxa"/>
              <w:right w:w="60" w:type="dxa"/>
            </w:tcMar>
            <w:vAlign w:val="center"/>
          </w:tcPr>
          <w:p>
            <w:pPr>
              <w:pStyle w:val="DMETW36639BIPGUARCY"/>
              <w:rPr>
                <w:rFonts w:ascii="Verdana" w:eastAsia="Verdana" w:hAnsi="Verdana" w:cs="Verdana"/>
                <w:i/>
                <w:noProof/>
                <w:color w:val="000000"/>
                <w:sz w:val="18"/>
              </w:rPr>
            </w:pPr>
            <w:r>
              <w:rPr>
                <w:rFonts w:ascii="Verdana" w:hAnsi="Verdana"/>
                <w:i/>
                <w:noProof/>
                <w:color w:val="000000"/>
                <w:sz w:val="18"/>
              </w:rPr>
              <w:t>Garantie pour l’Ukraine</w:t>
            </w:r>
          </w:p>
        </w:tc>
        <w:tc>
          <w:tcPr>
            <w:tcW w:w="1178" w:type="dxa"/>
            <w:tcBorders>
              <w:top w:val="nil"/>
              <w:left w:val="nil"/>
              <w:bottom w:val="nil"/>
              <w:right w:val="nil"/>
              <w:tl2br w:val="nil"/>
              <w:tr2bl w:val="nil"/>
            </w:tcBorders>
            <w:tcMar>
              <w:left w:w="60" w:type="dxa"/>
              <w:right w:w="60" w:type="dxa"/>
            </w:tcMar>
            <w:vAlign w:val="bottom"/>
          </w:tcPr>
          <w:p>
            <w:pPr>
              <w:pStyle w:val="DMETW36639BIPGUARCY"/>
              <w:jc w:val="right"/>
              <w:rPr>
                <w:rFonts w:ascii="Verdana" w:eastAsia="Verdana" w:hAnsi="Verdana" w:cs="Verdana"/>
                <w:i/>
                <w:noProof/>
                <w:color w:val="000000"/>
                <w:sz w:val="18"/>
              </w:rPr>
            </w:pPr>
            <w:r>
              <w:rPr>
                <w:rFonts w:ascii="Verdana" w:hAnsi="Verdana"/>
                <w:i/>
                <w:noProof/>
                <w:color w:val="000000"/>
                <w:sz w:val="18"/>
              </w:rPr>
              <w:t>3 540</w:t>
            </w:r>
          </w:p>
        </w:tc>
        <w:tc>
          <w:tcPr>
            <w:tcW w:w="1174" w:type="dxa"/>
            <w:tcBorders>
              <w:top w:val="nil"/>
              <w:left w:val="nil"/>
              <w:bottom w:val="nil"/>
              <w:right w:val="nil"/>
              <w:tl2br w:val="nil"/>
              <w:tr2bl w:val="nil"/>
            </w:tcBorders>
            <w:tcMar>
              <w:left w:w="60" w:type="dxa"/>
              <w:right w:w="60" w:type="dxa"/>
            </w:tcMar>
            <w:vAlign w:val="bottom"/>
          </w:tcPr>
          <w:p>
            <w:pPr>
              <w:pStyle w:val="DMETW36639BIPGUARCY"/>
              <w:jc w:val="right"/>
              <w:rPr>
                <w:rFonts w:ascii="Verdana" w:eastAsia="Verdana" w:hAnsi="Verdana" w:cs="Verdana"/>
                <w:i/>
                <w:noProof/>
                <w:color w:val="000000"/>
                <w:sz w:val="18"/>
              </w:rPr>
            </w:pPr>
            <w:r>
              <w:rPr>
                <w:rFonts w:ascii="Verdana" w:hAnsi="Verdana"/>
                <w:i/>
                <w:noProof/>
                <w:color w:val="000000"/>
                <w:sz w:val="18"/>
              </w:rPr>
              <w:t>2 699</w:t>
            </w:r>
          </w:p>
        </w:tc>
        <w:tc>
          <w:tcPr>
            <w:tcW w:w="1174" w:type="dxa"/>
            <w:tcBorders>
              <w:top w:val="nil"/>
              <w:left w:val="nil"/>
              <w:bottom w:val="nil"/>
              <w:right w:val="nil"/>
              <w:tl2br w:val="nil"/>
              <w:tr2bl w:val="nil"/>
            </w:tcBorders>
            <w:tcMar>
              <w:left w:w="60" w:type="dxa"/>
              <w:right w:w="60" w:type="dxa"/>
            </w:tcMar>
            <w:vAlign w:val="bottom"/>
          </w:tcPr>
          <w:p>
            <w:pPr>
              <w:pStyle w:val="DMETW36639BIPGUARCY"/>
              <w:jc w:val="right"/>
              <w:rPr>
                <w:rFonts w:ascii="Verdana" w:eastAsia="Verdana" w:hAnsi="Verdana" w:cs="Verdana"/>
                <w:i/>
                <w:noProof/>
                <w:color w:val="000000"/>
                <w:sz w:val="18"/>
              </w:rPr>
            </w:pPr>
            <w:r>
              <w:rPr>
                <w:rFonts w:ascii="Verdana" w:hAnsi="Verdana"/>
                <w:i/>
                <w:noProof/>
                <w:color w:val="000000"/>
                <w:sz w:val="18"/>
              </w:rPr>
              <w:t>1 181</w:t>
            </w:r>
          </w:p>
        </w:tc>
        <w:tc>
          <w:tcPr>
            <w:tcW w:w="1344" w:type="dxa"/>
            <w:tcBorders>
              <w:top w:val="nil"/>
              <w:left w:val="nil"/>
              <w:bottom w:val="nil"/>
              <w:right w:val="nil"/>
              <w:tl2br w:val="nil"/>
              <w:tr2bl w:val="nil"/>
            </w:tcBorders>
            <w:tcMar>
              <w:left w:w="60" w:type="dxa"/>
              <w:right w:w="60" w:type="dxa"/>
            </w:tcMar>
            <w:vAlign w:val="bottom"/>
          </w:tcPr>
          <w:p>
            <w:pPr>
              <w:pStyle w:val="DMETW36639BIPGUARCY"/>
              <w:jc w:val="right"/>
              <w:rPr>
                <w:rFonts w:ascii="Verdana" w:eastAsia="Verdana" w:hAnsi="Verdana" w:cs="Verdana"/>
                <w:i/>
                <w:noProof/>
                <w:color w:val="000000"/>
                <w:sz w:val="18"/>
              </w:rPr>
            </w:pPr>
            <w:r>
              <w:rPr>
                <w:rFonts w:ascii="Verdana" w:hAnsi="Verdana"/>
                <w:i/>
                <w:noProof/>
                <w:color w:val="000000"/>
                <w:sz w:val="18"/>
              </w:rPr>
              <w:t xml:space="preserve"> 614</w:t>
            </w:r>
          </w:p>
        </w:tc>
      </w:tr>
      <w:tr>
        <w:trPr>
          <w:trHeight w:hRule="exact" w:val="250"/>
        </w:trPr>
        <w:tc>
          <w:tcPr>
            <w:tcW w:w="4888" w:type="dxa"/>
            <w:tcBorders>
              <w:top w:val="nil"/>
              <w:left w:val="nil"/>
              <w:bottom w:val="nil"/>
              <w:right w:val="nil"/>
              <w:tl2br w:val="nil"/>
              <w:tr2bl w:val="nil"/>
            </w:tcBorders>
            <w:shd w:val="solid" w:color="CCE1EA" w:fill="FFFFFF"/>
            <w:tcMar>
              <w:left w:w="60" w:type="dxa"/>
              <w:right w:w="60" w:type="dxa"/>
            </w:tcMar>
            <w:vAlign w:val="center"/>
          </w:tcPr>
          <w:p>
            <w:pPr>
              <w:pStyle w:val="DMETW36639BIPGUARCY"/>
              <w:rPr>
                <w:rFonts w:ascii="Verdana" w:eastAsia="Verdana" w:hAnsi="Verdana" w:cs="Verdana"/>
                <w:b/>
                <w:noProof/>
                <w:color w:val="000000"/>
                <w:sz w:val="18"/>
              </w:rPr>
            </w:pPr>
            <w:r>
              <w:rPr>
                <w:rFonts w:ascii="Verdana" w:hAnsi="Verdana"/>
                <w:b/>
                <w:noProof/>
                <w:color w:val="000000"/>
                <w:sz w:val="18"/>
              </w:rPr>
              <w:t>Total</w:t>
            </w:r>
          </w:p>
        </w:tc>
        <w:tc>
          <w:tcPr>
            <w:tcW w:w="1178" w:type="dxa"/>
            <w:tcBorders>
              <w:top w:val="nil"/>
              <w:left w:val="nil"/>
              <w:bottom w:val="nil"/>
              <w:right w:val="nil"/>
              <w:tl2br w:val="nil"/>
              <w:tr2bl w:val="nil"/>
            </w:tcBorders>
            <w:shd w:val="solid" w:color="CCE1EA" w:fill="FFFFFF"/>
            <w:tcMar>
              <w:left w:w="60" w:type="dxa"/>
              <w:right w:w="60" w:type="dxa"/>
            </w:tcMar>
            <w:vAlign w:val="center"/>
          </w:tcPr>
          <w:p>
            <w:pPr>
              <w:pStyle w:val="DMETW36639BIPGUARCY"/>
              <w:jc w:val="right"/>
              <w:rPr>
                <w:rFonts w:ascii="Verdana" w:eastAsia="Verdana" w:hAnsi="Verdana" w:cs="Verdana"/>
                <w:b/>
                <w:noProof/>
                <w:color w:val="000000"/>
                <w:sz w:val="18"/>
              </w:rPr>
            </w:pPr>
            <w:r>
              <w:rPr>
                <w:rFonts w:ascii="Verdana" w:hAnsi="Verdana"/>
                <w:b/>
                <w:noProof/>
                <w:color w:val="000000"/>
                <w:sz w:val="18"/>
              </w:rPr>
              <w:t>112 556</w:t>
            </w:r>
          </w:p>
        </w:tc>
        <w:tc>
          <w:tcPr>
            <w:tcW w:w="1174" w:type="dxa"/>
            <w:tcBorders>
              <w:top w:val="nil"/>
              <w:left w:val="nil"/>
              <w:bottom w:val="nil"/>
              <w:right w:val="nil"/>
              <w:tl2br w:val="nil"/>
              <w:tr2bl w:val="nil"/>
            </w:tcBorders>
            <w:shd w:val="solid" w:color="CCE1EA" w:fill="FFFFFF"/>
            <w:tcMar>
              <w:left w:w="60" w:type="dxa"/>
              <w:right w:w="60" w:type="dxa"/>
            </w:tcMar>
            <w:vAlign w:val="center"/>
          </w:tcPr>
          <w:p>
            <w:pPr>
              <w:pStyle w:val="DMETW36639BIPGUARCY"/>
              <w:jc w:val="right"/>
              <w:rPr>
                <w:rFonts w:ascii="Verdana" w:eastAsia="Verdana" w:hAnsi="Verdana" w:cs="Verdana"/>
                <w:b/>
                <w:noProof/>
                <w:color w:val="000000"/>
                <w:sz w:val="18"/>
              </w:rPr>
            </w:pPr>
            <w:r>
              <w:rPr>
                <w:rFonts w:ascii="Verdana" w:hAnsi="Verdana"/>
                <w:b/>
                <w:noProof/>
                <w:color w:val="000000"/>
                <w:sz w:val="18"/>
              </w:rPr>
              <w:t>77 580</w:t>
            </w:r>
          </w:p>
        </w:tc>
        <w:tc>
          <w:tcPr>
            <w:tcW w:w="1174" w:type="dxa"/>
            <w:tcBorders>
              <w:top w:val="nil"/>
              <w:left w:val="nil"/>
              <w:bottom w:val="nil"/>
              <w:right w:val="nil"/>
              <w:tl2br w:val="nil"/>
              <w:tr2bl w:val="nil"/>
            </w:tcBorders>
            <w:shd w:val="solid" w:color="CCE1EA" w:fill="FFFFFF"/>
            <w:tcMar>
              <w:left w:w="60" w:type="dxa"/>
              <w:right w:w="60" w:type="dxa"/>
            </w:tcMar>
            <w:vAlign w:val="center"/>
          </w:tcPr>
          <w:p>
            <w:pPr>
              <w:pStyle w:val="DMETW36639BIPGUARCY"/>
              <w:jc w:val="right"/>
              <w:rPr>
                <w:rFonts w:ascii="Verdana" w:eastAsia="Verdana" w:hAnsi="Verdana" w:cs="Verdana"/>
                <w:b/>
                <w:noProof/>
                <w:color w:val="000000"/>
                <w:sz w:val="18"/>
              </w:rPr>
            </w:pPr>
            <w:r>
              <w:rPr>
                <w:rFonts w:ascii="Verdana" w:hAnsi="Verdana"/>
                <w:b/>
                <w:noProof/>
                <w:color w:val="000000"/>
                <w:sz w:val="18"/>
              </w:rPr>
              <w:t>47 399</w:t>
            </w:r>
          </w:p>
        </w:tc>
        <w:tc>
          <w:tcPr>
            <w:tcW w:w="1344" w:type="dxa"/>
            <w:tcBorders>
              <w:top w:val="nil"/>
              <w:left w:val="nil"/>
              <w:bottom w:val="nil"/>
              <w:right w:val="nil"/>
              <w:tl2br w:val="nil"/>
              <w:tr2bl w:val="nil"/>
            </w:tcBorders>
            <w:shd w:val="solid" w:color="CCE1EA" w:fill="FFFFFF"/>
            <w:tcMar>
              <w:left w:w="60" w:type="dxa"/>
              <w:right w:w="60" w:type="dxa"/>
            </w:tcMar>
            <w:vAlign w:val="center"/>
          </w:tcPr>
          <w:p>
            <w:pPr>
              <w:pStyle w:val="DMETW36639BIPGUARCY"/>
              <w:jc w:val="right"/>
              <w:rPr>
                <w:rFonts w:ascii="Verdana" w:eastAsia="Verdana" w:hAnsi="Verdana" w:cs="Verdana"/>
                <w:b/>
                <w:noProof/>
                <w:color w:val="000000"/>
                <w:sz w:val="18"/>
              </w:rPr>
            </w:pPr>
            <w:r>
              <w:rPr>
                <w:rFonts w:ascii="Verdana" w:hAnsi="Verdana"/>
                <w:b/>
                <w:noProof/>
                <w:color w:val="000000"/>
                <w:sz w:val="18"/>
              </w:rPr>
              <w:t>26 681</w:t>
            </w:r>
          </w:p>
        </w:tc>
      </w:tr>
    </w:tbl>
    <w:p>
      <w:pPr>
        <w:pStyle w:val="Textstand-alone"/>
        <w:spacing w:before="120"/>
        <w:ind w:left="113" w:hanging="113"/>
        <w:jc w:val="left"/>
      </w:pPr>
      <w:r>
        <w:rPr>
          <w:i/>
          <w:sz w:val="14"/>
          <w:vertAlign w:val="superscript"/>
        </w:rPr>
        <w:t>*</w:t>
      </w:r>
      <w:r>
        <w:rPr>
          <w:i/>
          <w:sz w:val="14"/>
        </w:rPr>
        <w:t xml:space="preserve"> </w:t>
      </w:r>
      <w:bookmarkStart w:id="204" w:name="_Hlk168047288"/>
      <w:r>
        <w:rPr>
          <w:i/>
          <w:sz w:val="14"/>
        </w:rPr>
        <w:t>Les 3,5 milliards d’EUR d’actifs provisionnés pour les garanties du mandat de prêt extérieur de la BEI couvrent aussi les anciens prêts et emprunts AMF et Euratom (voir note 2.4.1.1).</w:t>
      </w:r>
      <w:bookmarkEnd w:id="2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93"/>
        <w:gridCol w:w="1180"/>
        <w:gridCol w:w="1175"/>
        <w:gridCol w:w="1175"/>
        <w:gridCol w:w="1335"/>
      </w:tblGrid>
      <w:tr>
        <w:trPr>
          <w:trHeight w:hRule="exact" w:val="255"/>
        </w:trPr>
        <w:tc>
          <w:tcPr>
            <w:tcW w:w="4893" w:type="dxa"/>
            <w:tcBorders>
              <w:top w:val="nil"/>
              <w:left w:val="nil"/>
              <w:bottom w:val="nil"/>
              <w:right w:val="nil"/>
              <w:tl2br w:val="nil"/>
              <w:tr2bl w:val="nil"/>
            </w:tcBorders>
            <w:tcMar>
              <w:left w:w="60" w:type="dxa"/>
              <w:right w:w="60" w:type="dxa"/>
            </w:tcMar>
            <w:vAlign w:val="bottom"/>
          </w:tcPr>
          <w:p>
            <w:pPr>
              <w:pStyle w:val="DMETW36639BIPGUARPY"/>
              <w:rPr>
                <w:rFonts w:ascii="Arial" w:eastAsia="Arial" w:hAnsi="Arial" w:cs="Arial"/>
                <w:noProof/>
                <w:color w:val="000000"/>
              </w:rPr>
            </w:pPr>
            <w:bookmarkStart w:id="205" w:name="DOC_TBL00080_1_1"/>
            <w:bookmarkEnd w:id="205"/>
          </w:p>
        </w:tc>
        <w:tc>
          <w:tcPr>
            <w:tcW w:w="1180" w:type="dxa"/>
            <w:tcBorders>
              <w:top w:val="nil"/>
              <w:left w:val="nil"/>
              <w:bottom w:val="nil"/>
              <w:right w:val="nil"/>
              <w:tl2br w:val="nil"/>
              <w:tr2bl w:val="nil"/>
            </w:tcBorders>
            <w:tcMar>
              <w:left w:w="60" w:type="dxa"/>
              <w:right w:w="60" w:type="dxa"/>
            </w:tcMar>
            <w:vAlign w:val="bottom"/>
          </w:tcPr>
          <w:p>
            <w:pPr>
              <w:pStyle w:val="DMETW36639BIPGUARPY"/>
              <w:rPr>
                <w:rFonts w:ascii="Arial" w:eastAsia="Arial" w:hAnsi="Arial" w:cs="Arial"/>
                <w:noProof/>
                <w:color w:val="000000"/>
              </w:rPr>
            </w:pPr>
          </w:p>
        </w:tc>
        <w:tc>
          <w:tcPr>
            <w:tcW w:w="1175" w:type="dxa"/>
            <w:tcBorders>
              <w:top w:val="nil"/>
              <w:left w:val="nil"/>
              <w:bottom w:val="nil"/>
              <w:right w:val="nil"/>
              <w:tl2br w:val="nil"/>
              <w:tr2bl w:val="nil"/>
            </w:tcBorders>
            <w:tcMar>
              <w:left w:w="60" w:type="dxa"/>
              <w:right w:w="60" w:type="dxa"/>
            </w:tcMar>
            <w:vAlign w:val="bottom"/>
          </w:tcPr>
          <w:p>
            <w:pPr>
              <w:pStyle w:val="DMETW36639BIPGUARPY"/>
              <w:rPr>
                <w:rFonts w:ascii="Arial" w:eastAsia="Arial" w:hAnsi="Arial" w:cs="Arial"/>
                <w:noProof/>
                <w:color w:val="000000"/>
              </w:rPr>
            </w:pPr>
          </w:p>
        </w:tc>
        <w:tc>
          <w:tcPr>
            <w:tcW w:w="1175" w:type="dxa"/>
            <w:tcBorders>
              <w:top w:val="nil"/>
              <w:left w:val="nil"/>
              <w:bottom w:val="nil"/>
              <w:right w:val="nil"/>
              <w:tl2br w:val="nil"/>
              <w:tr2bl w:val="nil"/>
            </w:tcBorders>
            <w:tcMar>
              <w:left w:w="60" w:type="dxa"/>
              <w:right w:w="60" w:type="dxa"/>
            </w:tcMar>
            <w:vAlign w:val="bottom"/>
          </w:tcPr>
          <w:p>
            <w:pPr>
              <w:pStyle w:val="DMETW36639BIPGUARPY"/>
              <w:jc w:val="right"/>
              <w:rPr>
                <w:rFonts w:ascii="Verdana" w:eastAsia="Verdana" w:hAnsi="Verdana" w:cs="Verdana"/>
                <w:i/>
                <w:noProof/>
                <w:color w:val="000000"/>
                <w:sz w:val="16"/>
              </w:rPr>
            </w:pPr>
          </w:p>
        </w:tc>
        <w:tc>
          <w:tcPr>
            <w:tcW w:w="1335" w:type="dxa"/>
            <w:tcBorders>
              <w:top w:val="nil"/>
              <w:left w:val="nil"/>
              <w:bottom w:val="nil"/>
              <w:right w:val="nil"/>
              <w:tl2br w:val="nil"/>
              <w:tr2bl w:val="nil"/>
            </w:tcBorders>
            <w:tcMar>
              <w:left w:w="60" w:type="dxa"/>
              <w:right w:w="60" w:type="dxa"/>
            </w:tcMar>
            <w:vAlign w:val="bottom"/>
          </w:tcPr>
          <w:p>
            <w:pPr>
              <w:pStyle w:val="DMETW36639BIPGUARPY"/>
              <w:jc w:val="right"/>
              <w:rPr>
                <w:rFonts w:ascii="Verdana" w:eastAsia="Verdana" w:hAnsi="Verdana" w:cs="Verdana"/>
                <w:i/>
                <w:noProof/>
                <w:color w:val="000000"/>
                <w:sz w:val="16"/>
              </w:rPr>
            </w:pPr>
            <w:r>
              <w:rPr>
                <w:rFonts w:ascii="Verdana" w:hAnsi="Verdana"/>
                <w:i/>
                <w:noProof/>
                <w:color w:val="000000"/>
                <w:sz w:val="16"/>
              </w:rPr>
              <w:t>en Mio EUR</w:t>
            </w:r>
          </w:p>
        </w:tc>
      </w:tr>
      <w:tr>
        <w:trPr>
          <w:trHeight w:hRule="exact" w:val="255"/>
        </w:trPr>
        <w:tc>
          <w:tcPr>
            <w:tcW w:w="4893" w:type="dxa"/>
            <w:tcBorders>
              <w:top w:val="nil"/>
              <w:left w:val="nil"/>
              <w:bottom w:val="nil"/>
              <w:right w:val="nil"/>
              <w:tl2br w:val="nil"/>
              <w:tr2bl w:val="nil"/>
            </w:tcBorders>
            <w:shd w:val="solid" w:color="016794" w:fill="FFFFFF"/>
            <w:tcMar>
              <w:left w:w="60" w:type="dxa"/>
              <w:right w:w="60" w:type="dxa"/>
            </w:tcMar>
            <w:vAlign w:val="center"/>
          </w:tcPr>
          <w:p>
            <w:pPr>
              <w:pStyle w:val="DMETW36639BIPGUARPY"/>
              <w:jc w:val="center"/>
              <w:rPr>
                <w:rFonts w:ascii="Verdana" w:eastAsia="Verdana" w:hAnsi="Verdana" w:cs="Verdana"/>
                <w:noProof/>
                <w:color w:val="FFFFFF"/>
              </w:rPr>
            </w:pPr>
          </w:p>
        </w:tc>
        <w:tc>
          <w:tcPr>
            <w:tcW w:w="1180" w:type="dxa"/>
            <w:gridSpan w:val="4"/>
            <w:tcBorders>
              <w:top w:val="nil"/>
              <w:left w:val="nil"/>
              <w:bottom w:val="nil"/>
              <w:right w:val="nil"/>
              <w:tl2br w:val="nil"/>
              <w:tr2bl w:val="nil"/>
            </w:tcBorders>
            <w:shd w:val="solid" w:color="016794" w:fill="FFFFFF"/>
            <w:tcMar>
              <w:left w:w="60" w:type="dxa"/>
              <w:right w:w="60" w:type="dxa"/>
            </w:tcMar>
            <w:vAlign w:val="center"/>
          </w:tcPr>
          <w:p>
            <w:pPr>
              <w:pStyle w:val="DMETW36639BIPGUARPY"/>
              <w:jc w:val="center"/>
              <w:rPr>
                <w:rFonts w:ascii="Verdana" w:eastAsia="Verdana" w:hAnsi="Verdana" w:cs="Verdana"/>
                <w:noProof/>
                <w:color w:val="FFFFFF"/>
              </w:rPr>
            </w:pPr>
            <w:r>
              <w:rPr>
                <w:rFonts w:ascii="Verdana" w:hAnsi="Verdana"/>
                <w:noProof/>
                <w:color w:val="FFFFFF"/>
              </w:rPr>
              <w:t>31.12.2024</w:t>
            </w:r>
          </w:p>
        </w:tc>
      </w:tr>
      <w:tr>
        <w:trPr>
          <w:trHeight w:hRule="exact" w:val="255"/>
        </w:trPr>
        <w:tc>
          <w:tcPr>
            <w:tcW w:w="4893" w:type="dxa"/>
            <w:tcBorders>
              <w:top w:val="nil"/>
              <w:left w:val="nil"/>
              <w:bottom w:val="nil"/>
              <w:right w:val="nil"/>
              <w:tl2br w:val="nil"/>
              <w:tr2bl w:val="nil"/>
            </w:tcBorders>
            <w:shd w:val="solid" w:color="016794" w:fill="FFFFFF"/>
            <w:tcMar>
              <w:left w:w="60" w:type="dxa"/>
              <w:right w:w="60" w:type="dxa"/>
            </w:tcMar>
            <w:vAlign w:val="center"/>
          </w:tcPr>
          <w:p>
            <w:pPr>
              <w:pStyle w:val="DMETW36639BIPGUARPY"/>
              <w:jc w:val="center"/>
              <w:rPr>
                <w:rFonts w:ascii="Verdana" w:eastAsia="Verdana" w:hAnsi="Verdana" w:cs="Verdana"/>
                <w:noProof/>
                <w:color w:val="FFFFFF"/>
              </w:rPr>
            </w:pPr>
          </w:p>
        </w:tc>
        <w:tc>
          <w:tcPr>
            <w:tcW w:w="1180" w:type="dxa"/>
            <w:gridSpan w:val="3"/>
            <w:tcBorders>
              <w:top w:val="nil"/>
              <w:left w:val="nil"/>
              <w:bottom w:val="nil"/>
              <w:right w:val="nil"/>
              <w:tl2br w:val="nil"/>
              <w:tr2bl w:val="nil"/>
            </w:tcBorders>
            <w:shd w:val="solid" w:color="016794" w:fill="FFFFFF"/>
            <w:tcMar>
              <w:left w:w="60" w:type="dxa"/>
              <w:right w:w="60" w:type="dxa"/>
            </w:tcMar>
            <w:vAlign w:val="center"/>
          </w:tcPr>
          <w:p>
            <w:pPr>
              <w:pStyle w:val="DMETW36639BIPGUARPY"/>
              <w:jc w:val="center"/>
              <w:rPr>
                <w:rFonts w:ascii="Verdana" w:eastAsia="Verdana" w:hAnsi="Verdana" w:cs="Verdana"/>
                <w:noProof/>
                <w:color w:val="FFFFFF"/>
              </w:rPr>
            </w:pPr>
            <w:r>
              <w:rPr>
                <w:rFonts w:ascii="Verdana" w:hAnsi="Verdana"/>
                <w:noProof/>
                <w:color w:val="FFFFFF"/>
              </w:rPr>
              <w:t>Garanties fournies</w:t>
            </w:r>
          </w:p>
        </w:tc>
        <w:tc>
          <w:tcPr>
            <w:tcW w:w="1335"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639BIPGUARPY"/>
              <w:jc w:val="center"/>
              <w:rPr>
                <w:rFonts w:ascii="Verdana" w:eastAsia="Verdana" w:hAnsi="Verdana" w:cs="Verdana"/>
                <w:noProof/>
                <w:color w:val="FFFFFF"/>
                <w:sz w:val="18"/>
              </w:rPr>
            </w:pPr>
            <w:r>
              <w:rPr>
                <w:rFonts w:ascii="Verdana" w:hAnsi="Verdana"/>
                <w:noProof/>
                <w:color w:val="FFFFFF"/>
                <w:sz w:val="18"/>
              </w:rPr>
              <w:t>Actifs provisionnés *</w:t>
            </w:r>
          </w:p>
        </w:tc>
      </w:tr>
      <w:tr>
        <w:trPr>
          <w:trHeight w:hRule="exact" w:val="255"/>
        </w:trPr>
        <w:tc>
          <w:tcPr>
            <w:tcW w:w="4893" w:type="dxa"/>
            <w:tcBorders>
              <w:top w:val="nil"/>
              <w:left w:val="nil"/>
              <w:bottom w:val="nil"/>
              <w:right w:val="nil"/>
              <w:tl2br w:val="nil"/>
              <w:tr2bl w:val="nil"/>
            </w:tcBorders>
            <w:shd w:val="solid" w:color="016794" w:fill="FFFFFF"/>
            <w:tcMar>
              <w:left w:w="60" w:type="dxa"/>
              <w:right w:w="60" w:type="dxa"/>
            </w:tcMar>
            <w:vAlign w:val="center"/>
          </w:tcPr>
          <w:p>
            <w:pPr>
              <w:pStyle w:val="DMETW36639BIPGUARPY"/>
              <w:jc w:val="center"/>
              <w:rPr>
                <w:rFonts w:ascii="Verdana" w:eastAsia="Verdana" w:hAnsi="Verdana" w:cs="Verdana"/>
                <w:noProof/>
                <w:color w:val="FFFFFF"/>
              </w:rPr>
            </w:pPr>
          </w:p>
        </w:tc>
        <w:tc>
          <w:tcPr>
            <w:tcW w:w="1180" w:type="dxa"/>
            <w:tcBorders>
              <w:top w:val="nil"/>
              <w:left w:val="nil"/>
              <w:bottom w:val="nil"/>
              <w:right w:val="nil"/>
              <w:tl2br w:val="nil"/>
              <w:tr2bl w:val="nil"/>
            </w:tcBorders>
            <w:shd w:val="solid" w:color="016794" w:fill="FFFFFF"/>
            <w:tcMar>
              <w:left w:w="60" w:type="dxa"/>
              <w:right w:w="60" w:type="dxa"/>
            </w:tcMar>
            <w:vAlign w:val="center"/>
          </w:tcPr>
          <w:p>
            <w:pPr>
              <w:pStyle w:val="DMETW36639BIPGUARPY"/>
              <w:jc w:val="right"/>
              <w:rPr>
                <w:rFonts w:ascii="Verdana" w:eastAsia="Verdana" w:hAnsi="Verdana" w:cs="Verdana"/>
                <w:noProof/>
                <w:color w:val="FFFFFF"/>
                <w:sz w:val="18"/>
              </w:rPr>
            </w:pPr>
            <w:r>
              <w:rPr>
                <w:rFonts w:ascii="Verdana" w:hAnsi="Verdana"/>
                <w:noProof/>
                <w:color w:val="FFFFFF"/>
                <w:sz w:val="18"/>
              </w:rPr>
              <w:t>Plafond</w:t>
            </w:r>
          </w:p>
        </w:tc>
        <w:tc>
          <w:tcPr>
            <w:tcW w:w="1175" w:type="dxa"/>
            <w:tcBorders>
              <w:top w:val="nil"/>
              <w:left w:val="nil"/>
              <w:bottom w:val="nil"/>
              <w:right w:val="nil"/>
              <w:tl2br w:val="nil"/>
              <w:tr2bl w:val="nil"/>
            </w:tcBorders>
            <w:shd w:val="solid" w:color="016794" w:fill="FFFFFF"/>
            <w:tcMar>
              <w:left w:w="60" w:type="dxa"/>
              <w:right w:w="60" w:type="dxa"/>
            </w:tcMar>
            <w:vAlign w:val="center"/>
          </w:tcPr>
          <w:p>
            <w:pPr>
              <w:pStyle w:val="DMETW36639BIPGUARPY"/>
              <w:jc w:val="right"/>
              <w:rPr>
                <w:rFonts w:ascii="Verdana" w:eastAsia="Verdana" w:hAnsi="Verdana" w:cs="Verdana"/>
                <w:noProof/>
                <w:color w:val="FFFFFF"/>
                <w:sz w:val="18"/>
              </w:rPr>
            </w:pPr>
            <w:r>
              <w:rPr>
                <w:rFonts w:ascii="Verdana" w:hAnsi="Verdana"/>
                <w:noProof/>
                <w:color w:val="FFFFFF"/>
                <w:sz w:val="18"/>
              </w:rPr>
              <w:t>Signés</w:t>
            </w:r>
          </w:p>
        </w:tc>
        <w:tc>
          <w:tcPr>
            <w:tcW w:w="1175" w:type="dxa"/>
            <w:tcBorders>
              <w:top w:val="nil"/>
              <w:left w:val="nil"/>
              <w:bottom w:val="nil"/>
              <w:right w:val="nil"/>
              <w:tl2br w:val="nil"/>
              <w:tr2bl w:val="nil"/>
            </w:tcBorders>
            <w:shd w:val="solid" w:color="016794" w:fill="FFFFFF"/>
            <w:tcMar>
              <w:left w:w="60" w:type="dxa"/>
              <w:right w:w="60" w:type="dxa"/>
            </w:tcMar>
            <w:vAlign w:val="center"/>
          </w:tcPr>
          <w:p>
            <w:pPr>
              <w:pStyle w:val="DMETW36639BIPGUARPY"/>
              <w:jc w:val="right"/>
              <w:rPr>
                <w:rFonts w:ascii="Verdana" w:eastAsia="Verdana" w:hAnsi="Verdana" w:cs="Verdana"/>
                <w:noProof/>
                <w:color w:val="FFFFFF"/>
                <w:sz w:val="18"/>
              </w:rPr>
            </w:pPr>
            <w:r>
              <w:rPr>
                <w:rFonts w:ascii="Verdana" w:hAnsi="Verdana"/>
                <w:noProof/>
                <w:color w:val="FFFFFF"/>
                <w:sz w:val="18"/>
              </w:rPr>
              <w:t>Décaissés</w:t>
            </w:r>
          </w:p>
        </w:tc>
        <w:tc>
          <w:tcPr>
            <w:tcW w:w="1335" w:type="dxa"/>
            <w:vMerge/>
            <w:tcBorders>
              <w:top w:val="nil"/>
              <w:left w:val="nil"/>
              <w:bottom w:val="nil"/>
              <w:right w:val="nil"/>
              <w:tl2br w:val="nil"/>
              <w:tr2bl w:val="nil"/>
            </w:tcBorders>
            <w:shd w:val="solid" w:color="016794" w:fill="FFFFFF"/>
            <w:tcMar>
              <w:left w:w="60" w:type="dxa"/>
              <w:right w:w="60" w:type="dxa"/>
            </w:tcMar>
            <w:vAlign w:val="center"/>
          </w:tcPr>
          <w:p>
            <w:pPr>
              <w:pStyle w:val="DMETW36639BIPGUARPY"/>
              <w:jc w:val="center"/>
              <w:rPr>
                <w:rFonts w:ascii="Verdana" w:eastAsia="Verdana" w:hAnsi="Verdana" w:cs="Verdana"/>
                <w:noProof/>
                <w:color w:val="FFFFFF"/>
                <w:sz w:val="18"/>
              </w:rPr>
            </w:pPr>
          </w:p>
        </w:tc>
      </w:tr>
      <w:tr>
        <w:trPr>
          <w:trHeight w:hRule="exact" w:val="255"/>
        </w:trPr>
        <w:tc>
          <w:tcPr>
            <w:tcW w:w="4893" w:type="dxa"/>
            <w:tcBorders>
              <w:top w:val="nil"/>
              <w:left w:val="nil"/>
              <w:bottom w:val="nil"/>
              <w:right w:val="nil"/>
              <w:tl2br w:val="nil"/>
              <w:tr2bl w:val="nil"/>
            </w:tcBorders>
            <w:tcMar>
              <w:left w:w="60" w:type="dxa"/>
              <w:right w:w="60" w:type="dxa"/>
            </w:tcMar>
            <w:vAlign w:val="center"/>
          </w:tcPr>
          <w:p>
            <w:pPr>
              <w:pStyle w:val="DMETW36639BIPGUARPY"/>
              <w:rPr>
                <w:rFonts w:ascii="Verdana" w:eastAsia="Verdana" w:hAnsi="Verdana" w:cs="Verdana"/>
                <w:i/>
                <w:noProof/>
                <w:color w:val="000000"/>
                <w:sz w:val="18"/>
              </w:rPr>
            </w:pPr>
            <w:r>
              <w:rPr>
                <w:rFonts w:ascii="Verdana" w:hAnsi="Verdana"/>
                <w:i/>
                <w:noProof/>
                <w:color w:val="000000"/>
                <w:sz w:val="18"/>
              </w:rPr>
              <w:t>Garanties MPE de la BEI</w:t>
            </w:r>
          </w:p>
        </w:tc>
        <w:tc>
          <w:tcPr>
            <w:tcW w:w="1180" w:type="dxa"/>
            <w:tcBorders>
              <w:top w:val="nil"/>
              <w:left w:val="nil"/>
              <w:bottom w:val="nil"/>
              <w:right w:val="nil"/>
              <w:tl2br w:val="nil"/>
              <w:tr2bl w:val="nil"/>
            </w:tcBorders>
            <w:tcMar>
              <w:left w:w="60" w:type="dxa"/>
              <w:right w:w="60" w:type="dxa"/>
            </w:tcMar>
            <w:vAlign w:val="bottom"/>
          </w:tcPr>
          <w:p>
            <w:pPr>
              <w:pStyle w:val="DMETW36639BIPGUARPY"/>
              <w:jc w:val="right"/>
              <w:rPr>
                <w:rFonts w:ascii="Verdana" w:eastAsia="Verdana" w:hAnsi="Verdana" w:cs="Verdana"/>
                <w:i/>
                <w:noProof/>
                <w:color w:val="000000"/>
                <w:sz w:val="18"/>
              </w:rPr>
            </w:pPr>
            <w:r>
              <w:rPr>
                <w:rFonts w:ascii="Verdana" w:hAnsi="Verdana"/>
                <w:i/>
                <w:noProof/>
                <w:color w:val="000000"/>
                <w:sz w:val="18"/>
              </w:rPr>
              <w:t>25 772</w:t>
            </w:r>
          </w:p>
        </w:tc>
        <w:tc>
          <w:tcPr>
            <w:tcW w:w="1175" w:type="dxa"/>
            <w:tcBorders>
              <w:top w:val="nil"/>
              <w:left w:val="nil"/>
              <w:bottom w:val="nil"/>
              <w:right w:val="nil"/>
              <w:tl2br w:val="nil"/>
              <w:tr2bl w:val="nil"/>
            </w:tcBorders>
            <w:tcMar>
              <w:left w:w="60" w:type="dxa"/>
              <w:right w:w="60" w:type="dxa"/>
            </w:tcMar>
            <w:vAlign w:val="bottom"/>
          </w:tcPr>
          <w:p>
            <w:pPr>
              <w:pStyle w:val="DMETW36639BIPGUARPY"/>
              <w:jc w:val="right"/>
              <w:rPr>
                <w:rFonts w:ascii="Verdana" w:eastAsia="Verdana" w:hAnsi="Verdana" w:cs="Verdana"/>
                <w:i/>
                <w:noProof/>
                <w:color w:val="000000"/>
                <w:sz w:val="18"/>
              </w:rPr>
            </w:pPr>
            <w:r>
              <w:rPr>
                <w:rFonts w:ascii="Verdana" w:hAnsi="Verdana"/>
                <w:i/>
                <w:noProof/>
                <w:color w:val="000000"/>
                <w:sz w:val="18"/>
              </w:rPr>
              <w:t>25 772</w:t>
            </w:r>
          </w:p>
        </w:tc>
        <w:tc>
          <w:tcPr>
            <w:tcW w:w="1175" w:type="dxa"/>
            <w:tcBorders>
              <w:top w:val="nil"/>
              <w:left w:val="nil"/>
              <w:bottom w:val="nil"/>
              <w:right w:val="nil"/>
              <w:tl2br w:val="nil"/>
              <w:tr2bl w:val="nil"/>
            </w:tcBorders>
            <w:tcMar>
              <w:left w:w="60" w:type="dxa"/>
              <w:right w:w="60" w:type="dxa"/>
            </w:tcMar>
            <w:vAlign w:val="bottom"/>
          </w:tcPr>
          <w:p>
            <w:pPr>
              <w:pStyle w:val="DMETW36639BIPGUARPY"/>
              <w:jc w:val="right"/>
              <w:rPr>
                <w:rFonts w:ascii="Verdana" w:eastAsia="Verdana" w:hAnsi="Verdana" w:cs="Verdana"/>
                <w:i/>
                <w:noProof/>
                <w:color w:val="000000"/>
                <w:sz w:val="18"/>
              </w:rPr>
            </w:pPr>
            <w:r>
              <w:rPr>
                <w:rFonts w:ascii="Verdana" w:hAnsi="Verdana"/>
                <w:i/>
                <w:noProof/>
                <w:color w:val="000000"/>
                <w:sz w:val="18"/>
              </w:rPr>
              <w:t>19 184</w:t>
            </w:r>
          </w:p>
        </w:tc>
        <w:tc>
          <w:tcPr>
            <w:tcW w:w="1335" w:type="dxa"/>
            <w:tcBorders>
              <w:top w:val="nil"/>
              <w:left w:val="nil"/>
              <w:bottom w:val="nil"/>
              <w:right w:val="nil"/>
              <w:tl2br w:val="nil"/>
              <w:tr2bl w:val="nil"/>
            </w:tcBorders>
            <w:tcMar>
              <w:left w:w="60" w:type="dxa"/>
              <w:right w:w="60" w:type="dxa"/>
            </w:tcMar>
            <w:vAlign w:val="bottom"/>
          </w:tcPr>
          <w:p>
            <w:pPr>
              <w:pStyle w:val="DMETW36639BIPGUARPY"/>
              <w:jc w:val="right"/>
              <w:rPr>
                <w:rFonts w:ascii="Verdana" w:eastAsia="Verdana" w:hAnsi="Verdana" w:cs="Verdana"/>
                <w:i/>
                <w:noProof/>
                <w:color w:val="000000"/>
                <w:sz w:val="18"/>
              </w:rPr>
            </w:pPr>
            <w:r>
              <w:rPr>
                <w:rFonts w:ascii="Verdana" w:hAnsi="Verdana"/>
                <w:i/>
                <w:noProof/>
                <w:color w:val="000000"/>
                <w:sz w:val="18"/>
              </w:rPr>
              <w:t>3 400</w:t>
            </w:r>
          </w:p>
        </w:tc>
      </w:tr>
      <w:tr>
        <w:trPr>
          <w:trHeight w:hRule="exact" w:val="255"/>
        </w:trPr>
        <w:tc>
          <w:tcPr>
            <w:tcW w:w="4893" w:type="dxa"/>
            <w:tcBorders>
              <w:top w:val="nil"/>
              <w:left w:val="nil"/>
              <w:bottom w:val="nil"/>
              <w:right w:val="nil"/>
              <w:tl2br w:val="nil"/>
              <w:tr2bl w:val="nil"/>
            </w:tcBorders>
            <w:tcMar>
              <w:left w:w="60" w:type="dxa"/>
              <w:right w:w="60" w:type="dxa"/>
            </w:tcMar>
            <w:vAlign w:val="center"/>
          </w:tcPr>
          <w:p>
            <w:pPr>
              <w:pStyle w:val="DMETW36639BIPGUARPY"/>
              <w:rPr>
                <w:rFonts w:ascii="Verdana" w:eastAsia="Verdana" w:hAnsi="Verdana" w:cs="Verdana"/>
                <w:i/>
                <w:noProof/>
                <w:color w:val="000000"/>
                <w:sz w:val="18"/>
              </w:rPr>
            </w:pPr>
            <w:r>
              <w:rPr>
                <w:rFonts w:ascii="Verdana" w:hAnsi="Verdana"/>
                <w:i/>
                <w:noProof/>
                <w:color w:val="000000"/>
                <w:sz w:val="18"/>
              </w:rPr>
              <w:t>Garantie EFSI</w:t>
            </w:r>
          </w:p>
        </w:tc>
        <w:tc>
          <w:tcPr>
            <w:tcW w:w="1180" w:type="dxa"/>
            <w:tcBorders>
              <w:top w:val="nil"/>
              <w:left w:val="nil"/>
              <w:bottom w:val="nil"/>
              <w:right w:val="nil"/>
              <w:tl2br w:val="nil"/>
              <w:tr2bl w:val="nil"/>
            </w:tcBorders>
            <w:tcMar>
              <w:left w:w="60" w:type="dxa"/>
              <w:right w:w="60" w:type="dxa"/>
            </w:tcMar>
            <w:vAlign w:val="bottom"/>
          </w:tcPr>
          <w:p>
            <w:pPr>
              <w:pStyle w:val="DMETW36639BIPGUARPY"/>
              <w:jc w:val="right"/>
              <w:rPr>
                <w:rFonts w:ascii="Verdana" w:eastAsia="Verdana" w:hAnsi="Verdana" w:cs="Verdana"/>
                <w:i/>
                <w:noProof/>
                <w:color w:val="000000"/>
                <w:sz w:val="18"/>
              </w:rPr>
            </w:pPr>
            <w:r>
              <w:rPr>
                <w:rFonts w:ascii="Verdana" w:hAnsi="Verdana"/>
                <w:i/>
                <w:noProof/>
                <w:color w:val="000000"/>
                <w:sz w:val="18"/>
              </w:rPr>
              <w:t>25 373</w:t>
            </w:r>
          </w:p>
        </w:tc>
        <w:tc>
          <w:tcPr>
            <w:tcW w:w="1175" w:type="dxa"/>
            <w:tcBorders>
              <w:top w:val="nil"/>
              <w:left w:val="nil"/>
              <w:bottom w:val="nil"/>
              <w:right w:val="nil"/>
              <w:tl2br w:val="nil"/>
              <w:tr2bl w:val="nil"/>
            </w:tcBorders>
            <w:tcMar>
              <w:left w:w="60" w:type="dxa"/>
              <w:right w:w="60" w:type="dxa"/>
            </w:tcMar>
            <w:vAlign w:val="bottom"/>
          </w:tcPr>
          <w:p>
            <w:pPr>
              <w:pStyle w:val="DMETW36639BIPGUARPY"/>
              <w:jc w:val="right"/>
              <w:rPr>
                <w:rFonts w:ascii="Verdana" w:eastAsia="Verdana" w:hAnsi="Verdana" w:cs="Verdana"/>
                <w:i/>
                <w:noProof/>
                <w:color w:val="000000"/>
                <w:sz w:val="18"/>
              </w:rPr>
            </w:pPr>
            <w:r>
              <w:rPr>
                <w:rFonts w:ascii="Verdana" w:hAnsi="Verdana"/>
                <w:i/>
                <w:noProof/>
                <w:color w:val="000000"/>
                <w:sz w:val="18"/>
              </w:rPr>
              <w:t>22 998</w:t>
            </w:r>
          </w:p>
        </w:tc>
        <w:tc>
          <w:tcPr>
            <w:tcW w:w="1175" w:type="dxa"/>
            <w:tcBorders>
              <w:top w:val="nil"/>
              <w:left w:val="nil"/>
              <w:bottom w:val="nil"/>
              <w:right w:val="nil"/>
              <w:tl2br w:val="nil"/>
              <w:tr2bl w:val="nil"/>
            </w:tcBorders>
            <w:tcMar>
              <w:left w:w="60" w:type="dxa"/>
              <w:right w:w="60" w:type="dxa"/>
            </w:tcMar>
            <w:vAlign w:val="bottom"/>
          </w:tcPr>
          <w:p>
            <w:pPr>
              <w:pStyle w:val="DMETW36639BIPGUARPY"/>
              <w:jc w:val="right"/>
              <w:rPr>
                <w:rFonts w:ascii="Verdana" w:eastAsia="Verdana" w:hAnsi="Verdana" w:cs="Verdana"/>
                <w:i/>
                <w:noProof/>
                <w:color w:val="000000"/>
                <w:sz w:val="18"/>
              </w:rPr>
            </w:pPr>
            <w:r>
              <w:rPr>
                <w:rFonts w:ascii="Verdana" w:hAnsi="Verdana"/>
                <w:i/>
                <w:noProof/>
                <w:color w:val="000000"/>
                <w:sz w:val="18"/>
              </w:rPr>
              <w:t>21 033</w:t>
            </w:r>
          </w:p>
        </w:tc>
        <w:tc>
          <w:tcPr>
            <w:tcW w:w="1335" w:type="dxa"/>
            <w:tcBorders>
              <w:top w:val="nil"/>
              <w:left w:val="nil"/>
              <w:bottom w:val="nil"/>
              <w:right w:val="nil"/>
              <w:tl2br w:val="nil"/>
              <w:tr2bl w:val="nil"/>
            </w:tcBorders>
            <w:tcMar>
              <w:left w:w="60" w:type="dxa"/>
              <w:right w:w="60" w:type="dxa"/>
            </w:tcMar>
            <w:vAlign w:val="bottom"/>
          </w:tcPr>
          <w:p>
            <w:pPr>
              <w:pStyle w:val="DMETW36639BIPGUARPY"/>
              <w:jc w:val="right"/>
              <w:rPr>
                <w:rFonts w:ascii="Verdana" w:eastAsia="Verdana" w:hAnsi="Verdana" w:cs="Verdana"/>
                <w:i/>
                <w:noProof/>
                <w:color w:val="000000"/>
                <w:sz w:val="18"/>
              </w:rPr>
            </w:pPr>
            <w:r>
              <w:rPr>
                <w:rFonts w:ascii="Verdana" w:hAnsi="Verdana"/>
                <w:i/>
                <w:noProof/>
                <w:color w:val="000000"/>
                <w:sz w:val="18"/>
              </w:rPr>
              <w:t>8 941</w:t>
            </w:r>
          </w:p>
        </w:tc>
      </w:tr>
      <w:tr>
        <w:trPr>
          <w:trHeight w:hRule="exact" w:val="255"/>
        </w:trPr>
        <w:tc>
          <w:tcPr>
            <w:tcW w:w="4893" w:type="dxa"/>
            <w:tcBorders>
              <w:top w:val="nil"/>
              <w:left w:val="nil"/>
              <w:bottom w:val="nil"/>
              <w:right w:val="nil"/>
              <w:tl2br w:val="nil"/>
              <w:tr2bl w:val="nil"/>
            </w:tcBorders>
            <w:tcMar>
              <w:left w:w="60" w:type="dxa"/>
              <w:right w:w="60" w:type="dxa"/>
            </w:tcMar>
            <w:vAlign w:val="center"/>
          </w:tcPr>
          <w:p>
            <w:pPr>
              <w:pStyle w:val="DMETW36639BIPGUARPY"/>
              <w:rPr>
                <w:rFonts w:ascii="Verdana" w:eastAsia="Verdana" w:hAnsi="Verdana" w:cs="Verdana"/>
                <w:i/>
                <w:noProof/>
                <w:color w:val="000000"/>
                <w:sz w:val="18"/>
              </w:rPr>
            </w:pPr>
            <w:r>
              <w:rPr>
                <w:rFonts w:ascii="Verdana" w:hAnsi="Verdana"/>
                <w:i/>
                <w:noProof/>
                <w:color w:val="000000"/>
                <w:sz w:val="18"/>
              </w:rPr>
              <w:t>Garantie FEDD</w:t>
            </w:r>
          </w:p>
        </w:tc>
        <w:tc>
          <w:tcPr>
            <w:tcW w:w="1180" w:type="dxa"/>
            <w:tcBorders>
              <w:top w:val="nil"/>
              <w:left w:val="nil"/>
              <w:bottom w:val="nil"/>
              <w:right w:val="nil"/>
              <w:tl2br w:val="nil"/>
              <w:tr2bl w:val="nil"/>
            </w:tcBorders>
            <w:tcMar>
              <w:left w:w="60" w:type="dxa"/>
              <w:right w:w="60" w:type="dxa"/>
            </w:tcMar>
            <w:vAlign w:val="bottom"/>
          </w:tcPr>
          <w:p>
            <w:pPr>
              <w:pStyle w:val="DMETW36639BIPGUARPY"/>
              <w:jc w:val="right"/>
              <w:rPr>
                <w:rFonts w:ascii="Verdana" w:eastAsia="Verdana" w:hAnsi="Verdana" w:cs="Verdana"/>
                <w:i/>
                <w:noProof/>
                <w:color w:val="000000"/>
                <w:sz w:val="18"/>
              </w:rPr>
            </w:pPr>
            <w:r>
              <w:rPr>
                <w:rFonts w:ascii="Verdana" w:hAnsi="Verdana"/>
                <w:i/>
                <w:noProof/>
                <w:color w:val="000000"/>
                <w:sz w:val="18"/>
              </w:rPr>
              <w:t xml:space="preserve"> 759</w:t>
            </w:r>
          </w:p>
        </w:tc>
        <w:tc>
          <w:tcPr>
            <w:tcW w:w="1175" w:type="dxa"/>
            <w:tcBorders>
              <w:top w:val="nil"/>
              <w:left w:val="nil"/>
              <w:bottom w:val="nil"/>
              <w:right w:val="nil"/>
              <w:tl2br w:val="nil"/>
              <w:tr2bl w:val="nil"/>
            </w:tcBorders>
            <w:tcMar>
              <w:left w:w="60" w:type="dxa"/>
              <w:right w:w="60" w:type="dxa"/>
            </w:tcMar>
            <w:vAlign w:val="bottom"/>
          </w:tcPr>
          <w:p>
            <w:pPr>
              <w:pStyle w:val="DMETW36639BIPGUARPY"/>
              <w:jc w:val="right"/>
              <w:rPr>
                <w:rFonts w:ascii="Verdana" w:eastAsia="Verdana" w:hAnsi="Verdana" w:cs="Verdana"/>
                <w:i/>
                <w:noProof/>
                <w:color w:val="000000"/>
                <w:sz w:val="18"/>
              </w:rPr>
            </w:pPr>
            <w:r>
              <w:rPr>
                <w:rFonts w:ascii="Verdana" w:hAnsi="Verdana"/>
                <w:i/>
                <w:noProof/>
                <w:color w:val="000000"/>
                <w:sz w:val="18"/>
              </w:rPr>
              <w:t xml:space="preserve"> 667</w:t>
            </w:r>
          </w:p>
        </w:tc>
        <w:tc>
          <w:tcPr>
            <w:tcW w:w="1175" w:type="dxa"/>
            <w:tcBorders>
              <w:top w:val="nil"/>
              <w:left w:val="nil"/>
              <w:bottom w:val="nil"/>
              <w:right w:val="nil"/>
              <w:tl2br w:val="nil"/>
              <w:tr2bl w:val="nil"/>
            </w:tcBorders>
            <w:tcMar>
              <w:left w:w="60" w:type="dxa"/>
              <w:right w:w="60" w:type="dxa"/>
            </w:tcMar>
            <w:vAlign w:val="bottom"/>
          </w:tcPr>
          <w:p>
            <w:pPr>
              <w:pStyle w:val="DMETW36639BIPGUARPY"/>
              <w:jc w:val="right"/>
              <w:rPr>
                <w:rFonts w:ascii="Verdana" w:eastAsia="Verdana" w:hAnsi="Verdana" w:cs="Verdana"/>
                <w:i/>
                <w:noProof/>
                <w:color w:val="000000"/>
                <w:sz w:val="18"/>
              </w:rPr>
            </w:pPr>
            <w:r>
              <w:rPr>
                <w:rFonts w:ascii="Verdana" w:hAnsi="Verdana"/>
                <w:i/>
                <w:noProof/>
                <w:color w:val="000000"/>
                <w:sz w:val="18"/>
              </w:rPr>
              <w:t xml:space="preserve"> 521</w:t>
            </w:r>
          </w:p>
        </w:tc>
        <w:tc>
          <w:tcPr>
            <w:tcW w:w="1335" w:type="dxa"/>
            <w:tcBorders>
              <w:top w:val="nil"/>
              <w:left w:val="nil"/>
              <w:bottom w:val="nil"/>
              <w:right w:val="nil"/>
              <w:tl2br w:val="nil"/>
              <w:tr2bl w:val="nil"/>
            </w:tcBorders>
            <w:tcMar>
              <w:left w:w="60" w:type="dxa"/>
              <w:right w:w="60" w:type="dxa"/>
            </w:tcMar>
            <w:vAlign w:val="bottom"/>
          </w:tcPr>
          <w:p>
            <w:pPr>
              <w:pStyle w:val="DMETW36639BIPGUARPY"/>
              <w:jc w:val="right"/>
              <w:rPr>
                <w:rFonts w:ascii="Verdana" w:eastAsia="Verdana" w:hAnsi="Verdana" w:cs="Verdana"/>
                <w:i/>
                <w:noProof/>
                <w:color w:val="000000"/>
                <w:sz w:val="18"/>
              </w:rPr>
            </w:pPr>
            <w:r>
              <w:rPr>
                <w:rFonts w:ascii="Verdana" w:hAnsi="Verdana"/>
                <w:i/>
                <w:noProof/>
                <w:color w:val="000000"/>
                <w:sz w:val="18"/>
              </w:rPr>
              <w:t xml:space="preserve"> 785</w:t>
            </w:r>
          </w:p>
        </w:tc>
      </w:tr>
      <w:tr>
        <w:trPr>
          <w:trHeight w:hRule="exact" w:val="255"/>
        </w:trPr>
        <w:tc>
          <w:tcPr>
            <w:tcW w:w="4893" w:type="dxa"/>
            <w:tcBorders>
              <w:top w:val="nil"/>
              <w:left w:val="nil"/>
              <w:bottom w:val="nil"/>
              <w:right w:val="nil"/>
              <w:tl2br w:val="nil"/>
              <w:tr2bl w:val="nil"/>
            </w:tcBorders>
            <w:tcMar>
              <w:left w:w="60" w:type="dxa"/>
              <w:right w:w="60" w:type="dxa"/>
            </w:tcMar>
            <w:vAlign w:val="center"/>
          </w:tcPr>
          <w:p>
            <w:pPr>
              <w:pStyle w:val="DMETW36639BIPGUARPY"/>
              <w:rPr>
                <w:rFonts w:ascii="Verdana" w:eastAsia="Verdana" w:hAnsi="Verdana" w:cs="Verdana"/>
                <w:i/>
                <w:noProof/>
                <w:color w:val="000000"/>
                <w:sz w:val="18"/>
              </w:rPr>
            </w:pPr>
            <w:r>
              <w:rPr>
                <w:rFonts w:ascii="Verdana" w:hAnsi="Verdana"/>
                <w:i/>
                <w:noProof/>
                <w:color w:val="000000"/>
                <w:sz w:val="18"/>
              </w:rPr>
              <w:t>Garantie InvestEU</w:t>
            </w:r>
          </w:p>
        </w:tc>
        <w:tc>
          <w:tcPr>
            <w:tcW w:w="1180" w:type="dxa"/>
            <w:tcBorders>
              <w:top w:val="nil"/>
              <w:left w:val="nil"/>
              <w:bottom w:val="nil"/>
              <w:right w:val="nil"/>
              <w:tl2br w:val="nil"/>
              <w:tr2bl w:val="nil"/>
            </w:tcBorders>
            <w:tcMar>
              <w:left w:w="60" w:type="dxa"/>
              <w:right w:w="60" w:type="dxa"/>
            </w:tcMar>
            <w:vAlign w:val="bottom"/>
          </w:tcPr>
          <w:p>
            <w:pPr>
              <w:pStyle w:val="DMETW36639BIPGUARPY"/>
              <w:jc w:val="right"/>
              <w:rPr>
                <w:rFonts w:ascii="Verdana" w:eastAsia="Verdana" w:hAnsi="Verdana" w:cs="Verdana"/>
                <w:i/>
                <w:noProof/>
                <w:color w:val="000000"/>
                <w:sz w:val="18"/>
              </w:rPr>
            </w:pPr>
            <w:r>
              <w:rPr>
                <w:rFonts w:ascii="Verdana" w:hAnsi="Verdana"/>
                <w:i/>
                <w:noProof/>
                <w:color w:val="000000"/>
                <w:sz w:val="18"/>
              </w:rPr>
              <w:t>27 042</w:t>
            </w:r>
          </w:p>
        </w:tc>
        <w:tc>
          <w:tcPr>
            <w:tcW w:w="1175" w:type="dxa"/>
            <w:tcBorders>
              <w:top w:val="nil"/>
              <w:left w:val="nil"/>
              <w:bottom w:val="nil"/>
              <w:right w:val="nil"/>
              <w:tl2br w:val="nil"/>
              <w:tr2bl w:val="nil"/>
            </w:tcBorders>
            <w:tcMar>
              <w:left w:w="60" w:type="dxa"/>
              <w:right w:w="60" w:type="dxa"/>
            </w:tcMar>
            <w:vAlign w:val="bottom"/>
          </w:tcPr>
          <w:p>
            <w:pPr>
              <w:pStyle w:val="DMETW36639BIPGUARPY"/>
              <w:jc w:val="right"/>
              <w:rPr>
                <w:rFonts w:ascii="Verdana" w:eastAsia="Verdana" w:hAnsi="Verdana" w:cs="Verdana"/>
                <w:i/>
                <w:noProof/>
                <w:color w:val="000000"/>
                <w:sz w:val="18"/>
              </w:rPr>
            </w:pPr>
            <w:r>
              <w:rPr>
                <w:rFonts w:ascii="Verdana" w:hAnsi="Verdana"/>
                <w:i/>
                <w:noProof/>
                <w:color w:val="000000"/>
                <w:sz w:val="18"/>
              </w:rPr>
              <w:t>11 769</w:t>
            </w:r>
          </w:p>
        </w:tc>
        <w:tc>
          <w:tcPr>
            <w:tcW w:w="1175" w:type="dxa"/>
            <w:tcBorders>
              <w:top w:val="nil"/>
              <w:left w:val="nil"/>
              <w:bottom w:val="nil"/>
              <w:right w:val="nil"/>
              <w:tl2br w:val="nil"/>
              <w:tr2bl w:val="nil"/>
            </w:tcBorders>
            <w:tcMar>
              <w:left w:w="60" w:type="dxa"/>
              <w:right w:w="60" w:type="dxa"/>
            </w:tcMar>
            <w:vAlign w:val="bottom"/>
          </w:tcPr>
          <w:p>
            <w:pPr>
              <w:pStyle w:val="DMETW36639BIPGUARPY"/>
              <w:jc w:val="right"/>
              <w:rPr>
                <w:rFonts w:ascii="Verdana" w:eastAsia="Verdana" w:hAnsi="Verdana" w:cs="Verdana"/>
                <w:i/>
                <w:noProof/>
                <w:color w:val="000000"/>
                <w:sz w:val="18"/>
              </w:rPr>
            </w:pPr>
            <w:r>
              <w:rPr>
                <w:rFonts w:ascii="Verdana" w:hAnsi="Verdana"/>
                <w:i/>
                <w:noProof/>
                <w:color w:val="000000"/>
                <w:sz w:val="18"/>
              </w:rPr>
              <w:t>3 468</w:t>
            </w:r>
          </w:p>
        </w:tc>
        <w:tc>
          <w:tcPr>
            <w:tcW w:w="1335" w:type="dxa"/>
            <w:tcBorders>
              <w:top w:val="nil"/>
              <w:left w:val="nil"/>
              <w:bottom w:val="nil"/>
              <w:right w:val="nil"/>
              <w:tl2br w:val="nil"/>
              <w:tr2bl w:val="nil"/>
            </w:tcBorders>
            <w:tcMar>
              <w:left w:w="60" w:type="dxa"/>
              <w:right w:w="60" w:type="dxa"/>
            </w:tcMar>
            <w:vAlign w:val="bottom"/>
          </w:tcPr>
          <w:p>
            <w:pPr>
              <w:pStyle w:val="DMETW36639BIPGUARPY"/>
              <w:jc w:val="right"/>
              <w:rPr>
                <w:rFonts w:ascii="Verdana" w:eastAsia="Verdana" w:hAnsi="Verdana" w:cs="Verdana"/>
                <w:i/>
                <w:noProof/>
                <w:color w:val="000000"/>
                <w:sz w:val="18"/>
              </w:rPr>
            </w:pPr>
            <w:r>
              <w:rPr>
                <w:rFonts w:ascii="Verdana" w:hAnsi="Verdana"/>
                <w:i/>
                <w:noProof/>
                <w:color w:val="000000"/>
                <w:sz w:val="18"/>
              </w:rPr>
              <w:t>6 802</w:t>
            </w:r>
          </w:p>
        </w:tc>
      </w:tr>
      <w:tr>
        <w:trPr>
          <w:trHeight w:hRule="exact" w:val="702"/>
        </w:trPr>
        <w:tc>
          <w:tcPr>
            <w:tcW w:w="4893" w:type="dxa"/>
            <w:tcBorders>
              <w:top w:val="nil"/>
              <w:left w:val="nil"/>
              <w:bottom w:val="nil"/>
              <w:right w:val="nil"/>
              <w:tl2br w:val="nil"/>
              <w:tr2bl w:val="nil"/>
            </w:tcBorders>
            <w:tcMar>
              <w:left w:w="60" w:type="dxa"/>
              <w:right w:w="60" w:type="dxa"/>
            </w:tcMar>
            <w:vAlign w:val="center"/>
          </w:tcPr>
          <w:p>
            <w:pPr>
              <w:pStyle w:val="DMETW36639BIPGUARPY"/>
              <w:rPr>
                <w:rFonts w:ascii="Verdana" w:eastAsia="Verdana" w:hAnsi="Verdana" w:cs="Verdana"/>
                <w:i/>
                <w:noProof/>
                <w:color w:val="000000"/>
                <w:sz w:val="18"/>
              </w:rPr>
            </w:pPr>
            <w:r>
              <w:rPr>
                <w:rFonts w:ascii="Verdana" w:hAnsi="Verdana"/>
                <w:i/>
                <w:noProof/>
                <w:color w:val="000000"/>
                <w:sz w:val="18"/>
              </w:rPr>
              <w:t>Garantie pour l’action extérieure au titre de l’IVCDCI</w:t>
            </w:r>
          </w:p>
        </w:tc>
        <w:tc>
          <w:tcPr>
            <w:tcW w:w="1180" w:type="dxa"/>
            <w:tcBorders>
              <w:top w:val="nil"/>
              <w:left w:val="nil"/>
              <w:bottom w:val="nil"/>
              <w:right w:val="nil"/>
              <w:tl2br w:val="nil"/>
              <w:tr2bl w:val="nil"/>
            </w:tcBorders>
            <w:tcMar>
              <w:left w:w="60" w:type="dxa"/>
              <w:right w:w="60" w:type="dxa"/>
            </w:tcMar>
            <w:vAlign w:val="bottom"/>
          </w:tcPr>
          <w:p>
            <w:pPr>
              <w:pStyle w:val="DMETW36639BIPGUARPY"/>
              <w:jc w:val="right"/>
              <w:rPr>
                <w:rFonts w:ascii="Verdana" w:eastAsia="Verdana" w:hAnsi="Verdana" w:cs="Verdana"/>
                <w:i/>
                <w:noProof/>
                <w:color w:val="000000"/>
                <w:sz w:val="18"/>
              </w:rPr>
            </w:pPr>
            <w:r>
              <w:rPr>
                <w:rFonts w:ascii="Verdana" w:hAnsi="Verdana"/>
                <w:i/>
                <w:noProof/>
                <w:color w:val="000000"/>
                <w:sz w:val="18"/>
              </w:rPr>
              <w:t>30 173</w:t>
            </w:r>
          </w:p>
        </w:tc>
        <w:tc>
          <w:tcPr>
            <w:tcW w:w="1175" w:type="dxa"/>
            <w:tcBorders>
              <w:top w:val="nil"/>
              <w:left w:val="nil"/>
              <w:bottom w:val="nil"/>
              <w:right w:val="nil"/>
              <w:tl2br w:val="nil"/>
              <w:tr2bl w:val="nil"/>
            </w:tcBorders>
            <w:tcMar>
              <w:left w:w="60" w:type="dxa"/>
              <w:right w:w="60" w:type="dxa"/>
            </w:tcMar>
            <w:vAlign w:val="bottom"/>
          </w:tcPr>
          <w:p>
            <w:pPr>
              <w:pStyle w:val="DMETW36639BIPGUARPY"/>
              <w:jc w:val="right"/>
              <w:rPr>
                <w:rFonts w:ascii="Verdana" w:eastAsia="Verdana" w:hAnsi="Verdana" w:cs="Verdana"/>
                <w:i/>
                <w:noProof/>
                <w:color w:val="000000"/>
                <w:sz w:val="18"/>
              </w:rPr>
            </w:pPr>
            <w:r>
              <w:rPr>
                <w:rFonts w:ascii="Verdana" w:hAnsi="Verdana"/>
                <w:i/>
                <w:noProof/>
                <w:color w:val="000000"/>
                <w:sz w:val="18"/>
              </w:rPr>
              <w:t>11 228</w:t>
            </w:r>
          </w:p>
        </w:tc>
        <w:tc>
          <w:tcPr>
            <w:tcW w:w="1175" w:type="dxa"/>
            <w:tcBorders>
              <w:top w:val="nil"/>
              <w:left w:val="nil"/>
              <w:bottom w:val="nil"/>
              <w:right w:val="nil"/>
              <w:tl2br w:val="nil"/>
              <w:tr2bl w:val="nil"/>
            </w:tcBorders>
            <w:tcMar>
              <w:left w:w="60" w:type="dxa"/>
              <w:right w:w="60" w:type="dxa"/>
            </w:tcMar>
            <w:vAlign w:val="bottom"/>
          </w:tcPr>
          <w:p>
            <w:pPr>
              <w:pStyle w:val="DMETW36639BIPGUARPY"/>
              <w:jc w:val="right"/>
              <w:rPr>
                <w:rFonts w:ascii="Verdana" w:eastAsia="Verdana" w:hAnsi="Verdana" w:cs="Verdana"/>
                <w:i/>
                <w:noProof/>
                <w:color w:val="000000"/>
                <w:sz w:val="18"/>
              </w:rPr>
            </w:pPr>
            <w:r>
              <w:rPr>
                <w:rFonts w:ascii="Verdana" w:hAnsi="Verdana"/>
                <w:i/>
                <w:noProof/>
                <w:color w:val="000000"/>
                <w:sz w:val="18"/>
              </w:rPr>
              <w:t>1 341</w:t>
            </w:r>
          </w:p>
        </w:tc>
        <w:tc>
          <w:tcPr>
            <w:tcW w:w="1335" w:type="dxa"/>
            <w:tcBorders>
              <w:top w:val="nil"/>
              <w:left w:val="nil"/>
              <w:bottom w:val="nil"/>
              <w:right w:val="nil"/>
              <w:tl2br w:val="nil"/>
              <w:tr2bl w:val="nil"/>
            </w:tcBorders>
            <w:tcMar>
              <w:left w:w="60" w:type="dxa"/>
              <w:right w:w="60" w:type="dxa"/>
            </w:tcMar>
            <w:vAlign w:val="bottom"/>
          </w:tcPr>
          <w:p>
            <w:pPr>
              <w:pStyle w:val="DMETW36639BIPGUARPY"/>
              <w:jc w:val="right"/>
              <w:rPr>
                <w:rFonts w:ascii="Verdana" w:eastAsia="Verdana" w:hAnsi="Verdana" w:cs="Verdana"/>
                <w:i/>
                <w:noProof/>
                <w:color w:val="000000"/>
                <w:sz w:val="18"/>
              </w:rPr>
            </w:pPr>
            <w:r>
              <w:rPr>
                <w:rFonts w:ascii="Verdana" w:hAnsi="Verdana"/>
                <w:i/>
                <w:noProof/>
                <w:color w:val="000000"/>
                <w:sz w:val="18"/>
              </w:rPr>
              <w:t>2 943</w:t>
            </w:r>
          </w:p>
        </w:tc>
      </w:tr>
      <w:tr>
        <w:trPr>
          <w:trHeight w:hRule="exact" w:val="486"/>
        </w:trPr>
        <w:tc>
          <w:tcPr>
            <w:tcW w:w="4893" w:type="dxa"/>
            <w:tcBorders>
              <w:top w:val="nil"/>
              <w:left w:val="nil"/>
              <w:bottom w:val="nil"/>
              <w:right w:val="nil"/>
              <w:tl2br w:val="nil"/>
              <w:tr2bl w:val="nil"/>
            </w:tcBorders>
            <w:tcMar>
              <w:left w:w="60" w:type="dxa"/>
              <w:right w:w="60" w:type="dxa"/>
            </w:tcMar>
            <w:vAlign w:val="center"/>
          </w:tcPr>
          <w:p>
            <w:pPr>
              <w:pStyle w:val="DMETW36639BIPGUARPY"/>
              <w:rPr>
                <w:rFonts w:ascii="Verdana" w:eastAsia="Verdana" w:hAnsi="Verdana" w:cs="Verdana"/>
                <w:i/>
                <w:noProof/>
                <w:color w:val="000000"/>
                <w:sz w:val="18"/>
              </w:rPr>
            </w:pPr>
            <w:r>
              <w:rPr>
                <w:rFonts w:ascii="Verdana" w:hAnsi="Verdana"/>
                <w:i/>
                <w:noProof/>
                <w:color w:val="000000"/>
                <w:sz w:val="18"/>
              </w:rPr>
              <w:t>Garantie pour l’Ukraine</w:t>
            </w:r>
          </w:p>
        </w:tc>
        <w:tc>
          <w:tcPr>
            <w:tcW w:w="1180" w:type="dxa"/>
            <w:tcBorders>
              <w:top w:val="nil"/>
              <w:left w:val="nil"/>
              <w:bottom w:val="nil"/>
              <w:right w:val="nil"/>
              <w:tl2br w:val="nil"/>
              <w:tr2bl w:val="nil"/>
            </w:tcBorders>
            <w:tcMar>
              <w:left w:w="60" w:type="dxa"/>
              <w:right w:w="60" w:type="dxa"/>
            </w:tcMar>
            <w:vAlign w:val="bottom"/>
          </w:tcPr>
          <w:p>
            <w:pPr>
              <w:pStyle w:val="DMETW36639BIPGUARPY"/>
              <w:jc w:val="right"/>
              <w:rPr>
                <w:rFonts w:ascii="Verdana" w:eastAsia="Verdana" w:hAnsi="Verdana" w:cs="Verdana"/>
                <w:i/>
                <w:noProof/>
                <w:color w:val="000000"/>
                <w:sz w:val="18"/>
              </w:rPr>
            </w:pPr>
            <w:r>
              <w:rPr>
                <w:rFonts w:ascii="Verdana" w:hAnsi="Verdana"/>
                <w:i/>
                <w:noProof/>
                <w:color w:val="000000"/>
                <w:sz w:val="18"/>
              </w:rPr>
              <w:t xml:space="preserve"> 790</w:t>
            </w:r>
          </w:p>
        </w:tc>
        <w:tc>
          <w:tcPr>
            <w:tcW w:w="1175" w:type="dxa"/>
            <w:tcBorders>
              <w:top w:val="nil"/>
              <w:left w:val="nil"/>
              <w:bottom w:val="nil"/>
              <w:right w:val="nil"/>
              <w:tl2br w:val="nil"/>
              <w:tr2bl w:val="nil"/>
            </w:tcBorders>
            <w:tcMar>
              <w:left w:w="60" w:type="dxa"/>
              <w:right w:w="60" w:type="dxa"/>
            </w:tcMar>
            <w:vAlign w:val="bottom"/>
          </w:tcPr>
          <w:p>
            <w:pPr>
              <w:pStyle w:val="DMETW36639BIPGUARPY"/>
              <w:jc w:val="right"/>
              <w:rPr>
                <w:rFonts w:ascii="Verdana" w:eastAsia="Verdana" w:hAnsi="Verdana" w:cs="Verdana"/>
                <w:i/>
                <w:noProof/>
                <w:color w:val="000000"/>
                <w:sz w:val="18"/>
              </w:rPr>
            </w:pPr>
            <w:r>
              <w:rPr>
                <w:rFonts w:ascii="Verdana" w:hAnsi="Verdana"/>
                <w:i/>
                <w:noProof/>
                <w:color w:val="000000"/>
                <w:sz w:val="18"/>
              </w:rPr>
              <w:t xml:space="preserve"> 172</w:t>
            </w:r>
          </w:p>
        </w:tc>
        <w:tc>
          <w:tcPr>
            <w:tcW w:w="1175" w:type="dxa"/>
            <w:tcBorders>
              <w:top w:val="nil"/>
              <w:left w:val="nil"/>
              <w:bottom w:val="nil"/>
              <w:right w:val="nil"/>
              <w:tl2br w:val="nil"/>
              <w:tr2bl w:val="nil"/>
            </w:tcBorders>
            <w:tcMar>
              <w:left w:w="60" w:type="dxa"/>
              <w:right w:w="60" w:type="dxa"/>
            </w:tcMar>
            <w:vAlign w:val="bottom"/>
          </w:tcPr>
          <w:p>
            <w:pPr>
              <w:pStyle w:val="DMETW36639BIPGUARPY"/>
              <w:jc w:val="right"/>
              <w:rPr>
                <w:rFonts w:ascii="Verdana" w:eastAsia="Verdana" w:hAnsi="Verdana" w:cs="Verdana"/>
                <w:i/>
                <w:noProof/>
                <w:color w:val="000000"/>
                <w:sz w:val="18"/>
              </w:rPr>
            </w:pPr>
            <w:r>
              <w:rPr>
                <w:rFonts w:ascii="Verdana" w:hAnsi="Verdana"/>
                <w:i/>
                <w:noProof/>
                <w:color w:val="000000"/>
                <w:sz w:val="18"/>
              </w:rPr>
              <w:t xml:space="preserve"> 132</w:t>
            </w:r>
          </w:p>
        </w:tc>
        <w:tc>
          <w:tcPr>
            <w:tcW w:w="1335" w:type="dxa"/>
            <w:tcBorders>
              <w:top w:val="nil"/>
              <w:left w:val="nil"/>
              <w:bottom w:val="nil"/>
              <w:right w:val="nil"/>
              <w:tl2br w:val="nil"/>
              <w:tr2bl w:val="nil"/>
            </w:tcBorders>
            <w:tcMar>
              <w:left w:w="60" w:type="dxa"/>
              <w:right w:w="60" w:type="dxa"/>
            </w:tcMar>
            <w:vAlign w:val="bottom"/>
          </w:tcPr>
          <w:p>
            <w:pPr>
              <w:pStyle w:val="DMETW36639BIPGUARPY"/>
              <w:jc w:val="right"/>
              <w:rPr>
                <w:rFonts w:ascii="Verdana" w:eastAsia="Verdana" w:hAnsi="Verdana" w:cs="Verdana"/>
                <w:i/>
                <w:noProof/>
                <w:color w:val="000000"/>
                <w:sz w:val="18"/>
              </w:rPr>
            </w:pPr>
            <w:r>
              <w:rPr>
                <w:rFonts w:ascii="Verdana" w:hAnsi="Verdana"/>
                <w:i/>
                <w:noProof/>
                <w:color w:val="000000"/>
                <w:sz w:val="18"/>
              </w:rPr>
              <w:t xml:space="preserve"> 202</w:t>
            </w:r>
          </w:p>
        </w:tc>
      </w:tr>
      <w:tr>
        <w:trPr>
          <w:trHeight w:hRule="exact" w:val="250"/>
        </w:trPr>
        <w:tc>
          <w:tcPr>
            <w:tcW w:w="4893" w:type="dxa"/>
            <w:tcBorders>
              <w:top w:val="nil"/>
              <w:left w:val="nil"/>
              <w:bottom w:val="nil"/>
              <w:right w:val="nil"/>
              <w:tl2br w:val="nil"/>
              <w:tr2bl w:val="nil"/>
            </w:tcBorders>
            <w:shd w:val="solid" w:color="CCE1EA" w:fill="FFFFFF"/>
            <w:tcMar>
              <w:left w:w="60" w:type="dxa"/>
              <w:right w:w="60" w:type="dxa"/>
            </w:tcMar>
            <w:vAlign w:val="center"/>
          </w:tcPr>
          <w:p>
            <w:pPr>
              <w:pStyle w:val="DMETW36639BIPGUARPY"/>
              <w:rPr>
                <w:rFonts w:ascii="Verdana" w:eastAsia="Verdana" w:hAnsi="Verdana" w:cs="Verdana"/>
                <w:b/>
                <w:noProof/>
                <w:color w:val="000000"/>
                <w:sz w:val="18"/>
              </w:rPr>
            </w:pPr>
            <w:r>
              <w:rPr>
                <w:rFonts w:ascii="Verdana" w:hAnsi="Verdana"/>
                <w:b/>
                <w:noProof/>
                <w:color w:val="000000"/>
                <w:sz w:val="18"/>
              </w:rPr>
              <w:t>Total</w:t>
            </w:r>
          </w:p>
        </w:tc>
        <w:tc>
          <w:tcPr>
            <w:tcW w:w="1180" w:type="dxa"/>
            <w:tcBorders>
              <w:top w:val="nil"/>
              <w:left w:val="nil"/>
              <w:bottom w:val="nil"/>
              <w:right w:val="nil"/>
              <w:tl2br w:val="nil"/>
              <w:tr2bl w:val="nil"/>
            </w:tcBorders>
            <w:shd w:val="solid" w:color="CCE1EA" w:fill="FFFFFF"/>
            <w:tcMar>
              <w:left w:w="60" w:type="dxa"/>
              <w:right w:w="60" w:type="dxa"/>
            </w:tcMar>
            <w:vAlign w:val="center"/>
          </w:tcPr>
          <w:p>
            <w:pPr>
              <w:pStyle w:val="DMETW36639BIPGUARPY"/>
              <w:jc w:val="right"/>
              <w:rPr>
                <w:rFonts w:ascii="Verdana" w:eastAsia="Verdana" w:hAnsi="Verdana" w:cs="Verdana"/>
                <w:b/>
                <w:noProof/>
                <w:color w:val="000000"/>
                <w:sz w:val="18"/>
              </w:rPr>
            </w:pPr>
            <w:r>
              <w:rPr>
                <w:rFonts w:ascii="Verdana" w:hAnsi="Verdana"/>
                <w:b/>
                <w:noProof/>
                <w:color w:val="000000"/>
                <w:sz w:val="18"/>
              </w:rPr>
              <w:t>109 909</w:t>
            </w:r>
          </w:p>
        </w:tc>
        <w:tc>
          <w:tcPr>
            <w:tcW w:w="1175" w:type="dxa"/>
            <w:tcBorders>
              <w:top w:val="nil"/>
              <w:left w:val="nil"/>
              <w:bottom w:val="nil"/>
              <w:right w:val="nil"/>
              <w:tl2br w:val="nil"/>
              <w:tr2bl w:val="nil"/>
            </w:tcBorders>
            <w:shd w:val="solid" w:color="CCE1EA" w:fill="FFFFFF"/>
            <w:tcMar>
              <w:left w:w="60" w:type="dxa"/>
              <w:right w:w="60" w:type="dxa"/>
            </w:tcMar>
            <w:vAlign w:val="center"/>
          </w:tcPr>
          <w:p>
            <w:pPr>
              <w:pStyle w:val="DMETW36639BIPGUARPY"/>
              <w:jc w:val="right"/>
              <w:rPr>
                <w:rFonts w:ascii="Verdana" w:eastAsia="Verdana" w:hAnsi="Verdana" w:cs="Verdana"/>
                <w:b/>
                <w:noProof/>
                <w:color w:val="000000"/>
                <w:sz w:val="18"/>
              </w:rPr>
            </w:pPr>
            <w:r>
              <w:rPr>
                <w:rFonts w:ascii="Verdana" w:hAnsi="Verdana"/>
                <w:b/>
                <w:noProof/>
                <w:color w:val="000000"/>
                <w:sz w:val="18"/>
              </w:rPr>
              <w:t>72 606</w:t>
            </w:r>
          </w:p>
        </w:tc>
        <w:tc>
          <w:tcPr>
            <w:tcW w:w="1175" w:type="dxa"/>
            <w:tcBorders>
              <w:top w:val="nil"/>
              <w:left w:val="nil"/>
              <w:bottom w:val="nil"/>
              <w:right w:val="nil"/>
              <w:tl2br w:val="nil"/>
              <w:tr2bl w:val="nil"/>
            </w:tcBorders>
            <w:shd w:val="solid" w:color="CCE1EA" w:fill="FFFFFF"/>
            <w:tcMar>
              <w:left w:w="60" w:type="dxa"/>
              <w:right w:w="60" w:type="dxa"/>
            </w:tcMar>
            <w:vAlign w:val="center"/>
          </w:tcPr>
          <w:p>
            <w:pPr>
              <w:pStyle w:val="DMETW36639BIPGUARPY"/>
              <w:jc w:val="right"/>
              <w:rPr>
                <w:rFonts w:ascii="Verdana" w:eastAsia="Verdana" w:hAnsi="Verdana" w:cs="Verdana"/>
                <w:b/>
                <w:noProof/>
                <w:color w:val="000000"/>
                <w:sz w:val="18"/>
              </w:rPr>
            </w:pPr>
            <w:r>
              <w:rPr>
                <w:rFonts w:ascii="Verdana" w:hAnsi="Verdana"/>
                <w:b/>
                <w:noProof/>
                <w:color w:val="000000"/>
                <w:sz w:val="18"/>
              </w:rPr>
              <w:t>45 678</w:t>
            </w:r>
          </w:p>
        </w:tc>
        <w:tc>
          <w:tcPr>
            <w:tcW w:w="1335" w:type="dxa"/>
            <w:tcBorders>
              <w:top w:val="nil"/>
              <w:left w:val="nil"/>
              <w:bottom w:val="nil"/>
              <w:right w:val="nil"/>
              <w:tl2br w:val="nil"/>
              <w:tr2bl w:val="nil"/>
            </w:tcBorders>
            <w:shd w:val="solid" w:color="CCE1EA" w:fill="FFFFFF"/>
            <w:tcMar>
              <w:left w:w="60" w:type="dxa"/>
              <w:right w:w="60" w:type="dxa"/>
            </w:tcMar>
            <w:vAlign w:val="center"/>
          </w:tcPr>
          <w:p>
            <w:pPr>
              <w:pStyle w:val="DMETW36639BIPGUARPY"/>
              <w:jc w:val="right"/>
              <w:rPr>
                <w:rFonts w:ascii="Verdana" w:eastAsia="Verdana" w:hAnsi="Verdana" w:cs="Verdana"/>
                <w:b/>
                <w:noProof/>
                <w:color w:val="000000"/>
                <w:sz w:val="18"/>
              </w:rPr>
            </w:pPr>
            <w:r>
              <w:rPr>
                <w:rFonts w:ascii="Verdana" w:hAnsi="Verdana"/>
                <w:b/>
                <w:noProof/>
                <w:color w:val="000000"/>
                <w:sz w:val="18"/>
              </w:rPr>
              <w:t>23 073</w:t>
            </w:r>
          </w:p>
        </w:tc>
      </w:tr>
    </w:tbl>
    <w:p>
      <w:pPr>
        <w:pStyle w:val="Textstand-alone"/>
        <w:spacing w:before="120"/>
        <w:ind w:left="113" w:hanging="113"/>
        <w:jc w:val="left"/>
      </w:pPr>
      <w:r>
        <w:rPr>
          <w:i/>
          <w:sz w:val="14"/>
          <w:vertAlign w:val="superscript"/>
        </w:rPr>
        <w:t>*</w:t>
      </w:r>
      <w:r>
        <w:rPr>
          <w:i/>
          <w:sz w:val="14"/>
        </w:rPr>
        <w:t xml:space="preserve"> </w:t>
      </w:r>
      <w:bookmarkStart w:id="206" w:name="_Hlk168047318"/>
      <w:r>
        <w:rPr>
          <w:i/>
          <w:sz w:val="14"/>
        </w:rPr>
        <w:t>Les 3,4 milliards d’EUR d’actifs provisionnés pour les garanties du mandat de prêt extérieur de la BEI couvrent aussi les anciens prêts et emprunts AMF et Euratom (voir note 2.4.1.1</w:t>
      </w:r>
      <w:bookmarkEnd w:id="206"/>
      <w:r>
        <w:rPr>
          <w:i/>
          <w:sz w:val="14"/>
        </w:rPr>
        <w:t>).</w:t>
      </w:r>
    </w:p>
    <w:p>
      <w:pPr>
        <w:pStyle w:val="DGTextstand-alone"/>
      </w:pPr>
      <w:r>
        <w:t>Les tableaux figurant ci-dessus indiquent dans quelle mesure le budget de l’Union est exposé à de futurs paiements potentiels liés aux garanties données au groupe BEI ou à d’autres institutions financières. Les montants décaissés représentent les montants déjà versés aux bénéficiaires finals, tandis que les montants «signés» comprennent ces montants décaissés et les accords déjà signés avec les bénéficiaires ou les intermédiaires financiers mais n’ayant pas encore fait l’objet d’un décaissement en fin d’exercice (30,2 milliards d’EUR). Le plafond représente la garantie totale que le budget de l’UE, et donc ses États membres, s’est engagé à fournir; en effet, pour indiquer le risque maximal encouru par l’UE au 31 décembre 2025, il convient d’inclure les opérations dont la signature a été autorisée, mais qui n’ont pas encore été signées (35,0 milliards d’EUR).</w:t>
      </w:r>
    </w:p>
    <w:p>
      <w:pPr>
        <w:pStyle w:val="DGTextstand-alone"/>
      </w:pPr>
      <w:r>
        <w:lastRenderedPageBreak/>
        <w:t>Les programmes de garantie budgétaire sont soutenus par des provisions progressivement constituées à partir du budget et conservées dans le FCP en tant que coussin de liquidité pour couvrir les futurs appels de garantie (voir note </w:t>
      </w:r>
      <w:r>
        <w:rPr>
          <w:b/>
        </w:rPr>
        <w:t>2.4.2.1</w:t>
      </w:r>
      <w:r>
        <w:t>). Voir note </w:t>
      </w:r>
      <w:r>
        <w:rPr>
          <w:b/>
          <w:bCs/>
        </w:rPr>
        <w:t>6.2</w:t>
      </w:r>
      <w:r>
        <w:t xml:space="preserve"> pour les mesures mises en place afin de garantir que le provisionnement est suffisant pour couvrir les appels de garantie à moyen terme. Toute perte subie dans le cadre des programmes de garantie budgétaire, au-delà du provisionnement prévu, devrait en tout état de cause être couverte par les budgets futurs. Pour le compartiment «États membres» d’InvestEU, l’UE reçoit également des contre-garanties de la part des États membres et des pays de l’EEE (voir ci-dessous).</w:t>
      </w:r>
    </w:p>
    <w:p>
      <w:pPr>
        <w:pStyle w:val="HEADER5"/>
        <w:rPr>
          <w:noProof/>
        </w:rPr>
      </w:pPr>
      <w:r>
        <w:rPr>
          <w:noProof/>
        </w:rPr>
        <w:t>Garanties MPE de la BEI</w:t>
      </w:r>
    </w:p>
    <w:p>
      <w:pPr>
        <w:pStyle w:val="DGTextstand-alone"/>
      </w:pPr>
      <w:r>
        <w:t>Le budget de l’UE garantit des prêts signés et accordés par la BEI sur ses fonds propres à des pays tiers. Au 31 décembre 2025, le montant des prêts en cours couverts par la garantie de l’UE était de 16,826 milliards d’EUR. Le budget de l’UE garantit les montants suivants:</w:t>
      </w:r>
    </w:p>
    <w:p>
      <w:pPr>
        <w:pStyle w:val="DGTextstand-alonedashesjustified"/>
      </w:pPr>
      <w:r>
        <w:t>16,680 milliards d’EUR par l’intermédiaire du compartiment «Fonds de garantie relatif aux actions extérieures» du FCP; et</w:t>
      </w:r>
    </w:p>
    <w:p>
      <w:pPr>
        <w:pStyle w:val="DGTextstand-alonedashesjustified"/>
      </w:pPr>
      <w:r>
        <w:t>146 millions d’EUR directement pour les prêts accordés aux futurs États membres avant leur adhésion.</w:t>
      </w:r>
    </w:p>
    <w:p>
      <w:pPr>
        <w:pStyle w:val="DGTextstand-alone"/>
      </w:pPr>
      <w:r>
        <w:t>Les garanties accordées au 31 décembre 2025 couvrent 0,7 milliard d’EUR de prêts signés mais non décaissés, pour lesquels les décaissements futurs sont subordonnés à l’approbation de l’UE (2,1 milliards d’EUR en 2024). La diminution observée depuis 2024 est en partie due au transfert vers la garantie pour l’Ukraine de certaines opérations relevant du MPE.</w:t>
      </w:r>
    </w:p>
    <w:p>
      <w:pPr>
        <w:pStyle w:val="DGTextstand-alone"/>
      </w:pPr>
      <w:r>
        <w:t>La garantie du MPE de l’UE qui couvre les prêts accordés par la BEI est limitée à 65 % des soldes restant à recouvrer pour les accords signés après 2007 (mandats 2007-2013 et 2014-2021). Pour les accords antérieurs à 2007, la garantie de l’UE est limitée à un pourcentage du plafond des lignes de crédit autorisées, à savoir 65 % dans la plupart des cas, mais aussi 70 %, 75 % ou 100 %. Lorsque le plafond n’est pas atteint, c’est la totalité de l’encours qui bénéficie de la garantie de l’UE.</w:t>
      </w:r>
    </w:p>
    <w:p>
      <w:pPr>
        <w:pStyle w:val="DGTextstand-alone"/>
      </w:pPr>
      <w:r>
        <w:t>La décision (UE) 2018/412 du Parlement européen et du Conseil</w:t>
      </w:r>
      <w:r>
        <w:rPr>
          <w:rStyle w:val="FootnoteReference"/>
        </w:rPr>
        <w:footnoteReference w:id="36"/>
      </w:r>
      <w:r>
        <w:t xml:space="preserve"> a mis en place un mandat de prêt destiné au secteur privé pour des projets axés sur la résilience économique à long terme des réfugiés, des migrants, des communautés d’accueil et de transit dans le cadre de l’initiative «résilience» de la BEI («IRE»). Le budget de l’Union est rémunéré pour le risque encouru en ce qui concerne les garanties accordées pour les opérations de financement de la BEI dans le cadre du mandat de l’IRE pour le secteur privé, ce qui explique la prime à recevoir pour la garantie du MPE, laquelle constitue autrement une garantie non rémunérée (voir note </w:t>
      </w:r>
      <w:r>
        <w:rPr>
          <w:b/>
        </w:rPr>
        <w:t>2.11.2</w:t>
      </w:r>
      <w:r>
        <w:t>).</w:t>
      </w:r>
    </w:p>
    <w:p>
      <w:pPr>
        <w:pStyle w:val="DGTextstand-alone"/>
        <w:rPr>
          <w:b/>
        </w:rPr>
      </w:pPr>
      <w:r>
        <w:t>Le mandat 2014-2020 du MPE, qui a expiré en 2021, était le dernier mandat au titre du Fonds de garantie relatif aux actions extérieures. Le nouveau mandat de la BEI est couvert par la garantie pour l’action extérieure établie par le règlement IVCDCI.</w:t>
      </w:r>
    </w:p>
    <w:p>
      <w:pPr>
        <w:pStyle w:val="DGTextstand-alone"/>
      </w:pPr>
      <w:r>
        <w:t>Les paiements de la garantie de l’UE sont effectués à partir du compartiment «Fonds de garantie relatif aux actions extérieures» du FCP. En 2025, les recouvrements reçus ont dépassé les appels de garantie de 0,3 million d’EUR (en 2024, l’UE a versé 11 millions d’EUR d’appels de garantie hors recouvrements).</w:t>
      </w:r>
    </w:p>
    <w:p>
      <w:pPr>
        <w:pStyle w:val="HEADER5"/>
        <w:keepNext/>
        <w:rPr>
          <w:noProof/>
        </w:rPr>
      </w:pPr>
      <w:r>
        <w:rPr>
          <w:noProof/>
        </w:rPr>
        <w:t>Garantie du Fonds européen pour les investissements stratégiques (EFSI)</w:t>
      </w:r>
    </w:p>
    <w:p>
      <w:pPr>
        <w:pStyle w:val="DGTextstand-alone"/>
      </w:pPr>
      <w:r>
        <w:t>L’EFSI est une initiative destinée à accroître la capacité de couverture des risques du groupe BEI en permettant à la BEI de faire progresser ses investissements dans l’UE. Son objectif est d'encourager des investissements supplémentaires dans l’UE et l’accès au financement pour les petites entreprises. Le budget de l’UE fournit une garantie pouvant atteindre jusqu’à 26 milliards d’EUR («garantie de l’UE au titre de l’EFSI») en vertu d’un accord entre l’UE et la BEI (ci-après l’«accord EFSI»), afin de protéger la BEI contre les pertes éventuelles qu’elle pourrait subir du fait de ses opérations de financement et d’investissement.</w:t>
      </w:r>
    </w:p>
    <w:p>
      <w:pPr>
        <w:pStyle w:val="DGTextstand-alone"/>
      </w:pPr>
      <w:r>
        <w:t xml:space="preserve">Les opérations de l’EFSI sont menées au sein de deux volets: le volet «Infrastructures et innovation», mis en œuvre par la BEI (garantie de l’UE au titre de l’EFSI de 19,250 milliards d’EUR) et le volet «PME», </w:t>
      </w:r>
      <w:r>
        <w:lastRenderedPageBreak/>
        <w:t>mis en œuvre par le FEI (garantie de l’UE au titre de l’EFSI de 6,750 milliards d’EUR), qui sont tous deux dotés d’un portefeuille d’instruments de dette et d’un portefeuille d’instruments de fonds propres. Le FEI agit en vertu d’un accord avec la BEI, sur la base d’une garantie de la BEI faisant elle-même l’objet d’une contre-garantie au titre de l’accord EFSI (garantie de l’UE au titre de l’EFSI). Afin d’améliorer l’efficacité de la garantie de l’UE et d’accroître sa capacité de couverture des risques, une combinaison de deux portefeuilles d’instruments de dette de l’EFSI avec InvestEU est devenue effective en 2022. Tous les appels de garantie, les recouvrements et recettes sont répartis entre l’EFSI et la garantie InvestEU sur la base de dotations garanties effectives.</w:t>
      </w:r>
    </w:p>
    <w:p>
      <w:pPr>
        <w:pStyle w:val="DGTextstand-alone"/>
      </w:pPr>
      <w:r>
        <w:t>L’UE et la BEI ont des rôles distincts dans le cadre de l’EFSI. L’EFSI est établi au sein de la BEI, qui finance les opérations (titres de créances et prises de participation) et, pour ce faire, emprunte les fonds nécessaires sur les marchés de capitaux. Le groupe BEI prend les décisions d’investissement en toute indépendance et gère les opérations conformément à ses règles et procédures. L’UE fournit la garantie pour ces opérations et couvre les pertes encourues par la BEI jusqu’au plafond de cette garantie.</w:t>
      </w:r>
    </w:p>
    <w:p>
      <w:pPr>
        <w:pStyle w:val="DGTextstand-alone"/>
      </w:pPr>
      <w:r>
        <w:t>Étant donné que les critères de contrôle et les exigences comptables en matière de consolidation des règles comptables de l’UE (et des IPSAS) ne sont pas satisfaits, les actifs connexes garantis ne sont pas comptabilisés dans les comptes annuels consolidés de l’UE.</w:t>
      </w:r>
    </w:p>
    <w:p>
      <w:pPr>
        <w:pStyle w:val="DGTextstand-alone"/>
      </w:pPr>
      <w:r>
        <w:t>La garantie accordée par l’Union au groupe BEI au titre de l’EFSI est comptabilisée comme un passif lié à une garantie financière pour le portefeuille d’instruments de dette du volet «Infrastructures et innovation» et pour le portefeuille d’instruments de dette du volet «PME»(voir note </w:t>
      </w:r>
      <w:r>
        <w:rPr>
          <w:b/>
        </w:rPr>
        <w:t>2.11.2</w:t>
      </w:r>
      <w:r>
        <w:t>) et comme un produit dérivé (actif ou passif financier à la juste valeur par le biais du compte de résultat) pour les deux portefeuilles d’instruments de fonds propres (voir note </w:t>
      </w:r>
      <w:r>
        <w:rPr>
          <w:b/>
        </w:rPr>
        <w:t>2.4.2.2</w:t>
      </w:r>
      <w:r>
        <w:t>). La garantie accordée au titre de l’EFSI inclut les opérations des programmes COSME, Horizon 2020, CCS LGF et EaSI pour la partie couverte par la garantie de l’UE au titre de l’EFSI dans le cadre du portefeuille d’instruments de dette du volet «PME».</w:t>
      </w:r>
    </w:p>
    <w:p>
      <w:pPr>
        <w:pStyle w:val="DGTextstand-alone"/>
      </w:pPr>
      <w:bookmarkStart w:id="207" w:name="_Hlk162276911"/>
      <w:r>
        <w:t>En 2025, un montant de 296 millions d’EUR a été versé pour des appels de garantie nets au titre du compartiment EFSI du FCP, y compris certains appels de garantie encourus les années précédentes mais temporairement couverts par les recettes de l’UE détenues sur le compte de règlement de l’EFSI auprès de la BEI (contre 151 millions d’EUR en 2024).</w:t>
      </w:r>
    </w:p>
    <w:bookmarkEnd w:id="207"/>
    <w:p>
      <w:pPr>
        <w:pStyle w:val="HEADER5"/>
        <w:keepNext/>
        <w:rPr>
          <w:noProof/>
        </w:rPr>
      </w:pPr>
      <w:r>
        <w:rPr>
          <w:noProof/>
        </w:rPr>
        <w:t>Fonds européen pour le développement durable (FEDD)</w:t>
      </w:r>
    </w:p>
    <w:p>
      <w:pPr>
        <w:pStyle w:val="DGTextstand-alone"/>
      </w:pPr>
      <w:r>
        <w:t>Établi par le règlement FEDD</w:t>
      </w:r>
      <w:r>
        <w:rPr>
          <w:rStyle w:val="FootnoteReference"/>
        </w:rPr>
        <w:footnoteReference w:id="37"/>
      </w:r>
      <w:r>
        <w:t>, le Fonds européen pour le développement durable est une initiative visant à soutenir les investissements en Afrique et dans les pays du voisinage de l’Union, afin de contribuer à la réalisation des objectifs de développement durable et de lutter contre les causes socio-économiques profondes spécifiques de la migration. En vertu du règlement FEDD, l’UE a été autorisée à mettre à la disposition des partenaires chargés de la mise en œuvre des garanties d’un montant de 1,5 milliard d’EUR (encore majoré par des contributions extérieures) pour leurs opérations d’investissement et de financement, afin de réduire leurs risques d’investissement. La garantie FEDD s’appuie sur le FCP – voir note </w:t>
      </w:r>
      <w:r>
        <w:rPr>
          <w:b/>
        </w:rPr>
        <w:t>2.4.2.1</w:t>
      </w:r>
      <w:r>
        <w:t>.</w:t>
      </w:r>
    </w:p>
    <w:p>
      <w:pPr>
        <w:pStyle w:val="DGTextstand-alone"/>
      </w:pPr>
      <w:bookmarkStart w:id="208" w:name="_Hlk137190078"/>
      <w:r>
        <w:t>Pour l’un des contrats de garantie FEDD (lorsque l’UE garantit l’adéquation du capital d’un fonds de couverture du risque de change d’un montant de 145 millions d’EUR), en cas d’appel de garantie, l’UE dispose d’un droit de remboursement pour recevoir des parts du fonds d’une valeur égale au montant versé.</w:t>
      </w:r>
      <w:bookmarkEnd w:id="208"/>
    </w:p>
    <w:p>
      <w:pPr>
        <w:pStyle w:val="HEADER5"/>
        <w:keepNext/>
        <w:rPr>
          <w:noProof/>
        </w:rPr>
      </w:pPr>
      <w:r>
        <w:rPr>
          <w:noProof/>
        </w:rPr>
        <w:t>Garantie pour l’action extérieure au titre de l’IVCDCI</w:t>
      </w:r>
    </w:p>
    <w:p>
      <w:pPr>
        <w:pStyle w:val="DGTextstand-alone"/>
      </w:pPr>
      <w:r>
        <w:t>Le règlement (UE) 2021/947 du Parlement européen et du Conseil</w:t>
      </w:r>
      <w:r>
        <w:rPr>
          <w:rStyle w:val="FootnoteReference"/>
        </w:rPr>
        <w:footnoteReference w:id="38"/>
      </w:r>
      <w:r>
        <w:t xml:space="preserve"> a établi l’instrument de voisinage, de coopération au développement et de coopération internationale – Europe dans le monde, ainsi que le Fonds européen pour le développement durable Plus (ci-après le «FEDD+») et la garantie pour l’action extérieure, pour la période couverte par le CFP 2021-2027. L’objectif du FEDD + est de promouvoir les investissements durables dans les pays partenaires de l’UE.</w:t>
      </w:r>
    </w:p>
    <w:p>
      <w:pPr>
        <w:pStyle w:val="DGTextstand-alone"/>
      </w:pPr>
      <w:r>
        <w:lastRenderedPageBreak/>
        <w:t>La garantie pour l’action extérieure soutient les opérations FEDD+ couvertes par des garanties budgétaires, l’assistance macrofinancière et les prêts aux pays tiers. Elle s’appuie sur le FCP – voir note </w:t>
      </w:r>
      <w:r>
        <w:rPr>
          <w:b/>
        </w:rPr>
        <w:t>2.4.2.1</w:t>
      </w:r>
      <w:r>
        <w:t>.</w:t>
      </w:r>
    </w:p>
    <w:p>
      <w:pPr>
        <w:pStyle w:val="DGTextstand-alone"/>
      </w:pPr>
      <w:r>
        <w:t>Au 31 décembre 2025, des contrats de garantie budgétaire étaient en vigueur pour un plafond d’encours total de 34,0 milliards d’EUR, dont 26,6 milliards d’EUR sont liés à des garanties fournies à la BEI pour ses prêts extérieurs à des contreparties souveraines et sous-souveraines au titre des fenêtres d’investissement 1 et 2 de l’IVCDCI (successeurs du MPE).</w:t>
      </w:r>
    </w:p>
    <w:p>
      <w:pPr>
        <w:pStyle w:val="DGTextstand-alone"/>
      </w:pPr>
      <w:r>
        <w:t>Pour l’un des contrats de garantie IVCDCI (lorsque l’UE garantit l’adéquation du capital d’un fonds de couverture du risque de change d’un montant de 150 millions d’EUR), en cas d’appel de garantie, l’UE dispose d’un droit de remboursement pour recevoir des parts du fonds d’une valeur égale au montant versé.</w:t>
      </w:r>
    </w:p>
    <w:p>
      <w:pPr>
        <w:pStyle w:val="HEADER5"/>
        <w:keepNext/>
        <w:rPr>
          <w:noProof/>
        </w:rPr>
      </w:pPr>
      <w:r>
        <w:rPr>
          <w:noProof/>
        </w:rPr>
        <w:t>Garantie InvestEU</w:t>
      </w:r>
    </w:p>
    <w:p>
      <w:pPr>
        <w:pStyle w:val="DGTextstand-alone"/>
      </w:pPr>
      <w:r>
        <w:t>En 2025, l’UE a adopté le règlement InvestEU révisé dans le cadre du paquet Omnibus II. Dans le cadre de la révision, la garantie budgétaire de l’UE a été augmentée de 2,9 milliards d’EUR, portant le total de 26,2 milliards d’EUR à 29,1 milliards d’EUR.</w:t>
      </w:r>
    </w:p>
    <w:p>
      <w:pPr>
        <w:pStyle w:val="DGTextstand-alone"/>
      </w:pPr>
      <w:r>
        <w:t>Cette garantie de l’UE soutient les investissements privés et publics dans quatre domaines d’action: les infrastructures durables; la recherche, l’innovation et la numérisation; les petites et moyennes entreprises; les investissements sociaux et les compétences. Plusieurs partenaires financiers, tels que les banques nationales de développement, reçoivent la garantie de l’UE. Ils soutiennent les investissements en fournissant des prêts, des garanties ou des capitaux propres. Par exemple, les partenaires chargés de la mise en œuvre peuvent accorder des prêts aux PME, participer à des fonds de capital-investissement ou fournir des garanties aux banques commerciales pour les prêts qu’elles accordent. La Commission peut également allouer au Fonds InvestEU des crédits budgétaires provenant d’autres programmes de l’UE, par exemple HERA Invest (santé), le programme spatial européen ou le programme Catalyst (innovation).</w:t>
      </w:r>
    </w:p>
    <w:p>
      <w:pPr>
        <w:pStyle w:val="DGTextstand-alone"/>
      </w:pPr>
      <w:r>
        <w:t>Afin de créer un coussin de fonds propres pour les pertes liées aux investissements garantis, la Commission réserve progressivement des fonds (le «provisionnement») en les prélevant du budget de l’UE et en les versant dans le FCP. Le règlement InvestEU a fixé le taux de provisionnement à 40 % de la garantie de l’UE.</w:t>
      </w:r>
    </w:p>
    <w:p>
      <w:pPr>
        <w:pStyle w:val="DGTextstand-alone"/>
      </w:pPr>
      <w:r>
        <w:t>La garantie de l’UE peut encore être augmentée, en plus des 29,1 milliards d’EUR susmentionnés, avec le soutien des États membres et des pays de l’EEE. qui peuvent apporter des fonds dans le cadre de leur politique de cohésion, de la FRR ou de financements nationaux. Pour les États membres, le taux de provisionnement est fixé au cas par cas, tandis que la garantie supplémentaire de l’Union appuyée par les pays de l’EEE est provisionnée à 40 % par des contributions en espèces. Les liquidités provenant des États membres et des pays de l’EEE sont conservées dans le FCP. Le montant non provisionné est couvert par des contre-garanties des États membres et des pays de l’EEE. Au 31 décembre 2025, des accords avaient été conclus avec huit États membres et deux pays de l’EEE pour un montant de 3,3 milliards d’EUR, dont 2,6 milliards d’EUR doivent être adossés à des contributions en espèces et 0,6 milliard d’EUR à des contre-garanties. Ces montants ont été utilisés à ce jour pour signer des accords de garantie supplémentaire de 3,3 milliards d’EUR avec plusieurs partenaires chargés de la mise en œuvre.</w:t>
      </w:r>
    </w:p>
    <w:p>
      <w:pPr>
        <w:pStyle w:val="DGTextstand-alone"/>
      </w:pPr>
      <w:r>
        <w:t>En 2025, un montant de 272 millions d’EUR a été versé pour des appels de garantie nets au titre des compartiments InvestEU du FCP (contre 140 millions d’EUR en 2024).</w:t>
      </w:r>
    </w:p>
    <w:p>
      <w:pPr>
        <w:pStyle w:val="HEADER5"/>
        <w:keepNext/>
        <w:rPr>
          <w:noProof/>
        </w:rPr>
      </w:pPr>
      <w:r>
        <w:rPr>
          <w:noProof/>
        </w:rPr>
        <w:t>Garantie pour l’Ukraine</w:t>
      </w:r>
    </w:p>
    <w:p>
      <w:pPr>
        <w:pStyle w:val="DGTextstand-alone"/>
      </w:pPr>
      <w:r>
        <w:t>À la suite du règlement relatif à la facilité pour l’Ukraine, l’UE a établi la garantie pour l’Ukraine pour une capacité de garantie maximale de 7,8 milliards d’EUR, afin de stimuler les investissements en faveur du redressement et de la reconstruction de l’Ukraine.</w:t>
      </w:r>
    </w:p>
    <w:p>
      <w:pPr>
        <w:pStyle w:val="DGTextstand-alone"/>
      </w:pPr>
      <w:r>
        <w:t>Au 31 décembre 2025, huit accords de garantie budgétaire avaient été signés et étaient en vigueur pour la limite de couverture totale de 3,5 milliards d’EUR.</w:t>
      </w:r>
    </w:p>
    <w:p>
      <w:pPr>
        <w:pStyle w:val="HEADER5"/>
        <w:keepNext/>
        <w:rPr>
          <w:noProof/>
        </w:rPr>
      </w:pPr>
      <w:r>
        <w:rPr>
          <w:noProof/>
        </w:rPr>
        <w:t>Obligations incombant au Royaume-Uni à la suite de son départ de l’UE</w:t>
      </w:r>
    </w:p>
    <w:p>
      <w:pPr>
        <w:pStyle w:val="DGTextstand-alone"/>
        <w:spacing w:after="0"/>
      </w:pPr>
      <w:r>
        <w:t xml:space="preserve">Conformément à l’article 143 de l’accord de retrait, le Royaume-Uni est redevable envers l’Union de sa part des passifs financiers éventuels de l’Union résultant d’opérations liées à l’EFSI, au FEDD et au mandat de prêt extérieur de la BEI approuvées au plus tard à la date de retrait, à savoir le 31 janvier </w:t>
      </w:r>
      <w:r>
        <w:lastRenderedPageBreak/>
        <w:t>2020. Aux termes de l’article 143, en cas d’appel de garantie pour une opération financière approuvée avant la date de retrait, le Royaume-Uni est redevable envers l’Union de sa part des paiements effectués par l’Union au titre de ces opérations, à moins qu’elle ne puisse être couverte par la part de provisionnement détenue par le Royaume-Uni dans le fonds de garantie, le cas échéant.</w:t>
      </w:r>
    </w:p>
    <w:p>
      <w:pPr>
        <w:pStyle w:val="DGTextstand-alone"/>
        <w:spacing w:after="0"/>
      </w:pPr>
      <w:r>
        <w:t>Pour les prêts relevant des garanties du mandat de prêt extérieur de la BEI, la valeur de la garantie budgétaire de l’UE à la date de retrait, pour les opérations approuvées à la date de retrait, était de 33,7 milliards d’EUR. Au 31 décembre 2025, cette valeur était passée à 17,3 milliards d’EUR (contre 20,6 milliards d’EUR en 2024). La part du Royaume-Uni dans ce passif éventuel au 31 décembre 2025 est donc de 2,1 milliards d’EUR (contre 2,6 milliards d’EUR au 31 décembre 2024). Cependant, comme indiqué ci-dessus, tout défaut de paiement sur ces prêts est tout d’abord couvert par le compartiment «Fonds de garantie relatif aux actions extérieures» du FCP et les montants ne seront appelés auprès du Royaume-Uni que si le provisionnement du Royaume-Uni pour ce fonds, à hauteur de 244 millions d’EUR au 31 décembre 2025, n’était pas suffisant.</w:t>
      </w:r>
    </w:p>
    <w:p>
      <w:pPr>
        <w:pStyle w:val="DGTextstand-alone"/>
        <w:spacing w:after="0"/>
      </w:pPr>
      <w:r>
        <w:t>Pour les opérations de l’EFSI, la valeur de la garantie budgétaire de l’UE à la date de retrait, pour les opérations approuvées à la date de retrait, était de 23,5 milliards d’EUR. Au 31 décembre 2025, cette valeur est restée à 16,7 milliards d’EUR (contre 17,0 milliards d’EUR en 2024). La part du Royaume-Uni dans ce passif éventuel au 31 décembre 2025 est donc de 2,1 milliards d’EUR. Tous les appels de garantie au titre de l’EFSI sont tout d’abord couverts par le compartiment «Fonds de garantie de l’EFSI» du FCP et les montants ne seront appelés auprès du Royaume-Uni que si le provisionnement du Royaume-Uni pour ce fonds, à hauteur de 443 millions d’EUR au 31 décembre 2025, n’est pas suffisant.</w:t>
      </w:r>
    </w:p>
    <w:p>
      <w:pPr>
        <w:pStyle w:val="DGTextstand-alone"/>
        <w:spacing w:after="0"/>
      </w:pPr>
      <w:r>
        <w:t>Étant donné qu’aucune opération n’avait été approuvée avant la date de retrait, en rapport avec la garantie du FEDD, par les partenaires chargés de la mise en œuvre, le Royaume-Uni n’a aucune obligation à cet égard.</w:t>
      </w:r>
    </w:p>
    <w:p>
      <w:pPr>
        <w:pStyle w:val="DGTextstand-alone"/>
        <w:spacing w:after="0"/>
      </w:pPr>
      <w:r>
        <w:t>La part du Royaume-Uni dans les paiements effectués en 2025 pour les opérations approuvées à la date de retrait ou après cette date et jusqu’au 31 décembre 2020 s’élevait à 98 millions d’EUR (97 millions d’EUR pour l’EFSI et 1 million d’EUR pour le MPE), ce qui réduit en conséquence le provisionnement du Royaume-Uni. Le montant dû au Royaume-Uni en 2025 s’élève à 198,3 millions d’EUR (voir note </w:t>
      </w:r>
      <w:r>
        <w:rPr>
          <w:b/>
          <w:bCs/>
        </w:rPr>
        <w:t>2.6.1.2</w:t>
      </w:r>
      <w:r>
        <w:t>).</w:t>
      </w:r>
    </w:p>
    <w:p>
      <w:pPr>
        <w:pStyle w:val="HEADER3NOTES"/>
        <w:numPr>
          <w:ilvl w:val="2"/>
          <w:numId w:val="15"/>
        </w:numPr>
        <w:rPr>
          <w:noProof/>
        </w:rPr>
      </w:pPr>
      <w:r>
        <w:rPr>
          <w:noProof/>
        </w:rPr>
        <w:t>Garanties fournies dans le cadre des programmes d’instruments financiers de l’UE (en valeur nominale)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27"/>
        <w:gridCol w:w="2342"/>
        <w:gridCol w:w="1289"/>
      </w:tblGrid>
      <w:tr>
        <w:trPr>
          <w:trHeight w:val="255"/>
        </w:trPr>
        <w:tc>
          <w:tcPr>
            <w:tcW w:w="6127" w:type="dxa"/>
            <w:tcBorders>
              <w:top w:val="nil"/>
              <w:left w:val="nil"/>
              <w:bottom w:val="nil"/>
              <w:right w:val="nil"/>
              <w:tl2br w:val="nil"/>
              <w:tr2bl w:val="nil"/>
            </w:tcBorders>
            <w:tcMar>
              <w:left w:w="60" w:type="dxa"/>
              <w:right w:w="60" w:type="dxa"/>
            </w:tcMar>
            <w:vAlign w:val="bottom"/>
          </w:tcPr>
          <w:p>
            <w:pPr>
              <w:pStyle w:val="DMETW36638BIPINSGUA"/>
              <w:rPr>
                <w:rFonts w:ascii="Verdana" w:eastAsia="Verdana" w:hAnsi="Verdana" w:cs="Verdana"/>
                <w:noProof/>
                <w:color w:val="000000"/>
                <w:sz w:val="18"/>
              </w:rPr>
            </w:pPr>
            <w:bookmarkStart w:id="209" w:name="DOC_TBL00081_1_1"/>
            <w:bookmarkEnd w:id="209"/>
          </w:p>
        </w:tc>
        <w:tc>
          <w:tcPr>
            <w:tcW w:w="2342" w:type="dxa"/>
            <w:tcBorders>
              <w:top w:val="nil"/>
              <w:left w:val="nil"/>
              <w:bottom w:val="nil"/>
              <w:right w:val="nil"/>
              <w:tl2br w:val="nil"/>
              <w:tr2bl w:val="nil"/>
            </w:tcBorders>
            <w:tcMar>
              <w:left w:w="60" w:type="dxa"/>
              <w:right w:w="60" w:type="dxa"/>
            </w:tcMar>
            <w:vAlign w:val="bottom"/>
          </w:tcPr>
          <w:p>
            <w:pPr>
              <w:pStyle w:val="DMETW36638BIPINSGUA"/>
              <w:jc w:val="right"/>
              <w:rPr>
                <w:rFonts w:ascii="Verdana" w:eastAsia="Verdana" w:hAnsi="Verdana" w:cs="Verdana"/>
                <w:i/>
                <w:noProof/>
                <w:color w:val="000000"/>
                <w:sz w:val="18"/>
              </w:rPr>
            </w:pPr>
          </w:p>
        </w:tc>
        <w:tc>
          <w:tcPr>
            <w:tcW w:w="1289" w:type="dxa"/>
            <w:tcBorders>
              <w:top w:val="nil"/>
              <w:left w:val="nil"/>
              <w:bottom w:val="nil"/>
              <w:right w:val="nil"/>
              <w:tl2br w:val="nil"/>
              <w:tr2bl w:val="nil"/>
            </w:tcBorders>
            <w:tcMar>
              <w:left w:w="60" w:type="dxa"/>
              <w:right w:w="60" w:type="dxa"/>
            </w:tcMar>
            <w:vAlign w:val="bottom"/>
          </w:tcPr>
          <w:p>
            <w:pPr>
              <w:pStyle w:val="DMETW36638BIPINSGUA"/>
              <w:jc w:val="right"/>
              <w:rPr>
                <w:rFonts w:ascii="Verdana" w:eastAsia="Verdana" w:hAnsi="Verdana" w:cs="Verdana"/>
                <w:i/>
                <w:noProof/>
                <w:color w:val="000000"/>
                <w:sz w:val="18"/>
              </w:rPr>
            </w:pPr>
            <w:r>
              <w:rPr>
                <w:rFonts w:ascii="Verdana" w:hAnsi="Verdana"/>
                <w:i/>
                <w:noProof/>
                <w:color w:val="000000"/>
                <w:sz w:val="18"/>
              </w:rPr>
              <w:t>en Mio EUR</w:t>
            </w:r>
          </w:p>
        </w:tc>
      </w:tr>
      <w:tr>
        <w:trPr>
          <w:trHeight w:val="255"/>
        </w:trPr>
        <w:tc>
          <w:tcPr>
            <w:tcW w:w="6127" w:type="dxa"/>
            <w:tcBorders>
              <w:top w:val="nil"/>
              <w:left w:val="nil"/>
              <w:bottom w:val="nil"/>
              <w:right w:val="nil"/>
              <w:tl2br w:val="nil"/>
              <w:tr2bl w:val="nil"/>
            </w:tcBorders>
            <w:shd w:val="solid" w:color="016794" w:fill="FFFFFF"/>
            <w:tcMar>
              <w:left w:w="60" w:type="dxa"/>
              <w:right w:w="60" w:type="dxa"/>
            </w:tcMar>
            <w:vAlign w:val="center"/>
          </w:tcPr>
          <w:p>
            <w:pPr>
              <w:pStyle w:val="DMETW36638BIPINSGUA"/>
              <w:rPr>
                <w:rFonts w:ascii="Verdana" w:eastAsia="Verdana" w:hAnsi="Verdana" w:cs="Verdana"/>
                <w:noProof/>
                <w:color w:val="FFFFFF"/>
                <w:sz w:val="18"/>
              </w:rPr>
            </w:pPr>
          </w:p>
        </w:tc>
        <w:tc>
          <w:tcPr>
            <w:tcW w:w="2342" w:type="dxa"/>
            <w:tcBorders>
              <w:top w:val="nil"/>
              <w:left w:val="nil"/>
              <w:bottom w:val="nil"/>
              <w:right w:val="nil"/>
              <w:tl2br w:val="nil"/>
              <w:tr2bl w:val="nil"/>
            </w:tcBorders>
            <w:shd w:val="solid" w:color="016794" w:fill="FFFFFF"/>
            <w:tcMar>
              <w:left w:w="60" w:type="dxa"/>
              <w:right w:w="60" w:type="dxa"/>
            </w:tcMar>
            <w:vAlign w:val="center"/>
          </w:tcPr>
          <w:p>
            <w:pPr>
              <w:pStyle w:val="DMETW36638BIPINSGUA"/>
              <w:jc w:val="right"/>
              <w:rPr>
                <w:rFonts w:ascii="Verdana" w:eastAsia="Verdana" w:hAnsi="Verdana" w:cs="Verdana"/>
                <w:noProof/>
                <w:color w:val="FFFFFF"/>
                <w:sz w:val="18"/>
              </w:rPr>
            </w:pPr>
            <w:r>
              <w:rPr>
                <w:rFonts w:ascii="Verdana" w:hAnsi="Verdana"/>
                <w:noProof/>
                <w:color w:val="FFFFFF"/>
                <w:sz w:val="18"/>
              </w:rPr>
              <w:t>31.12.2025</w:t>
            </w:r>
          </w:p>
        </w:tc>
        <w:tc>
          <w:tcPr>
            <w:tcW w:w="1289" w:type="dxa"/>
            <w:tcBorders>
              <w:top w:val="nil"/>
              <w:left w:val="nil"/>
              <w:bottom w:val="nil"/>
              <w:right w:val="nil"/>
              <w:tl2br w:val="nil"/>
              <w:tr2bl w:val="nil"/>
            </w:tcBorders>
            <w:shd w:val="solid" w:color="016794" w:fill="FFFFFF"/>
            <w:tcMar>
              <w:left w:w="60" w:type="dxa"/>
              <w:right w:w="60" w:type="dxa"/>
            </w:tcMar>
            <w:vAlign w:val="center"/>
          </w:tcPr>
          <w:p>
            <w:pPr>
              <w:pStyle w:val="DMETW36638BIPINSGUA"/>
              <w:jc w:val="right"/>
              <w:rPr>
                <w:rFonts w:ascii="Verdana" w:eastAsia="Verdana" w:hAnsi="Verdana" w:cs="Verdana"/>
                <w:noProof/>
                <w:color w:val="FFFFFF"/>
                <w:sz w:val="18"/>
              </w:rPr>
            </w:pPr>
            <w:r>
              <w:rPr>
                <w:rFonts w:ascii="Verdana" w:hAnsi="Verdana"/>
                <w:noProof/>
                <w:color w:val="FFFFFF"/>
                <w:sz w:val="18"/>
              </w:rPr>
              <w:t>31.12.2024</w:t>
            </w:r>
          </w:p>
        </w:tc>
      </w:tr>
      <w:tr>
        <w:trPr>
          <w:trHeight w:val="255"/>
        </w:trPr>
        <w:tc>
          <w:tcPr>
            <w:tcW w:w="6127" w:type="dxa"/>
            <w:tcBorders>
              <w:top w:val="nil"/>
              <w:left w:val="nil"/>
              <w:bottom w:val="nil"/>
              <w:right w:val="nil"/>
              <w:tl2br w:val="nil"/>
              <w:tr2bl w:val="nil"/>
            </w:tcBorders>
            <w:tcMar>
              <w:left w:w="60" w:type="dxa"/>
              <w:right w:w="60" w:type="dxa"/>
            </w:tcMar>
            <w:vAlign w:val="center"/>
          </w:tcPr>
          <w:p>
            <w:pPr>
              <w:pStyle w:val="DMETW36638BIPINSGUA"/>
              <w:rPr>
                <w:rFonts w:ascii="Verdana" w:eastAsia="Verdana" w:hAnsi="Verdana" w:cs="Verdana"/>
                <w:i/>
                <w:noProof/>
                <w:color w:val="000000"/>
                <w:sz w:val="18"/>
              </w:rPr>
            </w:pPr>
            <w:r>
              <w:rPr>
                <w:rFonts w:ascii="Verdana" w:hAnsi="Verdana"/>
                <w:i/>
                <w:noProof/>
                <w:color w:val="000000"/>
                <w:sz w:val="18"/>
              </w:rPr>
              <w:t>Horizon 2020</w:t>
            </w:r>
          </w:p>
        </w:tc>
        <w:tc>
          <w:tcPr>
            <w:tcW w:w="2342" w:type="dxa"/>
            <w:tcBorders>
              <w:top w:val="nil"/>
              <w:left w:val="nil"/>
              <w:bottom w:val="nil"/>
              <w:right w:val="nil"/>
              <w:tl2br w:val="nil"/>
              <w:tr2bl w:val="nil"/>
            </w:tcBorders>
            <w:tcMar>
              <w:left w:w="60" w:type="dxa"/>
              <w:right w:w="60" w:type="dxa"/>
            </w:tcMar>
            <w:vAlign w:val="bottom"/>
          </w:tcPr>
          <w:p>
            <w:pPr>
              <w:pStyle w:val="DMETW36638BIPINSGUA"/>
              <w:jc w:val="right"/>
              <w:rPr>
                <w:rFonts w:ascii="Verdana" w:eastAsia="Verdana" w:hAnsi="Verdana" w:cs="Verdana"/>
                <w:i/>
                <w:noProof/>
                <w:color w:val="000000"/>
                <w:sz w:val="18"/>
              </w:rPr>
            </w:pPr>
            <w:r>
              <w:rPr>
                <w:rFonts w:ascii="Verdana" w:hAnsi="Verdana"/>
                <w:i/>
                <w:noProof/>
                <w:color w:val="000000"/>
                <w:sz w:val="18"/>
              </w:rPr>
              <w:t>2 027</w:t>
            </w:r>
          </w:p>
        </w:tc>
        <w:tc>
          <w:tcPr>
            <w:tcW w:w="1289" w:type="dxa"/>
            <w:tcBorders>
              <w:top w:val="nil"/>
              <w:left w:val="nil"/>
              <w:bottom w:val="nil"/>
              <w:right w:val="nil"/>
              <w:tl2br w:val="nil"/>
              <w:tr2bl w:val="nil"/>
            </w:tcBorders>
            <w:tcMar>
              <w:left w:w="60" w:type="dxa"/>
              <w:right w:w="60" w:type="dxa"/>
            </w:tcMar>
            <w:vAlign w:val="bottom"/>
          </w:tcPr>
          <w:p>
            <w:pPr>
              <w:pStyle w:val="DMETW36638BIPINSGUA"/>
              <w:jc w:val="right"/>
              <w:rPr>
                <w:rFonts w:ascii="Verdana" w:eastAsia="Verdana" w:hAnsi="Verdana" w:cs="Verdana"/>
                <w:i/>
                <w:noProof/>
                <w:color w:val="000000"/>
                <w:sz w:val="18"/>
              </w:rPr>
            </w:pPr>
            <w:r>
              <w:rPr>
                <w:rFonts w:ascii="Verdana" w:hAnsi="Verdana"/>
                <w:i/>
                <w:noProof/>
                <w:color w:val="000000"/>
                <w:sz w:val="18"/>
              </w:rPr>
              <w:t>2 145</w:t>
            </w:r>
          </w:p>
        </w:tc>
      </w:tr>
      <w:tr>
        <w:trPr>
          <w:trHeight w:val="255"/>
        </w:trPr>
        <w:tc>
          <w:tcPr>
            <w:tcW w:w="6127" w:type="dxa"/>
            <w:tcBorders>
              <w:top w:val="nil"/>
              <w:left w:val="nil"/>
              <w:bottom w:val="nil"/>
              <w:right w:val="nil"/>
              <w:tl2br w:val="nil"/>
              <w:tr2bl w:val="nil"/>
            </w:tcBorders>
            <w:tcMar>
              <w:left w:w="60" w:type="dxa"/>
              <w:right w:w="60" w:type="dxa"/>
            </w:tcMar>
            <w:vAlign w:val="center"/>
          </w:tcPr>
          <w:p>
            <w:pPr>
              <w:pStyle w:val="DMETW36638BIPINSGUA"/>
              <w:rPr>
                <w:rFonts w:ascii="Verdana" w:eastAsia="Verdana" w:hAnsi="Verdana" w:cs="Verdana"/>
                <w:i/>
                <w:noProof/>
                <w:color w:val="000000"/>
                <w:sz w:val="18"/>
              </w:rPr>
            </w:pPr>
            <w:r>
              <w:rPr>
                <w:rFonts w:ascii="Verdana" w:hAnsi="Verdana"/>
                <w:i/>
                <w:noProof/>
                <w:color w:val="000000"/>
                <w:sz w:val="18"/>
              </w:rPr>
              <w:t>Mécanisme pour l’interconnexion en Europe</w:t>
            </w:r>
          </w:p>
        </w:tc>
        <w:tc>
          <w:tcPr>
            <w:tcW w:w="2342" w:type="dxa"/>
            <w:tcBorders>
              <w:top w:val="nil"/>
              <w:left w:val="nil"/>
              <w:bottom w:val="nil"/>
              <w:right w:val="nil"/>
              <w:tl2br w:val="nil"/>
              <w:tr2bl w:val="nil"/>
            </w:tcBorders>
            <w:tcMar>
              <w:left w:w="60" w:type="dxa"/>
              <w:right w:w="60" w:type="dxa"/>
            </w:tcMar>
            <w:vAlign w:val="bottom"/>
          </w:tcPr>
          <w:p>
            <w:pPr>
              <w:pStyle w:val="DMETW36638BIPINSGUA"/>
              <w:jc w:val="right"/>
              <w:rPr>
                <w:rFonts w:ascii="Verdana" w:eastAsia="Verdana" w:hAnsi="Verdana" w:cs="Verdana"/>
                <w:i/>
                <w:noProof/>
                <w:color w:val="000000"/>
                <w:sz w:val="18"/>
              </w:rPr>
            </w:pPr>
            <w:r>
              <w:rPr>
                <w:rFonts w:ascii="Verdana" w:hAnsi="Verdana"/>
                <w:i/>
                <w:noProof/>
                <w:color w:val="000000"/>
                <w:sz w:val="18"/>
              </w:rPr>
              <w:t xml:space="preserve"> 644</w:t>
            </w:r>
          </w:p>
        </w:tc>
        <w:tc>
          <w:tcPr>
            <w:tcW w:w="1289" w:type="dxa"/>
            <w:tcBorders>
              <w:top w:val="nil"/>
              <w:left w:val="nil"/>
              <w:bottom w:val="nil"/>
              <w:right w:val="nil"/>
              <w:tl2br w:val="nil"/>
              <w:tr2bl w:val="nil"/>
            </w:tcBorders>
            <w:tcMar>
              <w:left w:w="60" w:type="dxa"/>
              <w:right w:w="60" w:type="dxa"/>
            </w:tcMar>
            <w:vAlign w:val="bottom"/>
          </w:tcPr>
          <w:p>
            <w:pPr>
              <w:pStyle w:val="DMETW36638BIPINSGUA"/>
              <w:jc w:val="right"/>
              <w:rPr>
                <w:rFonts w:ascii="Verdana" w:eastAsia="Verdana" w:hAnsi="Verdana" w:cs="Verdana"/>
                <w:i/>
                <w:noProof/>
                <w:color w:val="000000"/>
                <w:sz w:val="18"/>
              </w:rPr>
            </w:pPr>
            <w:r>
              <w:rPr>
                <w:rFonts w:ascii="Verdana" w:hAnsi="Verdana"/>
                <w:i/>
                <w:noProof/>
                <w:color w:val="000000"/>
                <w:sz w:val="18"/>
              </w:rPr>
              <w:t xml:space="preserve"> 649</w:t>
            </w:r>
          </w:p>
        </w:tc>
      </w:tr>
      <w:tr>
        <w:trPr>
          <w:trHeight w:val="255"/>
        </w:trPr>
        <w:tc>
          <w:tcPr>
            <w:tcW w:w="6127" w:type="dxa"/>
            <w:tcBorders>
              <w:top w:val="nil"/>
              <w:left w:val="nil"/>
              <w:bottom w:val="nil"/>
              <w:right w:val="nil"/>
              <w:tl2br w:val="nil"/>
              <w:tr2bl w:val="nil"/>
            </w:tcBorders>
            <w:tcMar>
              <w:left w:w="60" w:type="dxa"/>
              <w:right w:w="60" w:type="dxa"/>
            </w:tcMar>
            <w:vAlign w:val="center"/>
          </w:tcPr>
          <w:p>
            <w:pPr>
              <w:pStyle w:val="DMETW36638BIPINSGUA"/>
              <w:rPr>
                <w:rFonts w:ascii="Verdana" w:eastAsia="Verdana" w:hAnsi="Verdana" w:cs="Verdana"/>
                <w:i/>
                <w:noProof/>
                <w:color w:val="000000"/>
                <w:sz w:val="18"/>
              </w:rPr>
            </w:pPr>
            <w:r>
              <w:rPr>
                <w:rFonts w:ascii="Verdana" w:hAnsi="Verdana"/>
                <w:i/>
                <w:noProof/>
                <w:color w:val="000000"/>
                <w:sz w:val="18"/>
              </w:rPr>
              <w:t>COSME</w:t>
            </w:r>
          </w:p>
        </w:tc>
        <w:tc>
          <w:tcPr>
            <w:tcW w:w="2342" w:type="dxa"/>
            <w:tcBorders>
              <w:top w:val="nil"/>
              <w:left w:val="nil"/>
              <w:bottom w:val="nil"/>
              <w:right w:val="nil"/>
              <w:tl2br w:val="nil"/>
              <w:tr2bl w:val="nil"/>
            </w:tcBorders>
            <w:tcMar>
              <w:left w:w="60" w:type="dxa"/>
              <w:right w:w="60" w:type="dxa"/>
            </w:tcMar>
            <w:vAlign w:val="bottom"/>
          </w:tcPr>
          <w:p>
            <w:pPr>
              <w:pStyle w:val="DMETW36638BIPINSGUA"/>
              <w:jc w:val="right"/>
              <w:rPr>
                <w:rFonts w:ascii="Verdana" w:eastAsia="Verdana" w:hAnsi="Verdana" w:cs="Verdana"/>
                <w:i/>
                <w:noProof/>
                <w:color w:val="000000"/>
                <w:sz w:val="18"/>
              </w:rPr>
            </w:pPr>
            <w:r>
              <w:rPr>
                <w:rFonts w:ascii="Verdana" w:hAnsi="Verdana"/>
                <w:i/>
                <w:noProof/>
                <w:color w:val="000000"/>
                <w:sz w:val="18"/>
              </w:rPr>
              <w:t xml:space="preserve"> 236</w:t>
            </w:r>
          </w:p>
        </w:tc>
        <w:tc>
          <w:tcPr>
            <w:tcW w:w="1289" w:type="dxa"/>
            <w:tcBorders>
              <w:top w:val="nil"/>
              <w:left w:val="nil"/>
              <w:bottom w:val="nil"/>
              <w:right w:val="nil"/>
              <w:tl2br w:val="nil"/>
              <w:tr2bl w:val="nil"/>
            </w:tcBorders>
            <w:tcMar>
              <w:left w:w="60" w:type="dxa"/>
              <w:right w:w="60" w:type="dxa"/>
            </w:tcMar>
            <w:vAlign w:val="bottom"/>
          </w:tcPr>
          <w:p>
            <w:pPr>
              <w:pStyle w:val="DMETW36638BIPINSGUA"/>
              <w:jc w:val="right"/>
              <w:rPr>
                <w:rFonts w:ascii="Verdana" w:eastAsia="Verdana" w:hAnsi="Verdana" w:cs="Verdana"/>
                <w:i/>
                <w:noProof/>
                <w:color w:val="000000"/>
                <w:sz w:val="18"/>
              </w:rPr>
            </w:pPr>
            <w:r>
              <w:rPr>
                <w:rFonts w:ascii="Verdana" w:hAnsi="Verdana"/>
                <w:i/>
                <w:noProof/>
                <w:color w:val="000000"/>
                <w:sz w:val="18"/>
              </w:rPr>
              <w:t xml:space="preserve"> 378</w:t>
            </w:r>
          </w:p>
        </w:tc>
      </w:tr>
      <w:tr>
        <w:trPr>
          <w:trHeight w:val="255"/>
        </w:trPr>
        <w:tc>
          <w:tcPr>
            <w:tcW w:w="6127" w:type="dxa"/>
            <w:tcBorders>
              <w:top w:val="nil"/>
              <w:left w:val="nil"/>
              <w:bottom w:val="nil"/>
              <w:right w:val="nil"/>
              <w:tl2br w:val="nil"/>
              <w:tr2bl w:val="nil"/>
            </w:tcBorders>
            <w:tcMar>
              <w:left w:w="60" w:type="dxa"/>
              <w:right w:w="60" w:type="dxa"/>
            </w:tcMar>
            <w:vAlign w:val="center"/>
          </w:tcPr>
          <w:p>
            <w:pPr>
              <w:pStyle w:val="DMETW36638BIPINSGUA"/>
              <w:rPr>
                <w:rFonts w:ascii="Verdana" w:eastAsia="Verdana" w:hAnsi="Verdana" w:cs="Verdana"/>
                <w:i/>
                <w:noProof/>
                <w:color w:val="000000"/>
                <w:sz w:val="18"/>
              </w:rPr>
            </w:pPr>
            <w:r>
              <w:rPr>
                <w:rFonts w:ascii="Verdana" w:hAnsi="Verdana"/>
                <w:i/>
                <w:noProof/>
                <w:color w:val="000000"/>
                <w:sz w:val="18"/>
              </w:rPr>
              <w:t>Autres</w:t>
            </w:r>
          </w:p>
        </w:tc>
        <w:tc>
          <w:tcPr>
            <w:tcW w:w="2342" w:type="dxa"/>
            <w:tcBorders>
              <w:top w:val="nil"/>
              <w:left w:val="nil"/>
              <w:bottom w:val="nil"/>
              <w:right w:val="nil"/>
              <w:tl2br w:val="nil"/>
              <w:tr2bl w:val="nil"/>
            </w:tcBorders>
            <w:tcMar>
              <w:left w:w="60" w:type="dxa"/>
              <w:right w:w="60" w:type="dxa"/>
            </w:tcMar>
            <w:vAlign w:val="bottom"/>
          </w:tcPr>
          <w:p>
            <w:pPr>
              <w:pStyle w:val="DMETW36638BIPINSGUA"/>
              <w:jc w:val="right"/>
              <w:rPr>
                <w:rFonts w:ascii="Verdana" w:eastAsia="Verdana" w:hAnsi="Verdana" w:cs="Verdana"/>
                <w:i/>
                <w:noProof/>
                <w:color w:val="000000"/>
                <w:sz w:val="18"/>
              </w:rPr>
            </w:pPr>
            <w:r>
              <w:rPr>
                <w:rFonts w:ascii="Verdana" w:hAnsi="Verdana"/>
                <w:i/>
                <w:noProof/>
                <w:color w:val="000000"/>
                <w:sz w:val="18"/>
              </w:rPr>
              <w:t xml:space="preserve"> 536</w:t>
            </w:r>
          </w:p>
        </w:tc>
        <w:tc>
          <w:tcPr>
            <w:tcW w:w="1289" w:type="dxa"/>
            <w:tcBorders>
              <w:top w:val="nil"/>
              <w:left w:val="nil"/>
              <w:bottom w:val="nil"/>
              <w:right w:val="nil"/>
              <w:tl2br w:val="nil"/>
              <w:tr2bl w:val="nil"/>
            </w:tcBorders>
            <w:tcMar>
              <w:left w:w="60" w:type="dxa"/>
              <w:right w:w="60" w:type="dxa"/>
            </w:tcMar>
            <w:vAlign w:val="bottom"/>
          </w:tcPr>
          <w:p>
            <w:pPr>
              <w:pStyle w:val="DMETW36638BIPINSGUA"/>
              <w:jc w:val="right"/>
              <w:rPr>
                <w:rFonts w:ascii="Verdana" w:eastAsia="Verdana" w:hAnsi="Verdana" w:cs="Verdana"/>
                <w:i/>
                <w:noProof/>
                <w:color w:val="000000"/>
                <w:sz w:val="18"/>
              </w:rPr>
            </w:pPr>
            <w:r>
              <w:rPr>
                <w:rFonts w:ascii="Verdana" w:hAnsi="Verdana"/>
                <w:i/>
                <w:noProof/>
                <w:color w:val="000000"/>
                <w:sz w:val="18"/>
              </w:rPr>
              <w:t xml:space="preserve"> 471</w:t>
            </w:r>
          </w:p>
        </w:tc>
      </w:tr>
      <w:tr>
        <w:trPr>
          <w:trHeight w:val="255"/>
        </w:trPr>
        <w:tc>
          <w:tcPr>
            <w:tcW w:w="6127" w:type="dxa"/>
            <w:tcBorders>
              <w:top w:val="nil"/>
              <w:left w:val="nil"/>
              <w:bottom w:val="nil"/>
              <w:right w:val="nil"/>
              <w:tl2br w:val="nil"/>
              <w:tr2bl w:val="nil"/>
            </w:tcBorders>
            <w:shd w:val="solid" w:color="CCE1EA" w:fill="FFFFFF"/>
            <w:tcMar>
              <w:left w:w="60" w:type="dxa"/>
              <w:right w:w="60" w:type="dxa"/>
            </w:tcMar>
            <w:vAlign w:val="center"/>
          </w:tcPr>
          <w:p>
            <w:pPr>
              <w:pStyle w:val="DMETW36638BIPINSGUA"/>
              <w:rPr>
                <w:rFonts w:ascii="Verdana" w:eastAsia="Verdana" w:hAnsi="Verdana" w:cs="Verdana"/>
                <w:b/>
                <w:noProof/>
                <w:color w:val="000000"/>
                <w:sz w:val="18"/>
              </w:rPr>
            </w:pPr>
            <w:r>
              <w:rPr>
                <w:rFonts w:ascii="Verdana" w:hAnsi="Verdana"/>
                <w:b/>
                <w:noProof/>
                <w:color w:val="000000"/>
                <w:sz w:val="18"/>
              </w:rPr>
              <w:t>Total</w:t>
            </w:r>
          </w:p>
        </w:tc>
        <w:tc>
          <w:tcPr>
            <w:tcW w:w="2342" w:type="dxa"/>
            <w:tcBorders>
              <w:top w:val="nil"/>
              <w:left w:val="nil"/>
              <w:bottom w:val="nil"/>
              <w:right w:val="nil"/>
              <w:tl2br w:val="nil"/>
              <w:tr2bl w:val="nil"/>
            </w:tcBorders>
            <w:shd w:val="solid" w:color="CCE1EA" w:fill="FFFFFF"/>
            <w:tcMar>
              <w:left w:w="60" w:type="dxa"/>
              <w:right w:w="60" w:type="dxa"/>
            </w:tcMar>
            <w:vAlign w:val="bottom"/>
          </w:tcPr>
          <w:p>
            <w:pPr>
              <w:pStyle w:val="DMETW36638BIPINSGUA"/>
              <w:jc w:val="right"/>
              <w:rPr>
                <w:rFonts w:ascii="Verdana" w:eastAsia="Verdana" w:hAnsi="Verdana" w:cs="Verdana"/>
                <w:b/>
                <w:noProof/>
                <w:color w:val="000000"/>
                <w:sz w:val="18"/>
              </w:rPr>
            </w:pPr>
            <w:r>
              <w:rPr>
                <w:rFonts w:ascii="Verdana" w:hAnsi="Verdana"/>
                <w:b/>
                <w:noProof/>
                <w:color w:val="000000"/>
                <w:sz w:val="18"/>
              </w:rPr>
              <w:t>3 443</w:t>
            </w:r>
          </w:p>
        </w:tc>
        <w:tc>
          <w:tcPr>
            <w:tcW w:w="1289" w:type="dxa"/>
            <w:tcBorders>
              <w:top w:val="nil"/>
              <w:left w:val="nil"/>
              <w:bottom w:val="nil"/>
              <w:right w:val="nil"/>
              <w:tl2br w:val="nil"/>
              <w:tr2bl w:val="nil"/>
            </w:tcBorders>
            <w:shd w:val="solid" w:color="CCE1EA" w:fill="FFFFFF"/>
            <w:tcMar>
              <w:left w:w="60" w:type="dxa"/>
              <w:right w:w="60" w:type="dxa"/>
            </w:tcMar>
            <w:vAlign w:val="bottom"/>
          </w:tcPr>
          <w:p>
            <w:pPr>
              <w:pStyle w:val="DMETW36638BIPINSGUA"/>
              <w:jc w:val="right"/>
              <w:rPr>
                <w:rFonts w:ascii="Verdana" w:eastAsia="Verdana" w:hAnsi="Verdana" w:cs="Verdana"/>
                <w:b/>
                <w:noProof/>
                <w:color w:val="000000"/>
                <w:sz w:val="18"/>
              </w:rPr>
            </w:pPr>
            <w:r>
              <w:rPr>
                <w:rFonts w:ascii="Verdana" w:hAnsi="Verdana"/>
                <w:b/>
                <w:noProof/>
                <w:color w:val="000000"/>
                <w:sz w:val="18"/>
              </w:rPr>
              <w:t>3 642</w:t>
            </w:r>
          </w:p>
        </w:tc>
      </w:tr>
    </w:tbl>
    <w:p>
      <w:pPr>
        <w:pStyle w:val="DGTextstand-alone"/>
      </w:pPr>
      <w:r>
        <w:t>Les montants figurant dans le tableau ci-dessus présentent les encours nominaux des garanties accordées au titre des programmes d’instruments financiers de l’UE.</w:t>
      </w:r>
    </w:p>
    <w:p>
      <w:pPr>
        <w:pStyle w:val="DGTextstand-alone"/>
      </w:pPr>
      <w:r>
        <w:t xml:space="preserve">Comme énoncé à l’article 213, paragraphe 1, du règlement financier, les dépenses budgétaires liées à un instrument financier et la responsabilité financière de l’Union ne vont </w:t>
      </w:r>
      <w:r>
        <w:rPr>
          <w:b/>
        </w:rPr>
        <w:t>en aucun cas au-delà des limites de l’engagement budgétaire correspondant à celui-ci</w:t>
      </w:r>
      <w:r>
        <w:t>, ce qui évite tout passif éventuel pour le budget. Dans la pratique, cela signifie que ce passif possède une contrepartie dans l’actif du bilan ou qu’il est couvert par les engagements budgétaires restant à liquider non encore passés en charges.</w:t>
      </w:r>
    </w:p>
    <w:p>
      <w:pPr>
        <w:pStyle w:val="DGTextstand-alone"/>
      </w:pPr>
      <w:r>
        <w:t>Le mécanisme de garantie de prêts (LGF) du programme COSME consiste principalement en des garanties plafonnées pour des portefeuilles de financement par l’emprunt à haut risque (principalement des prêts) proposés aux PME par des intermédiaires financiers. Le mécanisme de garantie de prêts du programme COSME est mis en œuvre par le FEI au nom de l’UE.</w:t>
      </w:r>
    </w:p>
    <w:p>
      <w:pPr>
        <w:pStyle w:val="DGTextstand-alone"/>
      </w:pPr>
      <w:r>
        <w:t>Pour de plus amples informations sur Horizon 2020 et le mécanisme pour l’interconnexion en Europe, voir également la note </w:t>
      </w:r>
      <w:r>
        <w:rPr>
          <w:b/>
        </w:rPr>
        <w:t>2.4.2.1</w:t>
      </w:r>
      <w:r>
        <w:t>.</w:t>
      </w:r>
    </w:p>
    <w:p>
      <w:pPr>
        <w:pStyle w:val="HEADER5"/>
        <w:rPr>
          <w:noProof/>
        </w:rPr>
      </w:pPr>
      <w:r>
        <w:rPr>
          <w:noProof/>
        </w:rPr>
        <w:t>Obligations incombant au Royaume-Uni à la suite de son départ de l’UE</w:t>
      </w:r>
    </w:p>
    <w:p>
      <w:pPr>
        <w:pStyle w:val="DGTextstand-alone"/>
      </w:pPr>
      <w:r>
        <w:lastRenderedPageBreak/>
        <w:t>En ce qui concerne le passif éventuel de l’UE lié à des montants approuvés à la date de retrait en rapport avec des instruments financiers de l’UE, y compris ceux cités ci-dessus, si l’une de ces éventualités se concrétise, elle sera couverte par le budget de l’UE en utilisant les fonds détenus sur des comptes fiduciaires. Dès lors, en principe, aucun montant ne sera appelé auprès du Royaume-Uni sinon sa part du RAL budgétaire, comme décrit à l’article 140 de l’accord de retrait – voir note </w:t>
      </w:r>
      <w:r>
        <w:rPr>
          <w:b/>
          <w:bCs/>
        </w:rPr>
        <w:t>2.6.1.2</w:t>
      </w:r>
      <w:r>
        <w:t>.</w:t>
      </w:r>
    </w:p>
    <w:p>
      <w:pPr>
        <w:pStyle w:val="HEADER2NOTES"/>
        <w:numPr>
          <w:ilvl w:val="1"/>
          <w:numId w:val="15"/>
        </w:numPr>
        <w:rPr>
          <w:noProof/>
        </w:rPr>
      </w:pPr>
      <w:r>
        <w:rPr>
          <w:noProof/>
        </w:rPr>
        <w:t>Passifs éventuels liés à des affaires juridiques</w:t>
      </w:r>
    </w:p>
    <w:p>
      <w:pPr>
        <w:pStyle w:val="HEADER3NOTES"/>
        <w:numPr>
          <w:ilvl w:val="2"/>
          <w:numId w:val="15"/>
        </w:numPr>
        <w:rPr>
          <w:noProof/>
        </w:rPr>
      </w:pPr>
      <w:r>
        <w:rPr>
          <w:noProof/>
        </w:rPr>
        <w:t>Contentieux dans le domaine des amendes</w:t>
      </w:r>
    </w:p>
    <w:p>
      <w:pPr>
        <w:pStyle w:val="DGTextstand-alone"/>
      </w:pPr>
      <w:r>
        <w:t>Au 31 décembre 2025, les passifs éventuels liés aux amendes s’élevaient à 2,336 milliards d’EUR (contre 2,178 milliards d’EUR en 2024). Ce montant comprend les amendes infligées aux entreprises (2,035 milliards d’EUR, voir note </w:t>
      </w:r>
      <w:r>
        <w:rPr>
          <w:b/>
          <w:bCs/>
        </w:rPr>
        <w:t>2.6.1.3</w:t>
      </w:r>
      <w:r>
        <w:t>) et les amendes imposées aux États membres (301 millions d’EUR) qui ont été payées à titre provisionnel et pour lesquelles soit un recours a été formé, soit on ignore si un recours sera formé. Ils continueront de figurer parmi les passifs éventuels jusqu’à ce que la Cour de justice de l’Union européenne se prononce ou jusqu’à l’expiration du délai de recours. Les intérêts sur les paiements provisionnels sont inclus dans le résultat économique de l’exercice et aussi en tant que dette éventuelle, de façon à tenir compte du caractère incertain des droits de la Commission sur ces montants. Si l’UE devait succomber dans l’un des litiges portant sur les amendes infligées, les montants reçus à titre provisionnel seraient restitués aux entreprises ou aux États membres sans qu’il n’y ait d’incidence sur le budget. Le montant des amendes n’est comptabilisé comme recette budgétaire que lorsque les amendes sont définitives (article 107 du règlement financier).</w:t>
      </w:r>
    </w:p>
    <w:p>
      <w:pPr>
        <w:pStyle w:val="HEADER3NOTES"/>
        <w:numPr>
          <w:ilvl w:val="2"/>
          <w:numId w:val="15"/>
        </w:numPr>
        <w:rPr>
          <w:noProof/>
        </w:rPr>
      </w:pPr>
      <w:r>
        <w:rPr>
          <w:noProof/>
        </w:rPr>
        <w:t>Autre contentieux</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86"/>
        <w:gridCol w:w="1686"/>
        <w:gridCol w:w="1686"/>
      </w:tblGrid>
      <w:tr>
        <w:trPr>
          <w:trHeight w:val="255"/>
        </w:trPr>
        <w:tc>
          <w:tcPr>
            <w:tcW w:w="6386" w:type="dxa"/>
            <w:tcBorders>
              <w:top w:val="nil"/>
              <w:left w:val="nil"/>
              <w:bottom w:val="nil"/>
              <w:right w:val="nil"/>
              <w:tl2br w:val="nil"/>
              <w:tr2bl w:val="nil"/>
            </w:tcBorders>
            <w:tcMar>
              <w:left w:w="60" w:type="dxa"/>
              <w:right w:w="60" w:type="dxa"/>
            </w:tcMar>
            <w:vAlign w:val="bottom"/>
          </w:tcPr>
          <w:p>
            <w:pPr>
              <w:pStyle w:val="DMETW36762BIPCL"/>
              <w:rPr>
                <w:rFonts w:ascii="Arial" w:eastAsia="Arial" w:hAnsi="Arial" w:cs="Arial"/>
                <w:noProof/>
                <w:color w:val="000000"/>
              </w:rPr>
            </w:pPr>
            <w:bookmarkStart w:id="210" w:name="DOC_TBL00082_1_1"/>
            <w:bookmarkEnd w:id="210"/>
          </w:p>
        </w:tc>
        <w:tc>
          <w:tcPr>
            <w:tcW w:w="1686" w:type="dxa"/>
            <w:tcBorders>
              <w:top w:val="nil"/>
              <w:left w:val="nil"/>
              <w:bottom w:val="nil"/>
              <w:right w:val="nil"/>
              <w:tl2br w:val="nil"/>
              <w:tr2bl w:val="nil"/>
            </w:tcBorders>
            <w:tcMar>
              <w:left w:w="60" w:type="dxa"/>
              <w:right w:w="60" w:type="dxa"/>
            </w:tcMar>
            <w:vAlign w:val="bottom"/>
          </w:tcPr>
          <w:p>
            <w:pPr>
              <w:pStyle w:val="DMETW36762BIPCL"/>
              <w:rPr>
                <w:rFonts w:ascii="Arial" w:eastAsia="Arial" w:hAnsi="Arial" w:cs="Arial"/>
                <w:noProof/>
                <w:color w:val="000000"/>
              </w:rPr>
            </w:pPr>
          </w:p>
        </w:tc>
        <w:tc>
          <w:tcPr>
            <w:tcW w:w="1686" w:type="dxa"/>
            <w:tcBorders>
              <w:top w:val="nil"/>
              <w:left w:val="nil"/>
              <w:bottom w:val="nil"/>
              <w:right w:val="nil"/>
              <w:tl2br w:val="nil"/>
              <w:tr2bl w:val="nil"/>
            </w:tcBorders>
            <w:tcMar>
              <w:left w:w="60" w:type="dxa"/>
              <w:right w:w="60" w:type="dxa"/>
            </w:tcMar>
            <w:vAlign w:val="bottom"/>
          </w:tcPr>
          <w:p>
            <w:pPr>
              <w:pStyle w:val="DMETW36762BIPCL"/>
              <w:jc w:val="right"/>
              <w:rPr>
                <w:rFonts w:ascii="Verdana" w:eastAsia="Verdana" w:hAnsi="Verdana" w:cs="Verdana"/>
                <w:i/>
                <w:noProof/>
                <w:color w:val="000000"/>
                <w:sz w:val="16"/>
              </w:rPr>
            </w:pPr>
            <w:r>
              <w:rPr>
                <w:rFonts w:ascii="Verdana" w:hAnsi="Verdana"/>
                <w:i/>
                <w:noProof/>
                <w:color w:val="000000"/>
                <w:sz w:val="16"/>
              </w:rPr>
              <w:t>en Mio EUR</w:t>
            </w:r>
          </w:p>
        </w:tc>
      </w:tr>
      <w:tr>
        <w:trPr>
          <w:trHeight w:val="255"/>
        </w:trPr>
        <w:tc>
          <w:tcPr>
            <w:tcW w:w="6386" w:type="dxa"/>
            <w:tcBorders>
              <w:top w:val="nil"/>
              <w:left w:val="nil"/>
              <w:bottom w:val="nil"/>
              <w:right w:val="nil"/>
              <w:tl2br w:val="nil"/>
              <w:tr2bl w:val="nil"/>
            </w:tcBorders>
            <w:shd w:val="solid" w:color="016794" w:fill="FFFFFF"/>
            <w:tcMar>
              <w:left w:w="60" w:type="dxa"/>
              <w:right w:w="60" w:type="dxa"/>
            </w:tcMar>
            <w:vAlign w:val="center"/>
          </w:tcPr>
          <w:p>
            <w:pPr>
              <w:pStyle w:val="DMETW36762BIPCL"/>
              <w:jc w:val="right"/>
              <w:rPr>
                <w:rFonts w:ascii="Verdana" w:eastAsia="Verdana" w:hAnsi="Verdana" w:cs="Verdana"/>
                <w:noProof/>
                <w:color w:val="FFFFFF"/>
              </w:rPr>
            </w:pPr>
          </w:p>
        </w:tc>
        <w:tc>
          <w:tcPr>
            <w:tcW w:w="1686" w:type="dxa"/>
            <w:tcBorders>
              <w:top w:val="nil"/>
              <w:left w:val="nil"/>
              <w:bottom w:val="nil"/>
              <w:right w:val="nil"/>
              <w:tl2br w:val="nil"/>
              <w:tr2bl w:val="nil"/>
            </w:tcBorders>
            <w:shd w:val="solid" w:color="016794" w:fill="FFFFFF"/>
            <w:tcMar>
              <w:left w:w="60" w:type="dxa"/>
              <w:right w:w="60" w:type="dxa"/>
            </w:tcMar>
            <w:vAlign w:val="center"/>
          </w:tcPr>
          <w:p>
            <w:pPr>
              <w:pStyle w:val="DMETW36762BIPCL"/>
              <w:jc w:val="right"/>
              <w:rPr>
                <w:rFonts w:ascii="Verdana" w:eastAsia="Verdana" w:hAnsi="Verdana" w:cs="Verdana"/>
                <w:noProof/>
                <w:color w:val="FFFFFF"/>
              </w:rPr>
            </w:pPr>
            <w:r>
              <w:rPr>
                <w:rFonts w:ascii="Verdana" w:hAnsi="Verdana"/>
                <w:noProof/>
                <w:color w:val="FFFFFF"/>
              </w:rPr>
              <w:t>31.12.2025</w:t>
            </w:r>
          </w:p>
        </w:tc>
        <w:tc>
          <w:tcPr>
            <w:tcW w:w="1686" w:type="dxa"/>
            <w:tcBorders>
              <w:top w:val="nil"/>
              <w:left w:val="nil"/>
              <w:bottom w:val="nil"/>
              <w:right w:val="nil"/>
              <w:tl2br w:val="nil"/>
              <w:tr2bl w:val="nil"/>
            </w:tcBorders>
            <w:shd w:val="solid" w:color="016794" w:fill="FFFFFF"/>
            <w:tcMar>
              <w:left w:w="60" w:type="dxa"/>
              <w:right w:w="60" w:type="dxa"/>
            </w:tcMar>
            <w:vAlign w:val="center"/>
          </w:tcPr>
          <w:p>
            <w:pPr>
              <w:pStyle w:val="DMETW36762BIPCL"/>
              <w:jc w:val="right"/>
              <w:rPr>
                <w:rFonts w:ascii="Verdana" w:eastAsia="Verdana" w:hAnsi="Verdana" w:cs="Verdana"/>
                <w:noProof/>
                <w:color w:val="FFFFFF"/>
              </w:rPr>
            </w:pPr>
            <w:r>
              <w:rPr>
                <w:rFonts w:ascii="Verdana" w:hAnsi="Verdana"/>
                <w:noProof/>
                <w:color w:val="FFFFFF"/>
              </w:rPr>
              <w:t>31.12.2024</w:t>
            </w:r>
          </w:p>
        </w:tc>
      </w:tr>
      <w:tr>
        <w:trPr>
          <w:trHeight w:val="255"/>
        </w:trPr>
        <w:tc>
          <w:tcPr>
            <w:tcW w:w="6386" w:type="dxa"/>
            <w:tcBorders>
              <w:top w:val="nil"/>
              <w:left w:val="nil"/>
              <w:bottom w:val="nil"/>
              <w:right w:val="nil"/>
              <w:tl2br w:val="nil"/>
              <w:tr2bl w:val="nil"/>
            </w:tcBorders>
            <w:tcMar>
              <w:left w:w="60" w:type="dxa"/>
              <w:right w:w="60" w:type="dxa"/>
            </w:tcMar>
            <w:vAlign w:val="center"/>
          </w:tcPr>
          <w:p>
            <w:pPr>
              <w:pStyle w:val="DMETW36762BIPCL"/>
              <w:rPr>
                <w:rFonts w:ascii="Verdana" w:eastAsia="Verdana" w:hAnsi="Verdana" w:cs="Verdana"/>
                <w:i/>
                <w:noProof/>
                <w:color w:val="000000"/>
                <w:sz w:val="18"/>
              </w:rPr>
            </w:pPr>
            <w:r>
              <w:rPr>
                <w:rFonts w:ascii="Verdana" w:hAnsi="Verdana"/>
                <w:i/>
                <w:noProof/>
                <w:color w:val="000000"/>
                <w:sz w:val="18"/>
              </w:rPr>
              <w:t>Agriculture</w:t>
            </w:r>
          </w:p>
        </w:tc>
        <w:tc>
          <w:tcPr>
            <w:tcW w:w="1686" w:type="dxa"/>
            <w:tcBorders>
              <w:top w:val="nil"/>
              <w:left w:val="nil"/>
              <w:bottom w:val="nil"/>
              <w:right w:val="nil"/>
              <w:tl2br w:val="nil"/>
              <w:tr2bl w:val="nil"/>
            </w:tcBorders>
            <w:tcMar>
              <w:left w:w="60" w:type="dxa"/>
              <w:right w:w="60" w:type="dxa"/>
            </w:tcMar>
            <w:vAlign w:val="center"/>
          </w:tcPr>
          <w:p>
            <w:pPr>
              <w:pStyle w:val="DMETW36762BIPCL"/>
              <w:jc w:val="right"/>
              <w:rPr>
                <w:rFonts w:ascii="Verdana" w:eastAsia="Verdana" w:hAnsi="Verdana" w:cs="Verdana"/>
                <w:i/>
                <w:noProof/>
                <w:color w:val="000000"/>
                <w:sz w:val="18"/>
              </w:rPr>
            </w:pPr>
            <w:r>
              <w:rPr>
                <w:rFonts w:ascii="Verdana" w:hAnsi="Verdana"/>
                <w:i/>
                <w:noProof/>
                <w:color w:val="000000"/>
                <w:sz w:val="18"/>
              </w:rPr>
              <w:t xml:space="preserve"> 617</w:t>
            </w:r>
          </w:p>
        </w:tc>
        <w:tc>
          <w:tcPr>
            <w:tcW w:w="1686" w:type="dxa"/>
            <w:tcBorders>
              <w:top w:val="nil"/>
              <w:left w:val="nil"/>
              <w:bottom w:val="nil"/>
              <w:right w:val="nil"/>
              <w:tl2br w:val="nil"/>
              <w:tr2bl w:val="nil"/>
            </w:tcBorders>
            <w:tcMar>
              <w:left w:w="60" w:type="dxa"/>
              <w:right w:w="60" w:type="dxa"/>
            </w:tcMar>
            <w:vAlign w:val="center"/>
          </w:tcPr>
          <w:p>
            <w:pPr>
              <w:pStyle w:val="DMETW36762BIPCL"/>
              <w:jc w:val="right"/>
              <w:rPr>
                <w:rFonts w:ascii="Verdana" w:eastAsia="Verdana" w:hAnsi="Verdana" w:cs="Verdana"/>
                <w:i/>
                <w:noProof/>
                <w:color w:val="000000"/>
                <w:sz w:val="18"/>
              </w:rPr>
            </w:pPr>
            <w:r>
              <w:rPr>
                <w:rFonts w:ascii="Verdana" w:hAnsi="Verdana"/>
                <w:i/>
                <w:noProof/>
                <w:color w:val="000000"/>
                <w:sz w:val="18"/>
              </w:rPr>
              <w:t xml:space="preserve"> 77</w:t>
            </w:r>
          </w:p>
        </w:tc>
      </w:tr>
      <w:tr>
        <w:trPr>
          <w:trHeight w:val="255"/>
        </w:trPr>
        <w:tc>
          <w:tcPr>
            <w:tcW w:w="6386" w:type="dxa"/>
            <w:tcBorders>
              <w:top w:val="nil"/>
              <w:left w:val="nil"/>
              <w:bottom w:val="nil"/>
              <w:right w:val="nil"/>
              <w:tl2br w:val="nil"/>
              <w:tr2bl w:val="nil"/>
            </w:tcBorders>
            <w:tcMar>
              <w:left w:w="60" w:type="dxa"/>
              <w:right w:w="60" w:type="dxa"/>
            </w:tcMar>
            <w:vAlign w:val="center"/>
          </w:tcPr>
          <w:p>
            <w:pPr>
              <w:pStyle w:val="DMETW36762BIPCL"/>
              <w:rPr>
                <w:rFonts w:ascii="Verdana" w:eastAsia="Verdana" w:hAnsi="Verdana" w:cs="Verdana"/>
                <w:i/>
                <w:noProof/>
                <w:color w:val="000000"/>
                <w:sz w:val="18"/>
              </w:rPr>
            </w:pPr>
            <w:r>
              <w:rPr>
                <w:rFonts w:ascii="Verdana" w:hAnsi="Verdana"/>
                <w:i/>
                <w:noProof/>
                <w:color w:val="000000"/>
                <w:sz w:val="18"/>
              </w:rPr>
              <w:t>Autres</w:t>
            </w:r>
          </w:p>
        </w:tc>
        <w:tc>
          <w:tcPr>
            <w:tcW w:w="1686" w:type="dxa"/>
            <w:tcBorders>
              <w:top w:val="nil"/>
              <w:left w:val="nil"/>
              <w:bottom w:val="nil"/>
              <w:right w:val="nil"/>
              <w:tl2br w:val="nil"/>
              <w:tr2bl w:val="nil"/>
            </w:tcBorders>
            <w:tcMar>
              <w:left w:w="60" w:type="dxa"/>
              <w:right w:w="60" w:type="dxa"/>
            </w:tcMar>
            <w:vAlign w:val="center"/>
          </w:tcPr>
          <w:p>
            <w:pPr>
              <w:pStyle w:val="DMETW36762BIPCL"/>
              <w:jc w:val="right"/>
              <w:rPr>
                <w:rFonts w:ascii="Verdana" w:eastAsia="Verdana" w:hAnsi="Verdana" w:cs="Verdana"/>
                <w:i/>
                <w:noProof/>
                <w:color w:val="000000"/>
                <w:sz w:val="18"/>
              </w:rPr>
            </w:pPr>
            <w:r>
              <w:rPr>
                <w:rFonts w:ascii="Verdana" w:hAnsi="Verdana"/>
                <w:i/>
                <w:noProof/>
                <w:color w:val="000000"/>
                <w:sz w:val="18"/>
              </w:rPr>
              <w:t xml:space="preserve"> 157</w:t>
            </w:r>
          </w:p>
        </w:tc>
        <w:tc>
          <w:tcPr>
            <w:tcW w:w="1686" w:type="dxa"/>
            <w:tcBorders>
              <w:top w:val="nil"/>
              <w:left w:val="nil"/>
              <w:bottom w:val="nil"/>
              <w:right w:val="nil"/>
              <w:tl2br w:val="nil"/>
              <w:tr2bl w:val="nil"/>
            </w:tcBorders>
            <w:tcMar>
              <w:left w:w="60" w:type="dxa"/>
              <w:right w:w="60" w:type="dxa"/>
            </w:tcMar>
            <w:vAlign w:val="center"/>
          </w:tcPr>
          <w:p>
            <w:pPr>
              <w:pStyle w:val="DMETW36762BIPCL"/>
              <w:jc w:val="right"/>
              <w:rPr>
                <w:rFonts w:ascii="Verdana" w:eastAsia="Verdana" w:hAnsi="Verdana" w:cs="Verdana"/>
                <w:i/>
                <w:noProof/>
                <w:color w:val="000000"/>
                <w:sz w:val="18"/>
              </w:rPr>
            </w:pPr>
            <w:r>
              <w:rPr>
                <w:rFonts w:ascii="Verdana" w:hAnsi="Verdana"/>
                <w:i/>
                <w:noProof/>
                <w:color w:val="000000"/>
                <w:sz w:val="18"/>
              </w:rPr>
              <w:t xml:space="preserve"> 67</w:t>
            </w:r>
          </w:p>
        </w:tc>
      </w:tr>
      <w:tr>
        <w:trPr>
          <w:trHeight w:val="255"/>
        </w:trPr>
        <w:tc>
          <w:tcPr>
            <w:tcW w:w="6386" w:type="dxa"/>
            <w:tcBorders>
              <w:top w:val="nil"/>
              <w:left w:val="nil"/>
              <w:bottom w:val="nil"/>
              <w:right w:val="nil"/>
              <w:tl2br w:val="nil"/>
              <w:tr2bl w:val="nil"/>
            </w:tcBorders>
            <w:shd w:val="solid" w:color="CCE1EA" w:fill="FFFFFF"/>
            <w:tcMar>
              <w:left w:w="60" w:type="dxa"/>
              <w:right w:w="60" w:type="dxa"/>
            </w:tcMar>
            <w:vAlign w:val="center"/>
          </w:tcPr>
          <w:p>
            <w:pPr>
              <w:pStyle w:val="DMETW36762BIPCL"/>
              <w:rPr>
                <w:rFonts w:ascii="Verdana" w:eastAsia="Verdana" w:hAnsi="Verdana" w:cs="Verdana"/>
                <w:b/>
                <w:noProof/>
                <w:color w:val="000000"/>
                <w:sz w:val="18"/>
              </w:rPr>
            </w:pPr>
            <w:r>
              <w:rPr>
                <w:rFonts w:ascii="Verdana" w:hAnsi="Verdana"/>
                <w:b/>
                <w:noProof/>
                <w:color w:val="000000"/>
                <w:sz w:val="18"/>
              </w:rPr>
              <w:t>Total</w:t>
            </w:r>
          </w:p>
        </w:tc>
        <w:tc>
          <w:tcPr>
            <w:tcW w:w="1686" w:type="dxa"/>
            <w:tcBorders>
              <w:top w:val="nil"/>
              <w:left w:val="nil"/>
              <w:bottom w:val="nil"/>
              <w:right w:val="nil"/>
              <w:tl2br w:val="nil"/>
              <w:tr2bl w:val="nil"/>
            </w:tcBorders>
            <w:shd w:val="solid" w:color="CCE1EA" w:fill="FFFFFF"/>
            <w:tcMar>
              <w:left w:w="60" w:type="dxa"/>
              <w:right w:w="60" w:type="dxa"/>
            </w:tcMar>
            <w:vAlign w:val="center"/>
          </w:tcPr>
          <w:p>
            <w:pPr>
              <w:pStyle w:val="DMETW36762BIPCL"/>
              <w:jc w:val="right"/>
              <w:rPr>
                <w:rFonts w:ascii="Verdana" w:eastAsia="Verdana" w:hAnsi="Verdana" w:cs="Verdana"/>
                <w:b/>
                <w:noProof/>
                <w:color w:val="000000"/>
                <w:sz w:val="18"/>
              </w:rPr>
            </w:pPr>
            <w:r>
              <w:rPr>
                <w:rFonts w:ascii="Verdana" w:hAnsi="Verdana"/>
                <w:b/>
                <w:noProof/>
                <w:color w:val="000000"/>
                <w:sz w:val="18"/>
              </w:rPr>
              <w:t xml:space="preserve"> 774</w:t>
            </w:r>
          </w:p>
        </w:tc>
        <w:tc>
          <w:tcPr>
            <w:tcW w:w="1686" w:type="dxa"/>
            <w:tcBorders>
              <w:top w:val="nil"/>
              <w:left w:val="nil"/>
              <w:bottom w:val="nil"/>
              <w:right w:val="nil"/>
              <w:tl2br w:val="nil"/>
              <w:tr2bl w:val="nil"/>
            </w:tcBorders>
            <w:shd w:val="solid" w:color="CCE1EA" w:fill="FFFFFF"/>
            <w:tcMar>
              <w:left w:w="60" w:type="dxa"/>
              <w:right w:w="60" w:type="dxa"/>
            </w:tcMar>
            <w:vAlign w:val="center"/>
          </w:tcPr>
          <w:p>
            <w:pPr>
              <w:pStyle w:val="DMETW36762BIPCL"/>
              <w:jc w:val="right"/>
              <w:rPr>
                <w:rFonts w:ascii="Verdana" w:eastAsia="Verdana" w:hAnsi="Verdana" w:cs="Verdana"/>
                <w:b/>
                <w:noProof/>
                <w:color w:val="000000"/>
                <w:sz w:val="18"/>
              </w:rPr>
            </w:pPr>
            <w:r>
              <w:rPr>
                <w:rFonts w:ascii="Verdana" w:hAnsi="Verdana"/>
                <w:b/>
                <w:noProof/>
                <w:color w:val="000000"/>
                <w:sz w:val="18"/>
              </w:rPr>
              <w:t xml:space="preserve"> 144</w:t>
            </w:r>
          </w:p>
        </w:tc>
      </w:tr>
    </w:tbl>
    <w:p>
      <w:pPr>
        <w:pStyle w:val="DGTextstand-alone"/>
        <w:spacing w:after="120"/>
        <w:rPr>
          <w:color w:val="016794"/>
          <w:szCs w:val="20"/>
        </w:rPr>
      </w:pPr>
    </w:p>
    <w:p>
      <w:pPr>
        <w:pStyle w:val="DGTextstand-alone"/>
        <w:spacing w:after="120"/>
        <w:rPr>
          <w:color w:val="016794"/>
          <w:szCs w:val="20"/>
        </w:rPr>
      </w:pPr>
      <w:r>
        <w:rPr>
          <w:color w:val="016794"/>
        </w:rPr>
        <w:t>Agriculture</w:t>
      </w:r>
    </w:p>
    <w:p>
      <w:pPr>
        <w:pStyle w:val="DGTextstand-alone"/>
      </w:pPr>
      <w:r>
        <w:t>Il s’agit de passifs éventuels envers les États membres en rapport avec des décisions de conformité relatives au FEAGA et au développement rural faisant l’objet d’une procédure pendante devant la Cour de justice. La détermination du montant définitif de la dette et l'exercice de l’imputation au budget des effets des recours ayant abouti dépendront de la durée de la procédure devant la Cour.</w:t>
      </w:r>
    </w:p>
    <w:p>
      <w:pPr>
        <w:pStyle w:val="DGTextstand-alone"/>
        <w:spacing w:after="120"/>
        <w:rPr>
          <w:color w:val="016794"/>
          <w:szCs w:val="20"/>
        </w:rPr>
      </w:pPr>
      <w:r>
        <w:rPr>
          <w:color w:val="016794"/>
        </w:rPr>
        <w:t>Autre contentieux</w:t>
      </w:r>
    </w:p>
    <w:p>
      <w:pPr>
        <w:pStyle w:val="DGTextstand-alone"/>
        <w:spacing w:after="0"/>
        <w:rPr>
          <w:bdr w:val="none" w:sz="0" w:space="0" w:color="auto" w:frame="1"/>
        </w:rPr>
      </w:pPr>
      <w:r>
        <w:t>Cette rubrique porte sur des actions en dommages-intérêts actuellement intentées contre l’UE, sur d’autres litiges et sur les frais de justice estimés. Il est à noter que, dans le cadre d’une action en dommages-intérêts au titre de l’article 340 du TFUE, le requérant doit démontrer une violation suffisamment grave, de la part de l’institution, d’une règle de droit ayant pour objet de conférer des droits à des particuliers, un dommage réel subi par le requérant et un lien de causalité direct entre l’acte illégal et le préjudice invoqué.</w:t>
      </w:r>
    </w:p>
    <w:p>
      <w:pPr>
        <w:pStyle w:val="DGTextstand-alone"/>
        <w:spacing w:after="120"/>
      </w:pPr>
      <w:r>
        <w:rPr>
          <w:color w:val="016794"/>
        </w:rPr>
        <w:t>Obligations incombant au Royaume-Uni à la suite de son départ de l’UE</w:t>
      </w:r>
    </w:p>
    <w:p>
      <w:pPr>
        <w:pStyle w:val="DGTextstand-alone"/>
        <w:spacing w:after="0"/>
      </w:pPr>
      <w:r>
        <w:t>Au titre de l’article 147 de l’accord de retrait, le Royaume-Uni est redevable de sa part des paiements nécessaires pour s’acquitter des passifs éventuels de l’Union qui deviennent exigibles dans les affaires juridiques concernant les intérêts financiers de l’Union, pour autant que les faits faisant l’objet de ces affaires se soient produits au plus tard le 31 décembre 2020. L’exposition maximale estimée du Royaume-Uni est en l’occurrence de 80,6 millions d’EUR (contre 15 millions d’EUR en 2024). Pour les affaires juridiques dans lesquelles il est jugé probable que des montants seront versés à partir du budget de l’UE (voir note </w:t>
      </w:r>
      <w:r>
        <w:rPr>
          <w:b/>
        </w:rPr>
        <w:t>2.10</w:t>
      </w:r>
      <w:r>
        <w:t>), la part du Royaume-Uni est incluse dans le montant global exigible du Royaume-Uni – voir les détails à la note </w:t>
      </w:r>
      <w:r>
        <w:rPr>
          <w:b/>
        </w:rPr>
        <w:t>2.6.1.2</w:t>
      </w:r>
      <w:r>
        <w:t>.</w:t>
      </w:r>
    </w:p>
    <w:p>
      <w:pPr>
        <w:pStyle w:val="HEADER2NOTES"/>
        <w:keepNext/>
        <w:numPr>
          <w:ilvl w:val="1"/>
          <w:numId w:val="15"/>
        </w:numPr>
        <w:rPr>
          <w:noProof/>
        </w:rPr>
      </w:pPr>
      <w:r>
        <w:rPr>
          <w:noProof/>
        </w:rPr>
        <w:lastRenderedPageBreak/>
        <w:t>ACTIF ÉVENTUEL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80"/>
        <w:gridCol w:w="1989"/>
        <w:gridCol w:w="1989"/>
      </w:tblGrid>
      <w:tr>
        <w:trPr>
          <w:trHeight w:hRule="exact" w:val="255"/>
        </w:trPr>
        <w:tc>
          <w:tcPr>
            <w:tcW w:w="5780" w:type="dxa"/>
            <w:tcBorders>
              <w:top w:val="nil"/>
              <w:left w:val="nil"/>
              <w:bottom w:val="nil"/>
              <w:right w:val="nil"/>
              <w:tl2br w:val="nil"/>
              <w:tr2bl w:val="nil"/>
            </w:tcBorders>
            <w:shd w:val="solid" w:color="FFFFFF" w:fill="FFFFFF"/>
            <w:tcMar>
              <w:left w:w="60" w:type="dxa"/>
              <w:right w:w="60" w:type="dxa"/>
            </w:tcMar>
            <w:vAlign w:val="bottom"/>
          </w:tcPr>
          <w:p>
            <w:pPr>
              <w:pStyle w:val="DMETW36762BIPCA"/>
              <w:rPr>
                <w:rFonts w:ascii="Arial" w:eastAsia="Arial" w:hAnsi="Arial" w:cs="Arial"/>
                <w:noProof/>
                <w:color w:val="000000"/>
              </w:rPr>
            </w:pPr>
            <w:bookmarkStart w:id="211" w:name="DOC_TBL00083_1_1"/>
            <w:bookmarkEnd w:id="211"/>
          </w:p>
        </w:tc>
        <w:tc>
          <w:tcPr>
            <w:tcW w:w="1989" w:type="dxa"/>
            <w:tcBorders>
              <w:top w:val="nil"/>
              <w:left w:val="nil"/>
              <w:bottom w:val="nil"/>
              <w:right w:val="nil"/>
              <w:tl2br w:val="nil"/>
              <w:tr2bl w:val="nil"/>
            </w:tcBorders>
            <w:shd w:val="solid" w:color="FFFFFF" w:fill="FFFFFF"/>
            <w:tcMar>
              <w:left w:w="60" w:type="dxa"/>
              <w:right w:w="60" w:type="dxa"/>
            </w:tcMar>
            <w:vAlign w:val="bottom"/>
          </w:tcPr>
          <w:p>
            <w:pPr>
              <w:pStyle w:val="DMETW36762BIPCA"/>
              <w:rPr>
                <w:rFonts w:ascii="Arial" w:eastAsia="Arial" w:hAnsi="Arial" w:cs="Arial"/>
                <w:noProof/>
                <w:color w:val="000000"/>
              </w:rPr>
            </w:pPr>
          </w:p>
        </w:tc>
        <w:tc>
          <w:tcPr>
            <w:tcW w:w="1989" w:type="dxa"/>
            <w:tcBorders>
              <w:top w:val="nil"/>
              <w:left w:val="nil"/>
              <w:bottom w:val="nil"/>
              <w:right w:val="nil"/>
              <w:tl2br w:val="nil"/>
              <w:tr2bl w:val="nil"/>
            </w:tcBorders>
            <w:shd w:val="solid" w:color="FFFFFF" w:fill="FFFFFF"/>
            <w:tcMar>
              <w:left w:w="60" w:type="dxa"/>
              <w:right w:w="60" w:type="dxa"/>
            </w:tcMar>
            <w:vAlign w:val="bottom"/>
          </w:tcPr>
          <w:p>
            <w:pPr>
              <w:pStyle w:val="DMETW36762BIPCA"/>
              <w:jc w:val="right"/>
              <w:rPr>
                <w:rFonts w:ascii="Verdana" w:eastAsia="Verdana" w:hAnsi="Verdana" w:cs="Verdana"/>
                <w:i/>
                <w:noProof/>
                <w:color w:val="000000"/>
                <w:sz w:val="16"/>
              </w:rPr>
            </w:pPr>
            <w:r>
              <w:rPr>
                <w:rFonts w:ascii="Verdana" w:hAnsi="Verdana"/>
                <w:i/>
                <w:noProof/>
                <w:color w:val="000000"/>
                <w:sz w:val="16"/>
              </w:rPr>
              <w:t>en Mio EUR</w:t>
            </w:r>
          </w:p>
        </w:tc>
      </w:tr>
      <w:tr>
        <w:trPr>
          <w:trHeight w:hRule="exact" w:val="255"/>
        </w:trPr>
        <w:tc>
          <w:tcPr>
            <w:tcW w:w="5780" w:type="dxa"/>
            <w:tcBorders>
              <w:top w:val="nil"/>
              <w:left w:val="nil"/>
              <w:bottom w:val="nil"/>
              <w:right w:val="nil"/>
              <w:tl2br w:val="nil"/>
              <w:tr2bl w:val="nil"/>
            </w:tcBorders>
            <w:shd w:val="solid" w:color="016794" w:fill="FFFFFF"/>
            <w:tcMar>
              <w:left w:w="60" w:type="dxa"/>
              <w:right w:w="60" w:type="dxa"/>
            </w:tcMar>
            <w:vAlign w:val="center"/>
          </w:tcPr>
          <w:p>
            <w:pPr>
              <w:pStyle w:val="DMETW36762BIPCA"/>
              <w:jc w:val="right"/>
              <w:rPr>
                <w:rFonts w:ascii="Verdana" w:eastAsia="Verdana" w:hAnsi="Verdana" w:cs="Verdana"/>
                <w:noProof/>
                <w:color w:val="FFFFFF"/>
              </w:rPr>
            </w:pPr>
          </w:p>
        </w:tc>
        <w:tc>
          <w:tcPr>
            <w:tcW w:w="1989" w:type="dxa"/>
            <w:tcBorders>
              <w:top w:val="nil"/>
              <w:left w:val="nil"/>
              <w:bottom w:val="nil"/>
              <w:right w:val="nil"/>
              <w:tl2br w:val="nil"/>
              <w:tr2bl w:val="nil"/>
            </w:tcBorders>
            <w:shd w:val="solid" w:color="016794" w:fill="FFFFFF"/>
            <w:tcMar>
              <w:left w:w="60" w:type="dxa"/>
              <w:right w:w="60" w:type="dxa"/>
            </w:tcMar>
            <w:vAlign w:val="center"/>
          </w:tcPr>
          <w:p>
            <w:pPr>
              <w:pStyle w:val="DMETW36762BIPCA"/>
              <w:jc w:val="right"/>
              <w:rPr>
                <w:rFonts w:ascii="Verdana" w:eastAsia="Verdana" w:hAnsi="Verdana" w:cs="Verdana"/>
                <w:noProof/>
                <w:color w:val="FFFFFF"/>
              </w:rPr>
            </w:pPr>
            <w:r>
              <w:rPr>
                <w:rFonts w:ascii="Verdana" w:hAnsi="Verdana"/>
                <w:noProof/>
                <w:color w:val="FFFFFF"/>
              </w:rPr>
              <w:t>31.12.2025</w:t>
            </w:r>
          </w:p>
        </w:tc>
        <w:tc>
          <w:tcPr>
            <w:tcW w:w="1989" w:type="dxa"/>
            <w:tcBorders>
              <w:top w:val="nil"/>
              <w:left w:val="nil"/>
              <w:bottom w:val="nil"/>
              <w:right w:val="nil"/>
              <w:tl2br w:val="nil"/>
              <w:tr2bl w:val="nil"/>
            </w:tcBorders>
            <w:shd w:val="solid" w:color="016794" w:fill="FFFFFF"/>
            <w:tcMar>
              <w:left w:w="60" w:type="dxa"/>
              <w:right w:w="60" w:type="dxa"/>
            </w:tcMar>
            <w:vAlign w:val="center"/>
          </w:tcPr>
          <w:p>
            <w:pPr>
              <w:pStyle w:val="DMETW36762BIPCA"/>
              <w:jc w:val="right"/>
              <w:rPr>
                <w:rFonts w:ascii="Verdana" w:eastAsia="Verdana" w:hAnsi="Verdana" w:cs="Verdana"/>
                <w:noProof/>
                <w:color w:val="FFFFFF"/>
              </w:rPr>
            </w:pPr>
            <w:r>
              <w:rPr>
                <w:rFonts w:ascii="Verdana" w:hAnsi="Verdana"/>
                <w:noProof/>
                <w:color w:val="FFFFFF"/>
              </w:rPr>
              <w:t>31.12.2024</w:t>
            </w:r>
          </w:p>
        </w:tc>
      </w:tr>
      <w:tr>
        <w:trPr>
          <w:trHeight w:hRule="exact" w:val="255"/>
        </w:trPr>
        <w:tc>
          <w:tcPr>
            <w:tcW w:w="5780" w:type="dxa"/>
            <w:tcBorders>
              <w:top w:val="nil"/>
              <w:left w:val="nil"/>
              <w:bottom w:val="nil"/>
              <w:right w:val="nil"/>
              <w:tl2br w:val="nil"/>
              <w:tr2bl w:val="nil"/>
            </w:tcBorders>
            <w:shd w:val="solid" w:color="FFFFFF" w:fill="FFFFFF"/>
            <w:tcMar>
              <w:left w:w="60" w:type="dxa"/>
              <w:right w:w="60" w:type="dxa"/>
            </w:tcMar>
            <w:vAlign w:val="center"/>
          </w:tcPr>
          <w:p>
            <w:pPr>
              <w:pStyle w:val="DMETW36762BIPCA"/>
              <w:rPr>
                <w:rFonts w:ascii="Verdana" w:eastAsia="Verdana" w:hAnsi="Verdana" w:cs="Verdana"/>
                <w:i/>
                <w:noProof/>
                <w:color w:val="000000"/>
                <w:sz w:val="18"/>
              </w:rPr>
            </w:pPr>
            <w:r>
              <w:rPr>
                <w:rFonts w:ascii="Verdana" w:hAnsi="Verdana"/>
                <w:i/>
                <w:noProof/>
                <w:color w:val="000000"/>
                <w:sz w:val="18"/>
              </w:rPr>
              <w:t>Garanties reçues:</w:t>
            </w:r>
          </w:p>
        </w:tc>
        <w:tc>
          <w:tcPr>
            <w:tcW w:w="1989" w:type="dxa"/>
            <w:tcBorders>
              <w:top w:val="nil"/>
              <w:left w:val="nil"/>
              <w:bottom w:val="nil"/>
              <w:right w:val="nil"/>
              <w:tl2br w:val="nil"/>
              <w:tr2bl w:val="nil"/>
            </w:tcBorders>
            <w:shd w:val="solid" w:color="FFFFFF" w:fill="FFFFFF"/>
            <w:tcMar>
              <w:left w:w="60" w:type="dxa"/>
              <w:right w:w="60" w:type="dxa"/>
            </w:tcMar>
            <w:vAlign w:val="center"/>
          </w:tcPr>
          <w:p>
            <w:pPr>
              <w:pStyle w:val="DMETW36762BIPCA"/>
              <w:jc w:val="right"/>
              <w:rPr>
                <w:rFonts w:ascii="Verdana" w:eastAsia="Verdana" w:hAnsi="Verdana" w:cs="Verdana"/>
                <w:i/>
                <w:noProof/>
                <w:color w:val="000000"/>
                <w:sz w:val="18"/>
              </w:rPr>
            </w:pPr>
          </w:p>
        </w:tc>
        <w:tc>
          <w:tcPr>
            <w:tcW w:w="1989" w:type="dxa"/>
            <w:tcBorders>
              <w:top w:val="nil"/>
              <w:left w:val="nil"/>
              <w:bottom w:val="nil"/>
              <w:right w:val="nil"/>
              <w:tl2br w:val="nil"/>
              <w:tr2bl w:val="nil"/>
            </w:tcBorders>
            <w:shd w:val="solid" w:color="FFFFFF" w:fill="FFFFFF"/>
            <w:tcMar>
              <w:left w:w="60" w:type="dxa"/>
              <w:right w:w="60" w:type="dxa"/>
            </w:tcMar>
            <w:vAlign w:val="center"/>
          </w:tcPr>
          <w:p>
            <w:pPr>
              <w:pStyle w:val="DMETW36762BIPCA"/>
              <w:jc w:val="right"/>
              <w:rPr>
                <w:rFonts w:ascii="Verdana" w:eastAsia="Verdana" w:hAnsi="Verdana" w:cs="Verdana"/>
                <w:i/>
                <w:noProof/>
                <w:color w:val="000000"/>
                <w:sz w:val="18"/>
                <w:lang w:bidi="en-GB"/>
              </w:rPr>
            </w:pPr>
          </w:p>
        </w:tc>
      </w:tr>
      <w:tr>
        <w:trPr>
          <w:trHeight w:hRule="exact" w:val="255"/>
        </w:trPr>
        <w:tc>
          <w:tcPr>
            <w:tcW w:w="5780" w:type="dxa"/>
            <w:tcBorders>
              <w:top w:val="nil"/>
              <w:left w:val="nil"/>
              <w:bottom w:val="nil"/>
              <w:right w:val="nil"/>
              <w:tl2br w:val="nil"/>
              <w:tr2bl w:val="nil"/>
            </w:tcBorders>
            <w:shd w:val="solid" w:color="FFFFFF" w:fill="FFFFFF"/>
            <w:tcMar>
              <w:left w:w="60" w:type="dxa"/>
              <w:right w:w="60" w:type="dxa"/>
            </w:tcMar>
            <w:vAlign w:val="center"/>
          </w:tcPr>
          <w:p>
            <w:pPr>
              <w:pStyle w:val="DMETW36762BIPCA"/>
              <w:rPr>
                <w:rFonts w:ascii="Verdana" w:eastAsia="Verdana" w:hAnsi="Verdana" w:cs="Verdana"/>
                <w:i/>
                <w:noProof/>
                <w:color w:val="000000"/>
                <w:sz w:val="18"/>
              </w:rPr>
            </w:pPr>
            <w:r>
              <w:rPr>
                <w:rFonts w:ascii="Verdana" w:hAnsi="Verdana"/>
                <w:i/>
                <w:noProof/>
                <w:color w:val="000000"/>
                <w:sz w:val="18"/>
              </w:rPr>
              <w:t xml:space="preserve">     garanties de bonne fin</w:t>
            </w:r>
          </w:p>
        </w:tc>
        <w:tc>
          <w:tcPr>
            <w:tcW w:w="1989" w:type="dxa"/>
            <w:tcBorders>
              <w:top w:val="nil"/>
              <w:left w:val="nil"/>
              <w:bottom w:val="nil"/>
              <w:right w:val="nil"/>
              <w:tl2br w:val="nil"/>
              <w:tr2bl w:val="nil"/>
            </w:tcBorders>
            <w:shd w:val="solid" w:color="FFFFFF" w:fill="FFFFFF"/>
            <w:tcMar>
              <w:left w:w="60" w:type="dxa"/>
              <w:right w:w="60" w:type="dxa"/>
            </w:tcMar>
            <w:vAlign w:val="center"/>
          </w:tcPr>
          <w:p>
            <w:pPr>
              <w:pStyle w:val="DMETW36762BIPCA"/>
              <w:jc w:val="right"/>
              <w:rPr>
                <w:rFonts w:ascii="Verdana" w:eastAsia="Verdana" w:hAnsi="Verdana" w:cs="Verdana"/>
                <w:i/>
                <w:noProof/>
                <w:color w:val="000000"/>
                <w:sz w:val="18"/>
              </w:rPr>
            </w:pPr>
            <w:r>
              <w:rPr>
                <w:rFonts w:ascii="Verdana" w:hAnsi="Verdana"/>
                <w:i/>
                <w:noProof/>
                <w:color w:val="000000"/>
                <w:sz w:val="18"/>
              </w:rPr>
              <w:t xml:space="preserve"> 253</w:t>
            </w:r>
          </w:p>
        </w:tc>
        <w:tc>
          <w:tcPr>
            <w:tcW w:w="1989" w:type="dxa"/>
            <w:tcBorders>
              <w:top w:val="nil"/>
              <w:left w:val="nil"/>
              <w:bottom w:val="nil"/>
              <w:right w:val="nil"/>
              <w:tl2br w:val="nil"/>
              <w:tr2bl w:val="nil"/>
            </w:tcBorders>
            <w:shd w:val="solid" w:color="FFFFFF" w:fill="FFFFFF"/>
            <w:tcMar>
              <w:left w:w="60" w:type="dxa"/>
              <w:right w:w="60" w:type="dxa"/>
            </w:tcMar>
            <w:vAlign w:val="center"/>
          </w:tcPr>
          <w:p>
            <w:pPr>
              <w:pStyle w:val="DMETW36762BIPCA"/>
              <w:jc w:val="right"/>
              <w:rPr>
                <w:rFonts w:ascii="Verdana" w:eastAsia="Verdana" w:hAnsi="Verdana" w:cs="Verdana"/>
                <w:i/>
                <w:noProof/>
                <w:color w:val="000000"/>
                <w:sz w:val="18"/>
              </w:rPr>
            </w:pPr>
            <w:r>
              <w:rPr>
                <w:rFonts w:ascii="Verdana" w:hAnsi="Verdana"/>
                <w:i/>
                <w:noProof/>
                <w:color w:val="000000"/>
                <w:sz w:val="18"/>
              </w:rPr>
              <w:t xml:space="preserve"> 275</w:t>
            </w:r>
          </w:p>
        </w:tc>
      </w:tr>
      <w:tr>
        <w:trPr>
          <w:trHeight w:hRule="exact" w:val="255"/>
        </w:trPr>
        <w:tc>
          <w:tcPr>
            <w:tcW w:w="5780" w:type="dxa"/>
            <w:tcBorders>
              <w:top w:val="nil"/>
              <w:left w:val="nil"/>
              <w:bottom w:val="nil"/>
              <w:right w:val="nil"/>
              <w:tl2br w:val="nil"/>
              <w:tr2bl w:val="nil"/>
            </w:tcBorders>
            <w:shd w:val="solid" w:color="FFFFFF" w:fill="FFFFFF"/>
            <w:tcMar>
              <w:left w:w="60" w:type="dxa"/>
              <w:right w:w="60" w:type="dxa"/>
            </w:tcMar>
            <w:vAlign w:val="center"/>
          </w:tcPr>
          <w:p>
            <w:pPr>
              <w:pStyle w:val="DMETW36762BIPCA"/>
              <w:rPr>
                <w:rFonts w:ascii="Verdana" w:eastAsia="Verdana" w:hAnsi="Verdana" w:cs="Verdana"/>
                <w:i/>
                <w:noProof/>
                <w:color w:val="000000"/>
                <w:sz w:val="18"/>
              </w:rPr>
            </w:pPr>
            <w:r>
              <w:rPr>
                <w:rFonts w:ascii="Verdana" w:hAnsi="Verdana"/>
                <w:i/>
                <w:noProof/>
                <w:color w:val="000000"/>
                <w:sz w:val="18"/>
              </w:rPr>
              <w:t xml:space="preserve">     autres garanties</w:t>
            </w:r>
          </w:p>
        </w:tc>
        <w:tc>
          <w:tcPr>
            <w:tcW w:w="1989" w:type="dxa"/>
            <w:tcBorders>
              <w:top w:val="nil"/>
              <w:left w:val="nil"/>
              <w:bottom w:val="nil"/>
              <w:right w:val="nil"/>
              <w:tl2br w:val="nil"/>
              <w:tr2bl w:val="nil"/>
            </w:tcBorders>
            <w:shd w:val="solid" w:color="FFFFFF" w:fill="FFFFFF"/>
            <w:tcMar>
              <w:left w:w="60" w:type="dxa"/>
              <w:right w:w="60" w:type="dxa"/>
            </w:tcMar>
            <w:vAlign w:val="center"/>
          </w:tcPr>
          <w:p>
            <w:pPr>
              <w:pStyle w:val="DMETW36762BIPCA"/>
              <w:jc w:val="right"/>
              <w:rPr>
                <w:rFonts w:ascii="Verdana" w:eastAsia="Verdana" w:hAnsi="Verdana" w:cs="Verdana"/>
                <w:i/>
                <w:noProof/>
                <w:color w:val="000000"/>
                <w:sz w:val="18"/>
              </w:rPr>
            </w:pPr>
            <w:r>
              <w:rPr>
                <w:rFonts w:ascii="Verdana" w:hAnsi="Verdana"/>
                <w:i/>
                <w:noProof/>
                <w:color w:val="000000"/>
                <w:sz w:val="18"/>
              </w:rPr>
              <w:t xml:space="preserve"> 4</w:t>
            </w:r>
          </w:p>
        </w:tc>
        <w:tc>
          <w:tcPr>
            <w:tcW w:w="1989" w:type="dxa"/>
            <w:tcBorders>
              <w:top w:val="nil"/>
              <w:left w:val="nil"/>
              <w:bottom w:val="nil"/>
              <w:right w:val="nil"/>
              <w:tl2br w:val="nil"/>
              <w:tr2bl w:val="nil"/>
            </w:tcBorders>
            <w:shd w:val="solid" w:color="FFFFFF" w:fill="FFFFFF"/>
            <w:tcMar>
              <w:left w:w="60" w:type="dxa"/>
              <w:right w:w="60" w:type="dxa"/>
            </w:tcMar>
            <w:vAlign w:val="center"/>
          </w:tcPr>
          <w:p>
            <w:pPr>
              <w:pStyle w:val="DMETW36762BIPCA"/>
              <w:jc w:val="right"/>
              <w:rPr>
                <w:rFonts w:ascii="Verdana" w:eastAsia="Verdana" w:hAnsi="Verdana" w:cs="Verdana"/>
                <w:i/>
                <w:noProof/>
                <w:color w:val="000000"/>
                <w:sz w:val="18"/>
              </w:rPr>
            </w:pPr>
            <w:r>
              <w:rPr>
                <w:rFonts w:ascii="Verdana" w:hAnsi="Verdana"/>
                <w:i/>
                <w:noProof/>
                <w:color w:val="000000"/>
                <w:sz w:val="18"/>
              </w:rPr>
              <w:t xml:space="preserve"> 5</w:t>
            </w:r>
          </w:p>
        </w:tc>
      </w:tr>
      <w:tr>
        <w:trPr>
          <w:trHeight w:hRule="exact" w:val="255"/>
        </w:trPr>
        <w:tc>
          <w:tcPr>
            <w:tcW w:w="5780" w:type="dxa"/>
            <w:tcBorders>
              <w:top w:val="nil"/>
              <w:left w:val="nil"/>
              <w:bottom w:val="nil"/>
              <w:right w:val="nil"/>
              <w:tl2br w:val="nil"/>
              <w:tr2bl w:val="nil"/>
            </w:tcBorders>
            <w:shd w:val="solid" w:color="FFFFFF" w:fill="FFFFFF"/>
            <w:tcMar>
              <w:left w:w="60" w:type="dxa"/>
              <w:right w:w="60" w:type="dxa"/>
            </w:tcMar>
            <w:vAlign w:val="center"/>
          </w:tcPr>
          <w:p>
            <w:pPr>
              <w:pStyle w:val="DMETW36762BIPCA"/>
              <w:rPr>
                <w:rFonts w:ascii="Verdana" w:eastAsia="Verdana" w:hAnsi="Verdana" w:cs="Verdana"/>
                <w:i/>
                <w:noProof/>
                <w:color w:val="000000"/>
                <w:sz w:val="18"/>
              </w:rPr>
            </w:pPr>
            <w:r>
              <w:rPr>
                <w:rFonts w:ascii="Verdana" w:hAnsi="Verdana"/>
                <w:i/>
                <w:noProof/>
                <w:color w:val="000000"/>
                <w:sz w:val="18"/>
              </w:rPr>
              <w:t>Autres actifs éventuels</w:t>
            </w:r>
          </w:p>
        </w:tc>
        <w:tc>
          <w:tcPr>
            <w:tcW w:w="1989" w:type="dxa"/>
            <w:tcBorders>
              <w:top w:val="nil"/>
              <w:left w:val="nil"/>
              <w:bottom w:val="nil"/>
              <w:right w:val="nil"/>
              <w:tl2br w:val="nil"/>
              <w:tr2bl w:val="nil"/>
            </w:tcBorders>
            <w:shd w:val="solid" w:color="FFFFFF" w:fill="FFFFFF"/>
            <w:tcMar>
              <w:left w:w="60" w:type="dxa"/>
              <w:right w:w="60" w:type="dxa"/>
            </w:tcMar>
            <w:vAlign w:val="center"/>
          </w:tcPr>
          <w:p>
            <w:pPr>
              <w:pStyle w:val="DMETW36762BIPCA"/>
              <w:jc w:val="right"/>
              <w:rPr>
                <w:rFonts w:ascii="Verdana" w:eastAsia="Verdana" w:hAnsi="Verdana" w:cs="Verdana"/>
                <w:i/>
                <w:noProof/>
                <w:color w:val="000000"/>
                <w:sz w:val="18"/>
              </w:rPr>
            </w:pPr>
            <w:r>
              <w:rPr>
                <w:rFonts w:ascii="Verdana" w:hAnsi="Verdana"/>
                <w:i/>
                <w:noProof/>
                <w:color w:val="000000"/>
                <w:sz w:val="18"/>
              </w:rPr>
              <w:t xml:space="preserve"> 13</w:t>
            </w:r>
          </w:p>
        </w:tc>
        <w:tc>
          <w:tcPr>
            <w:tcW w:w="1989" w:type="dxa"/>
            <w:tcBorders>
              <w:top w:val="nil"/>
              <w:left w:val="nil"/>
              <w:bottom w:val="nil"/>
              <w:right w:val="nil"/>
              <w:tl2br w:val="nil"/>
              <w:tr2bl w:val="nil"/>
            </w:tcBorders>
            <w:shd w:val="solid" w:color="FFFFFF" w:fill="FFFFFF"/>
            <w:tcMar>
              <w:left w:w="60" w:type="dxa"/>
              <w:right w:w="60" w:type="dxa"/>
            </w:tcMar>
            <w:vAlign w:val="center"/>
          </w:tcPr>
          <w:p>
            <w:pPr>
              <w:pStyle w:val="DMETW36762BIPCA"/>
              <w:jc w:val="right"/>
              <w:rPr>
                <w:rFonts w:ascii="Verdana" w:eastAsia="Verdana" w:hAnsi="Verdana" w:cs="Verdana"/>
                <w:i/>
                <w:noProof/>
                <w:color w:val="000000"/>
                <w:sz w:val="18"/>
              </w:rPr>
            </w:pPr>
            <w:r>
              <w:rPr>
                <w:rFonts w:ascii="Verdana" w:hAnsi="Verdana"/>
                <w:i/>
                <w:noProof/>
                <w:color w:val="000000"/>
                <w:sz w:val="18"/>
              </w:rPr>
              <w:t xml:space="preserve"> 15</w:t>
            </w:r>
          </w:p>
        </w:tc>
      </w:tr>
      <w:tr>
        <w:trPr>
          <w:trHeight w:hRule="exact" w:val="255"/>
        </w:trPr>
        <w:tc>
          <w:tcPr>
            <w:tcW w:w="5780" w:type="dxa"/>
            <w:tcBorders>
              <w:top w:val="nil"/>
              <w:left w:val="nil"/>
              <w:bottom w:val="nil"/>
              <w:right w:val="nil"/>
              <w:tl2br w:val="nil"/>
              <w:tr2bl w:val="nil"/>
            </w:tcBorders>
            <w:shd w:val="solid" w:color="CCE1EA" w:fill="FFFFFF"/>
            <w:tcMar>
              <w:left w:w="60" w:type="dxa"/>
              <w:right w:w="60" w:type="dxa"/>
            </w:tcMar>
            <w:vAlign w:val="center"/>
          </w:tcPr>
          <w:p>
            <w:pPr>
              <w:pStyle w:val="DMETW36762BIPCA"/>
              <w:rPr>
                <w:rFonts w:ascii="Verdana" w:eastAsia="Verdana" w:hAnsi="Verdana" w:cs="Verdana"/>
                <w:b/>
                <w:noProof/>
                <w:color w:val="000000"/>
                <w:sz w:val="18"/>
              </w:rPr>
            </w:pPr>
            <w:r>
              <w:rPr>
                <w:rFonts w:ascii="Verdana" w:hAnsi="Verdana"/>
                <w:b/>
                <w:noProof/>
                <w:color w:val="000000"/>
                <w:sz w:val="18"/>
              </w:rPr>
              <w:t>Total</w:t>
            </w:r>
          </w:p>
        </w:tc>
        <w:tc>
          <w:tcPr>
            <w:tcW w:w="1989" w:type="dxa"/>
            <w:tcBorders>
              <w:top w:val="nil"/>
              <w:left w:val="nil"/>
              <w:bottom w:val="nil"/>
              <w:right w:val="nil"/>
              <w:tl2br w:val="nil"/>
              <w:tr2bl w:val="nil"/>
            </w:tcBorders>
            <w:shd w:val="solid" w:color="CCE1EA" w:fill="FFFFFF"/>
            <w:tcMar>
              <w:left w:w="60" w:type="dxa"/>
              <w:right w:w="60" w:type="dxa"/>
            </w:tcMar>
            <w:vAlign w:val="center"/>
          </w:tcPr>
          <w:p>
            <w:pPr>
              <w:pStyle w:val="DMETW36762BIPCA"/>
              <w:jc w:val="right"/>
              <w:rPr>
                <w:rFonts w:ascii="Verdana" w:eastAsia="Verdana" w:hAnsi="Verdana" w:cs="Verdana"/>
                <w:b/>
                <w:noProof/>
                <w:color w:val="000000"/>
                <w:sz w:val="18"/>
              </w:rPr>
            </w:pPr>
            <w:r>
              <w:rPr>
                <w:rFonts w:ascii="Verdana" w:hAnsi="Verdana"/>
                <w:b/>
                <w:noProof/>
                <w:color w:val="000000"/>
                <w:sz w:val="18"/>
              </w:rPr>
              <w:t xml:space="preserve"> 269</w:t>
            </w:r>
          </w:p>
        </w:tc>
        <w:tc>
          <w:tcPr>
            <w:tcW w:w="1989" w:type="dxa"/>
            <w:tcBorders>
              <w:top w:val="nil"/>
              <w:left w:val="nil"/>
              <w:bottom w:val="nil"/>
              <w:right w:val="nil"/>
              <w:tl2br w:val="nil"/>
              <w:tr2bl w:val="nil"/>
            </w:tcBorders>
            <w:shd w:val="solid" w:color="CCE1EA" w:fill="FFFFFF"/>
            <w:tcMar>
              <w:left w:w="60" w:type="dxa"/>
              <w:right w:w="60" w:type="dxa"/>
            </w:tcMar>
            <w:vAlign w:val="center"/>
          </w:tcPr>
          <w:p>
            <w:pPr>
              <w:pStyle w:val="DMETW36762BIPCA"/>
              <w:jc w:val="right"/>
              <w:rPr>
                <w:rFonts w:ascii="Verdana" w:eastAsia="Verdana" w:hAnsi="Verdana" w:cs="Verdana"/>
                <w:b/>
                <w:noProof/>
                <w:color w:val="000000"/>
                <w:sz w:val="18"/>
              </w:rPr>
            </w:pPr>
            <w:r>
              <w:rPr>
                <w:rFonts w:ascii="Verdana" w:hAnsi="Verdana"/>
                <w:b/>
                <w:noProof/>
                <w:color w:val="000000"/>
                <w:sz w:val="18"/>
              </w:rPr>
              <w:t xml:space="preserve"> 295</w:t>
            </w:r>
          </w:p>
        </w:tc>
      </w:tr>
    </w:tbl>
    <w:p>
      <w:pPr>
        <w:pStyle w:val="DGTextstand-alone"/>
        <w:spacing w:after="0"/>
      </w:pPr>
      <w:r>
        <w:t>Les garanties de bonne fin sont requises pour faire en sorte que les bénéficiaires des financements de l’UE satisfont à leurs obligations contractuelles avec l’UE.</w:t>
      </w:r>
    </w:p>
    <w:bookmarkEnd w:id="202"/>
    <w:p>
      <w:pPr>
        <w:pStyle w:val="DGTextstand-alone"/>
        <w:spacing w:after="0"/>
        <w:sectPr>
          <w:headerReference w:type="even" r:id="rId129"/>
          <w:headerReference w:type="default" r:id="rId130"/>
          <w:footerReference w:type="even" r:id="rId131"/>
          <w:footerReference w:type="default" r:id="rId132"/>
          <w:headerReference w:type="first" r:id="rId133"/>
          <w:footerReference w:type="first" r:id="rId134"/>
          <w:type w:val="continuous"/>
          <w:pgSz w:w="11906" w:h="16838"/>
          <w:pgMar w:top="1134" w:right="1134" w:bottom="1134" w:left="1134" w:header="709" w:footer="709" w:gutter="0"/>
          <w:cols w:space="708"/>
          <w:docGrid w:linePitch="360"/>
        </w:sectPr>
      </w:pPr>
    </w:p>
    <w:p>
      <w:pPr>
        <w:pStyle w:val="HEADER1NOTES"/>
        <w:numPr>
          <w:ilvl w:val="0"/>
          <w:numId w:val="15"/>
        </w:numPr>
        <w:rPr>
          <w:noProof/>
        </w:rPr>
      </w:pPr>
      <w:bookmarkStart w:id="212" w:name="_Toc237350937"/>
      <w:bookmarkStart w:id="213" w:name="_DMBM_36668"/>
      <w:r>
        <w:rPr>
          <w:noProof/>
        </w:rPr>
        <w:lastRenderedPageBreak/>
        <w:t>ENGAGEMENTS BUDGÉTAIRES ET JURIDIQUES</w:t>
      </w:r>
      <w:bookmarkEnd w:id="212"/>
    </w:p>
    <w:p>
      <w:pPr>
        <w:pStyle w:val="DGTextstand-alone"/>
      </w:pPr>
      <w:r>
        <w:t>La présente note fournit des informations sur le processus budgétaire et les besoins futurs en matière de financement, et non sur le passif existant au 31 décembre 2025.</w:t>
      </w:r>
    </w:p>
    <w:p>
      <w:pPr>
        <w:pStyle w:val="DGTextstand-alone"/>
      </w:pPr>
      <w:r>
        <w:t>Le cadre financier pluriannuel (CFP) convenu par les États membres définit les programmes et fixe les plafonds des rubriques pour les crédits d’engagement ainsi que le total des crédits de paiement dans les limites duquel l’UE peut contracter des engagements juridiques et budgétaires et, à terme, effectuer des paiements sur une période de sept ans (voir le tableau </w:t>
      </w:r>
      <w:r>
        <w:rPr>
          <w:b/>
        </w:rPr>
        <w:t>3.2</w:t>
      </w:r>
      <w:r>
        <w:t xml:space="preserve"> figurant dans les notes annexes aux états sur l’exécution budgétaire).</w:t>
      </w:r>
    </w:p>
    <w:p>
      <w:pPr>
        <w:pStyle w:val="DGTextstand-alone"/>
      </w:pPr>
      <w:r>
        <w:t>Les engagements juridiques correspondent aux programmes, projets, accords ou contrats signés, qui sont donc juridiquement contraignants pour l’UE. L’engagement juridique est l’acte par lequel l’ordonnateur crée ou constate une obligation (pour l’UE) de laquelle il résulte une charge (article 2, paragraphe 39, du règlement financier).</w:t>
      </w:r>
    </w:p>
    <w:p>
      <w:pPr>
        <w:pStyle w:val="DGTextstand-alone"/>
      </w:pPr>
      <w:r>
        <w:t>L’engagement budgétaire est en principe contracté avant l’engagement juridique, mais pour certains programmes/projets pluriannuels, c’est le contraire: les engagements budgétaires sont contractés par tranches annuelles, sur plusieurs années, lorsque l’acte de base le prévoit. Par exemple, dans le domaine de la cohésion, l’article 86 du règlement portant dispositions communes (RPDC) [règlement (UE) 2021/1060] dispose que la décision de la Commission portant adoption d’un programme constitue un engagement juridique au sens du règlement financier, mais que les engagements budgétaires de l’Union relatifs à chaque programme sont effectués par tranches annuelles pour chaque Fonds sur la période comprise entre le 1</w:t>
      </w:r>
      <w:r>
        <w:rPr>
          <w:vertAlign w:val="superscript"/>
        </w:rPr>
        <w:t>er</w:t>
      </w:r>
      <w:r>
        <w:t> janvier 2021 et le 31 décembre 2027. D’autres bases légales peuvent contenir des dispositions similaires. Par conséquent, l’UE s’est juridiquement engagée à verser des montants sans qu’un engagement budgétaire n’ait encore été contracté – voir note </w:t>
      </w:r>
      <w:r>
        <w:rPr>
          <w:b/>
        </w:rPr>
        <w:t>5.2</w:t>
      </w:r>
      <w:r>
        <w:t xml:space="preserve"> ci-dessous.</w:t>
      </w:r>
    </w:p>
    <w:p>
      <w:pPr>
        <w:pStyle w:val="DGTextstand-alone"/>
      </w:pPr>
      <w:r>
        <w:t>Si l’engagement budgétaire a été contracté alors que les paiements ultérieurs n’ont pas encore été effectués, le montant des engagements restant à liquider est appelé «reste à liquider» (RAL). Il peut s’agir de programmes ou de projets, souvent pluriannuels, qui ont été signés et pour lesquels les paiements ne seront effectués que les années suivantes. Ils représentent des obligations de paiement pour les exercices à venir. Dans la mesure où les états financiers sont préparés selon la méthode de la comptabilité d’exercice, alors que les états sur l’exécution budgétaire sont préparés selon les principes de la comptabilité de caisse, une partie du montant total non payé (RAL) a déjà été passée en charges et est comptabilisée comme passif dans le bilan (voir les notes </w:t>
      </w:r>
      <w:r>
        <w:rPr>
          <w:b/>
        </w:rPr>
        <w:t>2.12</w:t>
      </w:r>
      <w:r>
        <w:t xml:space="preserve"> et </w:t>
      </w:r>
      <w:r>
        <w:rPr>
          <w:b/>
        </w:rPr>
        <w:t>2.13</w:t>
      </w:r>
      <w:r>
        <w:t>). Le calcul de ces dépenses est effectué sur la base des déclarations de dépenses/factures reçues ou en fonction d’une estimation de la mise en œuvre d’un programme ou d’un projet lorsqu’aucune demande de remboursement n’a encore été soumise à l’UE à la date de clôture. Une fois les paiements relatifs au RAL effectués, le passif inscrit au bilan est décomptabilisé. La partie du RAL non passée en charges n’est pas incluse dans le passif mais est présentée ci-dessous (voir note </w:t>
      </w:r>
      <w:r>
        <w:rPr>
          <w:b/>
        </w:rPr>
        <w:t>5.1</w:t>
      </w:r>
      <w:r>
        <w:t>).</w:t>
      </w:r>
    </w:p>
    <w:p>
      <w:pPr>
        <w:pStyle w:val="DGTextstand-alone"/>
        <w:spacing w:after="0"/>
      </w:pPr>
      <w:r>
        <w:t>Les chiffres présentés ci-dessous correspondent donc aux montants au 31 décembre 2025 que l’UE s’est engagée à payer sur la base du respect des accords contractuels et qui devraient donc être financés par des budgets ultérieurs de l’UE.</w:t>
      </w: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10"/>
        <w:gridCol w:w="1383"/>
        <w:gridCol w:w="1383"/>
        <w:gridCol w:w="1384"/>
      </w:tblGrid>
      <w:tr>
        <w:trPr>
          <w:trHeight w:val="247"/>
        </w:trPr>
        <w:tc>
          <w:tcPr>
            <w:tcW w:w="5510" w:type="dxa"/>
            <w:tcBorders>
              <w:top w:val="nil"/>
              <w:left w:val="nil"/>
              <w:bottom w:val="nil"/>
              <w:right w:val="nil"/>
              <w:tl2br w:val="nil"/>
              <w:tr2bl w:val="nil"/>
            </w:tcBorders>
            <w:tcMar>
              <w:left w:w="60" w:type="dxa"/>
              <w:right w:w="60" w:type="dxa"/>
            </w:tcMar>
            <w:vAlign w:val="center"/>
          </w:tcPr>
          <w:p>
            <w:pPr>
              <w:pStyle w:val="DMETW36763BIPOBULEG"/>
              <w:rPr>
                <w:rFonts w:ascii="Verdana" w:eastAsia="Verdana" w:hAnsi="Verdana" w:cs="Verdana"/>
                <w:i/>
                <w:noProof/>
                <w:color w:val="FFFFFF"/>
                <w:sz w:val="16"/>
              </w:rPr>
            </w:pPr>
            <w:bookmarkStart w:id="214" w:name="DOC_TBL00084_1_1"/>
            <w:bookmarkEnd w:id="214"/>
          </w:p>
        </w:tc>
        <w:tc>
          <w:tcPr>
            <w:tcW w:w="1383" w:type="dxa"/>
            <w:tcBorders>
              <w:top w:val="nil"/>
              <w:left w:val="nil"/>
              <w:bottom w:val="nil"/>
              <w:right w:val="nil"/>
              <w:tl2br w:val="nil"/>
              <w:tr2bl w:val="nil"/>
            </w:tcBorders>
            <w:tcMar>
              <w:left w:w="60" w:type="dxa"/>
              <w:right w:w="60" w:type="dxa"/>
            </w:tcMar>
            <w:vAlign w:val="bottom"/>
          </w:tcPr>
          <w:p>
            <w:pPr>
              <w:pStyle w:val="DMETW36763BIPOBULEG"/>
              <w:rPr>
                <w:rFonts w:ascii="Arial" w:eastAsia="Arial" w:hAnsi="Arial" w:cs="Arial"/>
                <w:noProof/>
                <w:color w:val="000000"/>
              </w:rPr>
            </w:pPr>
          </w:p>
        </w:tc>
        <w:tc>
          <w:tcPr>
            <w:tcW w:w="1383" w:type="dxa"/>
            <w:tcBorders>
              <w:top w:val="nil"/>
              <w:left w:val="nil"/>
              <w:bottom w:val="nil"/>
              <w:right w:val="nil"/>
              <w:tl2br w:val="nil"/>
              <w:tr2bl w:val="nil"/>
            </w:tcBorders>
            <w:tcMar>
              <w:left w:w="60" w:type="dxa"/>
              <w:right w:w="60" w:type="dxa"/>
            </w:tcMar>
            <w:vAlign w:val="bottom"/>
          </w:tcPr>
          <w:p>
            <w:pPr>
              <w:pStyle w:val="DMETW36763BIPOBULEG"/>
              <w:rPr>
                <w:rFonts w:ascii="Arial" w:eastAsia="Arial" w:hAnsi="Arial" w:cs="Arial"/>
                <w:noProof/>
                <w:color w:val="000000"/>
              </w:rPr>
            </w:pPr>
          </w:p>
        </w:tc>
        <w:tc>
          <w:tcPr>
            <w:tcW w:w="1384" w:type="dxa"/>
            <w:tcBorders>
              <w:top w:val="nil"/>
              <w:left w:val="nil"/>
              <w:bottom w:val="nil"/>
              <w:right w:val="nil"/>
              <w:tl2br w:val="nil"/>
              <w:tr2bl w:val="nil"/>
            </w:tcBorders>
            <w:tcMar>
              <w:left w:w="60" w:type="dxa"/>
              <w:right w:w="60" w:type="dxa"/>
            </w:tcMar>
            <w:vAlign w:val="bottom"/>
          </w:tcPr>
          <w:p>
            <w:pPr>
              <w:pStyle w:val="DMETW36763BIPOBULEG"/>
              <w:jc w:val="right"/>
              <w:rPr>
                <w:rFonts w:ascii="Verdana" w:eastAsia="Verdana" w:hAnsi="Verdana" w:cs="Verdana"/>
                <w:i/>
                <w:noProof/>
                <w:color w:val="000000"/>
                <w:sz w:val="16"/>
              </w:rPr>
            </w:pPr>
            <w:r>
              <w:rPr>
                <w:rFonts w:ascii="Verdana" w:hAnsi="Verdana"/>
                <w:i/>
                <w:noProof/>
                <w:color w:val="000000"/>
                <w:sz w:val="16"/>
              </w:rPr>
              <w:t>en Mio EUR</w:t>
            </w:r>
          </w:p>
        </w:tc>
      </w:tr>
      <w:tr>
        <w:trPr>
          <w:trHeight w:val="247"/>
        </w:trPr>
        <w:tc>
          <w:tcPr>
            <w:tcW w:w="5510" w:type="dxa"/>
            <w:tcBorders>
              <w:top w:val="nil"/>
              <w:left w:val="nil"/>
              <w:bottom w:val="nil"/>
              <w:right w:val="nil"/>
              <w:tl2br w:val="nil"/>
              <w:tr2bl w:val="nil"/>
            </w:tcBorders>
            <w:shd w:val="solid" w:color="016794" w:fill="FFFFFF"/>
            <w:tcMar>
              <w:left w:w="60" w:type="dxa"/>
              <w:right w:w="60" w:type="dxa"/>
            </w:tcMar>
            <w:vAlign w:val="center"/>
          </w:tcPr>
          <w:p>
            <w:pPr>
              <w:pStyle w:val="DMETW36763BIPOBULEG"/>
              <w:rPr>
                <w:rFonts w:ascii="Verdana" w:eastAsia="Verdana" w:hAnsi="Verdana" w:cs="Verdana"/>
                <w:noProof/>
                <w:color w:val="FFFFFF"/>
              </w:rPr>
            </w:pPr>
          </w:p>
        </w:tc>
        <w:tc>
          <w:tcPr>
            <w:tcW w:w="1383" w:type="dxa"/>
            <w:tcBorders>
              <w:top w:val="nil"/>
              <w:left w:val="nil"/>
              <w:bottom w:val="nil"/>
              <w:right w:val="nil"/>
              <w:tl2br w:val="nil"/>
              <w:tr2bl w:val="nil"/>
            </w:tcBorders>
            <w:shd w:val="solid" w:color="016794" w:fill="FFFFFF"/>
            <w:tcMar>
              <w:left w:w="60" w:type="dxa"/>
              <w:right w:w="60" w:type="dxa"/>
            </w:tcMar>
            <w:vAlign w:val="center"/>
          </w:tcPr>
          <w:p>
            <w:pPr>
              <w:pStyle w:val="DMETW36763BIPOBULEG"/>
              <w:jc w:val="center"/>
              <w:rPr>
                <w:rFonts w:ascii="Verdana" w:eastAsia="Verdana" w:hAnsi="Verdana" w:cs="Verdana"/>
                <w:noProof/>
                <w:color w:val="FFFFFF"/>
              </w:rPr>
            </w:pPr>
            <w:r>
              <w:rPr>
                <w:rFonts w:ascii="Verdana" w:hAnsi="Verdana"/>
                <w:noProof/>
                <w:color w:val="FFFFFF"/>
              </w:rPr>
              <w:t>Note</w:t>
            </w:r>
          </w:p>
        </w:tc>
        <w:tc>
          <w:tcPr>
            <w:tcW w:w="1383" w:type="dxa"/>
            <w:tcBorders>
              <w:top w:val="nil"/>
              <w:left w:val="nil"/>
              <w:bottom w:val="nil"/>
              <w:right w:val="nil"/>
              <w:tl2br w:val="nil"/>
              <w:tr2bl w:val="nil"/>
            </w:tcBorders>
            <w:shd w:val="solid" w:color="016794" w:fill="FFFFFF"/>
            <w:tcMar>
              <w:left w:w="60" w:type="dxa"/>
              <w:right w:w="60" w:type="dxa"/>
            </w:tcMar>
            <w:vAlign w:val="center"/>
          </w:tcPr>
          <w:p>
            <w:pPr>
              <w:pStyle w:val="DMETW36763BIPOBULEG"/>
              <w:jc w:val="right"/>
              <w:rPr>
                <w:rFonts w:ascii="Verdana" w:eastAsia="Verdana" w:hAnsi="Verdana" w:cs="Verdana"/>
                <w:noProof/>
                <w:color w:val="FFFFFF"/>
              </w:rPr>
            </w:pPr>
            <w:r>
              <w:rPr>
                <w:rFonts w:ascii="Verdana" w:hAnsi="Verdana"/>
                <w:noProof/>
                <w:color w:val="FFFFFF"/>
              </w:rPr>
              <w:t>31.12.2025</w:t>
            </w:r>
          </w:p>
        </w:tc>
        <w:tc>
          <w:tcPr>
            <w:tcW w:w="1384" w:type="dxa"/>
            <w:tcBorders>
              <w:top w:val="nil"/>
              <w:left w:val="nil"/>
              <w:bottom w:val="nil"/>
              <w:right w:val="nil"/>
              <w:tl2br w:val="nil"/>
              <w:tr2bl w:val="nil"/>
            </w:tcBorders>
            <w:shd w:val="solid" w:color="016794" w:fill="FFFFFF"/>
            <w:tcMar>
              <w:left w:w="60" w:type="dxa"/>
              <w:right w:w="60" w:type="dxa"/>
            </w:tcMar>
            <w:vAlign w:val="center"/>
          </w:tcPr>
          <w:p>
            <w:pPr>
              <w:pStyle w:val="DMETW36763BIPOBULEG"/>
              <w:jc w:val="right"/>
              <w:rPr>
                <w:rFonts w:ascii="Verdana" w:eastAsia="Verdana" w:hAnsi="Verdana" w:cs="Verdana"/>
                <w:noProof/>
                <w:color w:val="FFFFFF"/>
              </w:rPr>
            </w:pPr>
            <w:r>
              <w:rPr>
                <w:rFonts w:ascii="Verdana" w:hAnsi="Verdana"/>
                <w:noProof/>
                <w:color w:val="FFFFFF"/>
              </w:rPr>
              <w:t>31.12.2024</w:t>
            </w:r>
          </w:p>
        </w:tc>
      </w:tr>
      <w:tr>
        <w:trPr>
          <w:trHeight w:val="247"/>
        </w:trPr>
        <w:tc>
          <w:tcPr>
            <w:tcW w:w="5510" w:type="dxa"/>
            <w:tcBorders>
              <w:top w:val="nil"/>
              <w:left w:val="nil"/>
              <w:bottom w:val="nil"/>
              <w:right w:val="nil"/>
              <w:tl2br w:val="nil"/>
              <w:tr2bl w:val="nil"/>
            </w:tcBorders>
            <w:tcMar>
              <w:left w:w="60" w:type="dxa"/>
              <w:right w:w="60" w:type="dxa"/>
            </w:tcMar>
            <w:vAlign w:val="center"/>
          </w:tcPr>
          <w:p>
            <w:pPr>
              <w:pStyle w:val="DMETW36763BIPOBULEG"/>
              <w:rPr>
                <w:rFonts w:ascii="Verdana" w:eastAsia="Verdana" w:hAnsi="Verdana" w:cs="Verdana"/>
                <w:i/>
                <w:noProof/>
                <w:color w:val="000000"/>
                <w:sz w:val="18"/>
              </w:rPr>
            </w:pPr>
            <w:r>
              <w:rPr>
                <w:rFonts w:ascii="Verdana" w:hAnsi="Verdana"/>
                <w:i/>
                <w:noProof/>
                <w:color w:val="000000"/>
                <w:sz w:val="18"/>
              </w:rPr>
              <w:t>Engagements budgétaires restant à liquider non encore passés en charges</w:t>
            </w:r>
          </w:p>
        </w:tc>
        <w:tc>
          <w:tcPr>
            <w:tcW w:w="1383" w:type="dxa"/>
            <w:tcBorders>
              <w:top w:val="nil"/>
              <w:left w:val="nil"/>
              <w:bottom w:val="nil"/>
              <w:right w:val="nil"/>
              <w:tl2br w:val="nil"/>
              <w:tr2bl w:val="nil"/>
            </w:tcBorders>
            <w:tcMar>
              <w:left w:w="60" w:type="dxa"/>
              <w:right w:w="60" w:type="dxa"/>
            </w:tcMar>
            <w:vAlign w:val="center"/>
          </w:tcPr>
          <w:p>
            <w:pPr>
              <w:pStyle w:val="DMETW36763BIPOBULEG"/>
              <w:jc w:val="center"/>
              <w:rPr>
                <w:rFonts w:ascii="Verdana" w:eastAsia="Verdana" w:hAnsi="Verdana" w:cs="Verdana"/>
                <w:i/>
                <w:noProof/>
                <w:color w:val="000000"/>
                <w:sz w:val="18"/>
              </w:rPr>
            </w:pPr>
            <w:r>
              <w:rPr>
                <w:rFonts w:ascii="Verdana" w:hAnsi="Verdana"/>
                <w:i/>
                <w:noProof/>
                <w:color w:val="000000"/>
                <w:sz w:val="18"/>
              </w:rPr>
              <w:t>5.1</w:t>
            </w:r>
          </w:p>
        </w:tc>
        <w:tc>
          <w:tcPr>
            <w:tcW w:w="1383" w:type="dxa"/>
            <w:tcBorders>
              <w:top w:val="nil"/>
              <w:left w:val="nil"/>
              <w:bottom w:val="nil"/>
              <w:right w:val="nil"/>
              <w:tl2br w:val="nil"/>
              <w:tr2bl w:val="nil"/>
            </w:tcBorders>
            <w:tcMar>
              <w:left w:w="60" w:type="dxa"/>
              <w:right w:w="60" w:type="dxa"/>
            </w:tcMar>
            <w:vAlign w:val="center"/>
          </w:tcPr>
          <w:p>
            <w:pPr>
              <w:pStyle w:val="DMETW36763BIPOBULEG"/>
              <w:jc w:val="right"/>
              <w:rPr>
                <w:rFonts w:ascii="Verdana" w:eastAsia="Verdana" w:hAnsi="Verdana" w:cs="Verdana"/>
                <w:i/>
                <w:noProof/>
                <w:color w:val="000000"/>
                <w:sz w:val="18"/>
              </w:rPr>
            </w:pPr>
            <w:r>
              <w:rPr>
                <w:rFonts w:ascii="Verdana" w:hAnsi="Verdana"/>
                <w:i/>
                <w:noProof/>
                <w:color w:val="000000"/>
                <w:sz w:val="18"/>
              </w:rPr>
              <w:t>380 780</w:t>
            </w:r>
          </w:p>
        </w:tc>
        <w:tc>
          <w:tcPr>
            <w:tcW w:w="1384" w:type="dxa"/>
            <w:tcBorders>
              <w:top w:val="nil"/>
              <w:left w:val="nil"/>
              <w:bottom w:val="nil"/>
              <w:right w:val="nil"/>
              <w:tl2br w:val="nil"/>
              <w:tr2bl w:val="nil"/>
            </w:tcBorders>
            <w:tcMar>
              <w:left w:w="60" w:type="dxa"/>
              <w:right w:w="60" w:type="dxa"/>
            </w:tcMar>
            <w:vAlign w:val="center"/>
          </w:tcPr>
          <w:p>
            <w:pPr>
              <w:pStyle w:val="DMETW36763BIPOBULEG"/>
              <w:jc w:val="right"/>
              <w:rPr>
                <w:rFonts w:ascii="Verdana" w:eastAsia="Verdana" w:hAnsi="Verdana" w:cs="Verdana"/>
                <w:i/>
                <w:noProof/>
                <w:color w:val="000000"/>
                <w:sz w:val="18"/>
              </w:rPr>
            </w:pPr>
            <w:r>
              <w:rPr>
                <w:rFonts w:ascii="Verdana" w:hAnsi="Verdana"/>
                <w:i/>
                <w:noProof/>
                <w:color w:val="000000"/>
                <w:sz w:val="18"/>
              </w:rPr>
              <w:t>428 588</w:t>
            </w:r>
          </w:p>
        </w:tc>
      </w:tr>
      <w:tr>
        <w:trPr>
          <w:trHeight w:val="247"/>
        </w:trPr>
        <w:tc>
          <w:tcPr>
            <w:tcW w:w="5510" w:type="dxa"/>
            <w:tcBorders>
              <w:top w:val="nil"/>
              <w:left w:val="nil"/>
              <w:bottom w:val="nil"/>
              <w:right w:val="nil"/>
              <w:tl2br w:val="nil"/>
              <w:tr2bl w:val="nil"/>
            </w:tcBorders>
            <w:tcMar>
              <w:left w:w="60" w:type="dxa"/>
              <w:right w:w="60" w:type="dxa"/>
            </w:tcMar>
            <w:vAlign w:val="center"/>
          </w:tcPr>
          <w:p>
            <w:pPr>
              <w:pStyle w:val="DMETW36763BIPOBULEG"/>
              <w:rPr>
                <w:rFonts w:ascii="Verdana" w:eastAsia="Verdana" w:hAnsi="Verdana" w:cs="Verdana"/>
                <w:i/>
                <w:noProof/>
                <w:color w:val="000000"/>
                <w:sz w:val="18"/>
              </w:rPr>
            </w:pPr>
            <w:r>
              <w:rPr>
                <w:rFonts w:ascii="Verdana" w:hAnsi="Verdana"/>
                <w:i/>
                <w:noProof/>
                <w:color w:val="000000"/>
                <w:sz w:val="18"/>
              </w:rPr>
              <w:t>Engagements juridiques importants</w:t>
            </w:r>
          </w:p>
        </w:tc>
        <w:tc>
          <w:tcPr>
            <w:tcW w:w="1383" w:type="dxa"/>
            <w:tcBorders>
              <w:top w:val="nil"/>
              <w:left w:val="nil"/>
              <w:bottom w:val="nil"/>
              <w:right w:val="nil"/>
              <w:tl2br w:val="nil"/>
              <w:tr2bl w:val="nil"/>
            </w:tcBorders>
            <w:tcMar>
              <w:left w:w="60" w:type="dxa"/>
              <w:right w:w="60" w:type="dxa"/>
            </w:tcMar>
            <w:vAlign w:val="center"/>
          </w:tcPr>
          <w:p>
            <w:pPr>
              <w:pStyle w:val="DMETW36763BIPOBULEG"/>
              <w:jc w:val="center"/>
              <w:rPr>
                <w:rFonts w:ascii="Verdana" w:eastAsia="Verdana" w:hAnsi="Verdana" w:cs="Verdana"/>
                <w:i/>
                <w:noProof/>
                <w:color w:val="000000"/>
                <w:sz w:val="18"/>
              </w:rPr>
            </w:pPr>
            <w:r>
              <w:rPr>
                <w:rFonts w:ascii="Verdana" w:hAnsi="Verdana"/>
                <w:i/>
                <w:noProof/>
                <w:color w:val="000000"/>
                <w:sz w:val="18"/>
              </w:rPr>
              <w:t>5.2</w:t>
            </w:r>
          </w:p>
        </w:tc>
        <w:tc>
          <w:tcPr>
            <w:tcW w:w="1383" w:type="dxa"/>
            <w:tcBorders>
              <w:top w:val="nil"/>
              <w:left w:val="nil"/>
              <w:bottom w:val="nil"/>
              <w:right w:val="nil"/>
              <w:tl2br w:val="nil"/>
              <w:tr2bl w:val="nil"/>
            </w:tcBorders>
            <w:tcMar>
              <w:left w:w="60" w:type="dxa"/>
              <w:right w:w="60" w:type="dxa"/>
            </w:tcMar>
            <w:vAlign w:val="center"/>
          </w:tcPr>
          <w:p>
            <w:pPr>
              <w:pStyle w:val="DMETW36763BIPOBULEG"/>
              <w:jc w:val="right"/>
              <w:rPr>
                <w:rFonts w:ascii="Verdana" w:eastAsia="Verdana" w:hAnsi="Verdana" w:cs="Verdana"/>
                <w:i/>
                <w:noProof/>
                <w:color w:val="000000"/>
                <w:sz w:val="18"/>
              </w:rPr>
            </w:pPr>
            <w:r>
              <w:rPr>
                <w:rFonts w:ascii="Verdana" w:hAnsi="Verdana"/>
                <w:i/>
                <w:noProof/>
                <w:color w:val="000000"/>
                <w:sz w:val="18"/>
              </w:rPr>
              <w:t>180 699</w:t>
            </w:r>
          </w:p>
        </w:tc>
        <w:tc>
          <w:tcPr>
            <w:tcW w:w="1384" w:type="dxa"/>
            <w:tcBorders>
              <w:top w:val="nil"/>
              <w:left w:val="nil"/>
              <w:bottom w:val="nil"/>
              <w:right w:val="nil"/>
              <w:tl2br w:val="nil"/>
              <w:tr2bl w:val="nil"/>
            </w:tcBorders>
            <w:tcMar>
              <w:left w:w="60" w:type="dxa"/>
              <w:right w:w="60" w:type="dxa"/>
            </w:tcMar>
            <w:vAlign w:val="center"/>
          </w:tcPr>
          <w:p>
            <w:pPr>
              <w:pStyle w:val="DMETW36763BIPOBULEG"/>
              <w:jc w:val="right"/>
              <w:rPr>
                <w:rFonts w:ascii="Verdana" w:eastAsia="Verdana" w:hAnsi="Verdana" w:cs="Verdana"/>
                <w:i/>
                <w:noProof/>
                <w:color w:val="000000"/>
                <w:sz w:val="18"/>
              </w:rPr>
            </w:pPr>
            <w:r>
              <w:rPr>
                <w:rFonts w:ascii="Verdana" w:hAnsi="Verdana"/>
                <w:i/>
                <w:noProof/>
                <w:color w:val="000000"/>
                <w:sz w:val="18"/>
              </w:rPr>
              <w:t>257 256</w:t>
            </w:r>
          </w:p>
        </w:tc>
      </w:tr>
      <w:tr>
        <w:trPr>
          <w:trHeight w:val="247"/>
        </w:trPr>
        <w:tc>
          <w:tcPr>
            <w:tcW w:w="5510" w:type="dxa"/>
            <w:tcBorders>
              <w:top w:val="nil"/>
              <w:left w:val="nil"/>
              <w:bottom w:val="nil"/>
              <w:right w:val="nil"/>
              <w:tl2br w:val="nil"/>
              <w:tr2bl w:val="nil"/>
            </w:tcBorders>
            <w:shd w:val="solid" w:color="CCE1EA" w:fill="FFFFFF"/>
            <w:tcMar>
              <w:left w:w="60" w:type="dxa"/>
              <w:right w:w="60" w:type="dxa"/>
            </w:tcMar>
            <w:vAlign w:val="center"/>
          </w:tcPr>
          <w:p>
            <w:pPr>
              <w:pStyle w:val="DMETW36763BIPOBULEG"/>
              <w:rPr>
                <w:rFonts w:ascii="Verdana" w:eastAsia="Verdana" w:hAnsi="Verdana" w:cs="Verdana"/>
                <w:b/>
                <w:noProof/>
                <w:color w:val="000000"/>
                <w:sz w:val="18"/>
              </w:rPr>
            </w:pPr>
            <w:r>
              <w:rPr>
                <w:rFonts w:ascii="Verdana" w:hAnsi="Verdana"/>
                <w:b/>
                <w:noProof/>
                <w:color w:val="000000"/>
                <w:sz w:val="18"/>
              </w:rPr>
              <w:t>Total</w:t>
            </w:r>
          </w:p>
        </w:tc>
        <w:tc>
          <w:tcPr>
            <w:tcW w:w="1383" w:type="dxa"/>
            <w:tcBorders>
              <w:top w:val="nil"/>
              <w:left w:val="nil"/>
              <w:bottom w:val="nil"/>
              <w:right w:val="nil"/>
              <w:tl2br w:val="nil"/>
              <w:tr2bl w:val="nil"/>
            </w:tcBorders>
            <w:shd w:val="solid" w:color="CCE1EA" w:fill="FFFFFF"/>
            <w:tcMar>
              <w:left w:w="60" w:type="dxa"/>
              <w:right w:w="60" w:type="dxa"/>
            </w:tcMar>
            <w:vAlign w:val="center"/>
          </w:tcPr>
          <w:p>
            <w:pPr>
              <w:pStyle w:val="DMETW36763BIPOBULEG"/>
              <w:jc w:val="center"/>
              <w:rPr>
                <w:rFonts w:ascii="Verdana" w:eastAsia="Verdana" w:hAnsi="Verdana" w:cs="Verdana"/>
                <w:noProof/>
                <w:color w:val="000000"/>
                <w:sz w:val="18"/>
              </w:rPr>
            </w:pPr>
          </w:p>
        </w:tc>
        <w:tc>
          <w:tcPr>
            <w:tcW w:w="1383" w:type="dxa"/>
            <w:tcBorders>
              <w:top w:val="nil"/>
              <w:left w:val="nil"/>
              <w:bottom w:val="nil"/>
              <w:right w:val="nil"/>
              <w:tl2br w:val="nil"/>
              <w:tr2bl w:val="nil"/>
            </w:tcBorders>
            <w:shd w:val="solid" w:color="CCE1EA" w:fill="FFFFFF"/>
            <w:tcMar>
              <w:left w:w="60" w:type="dxa"/>
              <w:right w:w="60" w:type="dxa"/>
            </w:tcMar>
            <w:vAlign w:val="center"/>
          </w:tcPr>
          <w:p>
            <w:pPr>
              <w:pStyle w:val="DMETW36763BIPOBULEG"/>
              <w:jc w:val="right"/>
              <w:rPr>
                <w:rFonts w:ascii="Verdana" w:eastAsia="Verdana" w:hAnsi="Verdana" w:cs="Verdana"/>
                <w:b/>
                <w:noProof/>
                <w:color w:val="000000"/>
                <w:sz w:val="18"/>
              </w:rPr>
            </w:pPr>
            <w:r>
              <w:rPr>
                <w:rFonts w:ascii="Verdana" w:hAnsi="Verdana"/>
                <w:b/>
                <w:noProof/>
                <w:color w:val="000000"/>
                <w:sz w:val="18"/>
              </w:rPr>
              <w:t>561 479</w:t>
            </w:r>
          </w:p>
        </w:tc>
        <w:tc>
          <w:tcPr>
            <w:tcW w:w="1384" w:type="dxa"/>
            <w:tcBorders>
              <w:top w:val="nil"/>
              <w:left w:val="nil"/>
              <w:bottom w:val="nil"/>
              <w:right w:val="nil"/>
              <w:tl2br w:val="nil"/>
              <w:tr2bl w:val="nil"/>
            </w:tcBorders>
            <w:shd w:val="solid" w:color="CCE1EA" w:fill="FFFFFF"/>
            <w:tcMar>
              <w:left w:w="60" w:type="dxa"/>
              <w:right w:w="60" w:type="dxa"/>
            </w:tcMar>
            <w:vAlign w:val="center"/>
          </w:tcPr>
          <w:p>
            <w:pPr>
              <w:pStyle w:val="DMETW36763BIPOBULEG"/>
              <w:jc w:val="right"/>
              <w:rPr>
                <w:rFonts w:ascii="Verdana" w:eastAsia="Verdana" w:hAnsi="Verdana" w:cs="Verdana"/>
                <w:b/>
                <w:noProof/>
                <w:color w:val="000000"/>
                <w:sz w:val="18"/>
              </w:rPr>
            </w:pPr>
            <w:r>
              <w:rPr>
                <w:rFonts w:ascii="Verdana" w:hAnsi="Verdana"/>
                <w:b/>
                <w:noProof/>
                <w:color w:val="000000"/>
                <w:sz w:val="18"/>
              </w:rPr>
              <w:t>685 844</w:t>
            </w:r>
          </w:p>
        </w:tc>
      </w:tr>
    </w:tbl>
    <w:p>
      <w:pPr>
        <w:pStyle w:val="HEADER2NOTES"/>
        <w:numPr>
          <w:ilvl w:val="1"/>
          <w:numId w:val="15"/>
        </w:numPr>
        <w:rPr>
          <w:noProof/>
        </w:rPr>
      </w:pPr>
      <w:r>
        <w:rPr>
          <w:noProof/>
        </w:rPr>
        <w:t>ENGAGEMENTS BUDGÉTAIRES RESTANT À LIQUIDER NON ENCORE PASSÉS EN CHARGES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05"/>
        <w:gridCol w:w="1608"/>
        <w:gridCol w:w="1645"/>
      </w:tblGrid>
      <w:tr>
        <w:trPr>
          <w:cantSplit/>
          <w:trHeight w:val="255"/>
        </w:trPr>
        <w:tc>
          <w:tcPr>
            <w:tcW w:w="6505" w:type="dxa"/>
            <w:tcBorders>
              <w:top w:val="nil"/>
              <w:left w:val="nil"/>
              <w:bottom w:val="nil"/>
              <w:right w:val="nil"/>
              <w:tl2br w:val="nil"/>
              <w:tr2bl w:val="nil"/>
            </w:tcBorders>
            <w:tcMar>
              <w:left w:w="60" w:type="dxa"/>
              <w:right w:w="60" w:type="dxa"/>
            </w:tcMar>
            <w:vAlign w:val="bottom"/>
          </w:tcPr>
          <w:p>
            <w:pPr>
              <w:pStyle w:val="DMETW36763BIPOCNYE"/>
              <w:rPr>
                <w:rFonts w:ascii="Arial" w:eastAsia="Arial" w:hAnsi="Arial" w:cs="Arial"/>
                <w:noProof/>
                <w:color w:val="000000"/>
              </w:rPr>
            </w:pPr>
            <w:bookmarkStart w:id="215" w:name="DOC_TBL00085_1_1"/>
            <w:bookmarkEnd w:id="215"/>
          </w:p>
        </w:tc>
        <w:tc>
          <w:tcPr>
            <w:tcW w:w="1608" w:type="dxa"/>
            <w:tcBorders>
              <w:top w:val="nil"/>
              <w:left w:val="nil"/>
              <w:bottom w:val="nil"/>
              <w:right w:val="nil"/>
              <w:tl2br w:val="nil"/>
              <w:tr2bl w:val="nil"/>
            </w:tcBorders>
            <w:tcMar>
              <w:left w:w="60" w:type="dxa"/>
              <w:right w:w="60" w:type="dxa"/>
            </w:tcMar>
            <w:vAlign w:val="bottom"/>
          </w:tcPr>
          <w:p>
            <w:pPr>
              <w:pStyle w:val="DMETW36763BIPOCNYE"/>
              <w:rPr>
                <w:rFonts w:ascii="Arial" w:eastAsia="Arial" w:hAnsi="Arial" w:cs="Arial"/>
                <w:noProof/>
                <w:color w:val="000000"/>
              </w:rPr>
            </w:pPr>
          </w:p>
        </w:tc>
        <w:tc>
          <w:tcPr>
            <w:tcW w:w="1645" w:type="dxa"/>
            <w:tcBorders>
              <w:top w:val="nil"/>
              <w:left w:val="nil"/>
              <w:bottom w:val="nil"/>
              <w:right w:val="nil"/>
              <w:tl2br w:val="nil"/>
              <w:tr2bl w:val="nil"/>
            </w:tcBorders>
            <w:tcMar>
              <w:left w:w="60" w:type="dxa"/>
              <w:right w:w="60" w:type="dxa"/>
            </w:tcMar>
            <w:vAlign w:val="bottom"/>
          </w:tcPr>
          <w:p>
            <w:pPr>
              <w:pStyle w:val="DMETW36763BIPOCNYE"/>
              <w:jc w:val="right"/>
              <w:rPr>
                <w:rFonts w:ascii="Verdana" w:eastAsia="Verdana" w:hAnsi="Verdana" w:cs="Verdana"/>
                <w:i/>
                <w:noProof/>
                <w:color w:val="000000"/>
                <w:sz w:val="16"/>
              </w:rPr>
            </w:pPr>
            <w:r>
              <w:rPr>
                <w:rFonts w:ascii="Verdana" w:hAnsi="Verdana"/>
                <w:i/>
                <w:noProof/>
                <w:color w:val="000000"/>
                <w:sz w:val="16"/>
              </w:rPr>
              <w:t>en Mio EUR</w:t>
            </w:r>
          </w:p>
        </w:tc>
      </w:tr>
      <w:tr>
        <w:trPr>
          <w:cantSplit/>
          <w:trHeight w:val="255"/>
        </w:trPr>
        <w:tc>
          <w:tcPr>
            <w:tcW w:w="6505" w:type="dxa"/>
            <w:tcBorders>
              <w:top w:val="nil"/>
              <w:left w:val="nil"/>
              <w:bottom w:val="nil"/>
              <w:right w:val="nil"/>
              <w:tl2br w:val="nil"/>
              <w:tr2bl w:val="nil"/>
            </w:tcBorders>
            <w:shd w:val="solid" w:color="016794" w:fill="FFFFFF"/>
            <w:tcMar>
              <w:left w:w="60" w:type="dxa"/>
              <w:right w:w="60" w:type="dxa"/>
            </w:tcMar>
            <w:vAlign w:val="center"/>
          </w:tcPr>
          <w:p>
            <w:pPr>
              <w:pStyle w:val="DMETW36763BIPOCNYE"/>
              <w:jc w:val="right"/>
              <w:rPr>
                <w:rFonts w:ascii="Verdana" w:eastAsia="Verdana" w:hAnsi="Verdana" w:cs="Verdana"/>
                <w:noProof/>
                <w:color w:val="FFFFFF"/>
              </w:rPr>
            </w:pPr>
          </w:p>
        </w:tc>
        <w:tc>
          <w:tcPr>
            <w:tcW w:w="1608" w:type="dxa"/>
            <w:tcBorders>
              <w:top w:val="nil"/>
              <w:left w:val="nil"/>
              <w:bottom w:val="nil"/>
              <w:right w:val="nil"/>
              <w:tl2br w:val="nil"/>
              <w:tr2bl w:val="nil"/>
            </w:tcBorders>
            <w:shd w:val="solid" w:color="016794" w:fill="FFFFFF"/>
            <w:tcMar>
              <w:left w:w="60" w:type="dxa"/>
              <w:right w:w="60" w:type="dxa"/>
            </w:tcMar>
            <w:vAlign w:val="center"/>
          </w:tcPr>
          <w:p>
            <w:pPr>
              <w:pStyle w:val="DMETW36763BIPOCNYE"/>
              <w:jc w:val="right"/>
              <w:rPr>
                <w:rFonts w:ascii="Verdana" w:eastAsia="Verdana" w:hAnsi="Verdana" w:cs="Verdana"/>
                <w:noProof/>
                <w:color w:val="FFFFFF"/>
              </w:rPr>
            </w:pPr>
            <w:r>
              <w:rPr>
                <w:rFonts w:ascii="Verdana" w:hAnsi="Verdana"/>
                <w:noProof/>
                <w:color w:val="FFFFFF"/>
              </w:rPr>
              <w:t>31.12.2025</w:t>
            </w:r>
          </w:p>
        </w:tc>
        <w:tc>
          <w:tcPr>
            <w:tcW w:w="1645" w:type="dxa"/>
            <w:tcBorders>
              <w:top w:val="nil"/>
              <w:left w:val="nil"/>
              <w:bottom w:val="nil"/>
              <w:right w:val="nil"/>
              <w:tl2br w:val="nil"/>
              <w:tr2bl w:val="nil"/>
            </w:tcBorders>
            <w:shd w:val="solid" w:color="016794" w:fill="FFFFFF"/>
            <w:tcMar>
              <w:left w:w="60" w:type="dxa"/>
              <w:right w:w="60" w:type="dxa"/>
            </w:tcMar>
            <w:vAlign w:val="center"/>
          </w:tcPr>
          <w:p>
            <w:pPr>
              <w:pStyle w:val="DMETW36763BIPOCNYE"/>
              <w:jc w:val="right"/>
              <w:rPr>
                <w:rFonts w:ascii="Verdana" w:eastAsia="Verdana" w:hAnsi="Verdana" w:cs="Verdana"/>
                <w:noProof/>
                <w:color w:val="FFFFFF"/>
              </w:rPr>
            </w:pPr>
            <w:r>
              <w:rPr>
                <w:rFonts w:ascii="Verdana" w:hAnsi="Verdana"/>
                <w:noProof/>
                <w:color w:val="FFFFFF"/>
              </w:rPr>
              <w:t>31.12.2024</w:t>
            </w:r>
          </w:p>
        </w:tc>
      </w:tr>
      <w:tr>
        <w:trPr>
          <w:trHeight w:val="255"/>
        </w:trPr>
        <w:tc>
          <w:tcPr>
            <w:tcW w:w="6505" w:type="dxa"/>
            <w:tcBorders>
              <w:top w:val="nil"/>
              <w:left w:val="nil"/>
              <w:bottom w:val="nil"/>
              <w:right w:val="nil"/>
              <w:tl2br w:val="nil"/>
              <w:tr2bl w:val="nil"/>
            </w:tcBorders>
            <w:tcMar>
              <w:left w:w="60" w:type="dxa"/>
              <w:right w:w="60" w:type="dxa"/>
            </w:tcMar>
            <w:vAlign w:val="center"/>
          </w:tcPr>
          <w:p>
            <w:pPr>
              <w:pStyle w:val="DMETW36763BIPOCNYE"/>
              <w:rPr>
                <w:rFonts w:ascii="Verdana" w:eastAsia="Verdana" w:hAnsi="Verdana" w:cs="Verdana"/>
                <w:i/>
                <w:noProof/>
                <w:color w:val="000000"/>
                <w:sz w:val="18"/>
              </w:rPr>
            </w:pPr>
            <w:r>
              <w:rPr>
                <w:rFonts w:ascii="Verdana" w:hAnsi="Verdana"/>
                <w:i/>
                <w:noProof/>
                <w:color w:val="000000"/>
                <w:sz w:val="18"/>
              </w:rPr>
              <w:t>Engagements budgétaires restant à liquider non encore passés en charges</w:t>
            </w:r>
          </w:p>
        </w:tc>
        <w:tc>
          <w:tcPr>
            <w:tcW w:w="1608" w:type="dxa"/>
            <w:tcBorders>
              <w:top w:val="nil"/>
              <w:left w:val="nil"/>
              <w:bottom w:val="nil"/>
              <w:right w:val="nil"/>
              <w:tl2br w:val="nil"/>
              <w:tr2bl w:val="nil"/>
            </w:tcBorders>
            <w:tcMar>
              <w:left w:w="60" w:type="dxa"/>
              <w:right w:w="60" w:type="dxa"/>
            </w:tcMar>
            <w:vAlign w:val="center"/>
          </w:tcPr>
          <w:p>
            <w:pPr>
              <w:pStyle w:val="DMETW36763BIPOCNYE"/>
              <w:jc w:val="right"/>
              <w:rPr>
                <w:rFonts w:ascii="Verdana" w:eastAsia="Verdana" w:hAnsi="Verdana" w:cs="Verdana"/>
                <w:i/>
                <w:noProof/>
                <w:color w:val="000000"/>
                <w:sz w:val="18"/>
              </w:rPr>
            </w:pPr>
            <w:r>
              <w:rPr>
                <w:rFonts w:ascii="Verdana" w:hAnsi="Verdana"/>
                <w:i/>
                <w:noProof/>
                <w:color w:val="000000"/>
                <w:sz w:val="18"/>
              </w:rPr>
              <w:t>380 780</w:t>
            </w:r>
          </w:p>
        </w:tc>
        <w:tc>
          <w:tcPr>
            <w:tcW w:w="1645" w:type="dxa"/>
            <w:tcBorders>
              <w:top w:val="nil"/>
              <w:left w:val="nil"/>
              <w:bottom w:val="nil"/>
              <w:right w:val="nil"/>
              <w:tl2br w:val="nil"/>
              <w:tr2bl w:val="nil"/>
            </w:tcBorders>
            <w:tcMar>
              <w:left w:w="60" w:type="dxa"/>
              <w:right w:w="60" w:type="dxa"/>
            </w:tcMar>
            <w:vAlign w:val="center"/>
          </w:tcPr>
          <w:p>
            <w:pPr>
              <w:pStyle w:val="DMETW36763BIPOCNYE"/>
              <w:jc w:val="right"/>
              <w:rPr>
                <w:rFonts w:ascii="Verdana" w:eastAsia="Verdana" w:hAnsi="Verdana" w:cs="Verdana"/>
                <w:i/>
                <w:noProof/>
                <w:color w:val="000000"/>
                <w:sz w:val="18"/>
              </w:rPr>
            </w:pPr>
            <w:r>
              <w:rPr>
                <w:rFonts w:ascii="Verdana" w:hAnsi="Verdana"/>
                <w:i/>
                <w:noProof/>
                <w:color w:val="000000"/>
                <w:sz w:val="18"/>
              </w:rPr>
              <w:t>428 588</w:t>
            </w:r>
          </w:p>
        </w:tc>
      </w:tr>
    </w:tbl>
    <w:p>
      <w:pPr>
        <w:pStyle w:val="DGTextstand-alone"/>
      </w:pPr>
      <w:r>
        <w:t>Le montant ci-dessus correspond au RAL («reste à liquider») budgétaire de 501,084 milliards d’EUR (voir le tableau </w:t>
      </w:r>
      <w:r>
        <w:rPr>
          <w:b/>
          <w:bCs/>
        </w:rPr>
        <w:t>6.4</w:t>
      </w:r>
      <w:r>
        <w:t xml:space="preserve"> figurant dans les états sur l’exécution budgétaire), déduction faite des montants afférents </w:t>
      </w:r>
      <w:r>
        <w:lastRenderedPageBreak/>
        <w:t xml:space="preserve">inclus en tant que passifs dans le bilan et en tant que charges dans le compte de résultat économique. Le RAL budgétaire correspond au montant des engagements ouverts pour lesquels les paiements et/ou dégagements n’ont pas encore été effectués. Il est la conséquence normale de l’existence de programmes pluriannuels. </w:t>
      </w:r>
    </w:p>
    <w:p>
      <w:pPr>
        <w:pStyle w:val="DGTextstand-alone"/>
      </w:pPr>
      <w:r>
        <w:t>Il convient de noter que les avances au titre de préfinancements restant à liquider au 31 décembre 2025 s’élevaient à 78,3 milliards d’EUR (voir note </w:t>
      </w:r>
      <w:r>
        <w:rPr>
          <w:b/>
        </w:rPr>
        <w:t>2.5</w:t>
      </w:r>
      <w:r>
        <w:t>). Ce chiffre représente les engagements budgétaires ayant été payés, ce qui diminue le RAL, mais les montants versés sont toujours considérés comme appartenant à l’UE et non au bénéficiaire, et ce jusqu’à ce que les obligations contractuelles correspondantes aient été honorées. Comme le RAL indiqué ci-dessus, ils ne sont pas encore passés en charges.</w:t>
      </w:r>
    </w:p>
    <w:p>
      <w:pPr>
        <w:pStyle w:val="HEADER2NOTES"/>
        <w:numPr>
          <w:ilvl w:val="1"/>
          <w:numId w:val="15"/>
        </w:numPr>
        <w:rPr>
          <w:noProof/>
        </w:rPr>
      </w:pPr>
      <w:r>
        <w:rPr>
          <w:noProof/>
        </w:rPr>
        <w:t>ENGAGEMENTS JURIDIQUES IMPORTANTS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3"/>
        <w:gridCol w:w="2357"/>
        <w:gridCol w:w="2358"/>
      </w:tblGrid>
      <w:tr>
        <w:trPr>
          <w:trHeight w:hRule="exact" w:val="255"/>
        </w:trPr>
        <w:tc>
          <w:tcPr>
            <w:tcW w:w="5043" w:type="dxa"/>
            <w:tcBorders>
              <w:top w:val="nil"/>
              <w:left w:val="nil"/>
              <w:bottom w:val="nil"/>
              <w:right w:val="nil"/>
              <w:tl2br w:val="nil"/>
              <w:tr2bl w:val="nil"/>
            </w:tcBorders>
            <w:tcMar>
              <w:left w:w="60" w:type="dxa"/>
              <w:right w:w="60" w:type="dxa"/>
            </w:tcMar>
            <w:vAlign w:val="bottom"/>
          </w:tcPr>
          <w:p>
            <w:pPr>
              <w:pStyle w:val="DMETW36763BIPLEGCOM"/>
              <w:rPr>
                <w:rFonts w:ascii="Arial" w:eastAsia="Arial" w:hAnsi="Arial" w:cs="Arial"/>
                <w:noProof/>
                <w:color w:val="000000"/>
              </w:rPr>
            </w:pPr>
            <w:bookmarkStart w:id="216" w:name="DOC_TBL00086_1_1"/>
            <w:bookmarkEnd w:id="216"/>
          </w:p>
        </w:tc>
        <w:tc>
          <w:tcPr>
            <w:tcW w:w="2357" w:type="dxa"/>
            <w:tcBorders>
              <w:top w:val="nil"/>
              <w:left w:val="nil"/>
              <w:bottom w:val="nil"/>
              <w:right w:val="nil"/>
              <w:tl2br w:val="nil"/>
              <w:tr2bl w:val="nil"/>
            </w:tcBorders>
            <w:tcMar>
              <w:left w:w="60" w:type="dxa"/>
              <w:right w:w="60" w:type="dxa"/>
            </w:tcMar>
            <w:vAlign w:val="bottom"/>
          </w:tcPr>
          <w:p>
            <w:pPr>
              <w:pStyle w:val="DMETW36763BIPLEGCOM"/>
              <w:rPr>
                <w:rFonts w:ascii="Arial" w:eastAsia="Arial" w:hAnsi="Arial" w:cs="Arial"/>
                <w:noProof/>
                <w:color w:val="000000"/>
              </w:rPr>
            </w:pPr>
          </w:p>
        </w:tc>
        <w:tc>
          <w:tcPr>
            <w:tcW w:w="2358" w:type="dxa"/>
            <w:tcBorders>
              <w:top w:val="nil"/>
              <w:left w:val="nil"/>
              <w:bottom w:val="nil"/>
              <w:right w:val="nil"/>
              <w:tl2br w:val="nil"/>
              <w:tr2bl w:val="nil"/>
            </w:tcBorders>
            <w:tcMar>
              <w:left w:w="60" w:type="dxa"/>
              <w:right w:w="60" w:type="dxa"/>
            </w:tcMar>
            <w:vAlign w:val="bottom"/>
          </w:tcPr>
          <w:p>
            <w:pPr>
              <w:pStyle w:val="DMETW36763BIPLEGCOM"/>
              <w:jc w:val="right"/>
              <w:rPr>
                <w:rFonts w:ascii="Verdana" w:eastAsia="Verdana" w:hAnsi="Verdana" w:cs="Verdana"/>
                <w:i/>
                <w:noProof/>
                <w:color w:val="000000"/>
                <w:sz w:val="16"/>
              </w:rPr>
            </w:pPr>
            <w:r>
              <w:rPr>
                <w:rFonts w:ascii="Verdana" w:hAnsi="Verdana"/>
                <w:i/>
                <w:noProof/>
                <w:color w:val="000000"/>
                <w:sz w:val="16"/>
              </w:rPr>
              <w:t>en Mio EUR</w:t>
            </w:r>
          </w:p>
        </w:tc>
      </w:tr>
      <w:tr>
        <w:trPr>
          <w:trHeight w:hRule="exact" w:val="255"/>
        </w:trPr>
        <w:tc>
          <w:tcPr>
            <w:tcW w:w="5043" w:type="dxa"/>
            <w:tcBorders>
              <w:top w:val="nil"/>
              <w:left w:val="nil"/>
              <w:bottom w:val="nil"/>
              <w:right w:val="nil"/>
              <w:tl2br w:val="nil"/>
              <w:tr2bl w:val="nil"/>
            </w:tcBorders>
            <w:shd w:val="solid" w:color="016794" w:fill="FFFFFF"/>
            <w:tcMar>
              <w:left w:w="60" w:type="dxa"/>
              <w:right w:w="60" w:type="dxa"/>
            </w:tcMar>
            <w:vAlign w:val="center"/>
          </w:tcPr>
          <w:p>
            <w:pPr>
              <w:pStyle w:val="DMETW36763BIPLEGCOM"/>
              <w:jc w:val="right"/>
              <w:rPr>
                <w:rFonts w:ascii="Verdana" w:eastAsia="Verdana" w:hAnsi="Verdana" w:cs="Verdana"/>
                <w:noProof/>
                <w:color w:val="FFFFFF"/>
              </w:rPr>
            </w:pPr>
          </w:p>
        </w:tc>
        <w:tc>
          <w:tcPr>
            <w:tcW w:w="2357" w:type="dxa"/>
            <w:tcBorders>
              <w:top w:val="nil"/>
              <w:left w:val="nil"/>
              <w:bottom w:val="nil"/>
              <w:right w:val="nil"/>
              <w:tl2br w:val="nil"/>
              <w:tr2bl w:val="nil"/>
            </w:tcBorders>
            <w:shd w:val="solid" w:color="016794" w:fill="FFFFFF"/>
            <w:tcMar>
              <w:left w:w="60" w:type="dxa"/>
              <w:right w:w="60" w:type="dxa"/>
            </w:tcMar>
            <w:vAlign w:val="center"/>
          </w:tcPr>
          <w:p>
            <w:pPr>
              <w:pStyle w:val="DMETW36763BIPLEGCOM"/>
              <w:jc w:val="right"/>
              <w:rPr>
                <w:rFonts w:ascii="Verdana" w:eastAsia="Verdana" w:hAnsi="Verdana" w:cs="Verdana"/>
                <w:noProof/>
                <w:color w:val="FFFFFF"/>
              </w:rPr>
            </w:pPr>
            <w:r>
              <w:rPr>
                <w:rFonts w:ascii="Verdana" w:hAnsi="Verdana"/>
                <w:noProof/>
                <w:color w:val="FFFFFF"/>
              </w:rPr>
              <w:t>31.12.2025</w:t>
            </w:r>
          </w:p>
        </w:tc>
        <w:tc>
          <w:tcPr>
            <w:tcW w:w="2358" w:type="dxa"/>
            <w:tcBorders>
              <w:top w:val="nil"/>
              <w:left w:val="nil"/>
              <w:bottom w:val="nil"/>
              <w:right w:val="nil"/>
              <w:tl2br w:val="nil"/>
              <w:tr2bl w:val="nil"/>
            </w:tcBorders>
            <w:shd w:val="solid" w:color="016794" w:fill="FFFFFF"/>
            <w:tcMar>
              <w:left w:w="60" w:type="dxa"/>
              <w:right w:w="60" w:type="dxa"/>
            </w:tcMar>
            <w:vAlign w:val="center"/>
          </w:tcPr>
          <w:p>
            <w:pPr>
              <w:pStyle w:val="DMETW36763BIPLEGCOM"/>
              <w:jc w:val="right"/>
              <w:rPr>
                <w:rFonts w:ascii="Verdana" w:eastAsia="Verdana" w:hAnsi="Verdana" w:cs="Verdana"/>
                <w:noProof/>
                <w:color w:val="FFFFFF"/>
              </w:rPr>
            </w:pPr>
            <w:r>
              <w:rPr>
                <w:rFonts w:ascii="Verdana" w:hAnsi="Verdana"/>
                <w:noProof/>
                <w:color w:val="FFFFFF"/>
              </w:rPr>
              <w:t>31.12.2024</w:t>
            </w:r>
          </w:p>
        </w:tc>
      </w:tr>
      <w:tr>
        <w:trPr>
          <w:trHeight w:hRule="exact" w:val="255"/>
        </w:trPr>
        <w:tc>
          <w:tcPr>
            <w:tcW w:w="5043" w:type="dxa"/>
            <w:tcBorders>
              <w:top w:val="nil"/>
              <w:left w:val="nil"/>
              <w:bottom w:val="nil"/>
              <w:right w:val="nil"/>
              <w:tl2br w:val="nil"/>
              <w:tr2bl w:val="nil"/>
            </w:tcBorders>
            <w:tcMar>
              <w:left w:w="60" w:type="dxa"/>
              <w:right w:w="60" w:type="dxa"/>
            </w:tcMar>
            <w:vAlign w:val="center"/>
          </w:tcPr>
          <w:p>
            <w:pPr>
              <w:pStyle w:val="DMETW36763BIPLEGCOM"/>
              <w:rPr>
                <w:rFonts w:ascii="Verdana" w:eastAsia="Verdana" w:hAnsi="Verdana" w:cs="Verdana"/>
                <w:i/>
                <w:noProof/>
                <w:color w:val="000000"/>
                <w:sz w:val="18"/>
              </w:rPr>
            </w:pPr>
            <w:r>
              <w:rPr>
                <w:rFonts w:ascii="Verdana" w:hAnsi="Verdana"/>
                <w:i/>
                <w:noProof/>
                <w:color w:val="000000"/>
                <w:sz w:val="18"/>
              </w:rPr>
              <w:t>Cohésion économique, sociale et territoriale</w:t>
            </w:r>
          </w:p>
        </w:tc>
        <w:tc>
          <w:tcPr>
            <w:tcW w:w="2357" w:type="dxa"/>
            <w:tcBorders>
              <w:top w:val="nil"/>
              <w:left w:val="nil"/>
              <w:bottom w:val="nil"/>
              <w:right w:val="nil"/>
              <w:tl2br w:val="nil"/>
              <w:tr2bl w:val="nil"/>
            </w:tcBorders>
            <w:tcMar>
              <w:left w:w="60" w:type="dxa"/>
              <w:right w:w="60" w:type="dxa"/>
            </w:tcMar>
            <w:vAlign w:val="center"/>
          </w:tcPr>
          <w:p>
            <w:pPr>
              <w:pStyle w:val="DMETW36763BIPLEGCOM"/>
              <w:jc w:val="right"/>
              <w:rPr>
                <w:rFonts w:ascii="Verdana" w:eastAsia="Verdana" w:hAnsi="Verdana" w:cs="Verdana"/>
                <w:i/>
                <w:noProof/>
                <w:color w:val="000000"/>
                <w:sz w:val="18"/>
              </w:rPr>
            </w:pPr>
            <w:r>
              <w:rPr>
                <w:rFonts w:ascii="Verdana" w:hAnsi="Verdana"/>
                <w:i/>
                <w:noProof/>
                <w:color w:val="000000"/>
                <w:sz w:val="18"/>
              </w:rPr>
              <w:t>113 279</w:t>
            </w:r>
          </w:p>
        </w:tc>
        <w:tc>
          <w:tcPr>
            <w:tcW w:w="2358" w:type="dxa"/>
            <w:tcBorders>
              <w:top w:val="nil"/>
              <w:left w:val="nil"/>
              <w:bottom w:val="nil"/>
              <w:right w:val="nil"/>
              <w:tl2br w:val="nil"/>
              <w:tr2bl w:val="nil"/>
            </w:tcBorders>
            <w:tcMar>
              <w:left w:w="60" w:type="dxa"/>
              <w:right w:w="60" w:type="dxa"/>
            </w:tcMar>
            <w:vAlign w:val="center"/>
          </w:tcPr>
          <w:p>
            <w:pPr>
              <w:pStyle w:val="DMETW36763BIPLEGCOM"/>
              <w:jc w:val="right"/>
              <w:rPr>
                <w:rFonts w:ascii="Verdana" w:eastAsia="Verdana" w:hAnsi="Verdana" w:cs="Verdana"/>
                <w:i/>
                <w:noProof/>
                <w:color w:val="000000"/>
                <w:sz w:val="18"/>
              </w:rPr>
            </w:pPr>
            <w:r>
              <w:rPr>
                <w:rFonts w:ascii="Verdana" w:hAnsi="Verdana"/>
                <w:i/>
                <w:noProof/>
                <w:color w:val="000000"/>
                <w:sz w:val="18"/>
              </w:rPr>
              <w:t>177 459</w:t>
            </w:r>
          </w:p>
        </w:tc>
      </w:tr>
      <w:tr>
        <w:trPr>
          <w:trHeight w:hRule="exact" w:val="255"/>
        </w:trPr>
        <w:tc>
          <w:tcPr>
            <w:tcW w:w="5043" w:type="dxa"/>
            <w:tcBorders>
              <w:top w:val="nil"/>
              <w:left w:val="nil"/>
              <w:bottom w:val="nil"/>
              <w:right w:val="nil"/>
              <w:tl2br w:val="nil"/>
              <w:tr2bl w:val="nil"/>
            </w:tcBorders>
            <w:tcMar>
              <w:left w:w="60" w:type="dxa"/>
              <w:right w:w="60" w:type="dxa"/>
            </w:tcMar>
            <w:vAlign w:val="center"/>
          </w:tcPr>
          <w:p>
            <w:pPr>
              <w:pStyle w:val="DMETW36763BIPLEGCOM"/>
              <w:rPr>
                <w:rFonts w:ascii="Verdana" w:eastAsia="Verdana" w:hAnsi="Verdana" w:cs="Verdana"/>
                <w:i/>
                <w:noProof/>
                <w:color w:val="000000"/>
                <w:sz w:val="18"/>
              </w:rPr>
            </w:pPr>
            <w:r>
              <w:rPr>
                <w:rFonts w:ascii="Verdana" w:hAnsi="Verdana"/>
                <w:i/>
                <w:noProof/>
                <w:color w:val="000000"/>
                <w:sz w:val="18"/>
              </w:rPr>
              <w:t>Ressources naturelles et environnement</w:t>
            </w:r>
          </w:p>
        </w:tc>
        <w:tc>
          <w:tcPr>
            <w:tcW w:w="2357" w:type="dxa"/>
            <w:tcBorders>
              <w:top w:val="nil"/>
              <w:left w:val="nil"/>
              <w:bottom w:val="nil"/>
              <w:right w:val="nil"/>
              <w:tl2br w:val="nil"/>
              <w:tr2bl w:val="nil"/>
            </w:tcBorders>
            <w:tcMar>
              <w:left w:w="60" w:type="dxa"/>
              <w:right w:w="60" w:type="dxa"/>
            </w:tcMar>
            <w:vAlign w:val="center"/>
          </w:tcPr>
          <w:p>
            <w:pPr>
              <w:pStyle w:val="DMETW36763BIPLEGCOM"/>
              <w:jc w:val="right"/>
              <w:rPr>
                <w:rFonts w:ascii="Verdana" w:eastAsia="Verdana" w:hAnsi="Verdana" w:cs="Verdana"/>
                <w:i/>
                <w:noProof/>
                <w:color w:val="000000"/>
                <w:sz w:val="18"/>
              </w:rPr>
            </w:pPr>
            <w:r>
              <w:rPr>
                <w:rFonts w:ascii="Verdana" w:hAnsi="Verdana"/>
                <w:i/>
                <w:noProof/>
                <w:color w:val="000000"/>
                <w:sz w:val="18"/>
              </w:rPr>
              <w:t>30 946</w:t>
            </w:r>
          </w:p>
        </w:tc>
        <w:tc>
          <w:tcPr>
            <w:tcW w:w="2358" w:type="dxa"/>
            <w:tcBorders>
              <w:top w:val="nil"/>
              <w:left w:val="nil"/>
              <w:bottom w:val="nil"/>
              <w:right w:val="nil"/>
              <w:tl2br w:val="nil"/>
              <w:tr2bl w:val="nil"/>
            </w:tcBorders>
            <w:tcMar>
              <w:left w:w="60" w:type="dxa"/>
              <w:right w:w="60" w:type="dxa"/>
            </w:tcMar>
            <w:vAlign w:val="center"/>
          </w:tcPr>
          <w:p>
            <w:pPr>
              <w:pStyle w:val="DMETW36763BIPLEGCOM"/>
              <w:jc w:val="right"/>
              <w:rPr>
                <w:rFonts w:ascii="Verdana" w:eastAsia="Verdana" w:hAnsi="Verdana" w:cs="Verdana"/>
                <w:i/>
                <w:noProof/>
                <w:color w:val="000000"/>
                <w:sz w:val="18"/>
              </w:rPr>
            </w:pPr>
            <w:r>
              <w:rPr>
                <w:rFonts w:ascii="Verdana" w:hAnsi="Verdana"/>
                <w:i/>
                <w:noProof/>
                <w:color w:val="000000"/>
                <w:sz w:val="18"/>
              </w:rPr>
              <w:t>46 659</w:t>
            </w:r>
          </w:p>
        </w:tc>
      </w:tr>
      <w:tr>
        <w:trPr>
          <w:trHeight w:hRule="exact" w:val="255"/>
        </w:trPr>
        <w:tc>
          <w:tcPr>
            <w:tcW w:w="5043" w:type="dxa"/>
            <w:tcBorders>
              <w:top w:val="nil"/>
              <w:left w:val="nil"/>
              <w:bottom w:val="nil"/>
              <w:right w:val="nil"/>
              <w:tl2br w:val="nil"/>
              <w:tr2bl w:val="nil"/>
            </w:tcBorders>
            <w:tcMar>
              <w:left w:w="60" w:type="dxa"/>
              <w:right w:w="60" w:type="dxa"/>
            </w:tcMar>
            <w:vAlign w:val="center"/>
          </w:tcPr>
          <w:p>
            <w:pPr>
              <w:pStyle w:val="DMETW36763BIPLEGCOM"/>
              <w:rPr>
                <w:rFonts w:ascii="Verdana" w:eastAsia="Verdana" w:hAnsi="Verdana" w:cs="Verdana"/>
                <w:i/>
                <w:noProof/>
                <w:color w:val="000000"/>
                <w:sz w:val="18"/>
              </w:rPr>
            </w:pPr>
            <w:r>
              <w:rPr>
                <w:rFonts w:ascii="Verdana" w:hAnsi="Verdana"/>
                <w:i/>
                <w:noProof/>
                <w:color w:val="000000"/>
                <w:sz w:val="18"/>
              </w:rPr>
              <w:t>Migration et gestion des frontières</w:t>
            </w:r>
          </w:p>
        </w:tc>
        <w:tc>
          <w:tcPr>
            <w:tcW w:w="2357" w:type="dxa"/>
            <w:tcBorders>
              <w:top w:val="nil"/>
              <w:left w:val="nil"/>
              <w:bottom w:val="nil"/>
              <w:right w:val="nil"/>
              <w:tl2br w:val="nil"/>
              <w:tr2bl w:val="nil"/>
            </w:tcBorders>
            <w:tcMar>
              <w:left w:w="60" w:type="dxa"/>
              <w:right w:w="60" w:type="dxa"/>
            </w:tcMar>
            <w:vAlign w:val="center"/>
          </w:tcPr>
          <w:p>
            <w:pPr>
              <w:pStyle w:val="DMETW36763BIPLEGCOM"/>
              <w:jc w:val="right"/>
              <w:rPr>
                <w:rFonts w:ascii="Verdana" w:eastAsia="Verdana" w:hAnsi="Verdana" w:cs="Verdana"/>
                <w:i/>
                <w:noProof/>
                <w:color w:val="000000"/>
                <w:sz w:val="18"/>
              </w:rPr>
            </w:pPr>
            <w:r>
              <w:rPr>
                <w:rFonts w:ascii="Verdana" w:hAnsi="Verdana"/>
                <w:i/>
                <w:noProof/>
                <w:color w:val="000000"/>
                <w:sz w:val="18"/>
              </w:rPr>
              <w:t>4 657</w:t>
            </w:r>
          </w:p>
        </w:tc>
        <w:tc>
          <w:tcPr>
            <w:tcW w:w="2358" w:type="dxa"/>
            <w:tcBorders>
              <w:top w:val="nil"/>
              <w:left w:val="nil"/>
              <w:bottom w:val="nil"/>
              <w:right w:val="nil"/>
              <w:tl2br w:val="nil"/>
              <w:tr2bl w:val="nil"/>
            </w:tcBorders>
            <w:tcMar>
              <w:left w:w="60" w:type="dxa"/>
              <w:right w:w="60" w:type="dxa"/>
            </w:tcMar>
            <w:vAlign w:val="center"/>
          </w:tcPr>
          <w:p>
            <w:pPr>
              <w:pStyle w:val="DMETW36763BIPLEGCOM"/>
              <w:jc w:val="right"/>
              <w:rPr>
                <w:rFonts w:ascii="Verdana" w:eastAsia="Verdana" w:hAnsi="Verdana" w:cs="Verdana"/>
                <w:i/>
                <w:noProof/>
                <w:color w:val="000000"/>
                <w:sz w:val="18"/>
              </w:rPr>
            </w:pPr>
            <w:r>
              <w:rPr>
                <w:rFonts w:ascii="Verdana" w:hAnsi="Verdana"/>
                <w:i/>
                <w:noProof/>
                <w:color w:val="000000"/>
                <w:sz w:val="18"/>
              </w:rPr>
              <w:t>4 153</w:t>
            </w:r>
          </w:p>
        </w:tc>
      </w:tr>
      <w:tr>
        <w:trPr>
          <w:trHeight w:hRule="exact" w:val="255"/>
        </w:trPr>
        <w:tc>
          <w:tcPr>
            <w:tcW w:w="5043" w:type="dxa"/>
            <w:tcBorders>
              <w:top w:val="nil"/>
              <w:left w:val="nil"/>
              <w:bottom w:val="nil"/>
              <w:right w:val="nil"/>
              <w:tl2br w:val="nil"/>
              <w:tr2bl w:val="nil"/>
            </w:tcBorders>
            <w:tcMar>
              <w:left w:w="60" w:type="dxa"/>
              <w:right w:w="60" w:type="dxa"/>
            </w:tcMar>
            <w:vAlign w:val="center"/>
          </w:tcPr>
          <w:p>
            <w:pPr>
              <w:pStyle w:val="DMETW36763BIPLEGCOM"/>
              <w:rPr>
                <w:rFonts w:ascii="Verdana" w:eastAsia="Verdana" w:hAnsi="Verdana" w:cs="Verdana"/>
                <w:i/>
                <w:noProof/>
                <w:color w:val="000000"/>
                <w:sz w:val="18"/>
              </w:rPr>
            </w:pPr>
            <w:r>
              <w:rPr>
                <w:rFonts w:ascii="Verdana" w:hAnsi="Verdana"/>
                <w:i/>
                <w:noProof/>
                <w:color w:val="000000"/>
                <w:sz w:val="18"/>
              </w:rPr>
              <w:t>Sécurité et défense</w:t>
            </w:r>
          </w:p>
        </w:tc>
        <w:tc>
          <w:tcPr>
            <w:tcW w:w="2357" w:type="dxa"/>
            <w:tcBorders>
              <w:top w:val="nil"/>
              <w:left w:val="nil"/>
              <w:bottom w:val="nil"/>
              <w:right w:val="nil"/>
              <w:tl2br w:val="nil"/>
              <w:tr2bl w:val="nil"/>
            </w:tcBorders>
            <w:tcMar>
              <w:left w:w="60" w:type="dxa"/>
              <w:right w:w="60" w:type="dxa"/>
            </w:tcMar>
            <w:vAlign w:val="center"/>
          </w:tcPr>
          <w:p>
            <w:pPr>
              <w:pStyle w:val="DMETW36763BIPLEGCOM"/>
              <w:jc w:val="right"/>
              <w:rPr>
                <w:rFonts w:ascii="Verdana" w:eastAsia="Verdana" w:hAnsi="Verdana" w:cs="Verdana"/>
                <w:i/>
                <w:noProof/>
                <w:color w:val="000000"/>
                <w:sz w:val="18"/>
              </w:rPr>
            </w:pPr>
            <w:r>
              <w:rPr>
                <w:rFonts w:ascii="Verdana" w:hAnsi="Verdana"/>
                <w:i/>
                <w:noProof/>
                <w:color w:val="000000"/>
                <w:sz w:val="18"/>
              </w:rPr>
              <w:t xml:space="preserve"> 377</w:t>
            </w:r>
          </w:p>
        </w:tc>
        <w:tc>
          <w:tcPr>
            <w:tcW w:w="2358" w:type="dxa"/>
            <w:tcBorders>
              <w:top w:val="nil"/>
              <w:left w:val="nil"/>
              <w:bottom w:val="nil"/>
              <w:right w:val="nil"/>
              <w:tl2br w:val="nil"/>
              <w:tr2bl w:val="nil"/>
            </w:tcBorders>
            <w:tcMar>
              <w:left w:w="60" w:type="dxa"/>
              <w:right w:w="60" w:type="dxa"/>
            </w:tcMar>
            <w:vAlign w:val="center"/>
          </w:tcPr>
          <w:p>
            <w:pPr>
              <w:pStyle w:val="DMETW36763BIPLEGCOM"/>
              <w:jc w:val="right"/>
              <w:rPr>
                <w:rFonts w:ascii="Verdana" w:eastAsia="Verdana" w:hAnsi="Verdana" w:cs="Verdana"/>
                <w:i/>
                <w:noProof/>
                <w:color w:val="000000"/>
                <w:sz w:val="18"/>
              </w:rPr>
            </w:pPr>
            <w:r>
              <w:rPr>
                <w:rFonts w:ascii="Verdana" w:hAnsi="Verdana"/>
                <w:i/>
                <w:noProof/>
                <w:color w:val="000000"/>
                <w:sz w:val="18"/>
              </w:rPr>
              <w:t xml:space="preserve"> 520</w:t>
            </w:r>
          </w:p>
        </w:tc>
      </w:tr>
      <w:tr>
        <w:trPr>
          <w:trHeight w:hRule="exact" w:val="255"/>
        </w:trPr>
        <w:tc>
          <w:tcPr>
            <w:tcW w:w="5043" w:type="dxa"/>
            <w:tcBorders>
              <w:top w:val="nil"/>
              <w:left w:val="nil"/>
              <w:bottom w:val="nil"/>
              <w:right w:val="nil"/>
              <w:tl2br w:val="nil"/>
              <w:tr2bl w:val="nil"/>
            </w:tcBorders>
            <w:tcMar>
              <w:left w:w="60" w:type="dxa"/>
              <w:right w:w="60" w:type="dxa"/>
            </w:tcMar>
            <w:vAlign w:val="center"/>
          </w:tcPr>
          <w:p>
            <w:pPr>
              <w:pStyle w:val="DMETW36763BIPLEGCOM"/>
              <w:rPr>
                <w:rFonts w:ascii="Verdana" w:eastAsia="Verdana" w:hAnsi="Verdana" w:cs="Verdana"/>
                <w:i/>
                <w:noProof/>
                <w:color w:val="000000"/>
                <w:sz w:val="18"/>
              </w:rPr>
            </w:pPr>
            <w:r>
              <w:rPr>
                <w:rFonts w:ascii="Verdana" w:hAnsi="Verdana"/>
                <w:i/>
                <w:noProof/>
                <w:color w:val="000000"/>
                <w:sz w:val="18"/>
              </w:rPr>
              <w:t>ITER</w:t>
            </w:r>
          </w:p>
        </w:tc>
        <w:tc>
          <w:tcPr>
            <w:tcW w:w="2357" w:type="dxa"/>
            <w:tcBorders>
              <w:top w:val="nil"/>
              <w:left w:val="nil"/>
              <w:bottom w:val="nil"/>
              <w:right w:val="nil"/>
              <w:tl2br w:val="nil"/>
              <w:tr2bl w:val="nil"/>
            </w:tcBorders>
            <w:tcMar>
              <w:left w:w="60" w:type="dxa"/>
              <w:right w:w="60" w:type="dxa"/>
            </w:tcMar>
            <w:vAlign w:val="center"/>
          </w:tcPr>
          <w:p>
            <w:pPr>
              <w:pStyle w:val="DMETW36763BIPLEGCOM"/>
              <w:jc w:val="right"/>
              <w:rPr>
                <w:rFonts w:ascii="Verdana" w:eastAsia="Verdana" w:hAnsi="Verdana" w:cs="Verdana"/>
                <w:i/>
                <w:noProof/>
                <w:color w:val="000000"/>
                <w:sz w:val="18"/>
              </w:rPr>
            </w:pPr>
            <w:r>
              <w:rPr>
                <w:rFonts w:ascii="Verdana" w:hAnsi="Verdana"/>
                <w:i/>
                <w:noProof/>
                <w:color w:val="000000"/>
                <w:sz w:val="18"/>
              </w:rPr>
              <w:t>10 291</w:t>
            </w:r>
          </w:p>
        </w:tc>
        <w:tc>
          <w:tcPr>
            <w:tcW w:w="2358" w:type="dxa"/>
            <w:tcBorders>
              <w:top w:val="nil"/>
              <w:left w:val="nil"/>
              <w:bottom w:val="nil"/>
              <w:right w:val="nil"/>
              <w:tl2br w:val="nil"/>
              <w:tr2bl w:val="nil"/>
            </w:tcBorders>
            <w:tcMar>
              <w:left w:w="60" w:type="dxa"/>
              <w:right w:w="60" w:type="dxa"/>
            </w:tcMar>
            <w:vAlign w:val="center"/>
          </w:tcPr>
          <w:p>
            <w:pPr>
              <w:pStyle w:val="DMETW36763BIPLEGCOM"/>
              <w:jc w:val="right"/>
              <w:rPr>
                <w:rFonts w:ascii="Verdana" w:eastAsia="Verdana" w:hAnsi="Verdana" w:cs="Verdana"/>
                <w:i/>
                <w:noProof/>
                <w:color w:val="000000"/>
                <w:sz w:val="18"/>
              </w:rPr>
            </w:pPr>
            <w:r>
              <w:rPr>
                <w:rFonts w:ascii="Verdana" w:hAnsi="Verdana"/>
                <w:i/>
                <w:noProof/>
                <w:color w:val="000000"/>
                <w:sz w:val="18"/>
              </w:rPr>
              <w:t>9 898</w:t>
            </w:r>
          </w:p>
        </w:tc>
      </w:tr>
      <w:tr>
        <w:trPr>
          <w:trHeight w:hRule="exact" w:val="255"/>
        </w:trPr>
        <w:tc>
          <w:tcPr>
            <w:tcW w:w="5043" w:type="dxa"/>
            <w:tcBorders>
              <w:top w:val="nil"/>
              <w:left w:val="nil"/>
              <w:bottom w:val="nil"/>
              <w:right w:val="nil"/>
              <w:tl2br w:val="nil"/>
              <w:tr2bl w:val="nil"/>
            </w:tcBorders>
            <w:tcMar>
              <w:left w:w="60" w:type="dxa"/>
              <w:right w:w="60" w:type="dxa"/>
            </w:tcMar>
            <w:vAlign w:val="center"/>
          </w:tcPr>
          <w:p>
            <w:pPr>
              <w:pStyle w:val="DMETW36763BIPLEGCOM"/>
              <w:rPr>
                <w:rFonts w:ascii="Verdana" w:eastAsia="Verdana" w:hAnsi="Verdana" w:cs="Verdana"/>
                <w:i/>
                <w:noProof/>
                <w:color w:val="000000"/>
                <w:sz w:val="18"/>
              </w:rPr>
            </w:pPr>
            <w:r>
              <w:rPr>
                <w:rFonts w:ascii="Verdana" w:hAnsi="Verdana"/>
                <w:i/>
                <w:noProof/>
                <w:color w:val="000000"/>
                <w:sz w:val="18"/>
              </w:rPr>
              <w:t>Mécanisme pour l’interconnexion en Europe</w:t>
            </w:r>
          </w:p>
        </w:tc>
        <w:tc>
          <w:tcPr>
            <w:tcW w:w="2357" w:type="dxa"/>
            <w:tcBorders>
              <w:top w:val="nil"/>
              <w:left w:val="nil"/>
              <w:bottom w:val="nil"/>
              <w:right w:val="nil"/>
              <w:tl2br w:val="nil"/>
              <w:tr2bl w:val="nil"/>
            </w:tcBorders>
            <w:tcMar>
              <w:left w:w="60" w:type="dxa"/>
              <w:right w:w="60" w:type="dxa"/>
            </w:tcMar>
            <w:vAlign w:val="center"/>
          </w:tcPr>
          <w:p>
            <w:pPr>
              <w:pStyle w:val="DMETW36763BIPLEGCOM"/>
              <w:jc w:val="right"/>
              <w:rPr>
                <w:rFonts w:ascii="Verdana" w:eastAsia="Verdana" w:hAnsi="Verdana" w:cs="Verdana"/>
                <w:i/>
                <w:noProof/>
                <w:color w:val="000000"/>
                <w:sz w:val="18"/>
              </w:rPr>
            </w:pPr>
            <w:r>
              <w:rPr>
                <w:rFonts w:ascii="Verdana" w:hAnsi="Verdana"/>
                <w:i/>
                <w:noProof/>
                <w:color w:val="000000"/>
                <w:sz w:val="18"/>
              </w:rPr>
              <w:t>9 043</w:t>
            </w:r>
          </w:p>
        </w:tc>
        <w:tc>
          <w:tcPr>
            <w:tcW w:w="2358" w:type="dxa"/>
            <w:tcBorders>
              <w:top w:val="nil"/>
              <w:left w:val="nil"/>
              <w:bottom w:val="nil"/>
              <w:right w:val="nil"/>
              <w:tl2br w:val="nil"/>
              <w:tr2bl w:val="nil"/>
            </w:tcBorders>
            <w:tcMar>
              <w:left w:w="60" w:type="dxa"/>
              <w:right w:w="60" w:type="dxa"/>
            </w:tcMar>
            <w:vAlign w:val="center"/>
          </w:tcPr>
          <w:p>
            <w:pPr>
              <w:pStyle w:val="DMETW36763BIPLEGCOM"/>
              <w:jc w:val="right"/>
              <w:rPr>
                <w:rFonts w:ascii="Verdana" w:eastAsia="Verdana" w:hAnsi="Verdana" w:cs="Verdana"/>
                <w:i/>
                <w:noProof/>
                <w:color w:val="000000"/>
                <w:sz w:val="18"/>
              </w:rPr>
            </w:pPr>
            <w:r>
              <w:rPr>
                <w:rFonts w:ascii="Verdana" w:hAnsi="Verdana"/>
                <w:i/>
                <w:noProof/>
                <w:color w:val="000000"/>
                <w:sz w:val="18"/>
              </w:rPr>
              <w:t>7 313</w:t>
            </w:r>
          </w:p>
        </w:tc>
      </w:tr>
      <w:tr>
        <w:trPr>
          <w:trHeight w:hRule="exact" w:val="255"/>
        </w:trPr>
        <w:tc>
          <w:tcPr>
            <w:tcW w:w="5043" w:type="dxa"/>
            <w:tcBorders>
              <w:top w:val="nil"/>
              <w:left w:val="nil"/>
              <w:bottom w:val="nil"/>
              <w:right w:val="nil"/>
              <w:tl2br w:val="nil"/>
              <w:tr2bl w:val="nil"/>
            </w:tcBorders>
            <w:tcMar>
              <w:left w:w="60" w:type="dxa"/>
              <w:right w:w="60" w:type="dxa"/>
            </w:tcMar>
            <w:vAlign w:val="center"/>
          </w:tcPr>
          <w:p>
            <w:pPr>
              <w:pStyle w:val="DMETW36763BIPLEGCOM"/>
              <w:rPr>
                <w:rFonts w:ascii="Verdana" w:eastAsia="Verdana" w:hAnsi="Verdana" w:cs="Verdana"/>
                <w:i/>
                <w:noProof/>
                <w:color w:val="000000"/>
                <w:sz w:val="18"/>
              </w:rPr>
            </w:pPr>
            <w:r>
              <w:rPr>
                <w:rFonts w:ascii="Verdana" w:hAnsi="Verdana"/>
                <w:i/>
                <w:noProof/>
                <w:color w:val="000000"/>
                <w:sz w:val="18"/>
              </w:rPr>
              <w:t>Fonds pour l’innovation</w:t>
            </w:r>
          </w:p>
        </w:tc>
        <w:tc>
          <w:tcPr>
            <w:tcW w:w="2357" w:type="dxa"/>
            <w:tcBorders>
              <w:top w:val="nil"/>
              <w:left w:val="nil"/>
              <w:bottom w:val="nil"/>
              <w:right w:val="nil"/>
              <w:tl2br w:val="nil"/>
              <w:tr2bl w:val="nil"/>
            </w:tcBorders>
            <w:tcMar>
              <w:left w:w="60" w:type="dxa"/>
              <w:right w:w="60" w:type="dxa"/>
            </w:tcMar>
            <w:vAlign w:val="center"/>
          </w:tcPr>
          <w:p>
            <w:pPr>
              <w:pStyle w:val="DMETW36763BIPLEGCOM"/>
              <w:jc w:val="right"/>
              <w:rPr>
                <w:rFonts w:ascii="Verdana" w:eastAsia="Verdana" w:hAnsi="Verdana" w:cs="Verdana"/>
                <w:i/>
                <w:noProof/>
                <w:color w:val="000000"/>
                <w:sz w:val="18"/>
              </w:rPr>
            </w:pPr>
            <w:r>
              <w:rPr>
                <w:rFonts w:ascii="Verdana" w:hAnsi="Verdana"/>
                <w:i/>
                <w:noProof/>
                <w:color w:val="000000"/>
                <w:sz w:val="18"/>
              </w:rPr>
              <w:t>4 779</w:t>
            </w:r>
          </w:p>
        </w:tc>
        <w:tc>
          <w:tcPr>
            <w:tcW w:w="2358" w:type="dxa"/>
            <w:tcBorders>
              <w:top w:val="nil"/>
              <w:left w:val="nil"/>
              <w:bottom w:val="nil"/>
              <w:right w:val="nil"/>
              <w:tl2br w:val="nil"/>
              <w:tr2bl w:val="nil"/>
            </w:tcBorders>
            <w:tcMar>
              <w:left w:w="60" w:type="dxa"/>
              <w:right w:w="60" w:type="dxa"/>
            </w:tcMar>
            <w:vAlign w:val="center"/>
          </w:tcPr>
          <w:p>
            <w:pPr>
              <w:pStyle w:val="DMETW36763BIPLEGCOM"/>
              <w:jc w:val="right"/>
              <w:rPr>
                <w:rFonts w:ascii="Verdana" w:eastAsia="Verdana" w:hAnsi="Verdana" w:cs="Verdana"/>
                <w:i/>
                <w:noProof/>
                <w:color w:val="000000"/>
                <w:sz w:val="18"/>
              </w:rPr>
            </w:pPr>
            <w:r>
              <w:rPr>
                <w:rFonts w:ascii="Verdana" w:hAnsi="Verdana"/>
                <w:i/>
                <w:noProof/>
                <w:color w:val="000000"/>
                <w:sz w:val="18"/>
              </w:rPr>
              <w:t xml:space="preserve"> 521</w:t>
            </w:r>
          </w:p>
        </w:tc>
      </w:tr>
      <w:tr>
        <w:trPr>
          <w:trHeight w:hRule="exact" w:val="255"/>
        </w:trPr>
        <w:tc>
          <w:tcPr>
            <w:tcW w:w="5043" w:type="dxa"/>
            <w:tcBorders>
              <w:top w:val="nil"/>
              <w:left w:val="nil"/>
              <w:bottom w:val="nil"/>
              <w:right w:val="nil"/>
              <w:tl2br w:val="nil"/>
              <w:tr2bl w:val="nil"/>
            </w:tcBorders>
            <w:tcMar>
              <w:left w:w="60" w:type="dxa"/>
              <w:right w:w="60" w:type="dxa"/>
            </w:tcMar>
            <w:vAlign w:val="center"/>
          </w:tcPr>
          <w:p>
            <w:pPr>
              <w:pStyle w:val="DMETW36763BIPLEGCOM"/>
              <w:rPr>
                <w:rFonts w:ascii="Verdana" w:eastAsia="Verdana" w:hAnsi="Verdana" w:cs="Verdana"/>
                <w:i/>
                <w:noProof/>
                <w:color w:val="000000"/>
                <w:sz w:val="18"/>
              </w:rPr>
            </w:pPr>
            <w:r>
              <w:rPr>
                <w:rFonts w:ascii="Verdana" w:hAnsi="Verdana"/>
                <w:i/>
                <w:noProof/>
                <w:color w:val="000000"/>
                <w:sz w:val="18"/>
              </w:rPr>
              <w:t>Programmes spatiaux</w:t>
            </w:r>
          </w:p>
        </w:tc>
        <w:tc>
          <w:tcPr>
            <w:tcW w:w="2357" w:type="dxa"/>
            <w:tcBorders>
              <w:top w:val="nil"/>
              <w:left w:val="nil"/>
              <w:bottom w:val="nil"/>
              <w:right w:val="nil"/>
              <w:tl2br w:val="nil"/>
              <w:tr2bl w:val="nil"/>
            </w:tcBorders>
            <w:tcMar>
              <w:left w:w="60" w:type="dxa"/>
              <w:right w:w="60" w:type="dxa"/>
            </w:tcMar>
            <w:vAlign w:val="center"/>
          </w:tcPr>
          <w:p>
            <w:pPr>
              <w:pStyle w:val="DMETW36763BIPLEGCOM"/>
              <w:jc w:val="right"/>
              <w:rPr>
                <w:rFonts w:ascii="Verdana" w:eastAsia="Verdana" w:hAnsi="Verdana" w:cs="Verdana"/>
                <w:i/>
                <w:noProof/>
                <w:color w:val="000000"/>
                <w:sz w:val="18"/>
              </w:rPr>
            </w:pPr>
            <w:r>
              <w:rPr>
                <w:rFonts w:ascii="Verdana" w:hAnsi="Verdana"/>
                <w:i/>
                <w:noProof/>
                <w:color w:val="000000"/>
                <w:sz w:val="18"/>
              </w:rPr>
              <w:t>1 838</w:t>
            </w:r>
          </w:p>
        </w:tc>
        <w:tc>
          <w:tcPr>
            <w:tcW w:w="2358" w:type="dxa"/>
            <w:tcBorders>
              <w:top w:val="nil"/>
              <w:left w:val="nil"/>
              <w:bottom w:val="nil"/>
              <w:right w:val="nil"/>
              <w:tl2br w:val="nil"/>
              <w:tr2bl w:val="nil"/>
            </w:tcBorders>
            <w:tcMar>
              <w:left w:w="60" w:type="dxa"/>
              <w:right w:w="60" w:type="dxa"/>
            </w:tcMar>
            <w:vAlign w:val="center"/>
          </w:tcPr>
          <w:p>
            <w:pPr>
              <w:pStyle w:val="DMETW36763BIPLEGCOM"/>
              <w:jc w:val="right"/>
              <w:rPr>
                <w:rFonts w:ascii="Verdana" w:eastAsia="Verdana" w:hAnsi="Verdana" w:cs="Verdana"/>
                <w:i/>
                <w:noProof/>
                <w:color w:val="000000"/>
                <w:sz w:val="18"/>
              </w:rPr>
            </w:pPr>
            <w:r>
              <w:rPr>
                <w:rFonts w:ascii="Verdana" w:hAnsi="Verdana"/>
                <w:i/>
                <w:noProof/>
                <w:color w:val="000000"/>
                <w:sz w:val="18"/>
              </w:rPr>
              <w:t>2 672</w:t>
            </w:r>
          </w:p>
        </w:tc>
      </w:tr>
      <w:tr>
        <w:trPr>
          <w:trHeight w:hRule="exact" w:val="255"/>
        </w:trPr>
        <w:tc>
          <w:tcPr>
            <w:tcW w:w="5043" w:type="dxa"/>
            <w:tcBorders>
              <w:top w:val="nil"/>
              <w:left w:val="nil"/>
              <w:bottom w:val="nil"/>
              <w:right w:val="nil"/>
              <w:tl2br w:val="nil"/>
              <w:tr2bl w:val="nil"/>
            </w:tcBorders>
            <w:tcMar>
              <w:left w:w="60" w:type="dxa"/>
              <w:right w:w="60" w:type="dxa"/>
            </w:tcMar>
            <w:vAlign w:val="center"/>
          </w:tcPr>
          <w:p>
            <w:pPr>
              <w:pStyle w:val="DMETW36763BIPLEGCOM"/>
              <w:rPr>
                <w:rFonts w:ascii="Verdana" w:eastAsia="Verdana" w:hAnsi="Verdana" w:cs="Verdana"/>
                <w:i/>
                <w:noProof/>
                <w:color w:val="000000"/>
                <w:sz w:val="18"/>
              </w:rPr>
            </w:pPr>
            <w:r>
              <w:rPr>
                <w:rFonts w:ascii="Verdana" w:hAnsi="Verdana"/>
                <w:i/>
                <w:noProof/>
                <w:color w:val="000000"/>
                <w:sz w:val="18"/>
              </w:rPr>
              <w:t>Facilité pour l’Ukraine</w:t>
            </w:r>
          </w:p>
        </w:tc>
        <w:tc>
          <w:tcPr>
            <w:tcW w:w="2357" w:type="dxa"/>
            <w:tcBorders>
              <w:top w:val="nil"/>
              <w:left w:val="nil"/>
              <w:bottom w:val="nil"/>
              <w:right w:val="nil"/>
              <w:tl2br w:val="nil"/>
              <w:tr2bl w:val="nil"/>
            </w:tcBorders>
            <w:tcMar>
              <w:left w:w="60" w:type="dxa"/>
              <w:right w:w="60" w:type="dxa"/>
            </w:tcMar>
            <w:vAlign w:val="center"/>
          </w:tcPr>
          <w:p>
            <w:pPr>
              <w:pStyle w:val="DMETW36763BIPLEGCOM"/>
              <w:jc w:val="right"/>
              <w:rPr>
                <w:rFonts w:ascii="Verdana" w:eastAsia="Verdana" w:hAnsi="Verdana" w:cs="Verdana"/>
                <w:i/>
                <w:noProof/>
                <w:color w:val="000000"/>
                <w:sz w:val="18"/>
              </w:rPr>
            </w:pPr>
            <w:r>
              <w:rPr>
                <w:rFonts w:ascii="Verdana" w:hAnsi="Verdana"/>
                <w:i/>
                <w:noProof/>
                <w:color w:val="000000"/>
                <w:sz w:val="18"/>
              </w:rPr>
              <w:t xml:space="preserve"> 837</w:t>
            </w:r>
          </w:p>
        </w:tc>
        <w:tc>
          <w:tcPr>
            <w:tcW w:w="2358" w:type="dxa"/>
            <w:tcBorders>
              <w:top w:val="nil"/>
              <w:left w:val="nil"/>
              <w:bottom w:val="nil"/>
              <w:right w:val="nil"/>
              <w:tl2br w:val="nil"/>
              <w:tr2bl w:val="nil"/>
            </w:tcBorders>
            <w:tcMar>
              <w:left w:w="60" w:type="dxa"/>
              <w:right w:w="60" w:type="dxa"/>
            </w:tcMar>
            <w:vAlign w:val="center"/>
          </w:tcPr>
          <w:p>
            <w:pPr>
              <w:pStyle w:val="DMETW36763BIPLEGCOM"/>
              <w:jc w:val="right"/>
              <w:rPr>
                <w:rFonts w:ascii="Verdana" w:eastAsia="Verdana" w:hAnsi="Verdana" w:cs="Verdana"/>
                <w:i/>
                <w:noProof/>
                <w:color w:val="000000"/>
                <w:sz w:val="18"/>
              </w:rPr>
            </w:pPr>
            <w:r>
              <w:rPr>
                <w:rFonts w:ascii="Verdana" w:hAnsi="Verdana"/>
                <w:i/>
                <w:noProof/>
                <w:color w:val="000000"/>
                <w:sz w:val="18"/>
              </w:rPr>
              <w:t>2 270</w:t>
            </w:r>
          </w:p>
        </w:tc>
      </w:tr>
      <w:tr>
        <w:trPr>
          <w:trHeight w:hRule="exact" w:val="255"/>
        </w:trPr>
        <w:tc>
          <w:tcPr>
            <w:tcW w:w="5043" w:type="dxa"/>
            <w:tcBorders>
              <w:top w:val="nil"/>
              <w:left w:val="nil"/>
              <w:bottom w:val="nil"/>
              <w:right w:val="nil"/>
              <w:tl2br w:val="nil"/>
              <w:tr2bl w:val="nil"/>
            </w:tcBorders>
            <w:tcMar>
              <w:left w:w="60" w:type="dxa"/>
              <w:right w:w="60" w:type="dxa"/>
            </w:tcMar>
            <w:vAlign w:val="center"/>
          </w:tcPr>
          <w:p>
            <w:pPr>
              <w:pStyle w:val="DMETW36763BIPLEGCOM"/>
              <w:rPr>
                <w:rFonts w:ascii="Verdana" w:eastAsia="Verdana" w:hAnsi="Verdana" w:cs="Verdana"/>
                <w:i/>
                <w:noProof/>
                <w:color w:val="000000"/>
                <w:sz w:val="18"/>
              </w:rPr>
            </w:pPr>
            <w:r>
              <w:rPr>
                <w:rFonts w:ascii="Verdana" w:hAnsi="Verdana"/>
                <w:i/>
                <w:noProof/>
                <w:color w:val="000000"/>
                <w:sz w:val="18"/>
              </w:rPr>
              <w:t>Horizon Europe</w:t>
            </w:r>
          </w:p>
        </w:tc>
        <w:tc>
          <w:tcPr>
            <w:tcW w:w="2357" w:type="dxa"/>
            <w:tcBorders>
              <w:top w:val="nil"/>
              <w:left w:val="nil"/>
              <w:bottom w:val="nil"/>
              <w:right w:val="nil"/>
              <w:tl2br w:val="nil"/>
              <w:tr2bl w:val="nil"/>
            </w:tcBorders>
            <w:tcMar>
              <w:left w:w="60" w:type="dxa"/>
              <w:right w:w="60" w:type="dxa"/>
            </w:tcMar>
            <w:vAlign w:val="center"/>
          </w:tcPr>
          <w:p>
            <w:pPr>
              <w:pStyle w:val="DMETW36763BIPLEGCOM"/>
              <w:jc w:val="right"/>
              <w:rPr>
                <w:rFonts w:ascii="Verdana" w:eastAsia="Verdana" w:hAnsi="Verdana" w:cs="Verdana"/>
                <w:i/>
                <w:noProof/>
                <w:color w:val="000000"/>
                <w:sz w:val="18"/>
              </w:rPr>
            </w:pPr>
            <w:r>
              <w:rPr>
                <w:rFonts w:ascii="Verdana" w:hAnsi="Verdana"/>
                <w:i/>
                <w:noProof/>
                <w:color w:val="000000"/>
                <w:sz w:val="18"/>
              </w:rPr>
              <w:t xml:space="preserve"> 365</w:t>
            </w:r>
          </w:p>
        </w:tc>
        <w:tc>
          <w:tcPr>
            <w:tcW w:w="2358" w:type="dxa"/>
            <w:tcBorders>
              <w:top w:val="nil"/>
              <w:left w:val="nil"/>
              <w:bottom w:val="nil"/>
              <w:right w:val="nil"/>
              <w:tl2br w:val="nil"/>
              <w:tr2bl w:val="nil"/>
            </w:tcBorders>
            <w:tcMar>
              <w:left w:w="60" w:type="dxa"/>
              <w:right w:w="60" w:type="dxa"/>
            </w:tcMar>
            <w:vAlign w:val="center"/>
          </w:tcPr>
          <w:p>
            <w:pPr>
              <w:pStyle w:val="DMETW36763BIPLEGCOM"/>
              <w:jc w:val="right"/>
              <w:rPr>
                <w:rFonts w:ascii="Verdana" w:eastAsia="Verdana" w:hAnsi="Verdana" w:cs="Verdana"/>
                <w:i/>
                <w:noProof/>
                <w:color w:val="000000"/>
                <w:sz w:val="18"/>
              </w:rPr>
            </w:pPr>
            <w:r>
              <w:rPr>
                <w:rFonts w:ascii="Verdana" w:hAnsi="Verdana"/>
                <w:i/>
                <w:noProof/>
                <w:color w:val="000000"/>
                <w:sz w:val="18"/>
              </w:rPr>
              <w:t xml:space="preserve"> 519</w:t>
            </w:r>
          </w:p>
        </w:tc>
      </w:tr>
      <w:tr>
        <w:trPr>
          <w:trHeight w:hRule="exact" w:val="255"/>
        </w:trPr>
        <w:tc>
          <w:tcPr>
            <w:tcW w:w="5043" w:type="dxa"/>
            <w:tcBorders>
              <w:top w:val="nil"/>
              <w:left w:val="nil"/>
              <w:bottom w:val="nil"/>
              <w:right w:val="nil"/>
              <w:tl2br w:val="nil"/>
              <w:tr2bl w:val="nil"/>
            </w:tcBorders>
            <w:tcMar>
              <w:left w:w="60" w:type="dxa"/>
              <w:right w:w="60" w:type="dxa"/>
            </w:tcMar>
            <w:vAlign w:val="center"/>
          </w:tcPr>
          <w:p>
            <w:pPr>
              <w:pStyle w:val="DMETW36763BIPLEGCOM"/>
              <w:rPr>
                <w:rFonts w:ascii="Verdana" w:eastAsia="Verdana" w:hAnsi="Verdana" w:cs="Verdana"/>
                <w:i/>
                <w:noProof/>
                <w:color w:val="000000"/>
                <w:sz w:val="18"/>
              </w:rPr>
            </w:pPr>
            <w:r>
              <w:rPr>
                <w:rFonts w:ascii="Verdana" w:hAnsi="Verdana"/>
                <w:i/>
                <w:noProof/>
                <w:color w:val="000000"/>
                <w:sz w:val="18"/>
              </w:rPr>
              <w:t>Programme pour une connectivité sécurisée</w:t>
            </w:r>
          </w:p>
        </w:tc>
        <w:tc>
          <w:tcPr>
            <w:tcW w:w="2357" w:type="dxa"/>
            <w:tcBorders>
              <w:top w:val="nil"/>
              <w:left w:val="nil"/>
              <w:bottom w:val="nil"/>
              <w:right w:val="nil"/>
              <w:tl2br w:val="nil"/>
              <w:tr2bl w:val="nil"/>
            </w:tcBorders>
            <w:tcMar>
              <w:left w:w="60" w:type="dxa"/>
              <w:right w:w="60" w:type="dxa"/>
            </w:tcMar>
            <w:vAlign w:val="center"/>
          </w:tcPr>
          <w:p>
            <w:pPr>
              <w:pStyle w:val="DMETW36763BIPLEGCOM"/>
              <w:jc w:val="right"/>
              <w:rPr>
                <w:rFonts w:ascii="Verdana" w:eastAsia="Verdana" w:hAnsi="Verdana" w:cs="Verdana"/>
                <w:i/>
                <w:noProof/>
                <w:color w:val="000000"/>
                <w:sz w:val="18"/>
              </w:rPr>
            </w:pPr>
            <w:r>
              <w:rPr>
                <w:rFonts w:ascii="Verdana" w:hAnsi="Verdana"/>
                <w:i/>
                <w:noProof/>
                <w:color w:val="000000"/>
                <w:sz w:val="18"/>
              </w:rPr>
              <w:t xml:space="preserve"> 253</w:t>
            </w:r>
          </w:p>
        </w:tc>
        <w:tc>
          <w:tcPr>
            <w:tcW w:w="2358" w:type="dxa"/>
            <w:tcBorders>
              <w:top w:val="nil"/>
              <w:left w:val="nil"/>
              <w:bottom w:val="nil"/>
              <w:right w:val="nil"/>
              <w:tl2br w:val="nil"/>
              <w:tr2bl w:val="nil"/>
            </w:tcBorders>
            <w:tcMar>
              <w:left w:w="60" w:type="dxa"/>
              <w:right w:w="60" w:type="dxa"/>
            </w:tcMar>
            <w:vAlign w:val="center"/>
          </w:tcPr>
          <w:p>
            <w:pPr>
              <w:pStyle w:val="DMETW36763BIPLEGCOM"/>
              <w:jc w:val="right"/>
              <w:rPr>
                <w:rFonts w:ascii="Verdana" w:eastAsia="Verdana" w:hAnsi="Verdana" w:cs="Verdana"/>
                <w:i/>
                <w:noProof/>
                <w:color w:val="000000"/>
                <w:sz w:val="18"/>
              </w:rPr>
            </w:pPr>
            <w:r>
              <w:rPr>
                <w:rFonts w:ascii="Verdana" w:hAnsi="Verdana"/>
                <w:i/>
                <w:noProof/>
                <w:color w:val="000000"/>
                <w:sz w:val="18"/>
              </w:rPr>
              <w:t xml:space="preserve"> 631</w:t>
            </w:r>
          </w:p>
        </w:tc>
      </w:tr>
      <w:tr>
        <w:trPr>
          <w:trHeight w:hRule="exact" w:val="255"/>
        </w:trPr>
        <w:tc>
          <w:tcPr>
            <w:tcW w:w="5043" w:type="dxa"/>
            <w:tcBorders>
              <w:top w:val="nil"/>
              <w:left w:val="nil"/>
              <w:bottom w:val="nil"/>
              <w:right w:val="nil"/>
              <w:tl2br w:val="nil"/>
              <w:tr2bl w:val="nil"/>
            </w:tcBorders>
            <w:tcMar>
              <w:left w:w="60" w:type="dxa"/>
              <w:right w:w="60" w:type="dxa"/>
            </w:tcMar>
            <w:vAlign w:val="center"/>
          </w:tcPr>
          <w:p>
            <w:pPr>
              <w:pStyle w:val="DMETW36763BIPLEGCOM"/>
              <w:rPr>
                <w:rFonts w:ascii="Verdana" w:eastAsia="Verdana" w:hAnsi="Verdana" w:cs="Verdana"/>
                <w:i/>
                <w:noProof/>
                <w:color w:val="000000"/>
                <w:sz w:val="18"/>
              </w:rPr>
            </w:pPr>
            <w:r>
              <w:rPr>
                <w:rFonts w:ascii="Verdana" w:hAnsi="Verdana"/>
                <w:i/>
                <w:noProof/>
                <w:color w:val="000000"/>
                <w:sz w:val="18"/>
              </w:rPr>
              <w:t>Accords de pêche</w:t>
            </w:r>
          </w:p>
        </w:tc>
        <w:tc>
          <w:tcPr>
            <w:tcW w:w="2357" w:type="dxa"/>
            <w:tcBorders>
              <w:top w:val="nil"/>
              <w:left w:val="nil"/>
              <w:bottom w:val="nil"/>
              <w:right w:val="nil"/>
              <w:tl2br w:val="nil"/>
              <w:tr2bl w:val="nil"/>
            </w:tcBorders>
            <w:tcMar>
              <w:left w:w="60" w:type="dxa"/>
              <w:right w:w="60" w:type="dxa"/>
            </w:tcMar>
            <w:vAlign w:val="center"/>
          </w:tcPr>
          <w:p>
            <w:pPr>
              <w:pStyle w:val="DMETW36763BIPLEGCOM"/>
              <w:jc w:val="right"/>
              <w:rPr>
                <w:rFonts w:ascii="Verdana" w:eastAsia="Verdana" w:hAnsi="Verdana" w:cs="Verdana"/>
                <w:i/>
                <w:noProof/>
                <w:color w:val="000000"/>
                <w:sz w:val="18"/>
              </w:rPr>
            </w:pPr>
            <w:r>
              <w:rPr>
                <w:rFonts w:ascii="Verdana" w:hAnsi="Verdana"/>
                <w:i/>
                <w:noProof/>
                <w:color w:val="000000"/>
                <w:sz w:val="18"/>
              </w:rPr>
              <w:t xml:space="preserve"> 133</w:t>
            </w:r>
          </w:p>
        </w:tc>
        <w:tc>
          <w:tcPr>
            <w:tcW w:w="2358" w:type="dxa"/>
            <w:tcBorders>
              <w:top w:val="nil"/>
              <w:left w:val="nil"/>
              <w:bottom w:val="nil"/>
              <w:right w:val="nil"/>
              <w:tl2br w:val="nil"/>
              <w:tr2bl w:val="nil"/>
            </w:tcBorders>
            <w:tcMar>
              <w:left w:w="60" w:type="dxa"/>
              <w:right w:w="60" w:type="dxa"/>
            </w:tcMar>
            <w:vAlign w:val="center"/>
          </w:tcPr>
          <w:p>
            <w:pPr>
              <w:pStyle w:val="DMETW36763BIPLEGCOM"/>
              <w:jc w:val="right"/>
              <w:rPr>
                <w:rFonts w:ascii="Verdana" w:eastAsia="Verdana" w:hAnsi="Verdana" w:cs="Verdana"/>
                <w:i/>
                <w:noProof/>
                <w:color w:val="000000"/>
                <w:sz w:val="18"/>
              </w:rPr>
            </w:pPr>
            <w:r>
              <w:rPr>
                <w:rFonts w:ascii="Verdana" w:hAnsi="Verdana"/>
                <w:i/>
                <w:noProof/>
                <w:color w:val="000000"/>
                <w:sz w:val="18"/>
              </w:rPr>
              <w:t xml:space="preserve"> 234</w:t>
            </w:r>
          </w:p>
        </w:tc>
      </w:tr>
      <w:tr>
        <w:trPr>
          <w:trHeight w:hRule="exact" w:val="255"/>
        </w:trPr>
        <w:tc>
          <w:tcPr>
            <w:tcW w:w="5043" w:type="dxa"/>
            <w:tcBorders>
              <w:top w:val="nil"/>
              <w:left w:val="nil"/>
              <w:bottom w:val="nil"/>
              <w:right w:val="nil"/>
              <w:tl2br w:val="nil"/>
              <w:tr2bl w:val="nil"/>
            </w:tcBorders>
            <w:tcMar>
              <w:left w:w="60" w:type="dxa"/>
              <w:right w:w="60" w:type="dxa"/>
            </w:tcMar>
            <w:vAlign w:val="center"/>
          </w:tcPr>
          <w:p>
            <w:pPr>
              <w:pStyle w:val="DMETW36763BIPLEGCOM"/>
              <w:rPr>
                <w:rFonts w:ascii="Verdana" w:eastAsia="Verdana" w:hAnsi="Verdana" w:cs="Verdana"/>
                <w:i/>
                <w:noProof/>
                <w:color w:val="000000"/>
                <w:sz w:val="18"/>
              </w:rPr>
            </w:pPr>
            <w:r>
              <w:rPr>
                <w:rFonts w:ascii="Verdana" w:hAnsi="Verdana"/>
                <w:i/>
                <w:noProof/>
                <w:color w:val="000000"/>
                <w:sz w:val="18"/>
              </w:rPr>
              <w:t>IVCDCI</w:t>
            </w:r>
          </w:p>
        </w:tc>
        <w:tc>
          <w:tcPr>
            <w:tcW w:w="2357" w:type="dxa"/>
            <w:tcBorders>
              <w:top w:val="nil"/>
              <w:left w:val="nil"/>
              <w:bottom w:val="nil"/>
              <w:right w:val="nil"/>
              <w:tl2br w:val="nil"/>
              <w:tr2bl w:val="nil"/>
            </w:tcBorders>
            <w:tcMar>
              <w:left w:w="60" w:type="dxa"/>
              <w:right w:w="60" w:type="dxa"/>
            </w:tcMar>
            <w:vAlign w:val="center"/>
          </w:tcPr>
          <w:p>
            <w:pPr>
              <w:pStyle w:val="DMETW36763BIPLEGCOM"/>
              <w:jc w:val="right"/>
              <w:rPr>
                <w:rFonts w:ascii="Verdana" w:eastAsia="Verdana" w:hAnsi="Verdana" w:cs="Verdana"/>
                <w:i/>
                <w:noProof/>
                <w:color w:val="000000"/>
                <w:sz w:val="18"/>
              </w:rPr>
            </w:pPr>
            <w:r>
              <w:rPr>
                <w:rFonts w:ascii="Verdana" w:hAnsi="Verdana"/>
                <w:i/>
                <w:noProof/>
                <w:color w:val="000000"/>
                <w:sz w:val="18"/>
              </w:rPr>
              <w:t xml:space="preserve"> 120</w:t>
            </w:r>
          </w:p>
        </w:tc>
        <w:tc>
          <w:tcPr>
            <w:tcW w:w="2358" w:type="dxa"/>
            <w:tcBorders>
              <w:top w:val="nil"/>
              <w:left w:val="nil"/>
              <w:bottom w:val="nil"/>
              <w:right w:val="nil"/>
              <w:tl2br w:val="nil"/>
              <w:tr2bl w:val="nil"/>
            </w:tcBorders>
            <w:tcMar>
              <w:left w:w="60" w:type="dxa"/>
              <w:right w:w="60" w:type="dxa"/>
            </w:tcMar>
            <w:vAlign w:val="center"/>
          </w:tcPr>
          <w:p>
            <w:pPr>
              <w:pStyle w:val="DMETW36763BIPLEGCOM"/>
              <w:jc w:val="right"/>
              <w:rPr>
                <w:rFonts w:ascii="Verdana" w:eastAsia="Verdana" w:hAnsi="Verdana" w:cs="Verdana"/>
                <w:i/>
                <w:noProof/>
                <w:color w:val="000000"/>
                <w:sz w:val="18"/>
              </w:rPr>
            </w:pPr>
            <w:r>
              <w:rPr>
                <w:rFonts w:ascii="Verdana" w:hAnsi="Verdana"/>
                <w:i/>
                <w:noProof/>
                <w:color w:val="000000"/>
                <w:sz w:val="18"/>
              </w:rPr>
              <w:t>–</w:t>
            </w:r>
          </w:p>
        </w:tc>
      </w:tr>
      <w:tr>
        <w:trPr>
          <w:trHeight w:hRule="exact" w:val="255"/>
        </w:trPr>
        <w:tc>
          <w:tcPr>
            <w:tcW w:w="5043" w:type="dxa"/>
            <w:tcBorders>
              <w:top w:val="nil"/>
              <w:left w:val="nil"/>
              <w:bottom w:val="nil"/>
              <w:right w:val="nil"/>
              <w:tl2br w:val="nil"/>
              <w:tr2bl w:val="nil"/>
            </w:tcBorders>
            <w:tcMar>
              <w:left w:w="60" w:type="dxa"/>
              <w:right w:w="60" w:type="dxa"/>
            </w:tcMar>
            <w:vAlign w:val="center"/>
          </w:tcPr>
          <w:p>
            <w:pPr>
              <w:pStyle w:val="DMETW36763BIPLEGCOM"/>
              <w:rPr>
                <w:rFonts w:ascii="Verdana" w:eastAsia="Verdana" w:hAnsi="Verdana" w:cs="Verdana"/>
                <w:i/>
                <w:noProof/>
                <w:color w:val="000000"/>
                <w:sz w:val="18"/>
              </w:rPr>
            </w:pPr>
            <w:r>
              <w:rPr>
                <w:rFonts w:ascii="Verdana" w:hAnsi="Verdana"/>
                <w:i/>
                <w:noProof/>
                <w:color w:val="000000"/>
                <w:sz w:val="18"/>
              </w:rPr>
              <w:t>rescEU</w:t>
            </w:r>
          </w:p>
        </w:tc>
        <w:tc>
          <w:tcPr>
            <w:tcW w:w="2357" w:type="dxa"/>
            <w:tcBorders>
              <w:top w:val="nil"/>
              <w:left w:val="nil"/>
              <w:bottom w:val="nil"/>
              <w:right w:val="nil"/>
              <w:tl2br w:val="nil"/>
              <w:tr2bl w:val="nil"/>
            </w:tcBorders>
            <w:tcMar>
              <w:left w:w="60" w:type="dxa"/>
              <w:right w:w="60" w:type="dxa"/>
            </w:tcMar>
            <w:vAlign w:val="center"/>
          </w:tcPr>
          <w:p>
            <w:pPr>
              <w:pStyle w:val="DMETW36763BIPLEGCOM"/>
              <w:jc w:val="right"/>
              <w:rPr>
                <w:rFonts w:ascii="Verdana" w:eastAsia="Verdana" w:hAnsi="Verdana" w:cs="Verdana"/>
                <w:i/>
                <w:noProof/>
                <w:color w:val="000000"/>
                <w:sz w:val="18"/>
              </w:rPr>
            </w:pPr>
            <w:r>
              <w:rPr>
                <w:rFonts w:ascii="Verdana" w:hAnsi="Verdana"/>
                <w:i/>
                <w:noProof/>
                <w:color w:val="000000"/>
                <w:sz w:val="18"/>
              </w:rPr>
              <w:t xml:space="preserve"> 91</w:t>
            </w:r>
          </w:p>
        </w:tc>
        <w:tc>
          <w:tcPr>
            <w:tcW w:w="2358" w:type="dxa"/>
            <w:tcBorders>
              <w:top w:val="nil"/>
              <w:left w:val="nil"/>
              <w:bottom w:val="nil"/>
              <w:right w:val="nil"/>
              <w:tl2br w:val="nil"/>
              <w:tr2bl w:val="nil"/>
            </w:tcBorders>
            <w:tcMar>
              <w:left w:w="60" w:type="dxa"/>
              <w:right w:w="60" w:type="dxa"/>
            </w:tcMar>
            <w:vAlign w:val="center"/>
          </w:tcPr>
          <w:p>
            <w:pPr>
              <w:pStyle w:val="DMETW36763BIPLEGCOM"/>
              <w:jc w:val="right"/>
              <w:rPr>
                <w:rFonts w:ascii="Verdana" w:eastAsia="Verdana" w:hAnsi="Verdana" w:cs="Verdana"/>
                <w:i/>
                <w:noProof/>
                <w:color w:val="000000"/>
                <w:sz w:val="18"/>
              </w:rPr>
            </w:pPr>
            <w:r>
              <w:rPr>
                <w:rFonts w:ascii="Verdana" w:hAnsi="Verdana"/>
                <w:i/>
                <w:noProof/>
                <w:color w:val="000000"/>
                <w:sz w:val="18"/>
              </w:rPr>
              <w:t xml:space="preserve"> 106</w:t>
            </w:r>
          </w:p>
        </w:tc>
      </w:tr>
      <w:tr>
        <w:trPr>
          <w:trHeight w:hRule="exact" w:val="255"/>
        </w:trPr>
        <w:tc>
          <w:tcPr>
            <w:tcW w:w="5043" w:type="dxa"/>
            <w:tcBorders>
              <w:top w:val="nil"/>
              <w:left w:val="nil"/>
              <w:bottom w:val="nil"/>
              <w:right w:val="nil"/>
              <w:tl2br w:val="nil"/>
              <w:tr2bl w:val="nil"/>
            </w:tcBorders>
            <w:tcMar>
              <w:left w:w="60" w:type="dxa"/>
              <w:right w:w="60" w:type="dxa"/>
            </w:tcMar>
            <w:vAlign w:val="center"/>
          </w:tcPr>
          <w:p>
            <w:pPr>
              <w:pStyle w:val="DMETW36763BIPLEGCOM"/>
              <w:rPr>
                <w:rFonts w:ascii="Verdana" w:eastAsia="Verdana" w:hAnsi="Verdana" w:cs="Verdana"/>
                <w:i/>
                <w:noProof/>
                <w:color w:val="000000"/>
                <w:sz w:val="18"/>
              </w:rPr>
            </w:pPr>
            <w:r>
              <w:rPr>
                <w:rFonts w:ascii="Verdana" w:hAnsi="Verdana"/>
                <w:i/>
                <w:noProof/>
                <w:color w:val="000000"/>
                <w:sz w:val="18"/>
              </w:rPr>
              <w:t>Engagements au titre de contrats de location simple</w:t>
            </w:r>
          </w:p>
        </w:tc>
        <w:tc>
          <w:tcPr>
            <w:tcW w:w="2357" w:type="dxa"/>
            <w:tcBorders>
              <w:top w:val="nil"/>
              <w:left w:val="nil"/>
              <w:bottom w:val="nil"/>
              <w:right w:val="nil"/>
              <w:tl2br w:val="nil"/>
              <w:tr2bl w:val="nil"/>
            </w:tcBorders>
            <w:tcMar>
              <w:left w:w="60" w:type="dxa"/>
              <w:right w:w="60" w:type="dxa"/>
            </w:tcMar>
            <w:vAlign w:val="center"/>
          </w:tcPr>
          <w:p>
            <w:pPr>
              <w:pStyle w:val="DMETW36763BIPLEGCOM"/>
              <w:jc w:val="right"/>
              <w:rPr>
                <w:rFonts w:ascii="Verdana" w:eastAsia="Verdana" w:hAnsi="Verdana" w:cs="Verdana"/>
                <w:i/>
                <w:noProof/>
                <w:color w:val="000000"/>
                <w:sz w:val="18"/>
              </w:rPr>
            </w:pPr>
            <w:r>
              <w:rPr>
                <w:rFonts w:ascii="Verdana" w:hAnsi="Verdana"/>
                <w:i/>
                <w:noProof/>
                <w:color w:val="000000"/>
                <w:sz w:val="18"/>
              </w:rPr>
              <w:t>2 997</w:t>
            </w:r>
          </w:p>
        </w:tc>
        <w:tc>
          <w:tcPr>
            <w:tcW w:w="2358" w:type="dxa"/>
            <w:tcBorders>
              <w:top w:val="nil"/>
              <w:left w:val="nil"/>
              <w:bottom w:val="nil"/>
              <w:right w:val="nil"/>
              <w:tl2br w:val="nil"/>
              <w:tr2bl w:val="nil"/>
            </w:tcBorders>
            <w:tcMar>
              <w:left w:w="60" w:type="dxa"/>
              <w:right w:w="60" w:type="dxa"/>
            </w:tcMar>
            <w:vAlign w:val="center"/>
          </w:tcPr>
          <w:p>
            <w:pPr>
              <w:pStyle w:val="DMETW36763BIPLEGCOM"/>
              <w:jc w:val="right"/>
              <w:rPr>
                <w:rFonts w:ascii="Verdana" w:eastAsia="Verdana" w:hAnsi="Verdana" w:cs="Verdana"/>
                <w:i/>
                <w:noProof/>
                <w:color w:val="000000"/>
                <w:sz w:val="18"/>
              </w:rPr>
            </w:pPr>
            <w:r>
              <w:rPr>
                <w:rFonts w:ascii="Verdana" w:hAnsi="Verdana"/>
                <w:i/>
                <w:noProof/>
                <w:color w:val="000000"/>
                <w:sz w:val="18"/>
              </w:rPr>
              <w:t>2 721</w:t>
            </w:r>
          </w:p>
        </w:tc>
      </w:tr>
      <w:tr>
        <w:trPr>
          <w:trHeight w:hRule="exact" w:val="255"/>
        </w:trPr>
        <w:tc>
          <w:tcPr>
            <w:tcW w:w="5043" w:type="dxa"/>
            <w:tcBorders>
              <w:top w:val="nil"/>
              <w:left w:val="nil"/>
              <w:bottom w:val="nil"/>
              <w:right w:val="nil"/>
              <w:tl2br w:val="nil"/>
              <w:tr2bl w:val="nil"/>
            </w:tcBorders>
            <w:tcMar>
              <w:left w:w="60" w:type="dxa"/>
              <w:right w:w="60" w:type="dxa"/>
            </w:tcMar>
            <w:vAlign w:val="center"/>
          </w:tcPr>
          <w:p>
            <w:pPr>
              <w:pStyle w:val="DMETW36763BIPLEGCOM"/>
              <w:rPr>
                <w:rFonts w:ascii="Verdana" w:eastAsia="Verdana" w:hAnsi="Verdana" w:cs="Verdana"/>
                <w:i/>
                <w:noProof/>
                <w:color w:val="000000"/>
                <w:sz w:val="18"/>
              </w:rPr>
            </w:pPr>
            <w:r>
              <w:rPr>
                <w:rFonts w:ascii="Verdana" w:hAnsi="Verdana"/>
                <w:i/>
                <w:noProof/>
                <w:color w:val="000000"/>
                <w:sz w:val="18"/>
              </w:rPr>
              <w:t>Autres engagements contractuels</w:t>
            </w:r>
          </w:p>
        </w:tc>
        <w:tc>
          <w:tcPr>
            <w:tcW w:w="2357" w:type="dxa"/>
            <w:tcBorders>
              <w:top w:val="nil"/>
              <w:left w:val="nil"/>
              <w:bottom w:val="nil"/>
              <w:right w:val="nil"/>
              <w:tl2br w:val="nil"/>
              <w:tr2bl w:val="nil"/>
            </w:tcBorders>
            <w:tcMar>
              <w:left w:w="60" w:type="dxa"/>
              <w:right w:w="60" w:type="dxa"/>
            </w:tcMar>
            <w:vAlign w:val="center"/>
          </w:tcPr>
          <w:p>
            <w:pPr>
              <w:pStyle w:val="DMETW36763BIPLEGCOM"/>
              <w:jc w:val="right"/>
              <w:rPr>
                <w:rFonts w:ascii="Verdana" w:eastAsia="Verdana" w:hAnsi="Verdana" w:cs="Verdana"/>
                <w:i/>
                <w:noProof/>
                <w:color w:val="000000"/>
                <w:sz w:val="18"/>
              </w:rPr>
            </w:pPr>
            <w:r>
              <w:rPr>
                <w:rFonts w:ascii="Verdana" w:hAnsi="Verdana"/>
                <w:i/>
                <w:noProof/>
                <w:color w:val="000000"/>
                <w:sz w:val="18"/>
              </w:rPr>
              <w:t xml:space="preserve"> 692</w:t>
            </w:r>
          </w:p>
        </w:tc>
        <w:tc>
          <w:tcPr>
            <w:tcW w:w="2358" w:type="dxa"/>
            <w:tcBorders>
              <w:top w:val="nil"/>
              <w:left w:val="nil"/>
              <w:bottom w:val="nil"/>
              <w:right w:val="nil"/>
              <w:tl2br w:val="nil"/>
              <w:tr2bl w:val="nil"/>
            </w:tcBorders>
            <w:tcMar>
              <w:left w:w="60" w:type="dxa"/>
              <w:right w:w="60" w:type="dxa"/>
            </w:tcMar>
            <w:vAlign w:val="center"/>
          </w:tcPr>
          <w:p>
            <w:pPr>
              <w:pStyle w:val="DMETW36763BIPLEGCOM"/>
              <w:jc w:val="right"/>
              <w:rPr>
                <w:rFonts w:ascii="Verdana" w:eastAsia="Verdana" w:hAnsi="Verdana" w:cs="Verdana"/>
                <w:i/>
                <w:noProof/>
                <w:color w:val="000000"/>
                <w:sz w:val="18"/>
              </w:rPr>
            </w:pPr>
            <w:r>
              <w:rPr>
                <w:rFonts w:ascii="Verdana" w:hAnsi="Verdana"/>
                <w:i/>
                <w:noProof/>
                <w:color w:val="000000"/>
                <w:sz w:val="18"/>
              </w:rPr>
              <w:t xml:space="preserve"> 856</w:t>
            </w:r>
          </w:p>
        </w:tc>
      </w:tr>
      <w:tr>
        <w:trPr>
          <w:trHeight w:hRule="exact" w:val="558"/>
        </w:trPr>
        <w:tc>
          <w:tcPr>
            <w:tcW w:w="5043" w:type="dxa"/>
            <w:tcBorders>
              <w:top w:val="nil"/>
              <w:left w:val="nil"/>
              <w:bottom w:val="nil"/>
              <w:right w:val="nil"/>
              <w:tl2br w:val="nil"/>
              <w:tr2bl w:val="nil"/>
            </w:tcBorders>
            <w:tcMar>
              <w:left w:w="60" w:type="dxa"/>
              <w:right w:w="60" w:type="dxa"/>
            </w:tcMar>
            <w:vAlign w:val="center"/>
          </w:tcPr>
          <w:p>
            <w:pPr>
              <w:pStyle w:val="DMETW36763BIPLEGCOM"/>
              <w:rPr>
                <w:rFonts w:ascii="Verdana" w:eastAsia="Verdana" w:hAnsi="Verdana" w:cs="Verdana"/>
                <w:i/>
                <w:noProof/>
                <w:color w:val="000000"/>
                <w:sz w:val="18"/>
              </w:rPr>
            </w:pPr>
            <w:r>
              <w:rPr>
                <w:rFonts w:ascii="Verdana" w:hAnsi="Verdana"/>
                <w:i/>
                <w:noProof/>
                <w:color w:val="000000"/>
                <w:sz w:val="18"/>
              </w:rPr>
              <w:t>Engagements liés au soutien non remboursable au titre de la FRR</w:t>
            </w:r>
          </w:p>
        </w:tc>
        <w:tc>
          <w:tcPr>
            <w:tcW w:w="2357" w:type="dxa"/>
            <w:tcBorders>
              <w:top w:val="nil"/>
              <w:left w:val="nil"/>
              <w:bottom w:val="nil"/>
              <w:right w:val="nil"/>
              <w:tl2br w:val="nil"/>
              <w:tr2bl w:val="nil"/>
            </w:tcBorders>
            <w:tcMar>
              <w:left w:w="60" w:type="dxa"/>
              <w:right w:w="60" w:type="dxa"/>
            </w:tcMar>
            <w:vAlign w:val="center"/>
          </w:tcPr>
          <w:p>
            <w:pPr>
              <w:pStyle w:val="DMETW36763BIPLEGCOM"/>
              <w:jc w:val="right"/>
              <w:rPr>
                <w:rFonts w:ascii="Verdana" w:eastAsia="Verdana" w:hAnsi="Verdana" w:cs="Verdana"/>
                <w:i/>
                <w:noProof/>
                <w:color w:val="000000"/>
                <w:sz w:val="18"/>
              </w:rPr>
            </w:pPr>
            <w:r>
              <w:rPr>
                <w:rFonts w:ascii="Verdana" w:hAnsi="Verdana"/>
                <w:i/>
                <w:noProof/>
                <w:color w:val="000000"/>
                <w:sz w:val="18"/>
              </w:rPr>
              <w:t>–</w:t>
            </w:r>
          </w:p>
        </w:tc>
        <w:tc>
          <w:tcPr>
            <w:tcW w:w="2358" w:type="dxa"/>
            <w:tcBorders>
              <w:top w:val="nil"/>
              <w:left w:val="nil"/>
              <w:bottom w:val="nil"/>
              <w:right w:val="nil"/>
              <w:tl2br w:val="nil"/>
              <w:tr2bl w:val="nil"/>
            </w:tcBorders>
            <w:tcMar>
              <w:left w:w="60" w:type="dxa"/>
              <w:right w:w="60" w:type="dxa"/>
            </w:tcMar>
            <w:vAlign w:val="center"/>
          </w:tcPr>
          <w:p>
            <w:pPr>
              <w:pStyle w:val="DMETW36763BIPLEGCOM"/>
              <w:jc w:val="right"/>
              <w:rPr>
                <w:rFonts w:ascii="Verdana" w:eastAsia="Verdana" w:hAnsi="Verdana" w:cs="Verdana"/>
                <w:i/>
                <w:noProof/>
                <w:color w:val="000000"/>
                <w:sz w:val="18"/>
              </w:rPr>
            </w:pPr>
            <w:r>
              <w:rPr>
                <w:rFonts w:ascii="Verdana" w:hAnsi="Verdana"/>
                <w:i/>
                <w:noProof/>
                <w:color w:val="000000"/>
                <w:sz w:val="18"/>
              </w:rPr>
              <w:t xml:space="preserve"> 558</w:t>
            </w:r>
          </w:p>
        </w:tc>
      </w:tr>
      <w:tr>
        <w:trPr>
          <w:trHeight w:hRule="exact" w:val="255"/>
        </w:trPr>
        <w:tc>
          <w:tcPr>
            <w:tcW w:w="5043" w:type="dxa"/>
            <w:tcBorders>
              <w:top w:val="nil"/>
              <w:left w:val="nil"/>
              <w:bottom w:val="nil"/>
              <w:right w:val="nil"/>
              <w:tl2br w:val="nil"/>
              <w:tr2bl w:val="nil"/>
            </w:tcBorders>
            <w:tcMar>
              <w:left w:w="60" w:type="dxa"/>
              <w:right w:w="60" w:type="dxa"/>
            </w:tcMar>
            <w:vAlign w:val="center"/>
          </w:tcPr>
          <w:p>
            <w:pPr>
              <w:pStyle w:val="DMETW36763BIPLEGCOM"/>
              <w:rPr>
                <w:rFonts w:ascii="Verdana" w:eastAsia="Verdana" w:hAnsi="Verdana" w:cs="Verdana"/>
                <w:i/>
                <w:noProof/>
                <w:color w:val="000000"/>
                <w:sz w:val="18"/>
              </w:rPr>
            </w:pPr>
            <w:r>
              <w:rPr>
                <w:rFonts w:ascii="Verdana" w:hAnsi="Verdana"/>
                <w:i/>
                <w:noProof/>
                <w:color w:val="000000"/>
                <w:sz w:val="18"/>
              </w:rPr>
              <w:t>EURATOM</w:t>
            </w:r>
          </w:p>
        </w:tc>
        <w:tc>
          <w:tcPr>
            <w:tcW w:w="2357" w:type="dxa"/>
            <w:tcBorders>
              <w:top w:val="nil"/>
              <w:left w:val="nil"/>
              <w:bottom w:val="nil"/>
              <w:right w:val="nil"/>
              <w:tl2br w:val="nil"/>
              <w:tr2bl w:val="nil"/>
            </w:tcBorders>
            <w:tcMar>
              <w:left w:w="60" w:type="dxa"/>
              <w:right w:w="60" w:type="dxa"/>
            </w:tcMar>
            <w:vAlign w:val="center"/>
          </w:tcPr>
          <w:p>
            <w:pPr>
              <w:pStyle w:val="DMETW36763BIPLEGCOM"/>
              <w:jc w:val="right"/>
              <w:rPr>
                <w:rFonts w:ascii="Verdana" w:eastAsia="Verdana" w:hAnsi="Verdana" w:cs="Verdana"/>
                <w:i/>
                <w:noProof/>
                <w:color w:val="000000"/>
                <w:sz w:val="18"/>
              </w:rPr>
            </w:pPr>
            <w:r>
              <w:rPr>
                <w:rFonts w:ascii="Verdana" w:hAnsi="Verdana"/>
                <w:i/>
                <w:noProof/>
                <w:color w:val="000000"/>
                <w:sz w:val="18"/>
              </w:rPr>
              <w:t>–</w:t>
            </w:r>
          </w:p>
        </w:tc>
        <w:tc>
          <w:tcPr>
            <w:tcW w:w="2358" w:type="dxa"/>
            <w:tcBorders>
              <w:top w:val="nil"/>
              <w:left w:val="nil"/>
              <w:bottom w:val="nil"/>
              <w:right w:val="nil"/>
              <w:tl2br w:val="nil"/>
              <w:tr2bl w:val="nil"/>
            </w:tcBorders>
            <w:tcMar>
              <w:left w:w="60" w:type="dxa"/>
              <w:right w:w="60" w:type="dxa"/>
            </w:tcMar>
            <w:vAlign w:val="center"/>
          </w:tcPr>
          <w:p>
            <w:pPr>
              <w:pStyle w:val="DMETW36763BIPLEGCOM"/>
              <w:jc w:val="right"/>
              <w:rPr>
                <w:rFonts w:ascii="Verdana" w:eastAsia="Verdana" w:hAnsi="Verdana" w:cs="Verdana"/>
                <w:i/>
                <w:noProof/>
                <w:color w:val="000000"/>
                <w:sz w:val="18"/>
              </w:rPr>
            </w:pPr>
            <w:r>
              <w:rPr>
                <w:rFonts w:ascii="Verdana" w:hAnsi="Verdana"/>
                <w:i/>
                <w:noProof/>
                <w:color w:val="000000"/>
                <w:sz w:val="18"/>
              </w:rPr>
              <w:t xml:space="preserve"> 166</w:t>
            </w:r>
          </w:p>
        </w:tc>
      </w:tr>
      <w:tr>
        <w:trPr>
          <w:trHeight w:hRule="exact" w:val="255"/>
        </w:trPr>
        <w:tc>
          <w:tcPr>
            <w:tcW w:w="5043" w:type="dxa"/>
            <w:tcBorders>
              <w:top w:val="nil"/>
              <w:left w:val="nil"/>
              <w:bottom w:val="nil"/>
              <w:right w:val="nil"/>
              <w:tl2br w:val="nil"/>
              <w:tr2bl w:val="nil"/>
            </w:tcBorders>
            <w:shd w:val="solid" w:color="CCE1EA" w:fill="FFFFFF"/>
            <w:tcMar>
              <w:left w:w="60" w:type="dxa"/>
              <w:right w:w="60" w:type="dxa"/>
            </w:tcMar>
            <w:vAlign w:val="center"/>
          </w:tcPr>
          <w:p>
            <w:pPr>
              <w:pStyle w:val="DMETW36763BIPLEGCOM"/>
              <w:rPr>
                <w:rFonts w:ascii="Verdana" w:eastAsia="Verdana" w:hAnsi="Verdana" w:cs="Verdana"/>
                <w:b/>
                <w:noProof/>
                <w:color w:val="000000"/>
                <w:sz w:val="18"/>
              </w:rPr>
            </w:pPr>
            <w:r>
              <w:rPr>
                <w:rFonts w:ascii="Verdana" w:hAnsi="Verdana"/>
                <w:b/>
                <w:noProof/>
                <w:color w:val="000000"/>
                <w:sz w:val="18"/>
              </w:rPr>
              <w:t>Total</w:t>
            </w:r>
          </w:p>
        </w:tc>
        <w:tc>
          <w:tcPr>
            <w:tcW w:w="2357" w:type="dxa"/>
            <w:tcBorders>
              <w:top w:val="nil"/>
              <w:left w:val="nil"/>
              <w:bottom w:val="nil"/>
              <w:right w:val="nil"/>
              <w:tl2br w:val="nil"/>
              <w:tr2bl w:val="nil"/>
            </w:tcBorders>
            <w:shd w:val="solid" w:color="CCE1EA" w:fill="FFFFFF"/>
            <w:tcMar>
              <w:left w:w="60" w:type="dxa"/>
              <w:right w:w="60" w:type="dxa"/>
            </w:tcMar>
            <w:vAlign w:val="center"/>
          </w:tcPr>
          <w:p>
            <w:pPr>
              <w:pStyle w:val="DMETW36763BIPLEGCOM"/>
              <w:jc w:val="right"/>
              <w:rPr>
                <w:rFonts w:ascii="Verdana" w:eastAsia="Verdana" w:hAnsi="Verdana" w:cs="Verdana"/>
                <w:b/>
                <w:noProof/>
                <w:color w:val="000000"/>
                <w:sz w:val="18"/>
              </w:rPr>
            </w:pPr>
            <w:r>
              <w:rPr>
                <w:rFonts w:ascii="Verdana" w:hAnsi="Verdana"/>
                <w:b/>
                <w:noProof/>
                <w:color w:val="000000"/>
                <w:sz w:val="18"/>
              </w:rPr>
              <w:t>180 699</w:t>
            </w:r>
          </w:p>
        </w:tc>
        <w:tc>
          <w:tcPr>
            <w:tcW w:w="2358" w:type="dxa"/>
            <w:tcBorders>
              <w:top w:val="nil"/>
              <w:left w:val="nil"/>
              <w:bottom w:val="nil"/>
              <w:right w:val="nil"/>
              <w:tl2br w:val="nil"/>
              <w:tr2bl w:val="nil"/>
            </w:tcBorders>
            <w:shd w:val="solid" w:color="CCE1EA" w:fill="FFFFFF"/>
            <w:tcMar>
              <w:left w:w="60" w:type="dxa"/>
              <w:right w:w="60" w:type="dxa"/>
            </w:tcMar>
            <w:vAlign w:val="center"/>
          </w:tcPr>
          <w:p>
            <w:pPr>
              <w:pStyle w:val="DMETW36763BIPLEGCOM"/>
              <w:jc w:val="right"/>
              <w:rPr>
                <w:rFonts w:ascii="Verdana" w:eastAsia="Verdana" w:hAnsi="Verdana" w:cs="Verdana"/>
                <w:b/>
                <w:noProof/>
                <w:color w:val="000000"/>
                <w:sz w:val="18"/>
              </w:rPr>
            </w:pPr>
            <w:r>
              <w:rPr>
                <w:rFonts w:ascii="Verdana" w:hAnsi="Verdana"/>
                <w:b/>
                <w:noProof/>
                <w:color w:val="000000"/>
                <w:sz w:val="18"/>
              </w:rPr>
              <w:t>257 256</w:t>
            </w:r>
          </w:p>
        </w:tc>
      </w:tr>
    </w:tbl>
    <w:p>
      <w:pPr>
        <w:pStyle w:val="DGTextstand-alone"/>
        <w:spacing w:before="60"/>
        <w:ind w:left="113" w:hanging="113"/>
      </w:pPr>
      <w:r>
        <w:rPr>
          <w:vertAlign w:val="superscript"/>
        </w:rPr>
        <w:t>*</w:t>
      </w:r>
      <w:r>
        <w:rPr>
          <w:i/>
          <w:sz w:val="16"/>
        </w:rPr>
        <w:t xml:space="preserve"> À partir de 2025, le programme pour une connectivité sécurisée est présenté séparément des programmes spatiaux, de sorte que le montant pour 2024 est également réparti en conséquence.</w:t>
      </w:r>
    </w:p>
    <w:p>
      <w:pPr>
        <w:pStyle w:val="DGTextstand-alone"/>
      </w:pPr>
      <w:r>
        <w:t>Ces montants reflètent les engagements juridiques à long terme qui n’étaient pas couverts par des crédits d’engagement dans le budget en fin d’exercice. Ces obligations contraignantes seront budgétisées et donneront lieu à paiements dans les années à venir.</w:t>
      </w:r>
    </w:p>
    <w:p>
      <w:pPr>
        <w:pStyle w:val="DGTextstand-alone"/>
      </w:pPr>
      <w:r>
        <w:t>Certains programmes importants (voir ci-dessous) peuvent être mis en œuvre par tranches annuelles conformément à l’article 112, paragraphe 2, du règlement financier (RF), ce qui permet à l’UE de contracter des engagements juridiques (signer des conventions de subvention, des conventions de délégation et des contrats de marchés publics) dépassant les crédits d’engagement disponibles d’un exercice donné. Par conséquent, il se peut qu'une part substantielle de la dotation totale au titre du CFP actuel ait déjà été engagée. Cela s’applique en particulier aux programmes décrits ci-dessous:</w:t>
      </w:r>
    </w:p>
    <w:p>
      <w:pPr>
        <w:pStyle w:val="HEADER5"/>
        <w:rPr>
          <w:noProof/>
        </w:rPr>
      </w:pPr>
      <w:r>
        <w:rPr>
          <w:noProof/>
        </w:rPr>
        <w:t>Fonds en gestion partagée</w:t>
      </w:r>
    </w:p>
    <w:p>
      <w:pPr>
        <w:pStyle w:val="DGTextstand-alone"/>
      </w:pPr>
      <w:r>
        <w:t xml:space="preserve">Il s’agit des obligations légales pour lesquelles l’UE s’est engagée à effectuer des paiements lorsqu’elle adopte les programmes opérationnels se rapportant à la gestion partagée. La décision de la Commission portant adoption d’un programme opérationnel constitue une décision de financement au sens de l’article 110 du règlement financier et, une fois notifiée à l’État membre concerné, elle représente un engagement juridique au sens dudit règlement. </w:t>
      </w:r>
    </w:p>
    <w:p>
      <w:pPr>
        <w:pStyle w:val="DGTextstand-alone"/>
      </w:pPr>
      <w:r>
        <w:t xml:space="preserve">L’article 86, paragraphe 2, du règlement portant dispositions communes (RPDC), concernant les fonds en gestion partagée, dispose ce qui suit: </w:t>
      </w:r>
    </w:p>
    <w:p>
      <w:pPr>
        <w:pStyle w:val="DGTextstand-alone"/>
        <w:rPr>
          <w:iCs/>
        </w:rPr>
      </w:pPr>
      <w:r>
        <w:lastRenderedPageBreak/>
        <w:t>«Les engagements budgétaires de l’Union relatifs à chaque programme sont effectués par la Commission par tranches annuelles pour chaque Fonds sur la période comprise entre le 1</w:t>
      </w:r>
      <w:r>
        <w:rPr>
          <w:vertAlign w:val="superscript"/>
        </w:rPr>
        <w:t>er</w:t>
      </w:r>
      <w:r>
        <w:t> janvier 2021 et le 31 décembre 2027.»</w:t>
      </w:r>
    </w:p>
    <w:p>
      <w:pPr>
        <w:pStyle w:val="DGTextstand-alone"/>
        <w:rPr>
          <w:color w:val="016794"/>
        </w:rPr>
      </w:pPr>
      <w:r>
        <w:t>Les montants indiqués aux quatre premières lignes du tableau figurant ci-dessus concernent la rubrique 2 a (Cohésion économique, sociale et territoriale), la rubrique 3 (Ressources naturelles et environnement), la rubrique 4 (Migration et gestion des frontières) et la rubrique 5 (Sécurité et défense) du CFP 2021-2027. Ils représentent les montants en suspens que l’UE engagera sur le plan budgétaire et payera après le 31 décembre 2025.</w:t>
      </w:r>
    </w:p>
    <w:p>
      <w:pPr>
        <w:pStyle w:val="HEADER5"/>
        <w:rPr>
          <w:noProof/>
        </w:rPr>
      </w:pPr>
      <w:r>
        <w:rPr>
          <w:noProof/>
        </w:rPr>
        <w:t>ITER – Réacteur thermonucléaire expérimental international</w:t>
      </w:r>
    </w:p>
    <w:p>
      <w:pPr>
        <w:pStyle w:val="DGTextstand-alone"/>
      </w:pPr>
      <w:r>
        <w:t>Les engagements correspondants sont destinés à couvrir les coûts de construction des installations ITER. La contribution de l’UE (Euratom) à l’organisation internationale ITER est versée par l’intermédiaire de l’agence «Fusion for Energy», tout comme les contributions des États membres et de la Suisse. L'organisation ITER a été créée pour gérer et encourager l’exploitation des installations ITER, promouvoir la compréhension et l'acceptation de l'énergie de fusion par le public et entreprendre toute autre activité nécessaire pour réaliser son objet. Elle associe l’UE ainsi que divers autres pays.</w:t>
      </w:r>
    </w:p>
    <w:p>
      <w:pPr>
        <w:pStyle w:val="HEADER5"/>
        <w:rPr>
          <w:noProof/>
        </w:rPr>
      </w:pPr>
      <w:r>
        <w:rPr>
          <w:noProof/>
        </w:rPr>
        <w:t>Mécanisme pour l’interconnexion en Europe (MIE2)</w:t>
      </w:r>
    </w:p>
    <w:p>
      <w:pPr>
        <w:pStyle w:val="DGTextstand-alone"/>
      </w:pPr>
      <w:r>
        <w:t>Le MIE2 apporte une aide financière aux réseaux transeuropéens afin de soutenir des projets d’intérêt commun dans les secteurs des infrastructures de transport, de télécommunications et d’énergie. Les engagements juridiques pour le MIE couvrent une période de mise en œuvre allant de 2021 à 2027 pour les volets énergie et transport du MIE (avec possibilité d’extension). La base juridique de ces engagements est le règlement (UE) 2021/1153</w:t>
      </w:r>
      <w:r>
        <w:rPr>
          <w:rStyle w:val="FootnoteReference"/>
        </w:rPr>
        <w:footnoteReference w:id="39"/>
      </w:r>
      <w:r>
        <w:t>, dont l’article 4, paragraphe 5, dispose que «[l]es engagements budgétaires contractés pour des actions dont la réalisation s’étend sur plus d’un exercice peuvent être fractionnés en tranches annuelles, sur une ou plusieurs années».</w:t>
      </w:r>
    </w:p>
    <w:p>
      <w:pPr>
        <w:pStyle w:val="HEADER5"/>
        <w:rPr>
          <w:noProof/>
        </w:rPr>
      </w:pPr>
      <w:r>
        <w:rPr>
          <w:noProof/>
        </w:rPr>
        <w:t xml:space="preserve">Fonds pour l’innovation </w:t>
      </w:r>
    </w:p>
    <w:p>
      <w:pPr>
        <w:pStyle w:val="DGTextstand-alone"/>
      </w:pPr>
      <w:r>
        <w:t>La directive 2023/959</w:t>
      </w:r>
      <w:r>
        <w:rPr>
          <w:vertAlign w:val="superscript"/>
        </w:rPr>
        <w:footnoteReference w:id="40"/>
      </w:r>
      <w:r>
        <w:t xml:space="preserve"> modifiant la directive 2003/87/CE établissant un système d’échange de quotas d’émission de gaz à effet de serre dans l’Union et la décision (UE) 2015/1814 concernant la création et le fonctionnement d’une réserve de stabilité du marché pour le système d’échange de quotas d’émission de gaz à effet de serre de l’Union dispose, à son article 10, paragraphe 8, que «[l]es engagements budgétaires contractés pour des actions dont la réalisation s’étend sur plus d’un exercice peuvent être fractionnés en tranches annuelles sur plusieurs années». Cette disposition s’applique aux nouvelles actions signées à partir de 2024, y compris les actions financées par des appels à propositions ou dans le cadre d’un mécanisme d’appel à la concurrence.</w:t>
      </w:r>
    </w:p>
    <w:p>
      <w:pPr>
        <w:pStyle w:val="HEADER5"/>
        <w:rPr>
          <w:noProof/>
        </w:rPr>
      </w:pPr>
      <w:r>
        <w:rPr>
          <w:noProof/>
        </w:rPr>
        <w:t>Programmes spatiaux</w:t>
      </w:r>
    </w:p>
    <w:p>
      <w:pPr>
        <w:pStyle w:val="DGTextstand-alone"/>
      </w:pPr>
      <w:r>
        <w:t>Le programme spatial comprend les composantes suivantes: Galileo, EGNOS, Copernicus, Govsatcom et SSA. Les plus importantes sont le programme Galileo, consacré au développement du système mondial de navigation par satellite européen, et le programme Copernicus, lié à l’observation européenne de la Terre. Les engagements en la matière sont contractés pour la période prenant fin en 2027. En vertu du règlement (UE) 2021/696 du Parlement européen et du Conseil</w:t>
      </w:r>
      <w:r>
        <w:rPr>
          <w:rStyle w:val="FootnoteReference"/>
        </w:rPr>
        <w:footnoteReference w:id="41"/>
      </w:r>
      <w:r>
        <w:t>, la Commission a signé des conventions de contribution avec l’Agence spatiale européenne (ESA), EUMETSAT, Mercator et le Centre européen pour les prévisions météorologiques à moyen terme. L’article 11, paragraphe 6, du règlement (UE) 2021/696 autorise l’utilisation de tranches annuelles.</w:t>
      </w:r>
    </w:p>
    <w:p>
      <w:pPr>
        <w:pStyle w:val="HEADER5"/>
        <w:rPr>
          <w:noProof/>
        </w:rPr>
      </w:pPr>
      <w:r>
        <w:rPr>
          <w:noProof/>
        </w:rPr>
        <w:t>Engagements liés au soutien non remboursable au titre de la facilité pour l’Ukraine</w:t>
      </w:r>
    </w:p>
    <w:p>
      <w:pPr>
        <w:pStyle w:val="DGTextstand-alone"/>
      </w:pPr>
      <w:r>
        <w:lastRenderedPageBreak/>
        <w:t>La facilité pour l’Ukraine a été mise en place pour aider l’Ukraine à combler son déficit de financement et à répondre à ses besoins en matière de relance, de reconstruction et de modernisation. Elle a été établie par le règlement (UE) 2024/792 du Parlement européen et du Conseil pour la période 2024 à 2027. Conformément à l’article 6, paragraphe 1, du règlement (UE) 2024/792</w:t>
      </w:r>
      <w:r>
        <w:rPr>
          <w:rStyle w:val="FootnoteReference"/>
        </w:rPr>
        <w:footnoteReference w:id="42"/>
      </w:r>
      <w:r>
        <w:t>, les ressources nécessaires à la mise en œuvre de la facilité sont disponibles au moyen de la réserve pour l’Ukraine à mobiliser dans le cadre de la procédure budgétaire annuelle conformément à l’article 10 </w:t>
      </w:r>
      <w:r>
        <w:rPr>
          <w:i/>
          <w:iCs/>
        </w:rPr>
        <w:t>ter</w:t>
      </w:r>
      <w:r>
        <w:t xml:space="preserve"> du règlement (UE, Euratom) 2020/2093. Ce crédit finance le soutien au titre de trois piliers (plan pour l’Ukraine, cadre d’investissement pour l’Ukraine, mesures d’aide à l’adhésion à l’Union et mesures de soutien correspondantes) conformément à la répartition indicative prévue dans le règlement. En 2025, la Suède a apporté une contribution financière supplémentaire de 750 millions de SEK (soit 67 millions d’EUR), ce qui a porté la contribution totale non remboursable de 5,27 milliards d’EUR à 5,337 milliards d’EUR. L’addendum nº 1 à la convention de financement de l’Ukraine signée en novembre 2025 — sous la forme d’un échange de lettres — tenait compte du nouveau montant total en principal de 5,337 milliards d’EUR pour la période 2024-2027.</w:t>
      </w:r>
    </w:p>
    <w:p>
      <w:pPr>
        <w:pStyle w:val="HEADER5"/>
        <w:rPr>
          <w:noProof/>
        </w:rPr>
      </w:pPr>
      <w:r>
        <w:rPr>
          <w:noProof/>
        </w:rPr>
        <w:t>Horizon Europe</w:t>
      </w:r>
    </w:p>
    <w:p>
      <w:pPr>
        <w:pStyle w:val="DGTextstand-alone"/>
      </w:pPr>
      <w:r>
        <w:t>Il s’agit des montants engagés au titre du programme Horizon Europe pour les activités de connectivité sécurisée en amont, les activités en amont et en aval des différentes composantes spatiales. Les engagements en la matière sont contractés pour la période prenant fin en 2027. Sur la base du règlement (UE) 2021/695</w:t>
      </w:r>
      <w:r>
        <w:rPr>
          <w:rStyle w:val="FootnoteReference"/>
        </w:rPr>
        <w:footnoteReference w:id="43"/>
      </w:r>
      <w:r>
        <w:t>, la Commission a signé une convention de contribution avec l’ESA. L’article 12, paragraphe 8, dudit règlement autorise l’utilisation de tranches annuelles.</w:t>
      </w:r>
    </w:p>
    <w:p>
      <w:pPr>
        <w:pStyle w:val="HEADER5"/>
        <w:rPr>
          <w:noProof/>
        </w:rPr>
      </w:pPr>
      <w:r>
        <w:rPr>
          <w:noProof/>
        </w:rPr>
        <w:t>Programme pour une connectivité sécurisée</w:t>
      </w:r>
    </w:p>
    <w:p>
      <w:pPr>
        <w:pStyle w:val="DGTextstand-alone"/>
      </w:pPr>
      <w:r>
        <w:t>Le programme pour une connectivité sécurisée vise à améliorer les services de communication de l’UE en développant et en exploitant une infrastructure de connectivité multiorbitale, fondée sur un modèle de partenariat public. Il garantira la fourniture de services mondiaux de communications par satellite sûrs, flexibles et résilients aux entités gouvernementales de l’Union et des États membres. À cet égard, sur la base du règlement (UE) 2023/588 du Parlement européen et du Conseil</w:t>
      </w:r>
      <w:r>
        <w:rPr>
          <w:rStyle w:val="FootnoteReference"/>
          <w:lang w:val="en-IE"/>
        </w:rPr>
        <w:footnoteReference w:id="44"/>
      </w:r>
      <w:r>
        <w:t>, un contrat de concession a été attribué à un groupement de sociétés.</w:t>
      </w:r>
    </w:p>
    <w:p>
      <w:pPr>
        <w:pStyle w:val="HEADER5"/>
        <w:rPr>
          <w:noProof/>
        </w:rPr>
      </w:pPr>
      <w:r>
        <w:rPr>
          <w:noProof/>
        </w:rPr>
        <w:t>Accords de pêche</w:t>
      </w:r>
    </w:p>
    <w:p>
      <w:pPr>
        <w:pStyle w:val="DGTextstand-alone"/>
      </w:pPr>
      <w:r>
        <w:t>Il s’agit d’engagements contractés avec des pays tiers en vue d’opérations menées dans le cadre d’accords internationaux de pêche jusqu’en 2032. Les engagements pris sont fondés sur des décisions du Conseil pour chaque pays tiers et sont considérés comme des traités internationaux spécifiques assortis de droits et d’obligations pluriannuels.</w:t>
      </w:r>
    </w:p>
    <w:p>
      <w:pPr>
        <w:pStyle w:val="HEADER5"/>
        <w:rPr>
          <w:noProof/>
        </w:rPr>
      </w:pPr>
      <w:r>
        <w:rPr>
          <w:noProof/>
        </w:rPr>
        <w:t>Instrument de voisinage, de coopération au développement et de coopération internationale (IVCDCI)</w:t>
      </w:r>
    </w:p>
    <w:p>
      <w:pPr>
        <w:pStyle w:val="DGTextstand-alone"/>
      </w:pPr>
      <w:r>
        <w:t>Il s’agit du principal instrument de l’action extérieure de l’Union européenne pour la période 2021-2027. Les fonds sont utilisés pour améliorer les services de télécommunications par satellite dans un certain nombre de pays tiers par l’achat de services commerciaux dans le cadre du contrat de concession. Le cadre des contrats est établi par le règlement (UE) 2021/947.</w:t>
      </w:r>
    </w:p>
    <w:p>
      <w:pPr>
        <w:pStyle w:val="HEADER5"/>
        <w:rPr>
          <w:noProof/>
        </w:rPr>
      </w:pPr>
      <w:r>
        <w:rPr>
          <w:noProof/>
        </w:rPr>
        <w:t>rescEU</w:t>
      </w:r>
    </w:p>
    <w:p>
      <w:pPr>
        <w:pStyle w:val="DGTextstand-alone"/>
      </w:pPr>
      <w:r>
        <w:t>RescEU est une réserve européenne de moyens et de capacités de réaction établie au titre du mécanisme de protection civile de l’Union, dans le cadre de la révision législative de 2019 de la décision nº 1313/2013/UE</w:t>
      </w:r>
      <w:r>
        <w:rPr>
          <w:rStyle w:val="FootnoteReference"/>
        </w:rPr>
        <w:footnoteReference w:id="45"/>
      </w:r>
      <w:r>
        <w:t xml:space="preserve">. La réserve rescEU a été créée afin d’intervenir en dernier recours lorsque les capacités nationales et celles affectées à la réserve européenne de protection civile ne permettent pas d’assurer une réaction efficace face aux divers types de catastrophes. L’Union européenne finance ces capacités de réaction, en tant que mesures de préparation, en vue de les mettre à disposition lorsque des opérations deviennent nécessaires dans le cadre du mécanisme de protection civile de l’Union. Les </w:t>
      </w:r>
      <w:r>
        <w:lastRenderedPageBreak/>
        <w:t>domaines prioritaires du renforcement des capacités dans le cadre de rescEU sont les domaines de la lutte aérienne contre les incendies de forêts, des incidents chimiques, biologiques, radiologiques et nucléaires, de l’intervention médicale d’urgence, ainsi que des transports et de la logistique.</w:t>
      </w:r>
    </w:p>
    <w:p>
      <w:pPr>
        <w:pStyle w:val="HEADER5"/>
        <w:rPr>
          <w:noProof/>
        </w:rPr>
      </w:pPr>
      <w:r>
        <w:rPr>
          <w:noProof/>
        </w:rPr>
        <w:t xml:space="preserve">Engagements liés au soutien non remboursable au titre de la FRR </w:t>
      </w:r>
    </w:p>
    <w:p>
      <w:pPr>
        <w:pStyle w:val="DGTextstand-alone"/>
      </w:pPr>
      <w:r>
        <w:t>La facilité pour la reprise et la résilience (FRR) est un programme clé de NextGenerationEU, l’instrument de l’UE pour la relance. Établie par le règlement (UE) 2021/241</w:t>
      </w:r>
      <w:r>
        <w:rPr>
          <w:rStyle w:val="FootnoteReference"/>
        </w:rPr>
        <w:footnoteReference w:id="46"/>
      </w:r>
      <w:r>
        <w:t>, elle permet de financer des réformes et des investissements réalisés dans les États membres depuis le début de la pandémie de COVID-19 en février 2020 et jusqu’en 2026. L’article 23 du règlement (UE)2021/241 autorise l’utilisation de tranches annuelles. En 2023, la FRR a été modifiée par le règlement (UE) 2023/435 afin d’apporter un soutien supplémentaire aux États membres au moyen de chapitres REPowerEU pour les réformes et les investissements favorisant l’indépendance, la sécurité et la durabilité de l’approvisionnement énergétique de l’Union.</w:t>
      </w:r>
    </w:p>
    <w:p>
      <w:pPr>
        <w:pStyle w:val="HEADER5"/>
        <w:rPr>
          <w:noProof/>
        </w:rPr>
      </w:pPr>
      <w:r>
        <w:rPr>
          <w:noProof/>
        </w:rPr>
        <w:t>EURATOM</w:t>
      </w:r>
    </w:p>
    <w:p>
      <w:pPr>
        <w:pStyle w:val="DGTextstand-alone"/>
      </w:pPr>
      <w:r>
        <w:t>Euratom est un programme fondé sur le règlement (Euratom) 2021/765 du Conseil</w:t>
      </w:r>
      <w:r>
        <w:rPr>
          <w:vertAlign w:val="superscript"/>
        </w:rPr>
        <w:footnoteReference w:id="47"/>
      </w:r>
      <w:r>
        <w:t>. L’article 4 dudit règlement prévoit l’utilisation de tranches annuelles.</w:t>
      </w:r>
    </w:p>
    <w:p>
      <w:pPr>
        <w:pStyle w:val="DGTextstand-alone"/>
      </w:pPr>
      <w:r>
        <w:t>Le programme Euratom a pour objectif général de mener des activités de recherche et de formation dans le domaine nucléaire en mettant l’accent sur l’amélioration continue de la sûreté et de la sécurité nucléaires et de la radioprotection, ainsi que de compléter la réalisation des objectifs d’Horizon Europe, notamment dans le contexte de la transition énergétique. Il accorde des subventions à la recherche au moyen d’appels à propositions concurrentiels ainsi qu’à des bénéficiaires désignés.</w:t>
      </w:r>
    </w:p>
    <w:p>
      <w:pPr>
        <w:pStyle w:val="HEADER5"/>
        <w:rPr>
          <w:noProof/>
        </w:rPr>
      </w:pPr>
      <w:r>
        <w:rPr>
          <w:noProof/>
        </w:rPr>
        <w:t>Engagements au titre de contrats de location simple</w:t>
      </w:r>
    </w:p>
    <w:p>
      <w:pPr>
        <w:pStyle w:val="DGTextstand-alone"/>
        <w:spacing w:after="0"/>
      </w:pPr>
      <w:r>
        <w:t>Les montants minimaux à payer en vertu des contrats sous-jacents pendant la durée résiduelle de ces contrats de location sont les suivants: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91"/>
        <w:gridCol w:w="1641"/>
        <w:gridCol w:w="1642"/>
        <w:gridCol w:w="1642"/>
        <w:gridCol w:w="1642"/>
      </w:tblGrid>
      <w:tr>
        <w:trPr>
          <w:trHeight w:val="255"/>
        </w:trPr>
        <w:tc>
          <w:tcPr>
            <w:tcW w:w="3191" w:type="dxa"/>
            <w:tcBorders>
              <w:top w:val="nil"/>
              <w:left w:val="nil"/>
              <w:bottom w:val="nil"/>
              <w:right w:val="nil"/>
              <w:tl2br w:val="nil"/>
              <w:tr2bl w:val="nil"/>
            </w:tcBorders>
            <w:shd w:val="solid" w:color="FFFFFF" w:fill="FFFFFF"/>
            <w:tcMar>
              <w:left w:w="60" w:type="dxa"/>
              <w:right w:w="60" w:type="dxa"/>
            </w:tcMar>
            <w:vAlign w:val="bottom"/>
          </w:tcPr>
          <w:p>
            <w:pPr>
              <w:pStyle w:val="DMETW36761BIPPPERE"/>
              <w:rPr>
                <w:rFonts w:ascii="Arial" w:eastAsia="Arial" w:hAnsi="Arial" w:cs="Arial"/>
                <w:noProof/>
                <w:color w:val="000000"/>
              </w:rPr>
            </w:pPr>
            <w:bookmarkStart w:id="217" w:name="DOC_TBL00087_1_1"/>
            <w:bookmarkEnd w:id="217"/>
          </w:p>
        </w:tc>
        <w:tc>
          <w:tcPr>
            <w:tcW w:w="1641" w:type="dxa"/>
            <w:tcBorders>
              <w:top w:val="nil"/>
              <w:left w:val="nil"/>
              <w:bottom w:val="nil"/>
              <w:right w:val="nil"/>
              <w:tl2br w:val="nil"/>
              <w:tr2bl w:val="nil"/>
            </w:tcBorders>
            <w:shd w:val="solid" w:color="FFFFFF" w:fill="FFFFFF"/>
            <w:tcMar>
              <w:left w:w="60" w:type="dxa"/>
              <w:right w:w="60" w:type="dxa"/>
            </w:tcMar>
            <w:vAlign w:val="bottom"/>
          </w:tcPr>
          <w:p>
            <w:pPr>
              <w:pStyle w:val="DMETW36761BIPPPERE"/>
              <w:rPr>
                <w:rFonts w:ascii="Arial" w:eastAsia="Arial" w:hAnsi="Arial" w:cs="Arial"/>
                <w:noProof/>
                <w:color w:val="000000"/>
              </w:rPr>
            </w:pPr>
          </w:p>
        </w:tc>
        <w:tc>
          <w:tcPr>
            <w:tcW w:w="1642" w:type="dxa"/>
            <w:tcBorders>
              <w:top w:val="nil"/>
              <w:left w:val="nil"/>
              <w:bottom w:val="nil"/>
              <w:right w:val="nil"/>
              <w:tl2br w:val="nil"/>
              <w:tr2bl w:val="nil"/>
            </w:tcBorders>
            <w:shd w:val="solid" w:color="FFFFFF" w:fill="FFFFFF"/>
            <w:tcMar>
              <w:left w:w="60" w:type="dxa"/>
              <w:right w:w="60" w:type="dxa"/>
            </w:tcMar>
            <w:vAlign w:val="bottom"/>
          </w:tcPr>
          <w:p>
            <w:pPr>
              <w:pStyle w:val="DMETW36761BIPPPERE"/>
              <w:rPr>
                <w:rFonts w:ascii="Arial" w:eastAsia="Arial" w:hAnsi="Arial" w:cs="Arial"/>
                <w:noProof/>
                <w:color w:val="000000"/>
              </w:rPr>
            </w:pPr>
          </w:p>
        </w:tc>
        <w:tc>
          <w:tcPr>
            <w:tcW w:w="1642" w:type="dxa"/>
            <w:tcBorders>
              <w:top w:val="nil"/>
              <w:left w:val="nil"/>
              <w:bottom w:val="nil"/>
              <w:right w:val="nil"/>
              <w:tl2br w:val="nil"/>
              <w:tr2bl w:val="nil"/>
            </w:tcBorders>
            <w:shd w:val="solid" w:color="FFFFFF" w:fill="FFFFFF"/>
            <w:tcMar>
              <w:left w:w="60" w:type="dxa"/>
              <w:right w:w="60" w:type="dxa"/>
            </w:tcMar>
            <w:vAlign w:val="bottom"/>
          </w:tcPr>
          <w:p>
            <w:pPr>
              <w:pStyle w:val="DMETW36761BIPPPERE"/>
              <w:rPr>
                <w:rFonts w:ascii="Arial" w:eastAsia="Arial" w:hAnsi="Arial" w:cs="Arial"/>
                <w:noProof/>
                <w:color w:val="000000"/>
              </w:rPr>
            </w:pPr>
          </w:p>
        </w:tc>
        <w:tc>
          <w:tcPr>
            <w:tcW w:w="1642" w:type="dxa"/>
            <w:tcBorders>
              <w:top w:val="nil"/>
              <w:left w:val="nil"/>
              <w:bottom w:val="nil"/>
              <w:right w:val="nil"/>
              <w:tl2br w:val="nil"/>
              <w:tr2bl w:val="nil"/>
            </w:tcBorders>
            <w:shd w:val="solid" w:color="FFFFFF" w:fill="FFFFFF"/>
            <w:tcMar>
              <w:left w:w="60" w:type="dxa"/>
              <w:right w:w="60" w:type="dxa"/>
            </w:tcMar>
            <w:vAlign w:val="bottom"/>
          </w:tcPr>
          <w:p>
            <w:pPr>
              <w:pStyle w:val="DMETW36761BIPPPERE"/>
              <w:jc w:val="right"/>
              <w:rPr>
                <w:rFonts w:ascii="Verdana" w:eastAsia="Verdana" w:hAnsi="Verdana" w:cs="Verdana"/>
                <w:i/>
                <w:noProof/>
                <w:color w:val="000000"/>
                <w:sz w:val="16"/>
              </w:rPr>
            </w:pPr>
            <w:r>
              <w:rPr>
                <w:rFonts w:ascii="Verdana" w:hAnsi="Verdana"/>
                <w:i/>
                <w:noProof/>
                <w:color w:val="000000"/>
                <w:sz w:val="16"/>
              </w:rPr>
              <w:t>en Mio EUR</w:t>
            </w:r>
          </w:p>
        </w:tc>
      </w:tr>
      <w:tr>
        <w:trPr>
          <w:trHeight w:val="255"/>
        </w:trPr>
        <w:tc>
          <w:tcPr>
            <w:tcW w:w="3191"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761BIPPPERE"/>
              <w:jc w:val="center"/>
              <w:rPr>
                <w:rFonts w:ascii="Verdana" w:eastAsia="Verdana" w:hAnsi="Verdana" w:cs="Verdana"/>
                <w:noProof/>
                <w:color w:val="FFFFFF"/>
              </w:rPr>
            </w:pPr>
          </w:p>
        </w:tc>
        <w:tc>
          <w:tcPr>
            <w:tcW w:w="1641" w:type="dxa"/>
            <w:gridSpan w:val="4"/>
            <w:tcBorders>
              <w:top w:val="nil"/>
              <w:left w:val="nil"/>
              <w:bottom w:val="nil"/>
              <w:right w:val="nil"/>
              <w:tl2br w:val="nil"/>
              <w:tr2bl w:val="nil"/>
            </w:tcBorders>
            <w:shd w:val="solid" w:color="016794" w:fill="FFFFFF"/>
            <w:tcMar>
              <w:left w:w="60" w:type="dxa"/>
              <w:right w:w="60" w:type="dxa"/>
            </w:tcMar>
            <w:vAlign w:val="center"/>
          </w:tcPr>
          <w:p>
            <w:pPr>
              <w:pStyle w:val="DMETW36761BIPPPERE"/>
              <w:jc w:val="center"/>
              <w:rPr>
                <w:rFonts w:ascii="Verdana" w:eastAsia="Verdana" w:hAnsi="Verdana" w:cs="Verdana"/>
                <w:noProof/>
                <w:color w:val="FFFFFF"/>
              </w:rPr>
            </w:pPr>
            <w:r>
              <w:rPr>
                <w:rFonts w:ascii="Verdana" w:hAnsi="Verdana"/>
                <w:noProof/>
                <w:color w:val="FFFFFF"/>
              </w:rPr>
              <w:t>Paiements minimaux au titre de crédits-bails</w:t>
            </w:r>
          </w:p>
        </w:tc>
      </w:tr>
      <w:tr>
        <w:trPr>
          <w:trHeight w:val="255"/>
        </w:trPr>
        <w:tc>
          <w:tcPr>
            <w:tcW w:w="3345" w:type="dxa"/>
            <w:vMerge/>
            <w:tcBorders>
              <w:top w:val="nil"/>
              <w:left w:val="nil"/>
              <w:bottom w:val="nil"/>
              <w:right w:val="nil"/>
              <w:tl2br w:val="nil"/>
              <w:tr2bl w:val="nil"/>
            </w:tcBorders>
            <w:shd w:val="solid" w:color="016794" w:fill="FFFFFF"/>
            <w:tcMar>
              <w:left w:w="60" w:type="dxa"/>
              <w:right w:w="60" w:type="dxa"/>
            </w:tcMar>
            <w:vAlign w:val="center"/>
          </w:tcPr>
          <w:p>
            <w:pPr>
              <w:pStyle w:val="DMETW36761BIPPPERE"/>
              <w:jc w:val="center"/>
              <w:rPr>
                <w:rFonts w:ascii="Verdana" w:eastAsia="Verdana" w:hAnsi="Verdana" w:cs="Verdana"/>
                <w:noProof/>
                <w:color w:val="FFFFFF"/>
              </w:rPr>
            </w:pPr>
          </w:p>
        </w:tc>
        <w:tc>
          <w:tcPr>
            <w:tcW w:w="1641" w:type="dxa"/>
            <w:tcBorders>
              <w:top w:val="nil"/>
              <w:left w:val="nil"/>
              <w:bottom w:val="nil"/>
              <w:right w:val="nil"/>
              <w:tl2br w:val="nil"/>
              <w:tr2bl w:val="nil"/>
            </w:tcBorders>
            <w:shd w:val="solid" w:color="3486A9" w:fill="FFFFFF"/>
            <w:tcMar>
              <w:left w:w="60" w:type="dxa"/>
              <w:right w:w="60" w:type="dxa"/>
            </w:tcMar>
            <w:vAlign w:val="center"/>
          </w:tcPr>
          <w:p>
            <w:pPr>
              <w:pStyle w:val="DMETW36761BIPPPERE"/>
              <w:jc w:val="right"/>
              <w:rPr>
                <w:rFonts w:ascii="Verdana" w:eastAsia="Verdana" w:hAnsi="Verdana" w:cs="Verdana"/>
                <w:noProof/>
                <w:color w:val="FFFFFF"/>
              </w:rPr>
            </w:pPr>
            <w:r>
              <w:rPr>
                <w:rFonts w:ascii="Verdana" w:hAnsi="Verdana"/>
                <w:noProof/>
                <w:color w:val="FFFFFF"/>
              </w:rPr>
              <w:t>&lt; 1 an</w:t>
            </w:r>
          </w:p>
        </w:tc>
        <w:tc>
          <w:tcPr>
            <w:tcW w:w="1642" w:type="dxa"/>
            <w:tcBorders>
              <w:top w:val="nil"/>
              <w:left w:val="nil"/>
              <w:bottom w:val="nil"/>
              <w:right w:val="nil"/>
              <w:tl2br w:val="nil"/>
              <w:tr2bl w:val="nil"/>
            </w:tcBorders>
            <w:shd w:val="solid" w:color="3486A9" w:fill="FFFFFF"/>
            <w:tcMar>
              <w:left w:w="60" w:type="dxa"/>
              <w:right w:w="60" w:type="dxa"/>
            </w:tcMar>
            <w:vAlign w:val="center"/>
          </w:tcPr>
          <w:p>
            <w:pPr>
              <w:pStyle w:val="DMETW36761BIPPPERE"/>
              <w:jc w:val="right"/>
              <w:rPr>
                <w:rFonts w:ascii="Verdana" w:eastAsia="Verdana" w:hAnsi="Verdana" w:cs="Verdana"/>
                <w:noProof/>
                <w:color w:val="FFFFFF"/>
              </w:rPr>
            </w:pPr>
            <w:r>
              <w:rPr>
                <w:rFonts w:ascii="Verdana" w:hAnsi="Verdana"/>
                <w:noProof/>
                <w:color w:val="FFFFFF"/>
              </w:rPr>
              <w:t>1-5 ans</w:t>
            </w:r>
          </w:p>
        </w:tc>
        <w:tc>
          <w:tcPr>
            <w:tcW w:w="1642" w:type="dxa"/>
            <w:tcBorders>
              <w:top w:val="nil"/>
              <w:left w:val="nil"/>
              <w:bottom w:val="nil"/>
              <w:right w:val="nil"/>
              <w:tl2br w:val="nil"/>
              <w:tr2bl w:val="nil"/>
            </w:tcBorders>
            <w:shd w:val="solid" w:color="3486A9" w:fill="FFFFFF"/>
            <w:tcMar>
              <w:left w:w="60" w:type="dxa"/>
              <w:right w:w="60" w:type="dxa"/>
            </w:tcMar>
            <w:vAlign w:val="center"/>
          </w:tcPr>
          <w:p>
            <w:pPr>
              <w:pStyle w:val="DMETW36761BIPPPERE"/>
              <w:jc w:val="right"/>
              <w:rPr>
                <w:rFonts w:ascii="Verdana" w:eastAsia="Verdana" w:hAnsi="Verdana" w:cs="Verdana"/>
                <w:noProof/>
                <w:color w:val="FFFFFF"/>
              </w:rPr>
            </w:pPr>
            <w:r>
              <w:rPr>
                <w:rFonts w:ascii="Verdana" w:hAnsi="Verdana"/>
                <w:noProof/>
                <w:color w:val="FFFFFF"/>
              </w:rPr>
              <w:t>&gt; 5 ans</w:t>
            </w:r>
          </w:p>
        </w:tc>
        <w:tc>
          <w:tcPr>
            <w:tcW w:w="1642" w:type="dxa"/>
            <w:tcBorders>
              <w:top w:val="nil"/>
              <w:left w:val="nil"/>
              <w:bottom w:val="nil"/>
              <w:right w:val="nil"/>
              <w:tl2br w:val="nil"/>
              <w:tr2bl w:val="nil"/>
            </w:tcBorders>
            <w:shd w:val="solid" w:color="3486A9" w:fill="FFFFFF"/>
            <w:tcMar>
              <w:left w:w="60" w:type="dxa"/>
              <w:right w:w="60" w:type="dxa"/>
            </w:tcMar>
            <w:vAlign w:val="center"/>
          </w:tcPr>
          <w:p>
            <w:pPr>
              <w:pStyle w:val="DMETW36761BIPPPERE"/>
              <w:jc w:val="right"/>
              <w:rPr>
                <w:rFonts w:ascii="Verdana" w:eastAsia="Verdana" w:hAnsi="Verdana" w:cs="Verdana"/>
                <w:noProof/>
                <w:color w:val="FFFFFF"/>
              </w:rPr>
            </w:pPr>
            <w:r>
              <w:rPr>
                <w:rFonts w:ascii="Verdana" w:hAnsi="Verdana"/>
                <w:noProof/>
                <w:color w:val="FFFFFF"/>
              </w:rPr>
              <w:t>Total</w:t>
            </w:r>
          </w:p>
        </w:tc>
      </w:tr>
      <w:tr>
        <w:trPr>
          <w:trHeight w:val="255"/>
        </w:trPr>
        <w:tc>
          <w:tcPr>
            <w:tcW w:w="3191" w:type="dxa"/>
            <w:tcBorders>
              <w:top w:val="nil"/>
              <w:left w:val="nil"/>
              <w:bottom w:val="nil"/>
              <w:right w:val="nil"/>
              <w:tl2br w:val="nil"/>
              <w:tr2bl w:val="nil"/>
            </w:tcBorders>
            <w:shd w:val="solid" w:color="FFFFFF" w:fill="FFFFFF"/>
            <w:tcMar>
              <w:left w:w="60" w:type="dxa"/>
              <w:right w:w="60" w:type="dxa"/>
            </w:tcMar>
            <w:vAlign w:val="center"/>
          </w:tcPr>
          <w:p>
            <w:pPr>
              <w:pStyle w:val="DMETW36761BIPPPERE"/>
              <w:rPr>
                <w:rFonts w:ascii="Verdana" w:eastAsia="Verdana" w:hAnsi="Verdana" w:cs="Verdana"/>
                <w:i/>
                <w:noProof/>
                <w:color w:val="000000"/>
                <w:sz w:val="18"/>
              </w:rPr>
            </w:pPr>
            <w:r>
              <w:rPr>
                <w:rFonts w:ascii="Verdana" w:hAnsi="Verdana"/>
                <w:i/>
                <w:noProof/>
                <w:color w:val="000000"/>
                <w:sz w:val="18"/>
              </w:rPr>
              <w:t>Bâtiments</w:t>
            </w:r>
          </w:p>
        </w:tc>
        <w:tc>
          <w:tcPr>
            <w:tcW w:w="1641" w:type="dxa"/>
            <w:tcBorders>
              <w:top w:val="nil"/>
              <w:left w:val="nil"/>
              <w:bottom w:val="nil"/>
              <w:right w:val="nil"/>
              <w:tl2br w:val="nil"/>
              <w:tr2bl w:val="nil"/>
            </w:tcBorders>
            <w:shd w:val="solid" w:color="FFFFFF" w:fill="FFFFFF"/>
            <w:tcMar>
              <w:left w:w="60" w:type="dxa"/>
              <w:right w:w="60" w:type="dxa"/>
            </w:tcMar>
            <w:vAlign w:val="center"/>
          </w:tcPr>
          <w:p>
            <w:pPr>
              <w:pStyle w:val="DMETW36761BIPPPERE"/>
              <w:jc w:val="right"/>
              <w:rPr>
                <w:rFonts w:ascii="Verdana" w:eastAsia="Verdana" w:hAnsi="Verdana" w:cs="Verdana"/>
                <w:i/>
                <w:noProof/>
                <w:color w:val="000000"/>
                <w:sz w:val="18"/>
              </w:rPr>
            </w:pPr>
            <w:r>
              <w:rPr>
                <w:rFonts w:ascii="Verdana" w:hAnsi="Verdana"/>
                <w:i/>
                <w:noProof/>
                <w:color w:val="000000"/>
                <w:sz w:val="18"/>
              </w:rPr>
              <w:t xml:space="preserve"> 490</w:t>
            </w:r>
          </w:p>
        </w:tc>
        <w:tc>
          <w:tcPr>
            <w:tcW w:w="1642" w:type="dxa"/>
            <w:tcBorders>
              <w:top w:val="nil"/>
              <w:left w:val="nil"/>
              <w:bottom w:val="nil"/>
              <w:right w:val="nil"/>
              <w:tl2br w:val="nil"/>
              <w:tr2bl w:val="nil"/>
            </w:tcBorders>
            <w:shd w:val="solid" w:color="FFFFFF" w:fill="FFFFFF"/>
            <w:tcMar>
              <w:left w:w="60" w:type="dxa"/>
              <w:right w:w="60" w:type="dxa"/>
            </w:tcMar>
            <w:vAlign w:val="center"/>
          </w:tcPr>
          <w:p>
            <w:pPr>
              <w:pStyle w:val="DMETW36761BIPPPERE"/>
              <w:jc w:val="right"/>
              <w:rPr>
                <w:rFonts w:ascii="Verdana" w:eastAsia="Verdana" w:hAnsi="Verdana" w:cs="Verdana"/>
                <w:i/>
                <w:noProof/>
                <w:color w:val="000000"/>
                <w:sz w:val="18"/>
              </w:rPr>
            </w:pPr>
            <w:r>
              <w:rPr>
                <w:rFonts w:ascii="Verdana" w:hAnsi="Verdana"/>
                <w:i/>
                <w:noProof/>
                <w:color w:val="000000"/>
                <w:sz w:val="18"/>
              </w:rPr>
              <w:t>1 183</w:t>
            </w:r>
          </w:p>
        </w:tc>
        <w:tc>
          <w:tcPr>
            <w:tcW w:w="1642" w:type="dxa"/>
            <w:tcBorders>
              <w:top w:val="nil"/>
              <w:left w:val="nil"/>
              <w:bottom w:val="nil"/>
              <w:right w:val="nil"/>
              <w:tl2br w:val="nil"/>
              <w:tr2bl w:val="nil"/>
            </w:tcBorders>
            <w:shd w:val="solid" w:color="FFFFFF" w:fill="FFFFFF"/>
            <w:tcMar>
              <w:left w:w="60" w:type="dxa"/>
              <w:right w:w="60" w:type="dxa"/>
            </w:tcMar>
            <w:vAlign w:val="center"/>
          </w:tcPr>
          <w:p>
            <w:pPr>
              <w:pStyle w:val="DMETW36761BIPPPERE"/>
              <w:jc w:val="right"/>
              <w:rPr>
                <w:rFonts w:ascii="Verdana" w:eastAsia="Verdana" w:hAnsi="Verdana" w:cs="Verdana"/>
                <w:i/>
                <w:noProof/>
                <w:color w:val="000000"/>
                <w:sz w:val="18"/>
              </w:rPr>
            </w:pPr>
            <w:r>
              <w:rPr>
                <w:rFonts w:ascii="Verdana" w:hAnsi="Verdana"/>
                <w:i/>
                <w:noProof/>
                <w:color w:val="000000"/>
                <w:sz w:val="18"/>
              </w:rPr>
              <w:t>1 267</w:t>
            </w:r>
          </w:p>
        </w:tc>
        <w:tc>
          <w:tcPr>
            <w:tcW w:w="1642" w:type="dxa"/>
            <w:tcBorders>
              <w:top w:val="nil"/>
              <w:left w:val="nil"/>
              <w:bottom w:val="nil"/>
              <w:right w:val="nil"/>
              <w:tl2br w:val="nil"/>
              <w:tr2bl w:val="nil"/>
            </w:tcBorders>
            <w:shd w:val="solid" w:color="FFFFFF" w:fill="FFFFFF"/>
            <w:tcMar>
              <w:left w:w="60" w:type="dxa"/>
              <w:right w:w="60" w:type="dxa"/>
            </w:tcMar>
            <w:vAlign w:val="center"/>
          </w:tcPr>
          <w:p>
            <w:pPr>
              <w:pStyle w:val="DMETW36761BIPPPERE"/>
              <w:jc w:val="right"/>
              <w:rPr>
                <w:rFonts w:ascii="Verdana" w:eastAsia="Verdana" w:hAnsi="Verdana" w:cs="Verdana"/>
                <w:i/>
                <w:noProof/>
                <w:color w:val="000000"/>
                <w:sz w:val="18"/>
              </w:rPr>
            </w:pPr>
            <w:r>
              <w:rPr>
                <w:rFonts w:ascii="Verdana" w:hAnsi="Verdana"/>
                <w:i/>
                <w:noProof/>
                <w:color w:val="000000"/>
                <w:sz w:val="18"/>
              </w:rPr>
              <w:t>2 939</w:t>
            </w:r>
          </w:p>
        </w:tc>
      </w:tr>
      <w:tr>
        <w:trPr>
          <w:trHeight w:val="666"/>
        </w:trPr>
        <w:tc>
          <w:tcPr>
            <w:tcW w:w="3191" w:type="dxa"/>
            <w:tcBorders>
              <w:top w:val="nil"/>
              <w:left w:val="nil"/>
              <w:bottom w:val="single" w:sz="4" w:space="0" w:color="016794"/>
              <w:right w:val="nil"/>
              <w:tl2br w:val="nil"/>
              <w:tr2bl w:val="nil"/>
            </w:tcBorders>
            <w:shd w:val="solid" w:color="FFFFFF" w:fill="FFFFFF"/>
            <w:tcMar>
              <w:left w:w="60" w:type="dxa"/>
              <w:right w:w="60" w:type="dxa"/>
            </w:tcMar>
            <w:vAlign w:val="center"/>
          </w:tcPr>
          <w:p>
            <w:pPr>
              <w:pStyle w:val="DMETW36761BIPPPERE"/>
              <w:rPr>
                <w:rFonts w:ascii="Verdana" w:eastAsia="Verdana" w:hAnsi="Verdana" w:cs="Verdana"/>
                <w:i/>
                <w:noProof/>
                <w:color w:val="000000"/>
                <w:sz w:val="18"/>
              </w:rPr>
            </w:pPr>
            <w:r>
              <w:rPr>
                <w:rFonts w:ascii="Verdana" w:hAnsi="Verdana"/>
                <w:i/>
                <w:noProof/>
                <w:color w:val="000000"/>
                <w:sz w:val="18"/>
              </w:rPr>
              <w:t>Matériel informatique et autres équipements</w:t>
            </w:r>
          </w:p>
        </w:tc>
        <w:tc>
          <w:tcPr>
            <w:tcW w:w="1641" w:type="dxa"/>
            <w:tcBorders>
              <w:top w:val="nil"/>
              <w:left w:val="nil"/>
              <w:bottom w:val="single" w:sz="4" w:space="0" w:color="016794"/>
              <w:right w:val="nil"/>
              <w:tl2br w:val="nil"/>
              <w:tr2bl w:val="nil"/>
            </w:tcBorders>
            <w:shd w:val="solid" w:color="FFFFFF" w:fill="FFFFFF"/>
            <w:tcMar>
              <w:left w:w="60" w:type="dxa"/>
              <w:right w:w="60" w:type="dxa"/>
            </w:tcMar>
            <w:vAlign w:val="center"/>
          </w:tcPr>
          <w:p>
            <w:pPr>
              <w:pStyle w:val="DMETW36761BIPPPERE"/>
              <w:jc w:val="right"/>
              <w:rPr>
                <w:rFonts w:ascii="Verdana" w:eastAsia="Verdana" w:hAnsi="Verdana" w:cs="Verdana"/>
                <w:i/>
                <w:noProof/>
                <w:color w:val="000000"/>
                <w:sz w:val="18"/>
              </w:rPr>
            </w:pPr>
            <w:r>
              <w:rPr>
                <w:rFonts w:ascii="Verdana" w:hAnsi="Verdana"/>
                <w:i/>
                <w:noProof/>
                <w:color w:val="000000"/>
                <w:sz w:val="18"/>
              </w:rPr>
              <w:t xml:space="preserve"> 14</w:t>
            </w:r>
          </w:p>
        </w:tc>
        <w:tc>
          <w:tcPr>
            <w:tcW w:w="1642" w:type="dxa"/>
            <w:tcBorders>
              <w:top w:val="nil"/>
              <w:left w:val="nil"/>
              <w:bottom w:val="single" w:sz="4" w:space="0" w:color="016794"/>
              <w:right w:val="nil"/>
              <w:tl2br w:val="nil"/>
              <w:tr2bl w:val="nil"/>
            </w:tcBorders>
            <w:shd w:val="solid" w:color="FFFFFF" w:fill="FFFFFF"/>
            <w:tcMar>
              <w:left w:w="60" w:type="dxa"/>
              <w:right w:w="60" w:type="dxa"/>
            </w:tcMar>
            <w:vAlign w:val="center"/>
          </w:tcPr>
          <w:p>
            <w:pPr>
              <w:pStyle w:val="DMETW36761BIPPPERE"/>
              <w:jc w:val="right"/>
              <w:rPr>
                <w:rFonts w:ascii="Verdana" w:eastAsia="Verdana" w:hAnsi="Verdana" w:cs="Verdana"/>
                <w:i/>
                <w:noProof/>
                <w:color w:val="000000"/>
                <w:sz w:val="18"/>
              </w:rPr>
            </w:pPr>
            <w:r>
              <w:rPr>
                <w:rFonts w:ascii="Verdana" w:hAnsi="Verdana"/>
                <w:i/>
                <w:noProof/>
                <w:color w:val="000000"/>
                <w:sz w:val="18"/>
              </w:rPr>
              <w:t xml:space="preserve"> 37</w:t>
            </w:r>
          </w:p>
        </w:tc>
        <w:tc>
          <w:tcPr>
            <w:tcW w:w="1642" w:type="dxa"/>
            <w:tcBorders>
              <w:top w:val="nil"/>
              <w:left w:val="nil"/>
              <w:bottom w:val="single" w:sz="4" w:space="0" w:color="016794"/>
              <w:right w:val="nil"/>
              <w:tl2br w:val="nil"/>
              <w:tr2bl w:val="nil"/>
            </w:tcBorders>
            <w:shd w:val="solid" w:color="FFFFFF" w:fill="FFFFFF"/>
            <w:tcMar>
              <w:left w:w="60" w:type="dxa"/>
              <w:right w:w="60" w:type="dxa"/>
            </w:tcMar>
            <w:vAlign w:val="center"/>
          </w:tcPr>
          <w:p>
            <w:pPr>
              <w:pStyle w:val="DMETW36761BIPPPERE"/>
              <w:jc w:val="right"/>
              <w:rPr>
                <w:rFonts w:ascii="Verdana" w:eastAsia="Verdana" w:hAnsi="Verdana" w:cs="Verdana"/>
                <w:i/>
                <w:noProof/>
                <w:color w:val="000000"/>
                <w:sz w:val="18"/>
              </w:rPr>
            </w:pPr>
            <w:r>
              <w:rPr>
                <w:rFonts w:ascii="Verdana" w:hAnsi="Verdana"/>
                <w:i/>
                <w:noProof/>
                <w:color w:val="000000"/>
                <w:sz w:val="18"/>
              </w:rPr>
              <w:t xml:space="preserve"> 7</w:t>
            </w:r>
          </w:p>
        </w:tc>
        <w:tc>
          <w:tcPr>
            <w:tcW w:w="1642" w:type="dxa"/>
            <w:tcBorders>
              <w:top w:val="nil"/>
              <w:left w:val="nil"/>
              <w:bottom w:val="single" w:sz="4" w:space="0" w:color="016794"/>
              <w:right w:val="nil"/>
              <w:tl2br w:val="nil"/>
              <w:tr2bl w:val="nil"/>
            </w:tcBorders>
            <w:shd w:val="solid" w:color="FFFFFF" w:fill="FFFFFF"/>
            <w:tcMar>
              <w:left w:w="60" w:type="dxa"/>
              <w:right w:w="60" w:type="dxa"/>
            </w:tcMar>
            <w:vAlign w:val="center"/>
          </w:tcPr>
          <w:p>
            <w:pPr>
              <w:pStyle w:val="DMETW36761BIPPPERE"/>
              <w:jc w:val="right"/>
              <w:rPr>
                <w:rFonts w:ascii="Verdana" w:eastAsia="Verdana" w:hAnsi="Verdana" w:cs="Verdana"/>
                <w:i/>
                <w:noProof/>
                <w:color w:val="000000"/>
                <w:sz w:val="18"/>
              </w:rPr>
            </w:pPr>
            <w:r>
              <w:rPr>
                <w:rFonts w:ascii="Verdana" w:hAnsi="Verdana"/>
                <w:i/>
                <w:noProof/>
                <w:color w:val="000000"/>
                <w:sz w:val="18"/>
              </w:rPr>
              <w:t xml:space="preserve"> 58</w:t>
            </w:r>
          </w:p>
        </w:tc>
      </w:tr>
      <w:tr>
        <w:trPr>
          <w:trHeight w:val="255"/>
        </w:trPr>
        <w:tc>
          <w:tcPr>
            <w:tcW w:w="3191"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36761BIPPPERE"/>
              <w:rPr>
                <w:rFonts w:ascii="Verdana" w:eastAsia="Verdana" w:hAnsi="Verdana" w:cs="Verdana"/>
                <w:b/>
                <w:noProof/>
                <w:color w:val="000000"/>
                <w:sz w:val="18"/>
              </w:rPr>
            </w:pPr>
            <w:r>
              <w:rPr>
                <w:rFonts w:ascii="Verdana" w:hAnsi="Verdana"/>
                <w:b/>
                <w:noProof/>
                <w:color w:val="000000"/>
                <w:sz w:val="18"/>
              </w:rPr>
              <w:t>Total</w:t>
            </w:r>
          </w:p>
        </w:tc>
        <w:tc>
          <w:tcPr>
            <w:tcW w:w="1641"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36761BIPPPERE"/>
              <w:jc w:val="right"/>
              <w:rPr>
                <w:rFonts w:ascii="Verdana" w:eastAsia="Verdana" w:hAnsi="Verdana" w:cs="Verdana"/>
                <w:b/>
                <w:noProof/>
                <w:color w:val="000000"/>
                <w:sz w:val="18"/>
              </w:rPr>
            </w:pPr>
            <w:r>
              <w:rPr>
                <w:rFonts w:ascii="Verdana" w:hAnsi="Verdana"/>
                <w:b/>
                <w:noProof/>
                <w:color w:val="000000"/>
                <w:sz w:val="18"/>
              </w:rPr>
              <w:t xml:space="preserve"> 504</w:t>
            </w:r>
          </w:p>
        </w:tc>
        <w:tc>
          <w:tcPr>
            <w:tcW w:w="1642"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36761BIPPPERE"/>
              <w:jc w:val="right"/>
              <w:rPr>
                <w:rFonts w:ascii="Verdana" w:eastAsia="Verdana" w:hAnsi="Verdana" w:cs="Verdana"/>
                <w:b/>
                <w:noProof/>
                <w:color w:val="000000"/>
                <w:sz w:val="18"/>
              </w:rPr>
            </w:pPr>
            <w:r>
              <w:rPr>
                <w:rFonts w:ascii="Verdana" w:hAnsi="Verdana"/>
                <w:b/>
                <w:noProof/>
                <w:color w:val="000000"/>
                <w:sz w:val="18"/>
              </w:rPr>
              <w:t>1 220</w:t>
            </w:r>
          </w:p>
        </w:tc>
        <w:tc>
          <w:tcPr>
            <w:tcW w:w="1642"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36761BIPPPERE"/>
              <w:jc w:val="right"/>
              <w:rPr>
                <w:rFonts w:ascii="Verdana" w:eastAsia="Verdana" w:hAnsi="Verdana" w:cs="Verdana"/>
                <w:b/>
                <w:noProof/>
                <w:color w:val="000000"/>
                <w:sz w:val="18"/>
              </w:rPr>
            </w:pPr>
            <w:r>
              <w:rPr>
                <w:rFonts w:ascii="Verdana" w:hAnsi="Verdana"/>
                <w:b/>
                <w:noProof/>
                <w:color w:val="000000"/>
                <w:sz w:val="18"/>
              </w:rPr>
              <w:t>1 273</w:t>
            </w:r>
          </w:p>
        </w:tc>
        <w:tc>
          <w:tcPr>
            <w:tcW w:w="1642"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36761BIPPPERE"/>
              <w:jc w:val="right"/>
              <w:rPr>
                <w:rFonts w:ascii="Verdana" w:eastAsia="Verdana" w:hAnsi="Verdana" w:cs="Verdana"/>
                <w:b/>
                <w:noProof/>
                <w:color w:val="000000"/>
                <w:sz w:val="18"/>
              </w:rPr>
            </w:pPr>
            <w:r>
              <w:rPr>
                <w:rFonts w:ascii="Verdana" w:hAnsi="Verdana"/>
                <w:b/>
                <w:noProof/>
                <w:color w:val="000000"/>
                <w:sz w:val="18"/>
              </w:rPr>
              <w:t>2 997</w:t>
            </w:r>
          </w:p>
        </w:tc>
      </w:tr>
    </w:tbl>
    <w:p>
      <w:pPr>
        <w:pStyle w:val="Heading7pNormalCentered"/>
        <w:rPr>
          <w:lang w:bidi="en-GB"/>
        </w:rPr>
      </w:pPr>
    </w:p>
    <w:p>
      <w:pPr>
        <w:pStyle w:val="DGTextstand-alone"/>
      </w:pPr>
      <w:r>
        <w:t>En mars 2019, dans le contexte de la notification, par le Royaume-Uni, de son intention de se retirer de l’UE, et à la suite du règlement (UE) 2018/1718</w:t>
      </w:r>
      <w:r>
        <w:rPr>
          <w:rStyle w:val="FootnoteReference"/>
        </w:rPr>
        <w:footnoteReference w:id="48"/>
      </w:r>
      <w:r>
        <w:t>, le siège de l’Agence européenne des médicaments (EMA) a été transféré de Londres à Amsterdam. Le 2 juillet 2019, l’Agence a conclu un accord avec son propriétaire et, depuis lors, elle sous-loue ses locaux à un sous-locataire dans des conditions conformes à celles du bail principal, en ce compris la durée de la sous-location qui s’étend jusqu’à l’expiration du bail principal de l’EMA, en juin 2039.</w:t>
      </w:r>
    </w:p>
    <w:p>
      <w:pPr>
        <w:pStyle w:val="DGTextstand-alone"/>
      </w:pPr>
      <w:r>
        <w:t>Les montants indiqués dans le tableau ci-dessus comprennent 328 millions d’EUR encore dus au titre du contrat de bail principal.</w:t>
      </w:r>
    </w:p>
    <w:p>
      <w:pPr>
        <w:pStyle w:val="HEADER5"/>
        <w:keepNext/>
        <w:rPr>
          <w:noProof/>
        </w:rPr>
      </w:pPr>
      <w:r>
        <w:rPr>
          <w:noProof/>
        </w:rPr>
        <w:lastRenderedPageBreak/>
        <w:t>Autres engagements contractuels</w:t>
      </w:r>
    </w:p>
    <w:p>
      <w:pPr>
        <w:pStyle w:val="DGTextstand-alone"/>
      </w:pPr>
      <w:r>
        <w:t>Les montants indiqués sous cette rubrique correspondent aux engagements restant à payer pendant la durée des contrats. Parmi les montants les plus élevés mentionnés ici figure un contrat immobilier (JMO2) de la Commission à Luxembourg (328 millions d’EUR).</w:t>
      </w:r>
    </w:p>
    <w:bookmarkEnd w:id="213"/>
    <w:p>
      <w:pPr>
        <w:pStyle w:val="DGTextstand-alone"/>
        <w:sectPr>
          <w:headerReference w:type="default" r:id="rId135"/>
          <w:footerReference w:type="default" r:id="rId136"/>
          <w:pgSz w:w="11906" w:h="16838"/>
          <w:pgMar w:top="1134" w:right="1134" w:bottom="1134" w:left="1134" w:header="709" w:footer="709" w:gutter="0"/>
          <w:cols w:space="708"/>
          <w:docGrid w:linePitch="360"/>
        </w:sectPr>
      </w:pPr>
    </w:p>
    <w:p>
      <w:pPr>
        <w:pStyle w:val="HEADER1NOTES"/>
        <w:numPr>
          <w:ilvl w:val="0"/>
          <w:numId w:val="15"/>
        </w:numPr>
        <w:spacing w:after="360"/>
        <w:rPr>
          <w:noProof/>
        </w:rPr>
      </w:pPr>
      <w:bookmarkStart w:id="218" w:name="_Toc237350938"/>
      <w:bookmarkStart w:id="219" w:name="_DMBM_36711"/>
      <w:r>
        <w:rPr>
          <w:noProof/>
        </w:rPr>
        <w:lastRenderedPageBreak/>
        <w:t>GESTION DES RISQUES FINANCIERS</w:t>
      </w:r>
      <w:bookmarkEnd w:id="218"/>
    </w:p>
    <w:p>
      <w:pPr>
        <w:pStyle w:val="DGTextstand-alone"/>
      </w:pPr>
      <w:r>
        <w:t>Les informations relatives à la gestion par l’UE des risques financiers couvrent plusieurs domaines clés:</w:t>
      </w:r>
    </w:p>
    <w:p>
      <w:pPr>
        <w:pStyle w:val="DGTextstand-alonedashesjustified"/>
        <w:numPr>
          <w:ilvl w:val="0"/>
          <w:numId w:val="22"/>
        </w:numPr>
      </w:pPr>
      <w:r>
        <w:t>les activités d’emprunt et de prêt de la Commission pour l’assistance financière par l’intermédiaire de programmes tels que NextGenerationEU, le MESF, la BDP, l’AMF, SURE, la facilité pour l’Ukraine, la facilité pour les Balkans occidentaux, la facilité pour la Moldavie et Euratom;</w:t>
      </w:r>
    </w:p>
    <w:p>
      <w:pPr>
        <w:pStyle w:val="DGTextstand-alonedashesjustified"/>
        <w:numPr>
          <w:ilvl w:val="0"/>
          <w:numId w:val="22"/>
        </w:numPr>
      </w:pPr>
      <w:r>
        <w:t>les opérations de trésorerie effectuées par la Commission afin d’exécuter le budget de l’UE;</w:t>
      </w:r>
    </w:p>
    <w:p>
      <w:pPr>
        <w:pStyle w:val="DGTextstand-alonedashesjustified"/>
        <w:numPr>
          <w:ilvl w:val="0"/>
          <w:numId w:val="22"/>
        </w:numPr>
      </w:pPr>
      <w:r>
        <w:t>les actifs détenus dans des fonds tels que le FCP, la CECA en liq. et le portefeuille BUFI;</w:t>
      </w:r>
    </w:p>
    <w:p>
      <w:pPr>
        <w:pStyle w:val="DGTextstand-alonedashesjustified"/>
        <w:numPr>
          <w:ilvl w:val="0"/>
          <w:numId w:val="22"/>
        </w:numPr>
      </w:pPr>
      <w:r>
        <w:t>les programmes d’instruments financiers</w:t>
      </w:r>
      <w:r>
        <w:rPr>
          <w:rStyle w:val="FootnoteReference"/>
          <w:lang w:eastAsia="en-GB"/>
        </w:rPr>
        <w:footnoteReference w:id="49"/>
      </w:r>
      <w:r>
        <w:t>;</w:t>
      </w:r>
    </w:p>
    <w:p>
      <w:pPr>
        <w:pStyle w:val="DGTextstand-alonedashesjustified"/>
        <w:numPr>
          <w:ilvl w:val="0"/>
          <w:numId w:val="22"/>
        </w:numPr>
      </w:pPr>
      <w:r>
        <w:t>les programmes de garantie budgétaire de l’UE.</w:t>
      </w:r>
    </w:p>
    <w:p>
      <w:pPr>
        <w:pStyle w:val="HEADER2NOTES"/>
        <w:numPr>
          <w:ilvl w:val="1"/>
          <w:numId w:val="15"/>
        </w:numPr>
        <w:jc w:val="both"/>
        <w:rPr>
          <w:noProof/>
        </w:rPr>
      </w:pPr>
      <w:r>
        <w:rPr>
          <w:noProof/>
        </w:rPr>
        <w:t>TYPES DE RISQUE FINANCIER</w:t>
      </w:r>
    </w:p>
    <w:p>
      <w:pPr>
        <w:pStyle w:val="DGTextstand-alone"/>
      </w:pPr>
      <w:r>
        <w:t>L’UE est confrontée à des risques financiers découlant de ses instruments financiers:</w:t>
      </w:r>
    </w:p>
    <w:p>
      <w:pPr>
        <w:pStyle w:val="DGTextstand-alone"/>
        <w:spacing w:before="0"/>
      </w:pPr>
      <w:r>
        <w:t>le</w:t>
      </w:r>
      <w:r>
        <w:rPr>
          <w:b/>
        </w:rPr>
        <w:t xml:space="preserve"> risque de marché</w:t>
      </w:r>
      <w:r>
        <w:t xml:space="preserve">: il s’agit de l’incertitude quant à la valeur de l’investissement, due aux variations des prix du marché. Il comprend des risques tels que: </w:t>
      </w:r>
    </w:p>
    <w:p>
      <w:pPr>
        <w:pStyle w:val="DGTextstand-alonedashesjustified"/>
        <w:numPr>
          <w:ilvl w:val="0"/>
          <w:numId w:val="22"/>
        </w:numPr>
      </w:pPr>
      <w:r>
        <w:t xml:space="preserve">le </w:t>
      </w:r>
      <w:r>
        <w:rPr>
          <w:i/>
        </w:rPr>
        <w:t>risque de change</w:t>
      </w:r>
      <w:r>
        <w:t xml:space="preserve">: les variations des taux de change peuvent avoir une incidence sur les opérations et les investissements de l’UE; </w:t>
      </w:r>
    </w:p>
    <w:p>
      <w:pPr>
        <w:pStyle w:val="DGTextstand-alonedashesjustified"/>
        <w:numPr>
          <w:ilvl w:val="0"/>
          <w:numId w:val="22"/>
        </w:numPr>
      </w:pPr>
      <w:r>
        <w:t xml:space="preserve">le </w:t>
      </w:r>
      <w:r>
        <w:rPr>
          <w:i/>
        </w:rPr>
        <w:t>risque de taux d’intérêt</w:t>
      </w:r>
      <w:r>
        <w:t xml:space="preserve">: une hausse des taux d’intérêt peut faire baisser la valeur de certains investissements, tels que les obligations; </w:t>
      </w:r>
    </w:p>
    <w:p>
      <w:pPr>
        <w:pStyle w:val="DGTextstand-alonedashesjustified"/>
        <w:numPr>
          <w:ilvl w:val="0"/>
          <w:numId w:val="22"/>
        </w:numPr>
      </w:pPr>
      <w:r>
        <w:t xml:space="preserve">les </w:t>
      </w:r>
      <w:r>
        <w:rPr>
          <w:i/>
        </w:rPr>
        <w:t>autres risques liés aux prix</w:t>
      </w:r>
      <w:r>
        <w:t>: ceux-ci comprennent divers facteurs (autres que les taux d’intérêt et les taux de change) susceptibles d’influer sur la valeur des investissements, tels que les variations des prix du marché ou des facteurs propres aux différents investissements.</w:t>
      </w:r>
    </w:p>
    <w:p>
      <w:pPr>
        <w:pStyle w:val="DGTextstand-alone"/>
        <w:spacing w:after="0"/>
      </w:pPr>
      <w:r>
        <w:t>le</w:t>
      </w:r>
      <w:r>
        <w:rPr>
          <w:b/>
        </w:rPr>
        <w:t xml:space="preserve"> risque de crédit</w:t>
      </w:r>
      <w:r>
        <w:t>: il s’agit du risque qu’un emprunteur ne rembourse pas un prêt ou ne respecte pas ses obligations contractuelles, ce qui entraîne des défaillances telles que retards de paiement ou faillite.</w:t>
      </w:r>
    </w:p>
    <w:p>
      <w:pPr>
        <w:pStyle w:val="DGTextstand-alone"/>
        <w:spacing w:after="0"/>
      </w:pPr>
      <w:r>
        <w:t xml:space="preserve">le </w:t>
      </w:r>
      <w:r>
        <w:rPr>
          <w:b/>
        </w:rPr>
        <w:t>risque de liquidité</w:t>
      </w:r>
      <w:r>
        <w:t>: il s’agit du risque qu’une entité de l’UE ne dispose pas de suffisamment de liquidités ou d’actifs pour remplir ses obligations financières.</w:t>
      </w:r>
    </w:p>
    <w:p>
      <w:pPr>
        <w:pStyle w:val="HEADER2NOTES"/>
        <w:numPr>
          <w:ilvl w:val="1"/>
          <w:numId w:val="15"/>
        </w:numPr>
        <w:jc w:val="both"/>
        <w:rPr>
          <w:noProof/>
        </w:rPr>
      </w:pPr>
      <w:r>
        <w:rPr>
          <w:noProof/>
        </w:rPr>
        <w:t>POLITIQUES DE GESTION DES RISQUES</w:t>
      </w:r>
    </w:p>
    <w:p>
      <w:pPr>
        <w:pStyle w:val="HEADER5"/>
        <w:spacing w:before="240" w:after="240"/>
        <w:rPr>
          <w:noProof/>
        </w:rPr>
      </w:pPr>
      <w:r>
        <w:rPr>
          <w:noProof/>
        </w:rPr>
        <w:t>Évaluation des instruments financiers</w:t>
      </w:r>
    </w:p>
    <w:p>
      <w:pPr>
        <w:pStyle w:val="DGTextstand-alone"/>
        <w:spacing w:before="0"/>
      </w:pPr>
      <w:r>
        <w:t>Les catégories suivantes d’actifs et de passifs financiers ne sont pas évaluées à la juste valeur: la trésorerie et les équivalents de trésorerie, les prêts au coût amorti, les créances à recevoir avec contrepartie directe autres que les créances à recevoir liées aux contrats de garantie financière lorsqu’elles sont classées en actifs financiers à la JVCR, les emprunts, les contrats de garantie financière, ainsi que d’autres passifs financiers évalués au coût amorti. La valeur comptable de ces actifs et passifs financiers est considérée comme une approximation raisonnable de leur juste valeur.</w:t>
      </w:r>
    </w:p>
    <w:p>
      <w:pPr>
        <w:pStyle w:val="HEADER5"/>
        <w:spacing w:before="240" w:after="240"/>
        <w:rPr>
          <w:noProof/>
        </w:rPr>
      </w:pPr>
      <w:r>
        <w:rPr>
          <w:noProof/>
        </w:rPr>
        <w:t>Gouvernance des risques pour les opérations d’emprunt, de gestion de la dette et de prêt connexes, les garanties budgétaires et les opérations de gestion d’actifs</w:t>
      </w:r>
    </w:p>
    <w:p>
      <w:pPr>
        <w:pStyle w:val="DGTextstand-alone"/>
        <w:spacing w:before="0"/>
      </w:pPr>
      <w:r>
        <w:t>Le cadre de gestion des risques de l’UE est conçu pour protéger les intérêts financiers et de réputation de l’Union, tout en veillant à la bonne gestion de ses opérations d’emprunt et de prêt, de ses garanties budgétaires et instruments financiers, et de ses opérations de gestion d’actifs. Bien que la Commission européenne ne soit pas une institution financière, elle applique des pratiques avancées de gestion des risques adaptées à la structure unique et aux exigences des programmes de l’UE. L’objectif principal du cadre est de protéger les intérêts financiers de l’Union et de maintenir l’intégrité, la transparence et la fiabilité de ses opérations.</w:t>
      </w:r>
    </w:p>
    <w:p>
      <w:pPr>
        <w:pStyle w:val="DGTextstand-alone"/>
        <w:spacing w:before="0"/>
      </w:pPr>
      <w:r>
        <w:lastRenderedPageBreak/>
        <w:t>Le cadre, élaboré par le directeur des risques, comprend des politiques clés telles que la politique de haut niveau en matière de risques et de conformité, la politique de gestion des risques de financement et des risques de liquidité du marché et la politique de gestion des risques opérationnels. Le directeur des risques définit des limites strictes et souples ainsi que des indicateurs de risque clés afin de surveiller et d’évaluer les risques.</w:t>
      </w:r>
    </w:p>
    <w:p>
      <w:pPr>
        <w:pStyle w:val="DGTextstand-alone"/>
        <w:spacing w:before="0"/>
      </w:pPr>
      <w:r>
        <w:t>Des rapports réguliers sur les risques garantissent le respect des limites, mettent en évidence les expositions aux risques et proposent des stratégies d’atténuation. Le modèle des «trois lignes de défense» renforce la gouvernance en séparant les pouvoirs, en définissant l’autorité et en clarifiant les rôles en matière de gestion et de contrôle des risques.</w:t>
      </w:r>
    </w:p>
    <w:p>
      <w:pPr>
        <w:pStyle w:val="DGTextstand-alone"/>
        <w:spacing w:before="0"/>
      </w:pPr>
      <w:r>
        <w:t>Le directeur des risques, soutenu par le comité de gestion des risques et de la conformité, déploie le cadre de gestion des risques au moyen de politiques et de procédures internes. Ce comité conseille le directeur des risques sur les questions liées aux risques.</w:t>
      </w:r>
    </w:p>
    <w:p>
      <w:pPr>
        <w:pStyle w:val="DGTextstand-alone"/>
        <w:spacing w:before="0"/>
      </w:pPr>
      <w:r>
        <w:t xml:space="preserve">L’adoption de la </w:t>
      </w:r>
      <w:r>
        <w:rPr>
          <w:color w:val="000000" w:themeColor="text1"/>
        </w:rPr>
        <w:t>décision</w:t>
      </w:r>
      <w:r>
        <w:rPr>
          <w:i/>
        </w:rPr>
        <w:t xml:space="preserve"> (UE, Euratom) 2025/369 de la Commission</w:t>
      </w:r>
      <w:r>
        <w:rPr>
          <w:rStyle w:val="FootnoteReference"/>
          <w:i/>
          <w:iCs/>
        </w:rPr>
        <w:footnoteReference w:id="50"/>
      </w:r>
      <w:r>
        <w:rPr>
          <w:rStyle w:val="FootnoteReference"/>
          <w:i/>
          <w:iCs/>
        </w:rPr>
        <w:t xml:space="preserve"> </w:t>
      </w:r>
      <w:r>
        <w:rPr>
          <w:i/>
        </w:rPr>
        <w:t xml:space="preserve"> a réaffirmé</w:t>
      </w:r>
      <w:r>
        <w:t xml:space="preserve"> et élargi les responsabilités du directeur des risques afin de superviser:</w:t>
      </w:r>
    </w:p>
    <w:p>
      <w:pPr>
        <w:pStyle w:val="DGTextstand-alonedashesjustified"/>
        <w:numPr>
          <w:ilvl w:val="0"/>
          <w:numId w:val="22"/>
        </w:numPr>
      </w:pPr>
      <w:r>
        <w:rPr>
          <w:i/>
        </w:rPr>
        <w:t>les prêts accordés directement par l’Union, qu’ils soient provisionnés ou non</w:t>
      </w:r>
      <w:r>
        <w:t>;</w:t>
      </w:r>
    </w:p>
    <w:p>
      <w:pPr>
        <w:pStyle w:val="DGTextstand-alonedashesjustified"/>
        <w:numPr>
          <w:ilvl w:val="0"/>
          <w:numId w:val="22"/>
        </w:numPr>
      </w:pPr>
      <w:r>
        <w:rPr>
          <w:i/>
        </w:rPr>
        <w:t>les garanties budgétaires de l’Union couvrant les opérations sur la base d’accords de garantie conclus avec les partenaires chargés de la mise en œuvre;</w:t>
      </w:r>
    </w:p>
    <w:p>
      <w:pPr>
        <w:pStyle w:val="DGTextstand-alonedashesjustified"/>
        <w:numPr>
          <w:ilvl w:val="0"/>
          <w:numId w:val="22"/>
        </w:numPr>
      </w:pPr>
      <w:r>
        <w:rPr>
          <w:i/>
        </w:rPr>
        <w:t>les opérations d’émission et de gestion de la dette, y compris les opérations connexes de gestion de la liquidité</w:t>
      </w:r>
      <w:r>
        <w:t>;</w:t>
      </w:r>
    </w:p>
    <w:p>
      <w:pPr>
        <w:pStyle w:val="DGTextstand-alonedashesjustified"/>
        <w:numPr>
          <w:ilvl w:val="0"/>
          <w:numId w:val="22"/>
        </w:numPr>
        <w:spacing w:after="240"/>
        <w:ind w:left="714" w:hanging="357"/>
      </w:pPr>
      <w:r>
        <w:rPr>
          <w:i/>
        </w:rPr>
        <w:t>les opérations de gestion d’actifs et les tâches liées à la fonction de services de gestion d’actifs désignés pour la gestion externalisée de portefeuilles.</w:t>
      </w:r>
    </w:p>
    <w:p>
      <w:pPr>
        <w:pStyle w:val="DGTextstand-alone"/>
        <w:spacing w:before="0"/>
      </w:pPr>
      <w:r>
        <w:t>Le directeur de la gestion des risques jouit d’une autonomie dans l’exécution de ses tâches et responsabilités et rend compte au membre du collège chargé du budget conformément à la décision d’exécution (UE, Euratom) 2023/2825 de la Commission. Cela garantit l’indépendance dans l’exécution des tâches et responsabilités assignées.</w:t>
      </w:r>
    </w:p>
    <w:p>
      <w:pPr>
        <w:pStyle w:val="HEADER5"/>
        <w:spacing w:before="240" w:after="240"/>
        <w:rPr>
          <w:noProof/>
        </w:rPr>
      </w:pPr>
      <w:r>
        <w:rPr>
          <w:noProof/>
        </w:rPr>
        <w:t xml:space="preserve">Emprunts et prêts </w:t>
      </w:r>
    </w:p>
    <w:p>
      <w:pPr>
        <w:pStyle w:val="DGTextstand-alone"/>
        <w:spacing w:before="0"/>
      </w:pPr>
      <w:r>
        <w:t>L’UE n’emprunte pas d’argent pour financer ses dépenses opérationnelles, à l’exception des emprunts liés à NextGenerationEU.</w:t>
      </w:r>
    </w:p>
    <w:p>
      <w:pPr>
        <w:pStyle w:val="DGTextstand-alone"/>
        <w:spacing w:before="0"/>
      </w:pPr>
      <w:r>
        <w:t>Les opérations d’emprunt et de prêt de l’UE sont gérées conformément aux règlements, décisions et lignes directrices internes applicables. Des manuels détaillés régissent les activités telles que les emprunts et les prêts, et les unités concernées évaluent en permanence les risques financiers et opérationnels tout en veillant à la conformité.</w:t>
      </w:r>
    </w:p>
    <w:p>
      <w:pPr>
        <w:pStyle w:val="DGTextstand-alone"/>
        <w:spacing w:before="0"/>
      </w:pPr>
      <w:r>
        <w:t>Historiquement, les activités de prêt de l’UE ont été financées au moyen d’emprunts réciproques («back-to-back»), ce qui a réduit au minimum les risques liés aux taux d’intérêt variable ou au taux de change. Toutefois, depuis 2021, l’UE emprunte essentiellement de l’argent dans le cadre d’une approche unifiée en matière de financement.</w:t>
      </w:r>
    </w:p>
    <w:p>
      <w:pPr>
        <w:pStyle w:val="DGTextstand-alone"/>
        <w:spacing w:before="0"/>
      </w:pPr>
      <w:r>
        <w:t>L’approche unifiée en matière de financement, initialement élaborée pour le programme NextGenerationEU, utilise divers instruments et techniques de financement pour répondre aux besoins de financement à long et à court terme. Elle comprend notamment l’émission d’obligations sous la marque UE, qui remplace la pratique antérieure consistant à émettre des émissions distinctes pour chaque programme. Depuis décembre 2022, cette stratégie a été étendue aux prêts AMF+ en faveur de l’Ukraine; en 2024, au programme de la facilité pour l’Ukraine et aux prêts AMF; et en 2025, aux prêts AMF MCPU en faveur de l’Ukraine ainsi qu’aux programmes relevant de la facilité pour les Balkans occidentaux et de la facilité pour la Moldavie. L’utilisation d’une approche unifiée en matière de financement renforce la flexibilité et le rapport coût/efficacité et constitue la seule approche en matière de financement à appliquer pour les futurs décaissements de prêts.</w:t>
      </w:r>
    </w:p>
    <w:p>
      <w:pPr>
        <w:pStyle w:val="HEADER5"/>
        <w:keepNext/>
        <w:spacing w:before="240" w:after="240"/>
        <w:rPr>
          <w:noProof/>
        </w:rPr>
      </w:pPr>
      <w:r>
        <w:rPr>
          <w:noProof/>
        </w:rPr>
        <w:lastRenderedPageBreak/>
        <w:t>Trésorerie</w:t>
      </w:r>
    </w:p>
    <w:p>
      <w:pPr>
        <w:pStyle w:val="DGTextstand-alone"/>
        <w:spacing w:before="0"/>
      </w:pPr>
      <w:r>
        <w:t>Les règles et principes applicables à la gestion des opérations de trésorerie effectuées par la Commission sont fixés dans le règlement (UE, Euratom) nº 609/2014 du Conseil</w:t>
      </w:r>
      <w:r>
        <w:rPr>
          <w:rStyle w:val="FootnoteReference"/>
          <w:lang w:val="en-IE" w:eastAsia="en-IE"/>
        </w:rPr>
        <w:footnoteReference w:id="51"/>
      </w:r>
      <w:r>
        <w:t>, tel que modifié par les règlements (UE, Euratom) 2016/804</w:t>
      </w:r>
      <w:r>
        <w:rPr>
          <w:rStyle w:val="FootnoteReference"/>
          <w:lang w:val="en-IE" w:eastAsia="en-IE"/>
        </w:rPr>
        <w:footnoteReference w:id="52"/>
      </w:r>
      <w:r>
        <w:t xml:space="preserve"> et (UE, Euratom) 2022/615 du Conseil</w:t>
      </w:r>
      <w:r>
        <w:rPr>
          <w:rStyle w:val="FootnoteReference"/>
          <w:lang w:val="en-IE" w:eastAsia="en-IE"/>
        </w:rPr>
        <w:footnoteReference w:id="53"/>
      </w:r>
      <w:r>
        <w:t xml:space="preserve"> [ci-après dénommé le «règlement (UE, Euratom) nº 609/2014 du Conseil»], ainsi que dans le règlement financier. Les grands principes suivants s’appliquent:</w:t>
      </w:r>
    </w:p>
    <w:p>
      <w:pPr>
        <w:pStyle w:val="DGTextstand-alonedashesjustified"/>
        <w:numPr>
          <w:ilvl w:val="0"/>
          <w:numId w:val="22"/>
        </w:numPr>
      </w:pPr>
      <w:r>
        <w:t>les ressources propres sont versées par les États membres sur des comptes ouverts à cet effet au nom de la Commission auprès du Trésor ou de la banque centrale nationale.</w:t>
      </w:r>
    </w:p>
    <w:p>
      <w:pPr>
        <w:pStyle w:val="DGTextstand-alonedashesjustified"/>
        <w:numPr>
          <w:ilvl w:val="0"/>
          <w:numId w:val="22"/>
        </w:numPr>
      </w:pPr>
      <w:r>
        <w:t>les États membres versent les ressources propres dans leurs propres monnaies nationales, tandis que les paiements de la Commission sont principalement libellés en euros.</w:t>
      </w:r>
    </w:p>
    <w:p>
      <w:pPr>
        <w:pStyle w:val="DGTextstand-alonedashesjustified"/>
        <w:numPr>
          <w:ilvl w:val="0"/>
          <w:numId w:val="22"/>
        </w:numPr>
      </w:pPr>
      <w:r>
        <w:t>les comptes bancaires ouverts au nom de la Commission ne peuvent pas être à découvert.</w:t>
      </w:r>
    </w:p>
    <w:p>
      <w:pPr>
        <w:pStyle w:val="DGTextstand-alonedashesjustified"/>
        <w:numPr>
          <w:ilvl w:val="0"/>
          <w:numId w:val="22"/>
        </w:numPr>
        <w:spacing w:after="240"/>
        <w:ind w:left="714" w:hanging="357"/>
      </w:pPr>
      <w:r>
        <w:t>les fonds des comptes bancaires libellés dans des monnaies autres que l’euro sont utilisés pour des paiements dans ces mêmes monnaies ou périodiquement convertis en euros.</w:t>
      </w:r>
    </w:p>
    <w:p>
      <w:pPr>
        <w:pStyle w:val="DGTextstand-alone"/>
        <w:spacing w:before="0"/>
      </w:pPr>
      <w:r>
        <w:t>Outre les comptes de ressources propres, d’autres comptes bancaires sont ouverts par la Commission auprès des banques centrales et de banques commerciales pour permettre d’effectuer des paiements et de recevoir des versements autres que les contributions des États membres au budget.</w:t>
      </w:r>
    </w:p>
    <w:p>
      <w:pPr>
        <w:pStyle w:val="DGTextstand-alone"/>
        <w:spacing w:before="0"/>
      </w:pPr>
      <w:r>
        <w:t>Les opérations de trésorerie et de paiement sont fortement automatisées et reposent sur des systèmes informatiques modernes. Des procédures sont appliquées pour garantir la sécurité du système, séparer les tâches et assurer la conformité avec le RF, les normes de contrôle interne et les principes d’audit.</w:t>
      </w:r>
    </w:p>
    <w:p>
      <w:pPr>
        <w:pStyle w:val="DGTextstand-alone"/>
        <w:spacing w:before="0"/>
      </w:pPr>
      <w:r>
        <w:t>Des lignes directrices et des procédures régissent la gestion des opérations de trésorerie et de paiement effectuées par la Commission dans le but de limiter le risque opérationnel et financier et de garantir un contrôle suffisant. Ces lignes directrices couvrent des domaines tels que l’exécution des paiements, la gestion de la trésorerie, les prévisions de trésorerie et la continuité de l’exploitation. Leur respect fait l’objet d’une vérification régulière.</w:t>
      </w:r>
    </w:p>
    <w:p>
      <w:pPr>
        <w:pStyle w:val="HEADER5"/>
        <w:spacing w:before="240" w:after="240"/>
        <w:rPr>
          <w:noProof/>
        </w:rPr>
      </w:pPr>
      <w:r>
        <w:rPr>
          <w:noProof/>
        </w:rPr>
        <w:t>Gestion d’actifs</w:t>
      </w:r>
    </w:p>
    <w:p>
      <w:pPr>
        <w:pStyle w:val="DGTextstand-alone"/>
        <w:spacing w:before="0"/>
      </w:pPr>
      <w:r>
        <w:t>Le contrôle des différents risques liés aux activités de gestion d’actifs repose sur des procédures de gouvernance et de travail spécifiques adoptées à la suite d’une analyse comparative répondant aux normes les plus élevées adoptées par des institutions internationales homologues. Ces procédures, qui ont fait l’objet de divers audits internes et externes, garantissent une bonne gestion des actifs.</w:t>
      </w:r>
    </w:p>
    <w:p>
      <w:pPr>
        <w:pStyle w:val="DGTextstand-alone"/>
        <w:spacing w:before="0"/>
      </w:pPr>
      <w:r>
        <w:t>La Commission a mis en place la gouvernance appropriée pour examiner et approuver les décisions techniques et stratégiques relatives aux opérations de gestion des actifs. Les opérations de gestion des actifs sont supervisées par deux comités: le comité des risques, composé de représentants de la DG BUDG, et le conseil d’administration des actifs, composé de représentants de la DG BUDG, de la DG ECFIN et de la DG FISMA. Les décisions techniques sont examinées et approuvées au sein du comité des risques, tandis que les décisions stratégiques sont validées par le comité des risques et le conseil d’administration des actifs avant l’approbation finale du directeur général de la DG BUDG, en accord avec le comptable. La gouvernance de la gestion des actifs garantit une délégation claire de la prise de décision et des chaînes de responsabilité, ainsi qu’une séparation adéquate des tâches entre le front office, la gestion des risques et le back office. Les procédures de conformité fournissent le cadre nécessaire pour l’établissement de règles appropriées pour établir des codes de conduite en vue de gérer les conflits d’intérêts personnels potentiels, ainsi que des règles pour la gestion des risques de délits d’initiés.</w:t>
      </w:r>
    </w:p>
    <w:p>
      <w:pPr>
        <w:pStyle w:val="DGTextstand-alone"/>
        <w:spacing w:before="0"/>
      </w:pPr>
      <w:r>
        <w:lastRenderedPageBreak/>
        <w:t>Les lignes directrices pour la gestion des actifs et les restrictions à l’investissement interne fournissent un cadre de contrôle interne solide pour garantir la sauvegarde des actifs. Les titres sont conservés auprès de nos conservateurs conformément aux meilleures pratiques du marché, tandis que les espèces et les dépôts sont placés auprès d’établissements financiers jouissant d’une notation élevée. La sauvegarde des actifs financiers est également assurée par la séparation des tâches entre l’équipe chargée de l’initiation des opérations sur titres et l’équipe du back office chargée de leur règlement et du rapprochement bancaire. Un niveau de contrôle supplémentaire est assuré par l’équipe comptable au cours du processus de rapprochement mensuel de clôture lors du rapprochement entre le portefeuille de titres et la déclaration du conservateur de titres. Les écarts de règlement et les retards de paiement provoqués par les contreparties sont suivis dans le cadre du rapprochement bancaire et par les équipes du back office.</w:t>
      </w:r>
    </w:p>
    <w:p>
      <w:pPr>
        <w:pStyle w:val="DGTextstand-alone"/>
      </w:pPr>
      <w:r>
        <w:t>En ce qui concerne le suivi du respect du cadre de contrôle, un ensemble exhaustif d’indicateurs de performance et de risques pour les actifs sous gestion fait l’objet d’un rapport périodique destiné aux parties prenantes concernées.</w:t>
      </w:r>
    </w:p>
    <w:p>
      <w:pPr>
        <w:spacing w:before="100" w:beforeAutospacing="1" w:after="100" w:afterAutospacing="1"/>
        <w:rPr>
          <w:rFonts w:ascii="Verdana" w:hAnsi="Verdana"/>
          <w:noProof/>
          <w:color w:val="016794"/>
          <w:sz w:val="18"/>
          <w:szCs w:val="18"/>
        </w:rPr>
      </w:pPr>
      <w:r>
        <w:rPr>
          <w:rFonts w:ascii="Verdana" w:hAnsi="Verdana"/>
          <w:noProof/>
          <w:sz w:val="18"/>
        </w:rPr>
        <w:t>Les lignes directrices pour la gestion des actifs et les stratégies en matière de risque et d’investissement définissent certaines limites et restrictions afin d’atténuer l’exposition du portefeuille au risque de crédit, restreint à la notation «investment grade», sauf pour l’exposition des États membres de l’UE.</w:t>
      </w:r>
    </w:p>
    <w:p>
      <w:pPr>
        <w:pStyle w:val="HEADER5"/>
        <w:rPr>
          <w:noProof/>
        </w:rPr>
      </w:pPr>
      <w:r>
        <w:rPr>
          <w:noProof/>
        </w:rPr>
        <w:t>Fonds commun de provisionnement</w:t>
      </w:r>
    </w:p>
    <w:p>
      <w:pPr>
        <w:pStyle w:val="DGTextstand-alone"/>
      </w:pPr>
      <w:r>
        <w:t>Le FCP est géré conformément aux lignes directrices en matière de gestion des actifs fixées par la Commission, en vertu de la décision C(2020) 1896 du 25 mars 2020</w:t>
      </w:r>
      <w:r>
        <w:rPr>
          <w:vertAlign w:val="superscript"/>
        </w:rPr>
        <w:footnoteReference w:id="54"/>
      </w:r>
      <w:r>
        <w:t>. Le directeur général de la DG BUDG est responsable de la gestion des actifs financiers du FCP.</w:t>
      </w:r>
    </w:p>
    <w:p>
      <w:pPr>
        <w:pStyle w:val="DGTextstand-alone"/>
      </w:pPr>
      <w:r>
        <w:t>L’objectif du FCP est de garantir la liquidité nécessaire afin de couvrir intégralement et sans délai l’ensemble des sorties requises, telles que les appels de garantie, et de préserver le capital sur l’horizon d’investissement du fonds avec un niveau de confiance élevé.</w:t>
      </w:r>
    </w:p>
    <w:p>
      <w:pPr>
        <w:pStyle w:val="DGTextstand-alone"/>
      </w:pPr>
      <w:r>
        <w:t>Le portefeuille du FCP est conçu pour être très diversifié parmi les catégories d’actifs, les zones géographiques, les émetteurs et les échéances, conformément aux lignes directrices pour la gestion des actifs. Au 31 décembre 2025, le portefeuille comprenait des investissements dans des fonds du marché monétaire, des obligations, des FNB d’entreprises ainsi que des FNB d’obligations et d’actions.</w:t>
      </w:r>
    </w:p>
    <w:p>
      <w:pPr>
        <w:pStyle w:val="DGTextstand-alone"/>
      </w:pPr>
      <w:r>
        <w:t>L’unique contrepartie pour tous les contrats de change à terme en cours au 31 décembre 2025 est la Banque des règlements internationaux. Aucun rehaussement du crédit, tel que des instruments de garantie, des accords de compensation ou des garanties, n’était en place à cette date. L’exposition maximale au risque de crédit des produits dérivés de change ayant une juste valeur positive au terme de la période de référence est égale à la valeur comptable indiquée dans le bilan.</w:t>
      </w:r>
    </w:p>
    <w:p>
      <w:pPr>
        <w:pStyle w:val="HEADER5"/>
        <w:spacing w:before="240"/>
        <w:rPr>
          <w:noProof/>
        </w:rPr>
      </w:pPr>
      <w:r>
        <w:rPr>
          <w:noProof/>
        </w:rPr>
        <w:t>Amendes</w:t>
      </w:r>
    </w:p>
    <w:p>
      <w:pPr>
        <w:spacing w:before="100" w:beforeAutospacing="1" w:after="100" w:afterAutospacing="1"/>
        <w:rPr>
          <w:rFonts w:ascii="Verdana" w:hAnsi="Verdana"/>
          <w:i/>
          <w:iCs/>
          <w:noProof/>
          <w:sz w:val="18"/>
          <w:szCs w:val="18"/>
        </w:rPr>
      </w:pPr>
      <w:r>
        <w:rPr>
          <w:rFonts w:ascii="Verdana" w:hAnsi="Verdana"/>
          <w:i/>
          <w:noProof/>
          <w:sz w:val="18"/>
        </w:rPr>
        <w:t>Amendes payées à titre provisionnel: portefeuille BUFI</w:t>
      </w:r>
    </w:p>
    <w:p>
      <w:pPr>
        <w:pStyle w:val="DGTextstand-alone"/>
      </w:pPr>
      <w:r>
        <w:t>Les amendes imposées et payées à titre provisionnel sont investies dans le portefeuille BUFI.</w:t>
      </w:r>
    </w:p>
    <w:p>
      <w:pPr>
        <w:pStyle w:val="DGTextstand-alone"/>
      </w:pPr>
      <w:r>
        <w:t>La Commission gère le portefeuille BUFI conformément aux lignes directrices et procédures internes pour la gestion des actifs. Les objectifs des activités de gestion d’actifs sont les suivants:</w:t>
      </w:r>
    </w:p>
    <w:p>
      <w:pPr>
        <w:pStyle w:val="DGTextstand-alonedashesjustified"/>
        <w:numPr>
          <w:ilvl w:val="0"/>
          <w:numId w:val="22"/>
        </w:numPr>
      </w:pPr>
      <w:r>
        <w:t>garantir que les fonds sont aisément disponibles lorsqu’ils sont requis;</w:t>
      </w:r>
    </w:p>
    <w:p>
      <w:pPr>
        <w:pStyle w:val="DGTextstand-alonedashesjustified"/>
        <w:numPr>
          <w:ilvl w:val="0"/>
          <w:numId w:val="22"/>
        </w:numPr>
      </w:pPr>
      <w:r>
        <w:t>réduire les risques associés aux marchés financiers; obtenir un rendement conforme au rendement de référence du BUFI, tout en préservant la valeur nominale des amendes.</w:t>
      </w:r>
    </w:p>
    <w:p>
      <w:pPr>
        <w:pStyle w:val="DGTextstand-alone"/>
        <w:rPr>
          <w:color w:val="000000" w:themeColor="text1"/>
        </w:rPr>
      </w:pPr>
      <w:r>
        <w:rPr>
          <w:color w:val="000000" w:themeColor="text1"/>
        </w:rPr>
        <w:t>Conformément aux lignes directrices en matière de gestion des actifs mises à jour en décembre 2025, les investissements dans le portefeuille BUFI sont limités aux:</w:t>
      </w:r>
    </w:p>
    <w:p>
      <w:pPr>
        <w:pStyle w:val="DGTextstand-alonedashesjustified"/>
        <w:numPr>
          <w:ilvl w:val="0"/>
          <w:numId w:val="22"/>
        </w:numPr>
        <w:rPr>
          <w:rFonts w:eastAsia="Verdana" w:cs="Verdana"/>
          <w:color w:val="000000" w:themeColor="text1"/>
        </w:rPr>
      </w:pPr>
      <w:r>
        <w:rPr>
          <w:color w:val="000000" w:themeColor="text1"/>
        </w:rPr>
        <w:t>dépôts à terme;</w:t>
      </w:r>
    </w:p>
    <w:p>
      <w:pPr>
        <w:pStyle w:val="DGTextstand-alonedashesjustified"/>
        <w:numPr>
          <w:ilvl w:val="0"/>
          <w:numId w:val="22"/>
        </w:numPr>
        <w:rPr>
          <w:rFonts w:eastAsia="Verdana" w:cs="Verdana"/>
          <w:color w:val="000000" w:themeColor="text1"/>
        </w:rPr>
      </w:pPr>
      <w:r>
        <w:rPr>
          <w:color w:val="000000" w:themeColor="text1"/>
        </w:rPr>
        <w:t>instruments et fonds du marché monétaire;</w:t>
      </w:r>
    </w:p>
    <w:p>
      <w:pPr>
        <w:pStyle w:val="DGTextstand-alonedashesjustified"/>
        <w:numPr>
          <w:ilvl w:val="0"/>
          <w:numId w:val="22"/>
        </w:numPr>
        <w:rPr>
          <w:rFonts w:eastAsia="Verdana" w:cs="Verdana"/>
          <w:color w:val="000000" w:themeColor="text1"/>
        </w:rPr>
      </w:pPr>
      <w:r>
        <w:rPr>
          <w:color w:val="000000" w:themeColor="text1"/>
        </w:rPr>
        <w:t>instruments de dette, tels que les obligations, les effets et les titres;</w:t>
      </w:r>
    </w:p>
    <w:p>
      <w:pPr>
        <w:pStyle w:val="DGTextstand-alonedashesjustified"/>
        <w:numPr>
          <w:ilvl w:val="0"/>
          <w:numId w:val="22"/>
        </w:numPr>
        <w:rPr>
          <w:rFonts w:eastAsia="Verdana" w:cs="Verdana"/>
          <w:color w:val="000000" w:themeColor="text1"/>
        </w:rPr>
      </w:pPr>
      <w:r>
        <w:rPr>
          <w:color w:val="000000" w:themeColor="text1"/>
        </w:rPr>
        <w:lastRenderedPageBreak/>
        <w:t>organismes de placement collectif, y compris les fonds négociés en bourse, qui investissent dans des instruments de capitaux propres ou de dette pour lesquels les pertes maximales ne peuvent dépasser les montants investis;</w:t>
      </w:r>
    </w:p>
    <w:p>
      <w:pPr>
        <w:pStyle w:val="DGTextstand-alonedashesjustified"/>
        <w:numPr>
          <w:ilvl w:val="0"/>
          <w:numId w:val="22"/>
        </w:numPr>
        <w:rPr>
          <w:rFonts w:eastAsia="Verdana" w:cs="Verdana"/>
          <w:color w:val="000000" w:themeColor="text1"/>
        </w:rPr>
      </w:pPr>
      <w:r>
        <w:rPr>
          <w:color w:val="000000" w:themeColor="text1"/>
        </w:rPr>
        <w:t>accords de mise en pension et de prise en pension;</w:t>
      </w:r>
    </w:p>
    <w:p>
      <w:pPr>
        <w:pStyle w:val="DGTextstand-alonedashesjustified"/>
        <w:numPr>
          <w:ilvl w:val="0"/>
          <w:numId w:val="22"/>
        </w:numPr>
        <w:spacing w:beforeAutospacing="1" w:afterAutospacing="1"/>
        <w:rPr>
          <w:rFonts w:eastAsia="Verdana" w:cs="Verdana"/>
          <w:color w:val="000000" w:themeColor="text1"/>
        </w:rPr>
      </w:pPr>
      <w:r>
        <w:rPr>
          <w:color w:val="000000" w:themeColor="text1"/>
        </w:rPr>
        <w:t>opérations de prêt de titres.</w:t>
      </w:r>
    </w:p>
    <w:p>
      <w:pPr>
        <w:spacing w:before="100" w:beforeAutospacing="1" w:after="100" w:afterAutospacing="1"/>
        <w:rPr>
          <w:rFonts w:ascii="Verdana" w:hAnsi="Verdana"/>
          <w:i/>
          <w:iCs/>
          <w:noProof/>
          <w:sz w:val="18"/>
          <w:szCs w:val="18"/>
        </w:rPr>
      </w:pPr>
      <w:r>
        <w:rPr>
          <w:rFonts w:ascii="Verdana" w:hAnsi="Verdana"/>
          <w:i/>
          <w:noProof/>
          <w:sz w:val="18"/>
        </w:rPr>
        <w:t>Garanties financières reçues</w:t>
      </w:r>
    </w:p>
    <w:p>
      <w:pPr>
        <w:pStyle w:val="DGTextstand-alone"/>
      </w:pPr>
      <w:r>
        <w:t xml:space="preserve">La Commission détient des sommes importantes correspondant à des garanties émises par des institutions financières en rapport avec les amendes infligées aux entreprises qui enfreignent les règles de l’UE (voir note </w:t>
      </w:r>
      <w:r>
        <w:rPr>
          <w:b/>
        </w:rPr>
        <w:t>2.6.1.3</w:t>
      </w:r>
      <w:r>
        <w:t>). Ces garanties sont fournies par les entreprises sanctionnées et se substituent à l’exécution de paiements provisionnels.</w:t>
      </w:r>
    </w:p>
    <w:p>
      <w:pPr>
        <w:pStyle w:val="DGTextstand-alone"/>
        <w:rPr>
          <w:color w:val="016794"/>
        </w:rPr>
      </w:pPr>
      <w:r>
        <w:t>La Commission gère ces garanties conformément à sa politique interne de gestion des risques. Cette politique garantit que les risques financiers et opérationnels sont régulièrement identifiés et évalués, et que le respect des politiques et procédures internes est régulièrement vérifié.</w:t>
      </w:r>
    </w:p>
    <w:p>
      <w:pPr>
        <w:pStyle w:val="HEADER5"/>
        <w:spacing w:before="240"/>
        <w:rPr>
          <w:noProof/>
        </w:rPr>
      </w:pPr>
      <w:r>
        <w:rPr>
          <w:noProof/>
        </w:rPr>
        <w:t>Programmes de garantie budgétaire de l’UE</w:t>
      </w:r>
    </w:p>
    <w:p>
      <w:pPr>
        <w:pStyle w:val="DGTextstand-alone"/>
      </w:pPr>
      <w:r>
        <w:t>Le RF a mis en œuvre plusieurs garanties visant à protéger le budget de l’UE contre les risques financiers engendrés par les garanties budgétaires. Ces garanties peuvent être regroupées en quatre grandes catégories:</w:t>
      </w:r>
    </w:p>
    <w:p>
      <w:pPr>
        <w:pStyle w:val="DGTextstand-alone"/>
        <w:numPr>
          <w:ilvl w:val="0"/>
          <w:numId w:val="23"/>
        </w:numPr>
        <w:rPr>
          <w:i/>
          <w:iCs/>
        </w:rPr>
      </w:pPr>
      <w:r>
        <w:rPr>
          <w:i/>
        </w:rPr>
        <w:t>Mesures visant à limiter les passifs éventuels</w:t>
      </w:r>
    </w:p>
    <w:p>
      <w:pPr>
        <w:pStyle w:val="DGTextstand-alone"/>
      </w:pPr>
      <w:r>
        <w:t>La garantie de l’UE est plafonnée de manière clairement définie et la responsabilité financière ne peut pas dépasser le montant de la garantie budgétaire qu’autorise l’acte de base correspondant. Le passif éventuel généré par une garantie budgétaire ne peut dépasser les actifs financiers fournis pour couvrir le passif financier de l’UE que si cela est prévu dans l’acte de base sous-jacent et dans des conditions spécifiques.</w:t>
      </w:r>
    </w:p>
    <w:p>
      <w:pPr>
        <w:pStyle w:val="DGTextstand-alone"/>
      </w:pPr>
      <w:r>
        <w:t>Le profil de risque souhaité des opérations/produits financiers garantis par l’UE est déterminé ex ante, c’est-à-dire avant la signature des contrats de garantie.</w:t>
      </w:r>
    </w:p>
    <w:p>
      <w:pPr>
        <w:pStyle w:val="DGTextstand-alone"/>
        <w:numPr>
          <w:ilvl w:val="0"/>
          <w:numId w:val="23"/>
        </w:numPr>
        <w:rPr>
          <w:i/>
          <w:iCs/>
        </w:rPr>
      </w:pPr>
      <w:r>
        <w:rPr>
          <w:i/>
        </w:rPr>
        <w:t>Mesures concernant la sélection des partenaires chargés de la mise en œuvre</w:t>
      </w:r>
    </w:p>
    <w:p>
      <w:pPr>
        <w:pStyle w:val="DGTextstand-alone"/>
      </w:pPr>
      <w:r>
        <w:t>Les programmes de garantie budgétaire sont mis en œuvre avec des partenaires fiables et évalués sur la base des piliers. Ces partenaires s’engagent à utiliser leurs ressources propres garantissant une convergence des intérêts avec l’UE.</w:t>
      </w:r>
    </w:p>
    <w:p>
      <w:pPr>
        <w:pStyle w:val="DGTextstand-alone"/>
        <w:numPr>
          <w:ilvl w:val="0"/>
          <w:numId w:val="23"/>
        </w:numPr>
        <w:rPr>
          <w:i/>
          <w:iCs/>
        </w:rPr>
      </w:pPr>
      <w:r>
        <w:rPr>
          <w:i/>
        </w:rPr>
        <w:t>Mesures visant à assurer une capacité budgétaire ex ante suffisante pour absorber les appels de garantie</w:t>
      </w:r>
    </w:p>
    <w:p>
      <w:pPr>
        <w:pStyle w:val="DGTextstand-alone"/>
      </w:pPr>
      <w:r>
        <w:t>Les programmes de garantie budgétaire s’appuient sur des actifs provisionnés conservés dans le FCP. Le taux de provisionnement est fixé dans l’acte de base de chaque programme afin de permettre à la programmation des crédits budgétaires de constituer une provision en mesure d’absorber les pertes sans perturbation budgétaire. La Commission veille sur une base annuelle à ce que le taux de provisionnement soit adéquat et conforme aux principes du RF et à la programmation financière.</w:t>
      </w:r>
    </w:p>
    <w:p>
      <w:pPr>
        <w:pStyle w:val="DGTextstand-alone"/>
        <w:numPr>
          <w:ilvl w:val="0"/>
          <w:numId w:val="23"/>
        </w:numPr>
        <w:rPr>
          <w:i/>
          <w:iCs/>
        </w:rPr>
      </w:pPr>
      <w:r>
        <w:rPr>
          <w:i/>
        </w:rPr>
        <w:t>Mesures visant à faire face aux pertes réalisées dépassant les estimations ex ante</w:t>
      </w:r>
    </w:p>
    <w:p>
      <w:pPr>
        <w:pStyle w:val="DGTextstand-alone"/>
      </w:pPr>
      <w:r>
        <w:t>Le RF comprend deux seuils d’alerte rapide (50 % et 30 % du taux de provisionnement restant disponibles). Ces seuils permettent à la Commission d’anticiper un éventuel épuisement du provisionnement et d’évaluer s’il y a lieu de proposer un provisionnement supplémentaire. En cas de besoins de liquidité supplémentaires temporaires, des procédures sont en place, y compris des transferts entre compartiments du FCP, l’utilisation de liquidités de la trésorerie centrale et l’utilisation d’une marge de manœuvre budgétaire disponible.</w:t>
      </w:r>
    </w:p>
    <w:p>
      <w:pPr>
        <w:pStyle w:val="HEADER5"/>
        <w:spacing w:before="240"/>
        <w:rPr>
          <w:noProof/>
        </w:rPr>
      </w:pPr>
      <w:r>
        <w:rPr>
          <w:noProof/>
        </w:rPr>
        <w:t>Programmes d’instruments financiers</w:t>
      </w:r>
    </w:p>
    <w:p>
      <w:pPr>
        <w:pStyle w:val="DGTextstand-alone"/>
      </w:pPr>
      <w:r>
        <w:t xml:space="preserve">Le budget de l’UE s’appuie depuis de nombreuses années sur des programmes d’instruments financiers. Ces programmes sont utilisés pour accorder un financement aux bénéficiaires finaux présentant un risque plus élevé qui obtiennent difficilement un financement auprès de prêteurs/d’investisseurs commerciaux. </w:t>
      </w:r>
      <w:r>
        <w:lastRenderedPageBreak/>
        <w:t xml:space="preserve">La Commission délègue la mise en œuvre de ces programmes au groupe BEI ou à d’autres institutions financières au moyen d’accords conclus avec la Commission. Voir note </w:t>
      </w:r>
      <w:r>
        <w:rPr>
          <w:b/>
        </w:rPr>
        <w:t>2.4.2.1</w:t>
      </w:r>
      <w:r>
        <w:t xml:space="preserve"> pour des exemples de tels programmes.</w:t>
      </w:r>
    </w:p>
    <w:p>
      <w:pPr>
        <w:pStyle w:val="DGTextstand-alone"/>
      </w:pPr>
      <w:r>
        <w:t>Dès qu’une contribution financière à un instrument financier est engagée, les fonds nécessaires sont transférés sur un compte fiduciaire ouvert par l’institution financière en son nom mais pour le compte de la Commission, ou vers le compartiment du FCP pertinent pour les instruments financiers sous forme de garanties utilisées dans le cadre d’opérations de financement mixte. L’institution financière peut utiliser ces fonds pour octroyer des prêts, émettre des titres de créances, investir dans des instruments de fonds propres ou répondre aux appels de garantie.</w:t>
      </w:r>
    </w:p>
    <w:p>
      <w:pPr>
        <w:pStyle w:val="DGTextstand-alone"/>
      </w:pPr>
      <w:r>
        <w:t>Le risque associé à ces instruments financiers se limite au plafond énoncé dans les accords sous-jacents, qui correspond au montant prévu au budget pour l’instrument. Étant donné que la Commission supporte souvent la première perte, il est probable que le budget de l’UE subisse quelques pertes.</w:t>
      </w:r>
    </w:p>
    <w:p>
      <w:pPr>
        <w:pStyle w:val="DGTextstand-alone"/>
        <w:spacing w:before="0"/>
      </w:pPr>
      <w:r>
        <w:t>Les accords conclus par la Commission avec les institutions financières prévoient des conditions et des obligations strictes afin de garantir que la gestion des fonds de l’UE et son compte rendu se déroulent correctement. Le produit des instruments financiers est généralement reversé au budget de l’UE.</w:t>
      </w:r>
      <w:r>
        <w:br w:type="page"/>
      </w:r>
    </w:p>
    <w:p>
      <w:pPr>
        <w:pStyle w:val="HEADER2NOTES"/>
        <w:numPr>
          <w:ilvl w:val="1"/>
          <w:numId w:val="15"/>
        </w:numPr>
        <w:spacing w:before="0" w:after="160"/>
        <w:jc w:val="both"/>
        <w:rPr>
          <w:noProof/>
        </w:rPr>
      </w:pPr>
      <w:r>
        <w:rPr>
          <w:noProof/>
        </w:rPr>
        <w:lastRenderedPageBreak/>
        <w:t>RISQUE DE CHANGE</w:t>
      </w:r>
    </w:p>
    <w:p>
      <w:pPr>
        <w:pStyle w:val="HEADER5"/>
        <w:rPr>
          <w:noProof/>
        </w:rPr>
      </w:pPr>
      <w:r>
        <w:rPr>
          <w:noProof/>
        </w:rPr>
        <w:t>Exposition des instruments financiers de l’UE au risque de change en fin d’exercice – position nette</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8"/>
        <w:gridCol w:w="982"/>
        <w:gridCol w:w="981"/>
        <w:gridCol w:w="981"/>
        <w:gridCol w:w="842"/>
        <w:gridCol w:w="1121"/>
        <w:gridCol w:w="953"/>
        <w:gridCol w:w="1100"/>
      </w:tblGrid>
      <w:tr>
        <w:trPr>
          <w:trHeight w:val="255"/>
        </w:trPr>
        <w:tc>
          <w:tcPr>
            <w:tcW w:w="2798" w:type="dxa"/>
            <w:tcBorders>
              <w:top w:val="nil"/>
              <w:left w:val="nil"/>
              <w:bottom w:val="nil"/>
              <w:right w:val="nil"/>
              <w:tl2br w:val="nil"/>
              <w:tr2bl w:val="nil"/>
            </w:tcBorders>
            <w:tcMar>
              <w:left w:w="60" w:type="dxa"/>
              <w:right w:w="60" w:type="dxa"/>
            </w:tcMar>
            <w:vAlign w:val="bottom"/>
          </w:tcPr>
          <w:p>
            <w:pPr>
              <w:pStyle w:val="DMETW36753BIPCRCY"/>
              <w:rPr>
                <w:rFonts w:ascii="Arial" w:eastAsia="Arial" w:hAnsi="Arial" w:cs="Arial"/>
                <w:noProof/>
                <w:color w:val="000000"/>
              </w:rPr>
            </w:pPr>
            <w:bookmarkStart w:id="220" w:name="DOC_TBL00088_1_1"/>
            <w:bookmarkEnd w:id="220"/>
          </w:p>
        </w:tc>
        <w:tc>
          <w:tcPr>
            <w:tcW w:w="982" w:type="dxa"/>
            <w:tcBorders>
              <w:top w:val="nil"/>
              <w:left w:val="nil"/>
              <w:bottom w:val="nil"/>
              <w:right w:val="nil"/>
              <w:tl2br w:val="nil"/>
              <w:tr2bl w:val="nil"/>
            </w:tcBorders>
            <w:tcMar>
              <w:left w:w="60" w:type="dxa"/>
              <w:right w:w="60" w:type="dxa"/>
            </w:tcMar>
            <w:vAlign w:val="bottom"/>
          </w:tcPr>
          <w:p>
            <w:pPr>
              <w:pStyle w:val="DMETW36753BIPCRCY"/>
              <w:rPr>
                <w:rFonts w:ascii="Arial" w:eastAsia="Arial" w:hAnsi="Arial" w:cs="Arial"/>
                <w:noProof/>
                <w:color w:val="000000"/>
              </w:rPr>
            </w:pPr>
          </w:p>
        </w:tc>
        <w:tc>
          <w:tcPr>
            <w:tcW w:w="981" w:type="dxa"/>
            <w:tcBorders>
              <w:top w:val="nil"/>
              <w:left w:val="nil"/>
              <w:bottom w:val="nil"/>
              <w:right w:val="nil"/>
              <w:tl2br w:val="nil"/>
              <w:tr2bl w:val="nil"/>
            </w:tcBorders>
            <w:tcMar>
              <w:left w:w="60" w:type="dxa"/>
              <w:right w:w="60" w:type="dxa"/>
            </w:tcMar>
            <w:vAlign w:val="bottom"/>
          </w:tcPr>
          <w:p>
            <w:pPr>
              <w:pStyle w:val="DMETW36753BIPCRCY"/>
              <w:rPr>
                <w:rFonts w:ascii="Arial" w:eastAsia="Arial" w:hAnsi="Arial" w:cs="Arial"/>
                <w:noProof/>
                <w:color w:val="000000"/>
              </w:rPr>
            </w:pPr>
          </w:p>
        </w:tc>
        <w:tc>
          <w:tcPr>
            <w:tcW w:w="981" w:type="dxa"/>
            <w:tcBorders>
              <w:top w:val="nil"/>
              <w:left w:val="nil"/>
              <w:bottom w:val="nil"/>
              <w:right w:val="nil"/>
              <w:tl2br w:val="nil"/>
              <w:tr2bl w:val="nil"/>
            </w:tcBorders>
            <w:tcMar>
              <w:left w:w="60" w:type="dxa"/>
              <w:right w:w="60" w:type="dxa"/>
            </w:tcMar>
            <w:vAlign w:val="bottom"/>
          </w:tcPr>
          <w:p>
            <w:pPr>
              <w:pStyle w:val="DMETW36753BIPCRCY"/>
              <w:rPr>
                <w:rFonts w:ascii="Arial" w:eastAsia="Arial" w:hAnsi="Arial" w:cs="Arial"/>
                <w:noProof/>
                <w:color w:val="000000"/>
              </w:rPr>
            </w:pPr>
          </w:p>
        </w:tc>
        <w:tc>
          <w:tcPr>
            <w:tcW w:w="842" w:type="dxa"/>
            <w:tcBorders>
              <w:top w:val="nil"/>
              <w:left w:val="nil"/>
              <w:bottom w:val="nil"/>
              <w:right w:val="nil"/>
              <w:tl2br w:val="nil"/>
              <w:tr2bl w:val="nil"/>
            </w:tcBorders>
            <w:tcMar>
              <w:left w:w="60" w:type="dxa"/>
              <w:right w:w="60" w:type="dxa"/>
            </w:tcMar>
            <w:vAlign w:val="bottom"/>
          </w:tcPr>
          <w:p>
            <w:pPr>
              <w:pStyle w:val="DMETW36753BIPCRCY"/>
              <w:rPr>
                <w:rFonts w:ascii="Arial" w:eastAsia="Arial" w:hAnsi="Arial" w:cs="Arial"/>
                <w:noProof/>
                <w:color w:val="000000"/>
              </w:rPr>
            </w:pPr>
          </w:p>
        </w:tc>
        <w:tc>
          <w:tcPr>
            <w:tcW w:w="1121" w:type="dxa"/>
            <w:tcBorders>
              <w:top w:val="nil"/>
              <w:left w:val="nil"/>
              <w:bottom w:val="nil"/>
              <w:right w:val="nil"/>
              <w:tl2br w:val="nil"/>
              <w:tr2bl w:val="nil"/>
            </w:tcBorders>
            <w:tcMar>
              <w:left w:w="60" w:type="dxa"/>
              <w:right w:w="60" w:type="dxa"/>
            </w:tcMar>
            <w:vAlign w:val="bottom"/>
          </w:tcPr>
          <w:p>
            <w:pPr>
              <w:pStyle w:val="DMETW36753BIPCRCY"/>
              <w:rPr>
                <w:rFonts w:ascii="Arial" w:eastAsia="Arial" w:hAnsi="Arial" w:cs="Arial"/>
                <w:noProof/>
                <w:color w:val="000000"/>
              </w:rPr>
            </w:pPr>
          </w:p>
        </w:tc>
        <w:tc>
          <w:tcPr>
            <w:tcW w:w="953" w:type="dxa"/>
            <w:tcBorders>
              <w:top w:val="nil"/>
              <w:left w:val="nil"/>
              <w:bottom w:val="nil"/>
              <w:right w:val="nil"/>
              <w:tl2br w:val="nil"/>
              <w:tr2bl w:val="nil"/>
            </w:tcBorders>
            <w:tcMar>
              <w:left w:w="60" w:type="dxa"/>
              <w:right w:w="60" w:type="dxa"/>
            </w:tcMar>
            <w:vAlign w:val="bottom"/>
          </w:tcPr>
          <w:p>
            <w:pPr>
              <w:pStyle w:val="DMETW36753BIPCRCY"/>
              <w:rPr>
                <w:rFonts w:ascii="Arial" w:eastAsia="Arial" w:hAnsi="Arial" w:cs="Arial"/>
                <w:noProof/>
                <w:color w:val="000000"/>
              </w:rPr>
            </w:pPr>
          </w:p>
        </w:tc>
        <w:tc>
          <w:tcPr>
            <w:tcW w:w="1100" w:type="dxa"/>
            <w:tcBorders>
              <w:top w:val="nil"/>
              <w:left w:val="nil"/>
              <w:bottom w:val="nil"/>
              <w:right w:val="nil"/>
              <w:tl2br w:val="nil"/>
              <w:tr2bl w:val="nil"/>
            </w:tcBorders>
            <w:tcMar>
              <w:left w:w="60" w:type="dxa"/>
              <w:right w:w="60" w:type="dxa"/>
            </w:tcMar>
            <w:vAlign w:val="bottom"/>
          </w:tcPr>
          <w:p>
            <w:pPr>
              <w:pStyle w:val="DMETW36753BIPCRCY"/>
              <w:jc w:val="right"/>
              <w:rPr>
                <w:rFonts w:ascii="Verdana" w:eastAsia="Verdana" w:hAnsi="Verdana" w:cs="Verdana"/>
                <w:i/>
                <w:noProof/>
                <w:color w:val="000000"/>
                <w:sz w:val="16"/>
              </w:rPr>
            </w:pPr>
            <w:r>
              <w:rPr>
                <w:rFonts w:ascii="Verdana" w:hAnsi="Verdana"/>
                <w:i/>
                <w:noProof/>
                <w:color w:val="000000"/>
                <w:sz w:val="16"/>
              </w:rPr>
              <w:t>en Mio EUR</w:t>
            </w:r>
          </w:p>
        </w:tc>
      </w:tr>
      <w:tr>
        <w:trPr>
          <w:trHeight w:val="255"/>
        </w:trPr>
        <w:tc>
          <w:tcPr>
            <w:tcW w:w="2798" w:type="dxa"/>
            <w:tcBorders>
              <w:top w:val="nil"/>
              <w:left w:val="nil"/>
              <w:bottom w:val="nil"/>
              <w:right w:val="nil"/>
              <w:tl2br w:val="nil"/>
              <w:tr2bl w:val="nil"/>
            </w:tcBorders>
            <w:shd w:val="solid" w:color="016794" w:fill="FFFFFF"/>
            <w:tcMar>
              <w:left w:w="60" w:type="dxa"/>
              <w:right w:w="60" w:type="dxa"/>
            </w:tcMar>
            <w:vAlign w:val="center"/>
          </w:tcPr>
          <w:p>
            <w:pPr>
              <w:pStyle w:val="DMETW36753BIPCRCY"/>
              <w:jc w:val="right"/>
              <w:rPr>
                <w:rFonts w:ascii="Verdana" w:eastAsia="Verdana" w:hAnsi="Verdana" w:cs="Verdana"/>
                <w:noProof/>
                <w:color w:val="FFFFFF"/>
              </w:rPr>
            </w:pPr>
          </w:p>
        </w:tc>
        <w:tc>
          <w:tcPr>
            <w:tcW w:w="982" w:type="dxa"/>
            <w:gridSpan w:val="7"/>
            <w:tcBorders>
              <w:top w:val="nil"/>
              <w:left w:val="nil"/>
              <w:bottom w:val="nil"/>
              <w:right w:val="nil"/>
              <w:tl2br w:val="nil"/>
              <w:tr2bl w:val="nil"/>
            </w:tcBorders>
            <w:shd w:val="solid" w:color="016794" w:fill="FFFFFF"/>
            <w:tcMar>
              <w:left w:w="60" w:type="dxa"/>
              <w:right w:w="60" w:type="dxa"/>
            </w:tcMar>
            <w:vAlign w:val="center"/>
          </w:tcPr>
          <w:p>
            <w:pPr>
              <w:pStyle w:val="DMETW36753BIPCRCY"/>
              <w:jc w:val="center"/>
              <w:rPr>
                <w:rFonts w:ascii="Verdana" w:eastAsia="Verdana" w:hAnsi="Verdana" w:cs="Verdana"/>
                <w:noProof/>
                <w:color w:val="FFFFFF"/>
              </w:rPr>
            </w:pPr>
            <w:r>
              <w:rPr>
                <w:rFonts w:ascii="Verdana" w:hAnsi="Verdana"/>
                <w:noProof/>
                <w:color w:val="FFFFFF"/>
              </w:rPr>
              <w:t>31.12.2025</w:t>
            </w:r>
          </w:p>
        </w:tc>
      </w:tr>
      <w:tr>
        <w:trPr>
          <w:trHeight w:val="255"/>
        </w:trPr>
        <w:tc>
          <w:tcPr>
            <w:tcW w:w="2798" w:type="dxa"/>
            <w:tcBorders>
              <w:top w:val="nil"/>
              <w:left w:val="nil"/>
              <w:bottom w:val="nil"/>
              <w:right w:val="nil"/>
              <w:tl2br w:val="nil"/>
              <w:tr2bl w:val="nil"/>
            </w:tcBorders>
            <w:shd w:val="solid" w:color="016794" w:fill="FFFFFF"/>
            <w:tcMar>
              <w:left w:w="60" w:type="dxa"/>
              <w:right w:w="60" w:type="dxa"/>
            </w:tcMar>
            <w:vAlign w:val="center"/>
          </w:tcPr>
          <w:p>
            <w:pPr>
              <w:pStyle w:val="DMETW36753BIPCRCY"/>
              <w:jc w:val="right"/>
              <w:rPr>
                <w:rFonts w:ascii="Verdana" w:eastAsia="Verdana" w:hAnsi="Verdana" w:cs="Verdana"/>
                <w:noProof/>
                <w:color w:val="FFFFFF"/>
              </w:rPr>
            </w:pPr>
          </w:p>
        </w:tc>
        <w:tc>
          <w:tcPr>
            <w:tcW w:w="982" w:type="dxa"/>
            <w:tcBorders>
              <w:top w:val="nil"/>
              <w:left w:val="nil"/>
              <w:bottom w:val="nil"/>
              <w:right w:val="nil"/>
              <w:tl2br w:val="nil"/>
              <w:tr2bl w:val="nil"/>
            </w:tcBorders>
            <w:shd w:val="solid" w:color="016794" w:fill="FFFFFF"/>
            <w:tcMar>
              <w:left w:w="60" w:type="dxa"/>
              <w:right w:w="60" w:type="dxa"/>
            </w:tcMar>
            <w:vAlign w:val="center"/>
          </w:tcPr>
          <w:p>
            <w:pPr>
              <w:pStyle w:val="DMETW36753BIPCRCY"/>
              <w:jc w:val="right"/>
              <w:rPr>
                <w:rFonts w:ascii="Verdana" w:eastAsia="Verdana" w:hAnsi="Verdana" w:cs="Verdana"/>
                <w:noProof/>
                <w:color w:val="FFFFFF"/>
              </w:rPr>
            </w:pPr>
            <w:r>
              <w:rPr>
                <w:rFonts w:ascii="Verdana" w:hAnsi="Verdana"/>
                <w:noProof/>
                <w:color w:val="FFFFFF"/>
              </w:rPr>
              <w:t>USD</w:t>
            </w:r>
          </w:p>
        </w:tc>
        <w:tc>
          <w:tcPr>
            <w:tcW w:w="981" w:type="dxa"/>
            <w:tcBorders>
              <w:top w:val="nil"/>
              <w:left w:val="nil"/>
              <w:bottom w:val="nil"/>
              <w:right w:val="nil"/>
              <w:tl2br w:val="nil"/>
              <w:tr2bl w:val="nil"/>
            </w:tcBorders>
            <w:shd w:val="solid" w:color="016794" w:fill="FFFFFF"/>
            <w:tcMar>
              <w:left w:w="60" w:type="dxa"/>
              <w:right w:w="60" w:type="dxa"/>
            </w:tcMar>
            <w:vAlign w:val="center"/>
          </w:tcPr>
          <w:p>
            <w:pPr>
              <w:pStyle w:val="DMETW36753BIPCRCY"/>
              <w:jc w:val="right"/>
              <w:rPr>
                <w:rFonts w:ascii="Verdana" w:eastAsia="Verdana" w:hAnsi="Verdana" w:cs="Verdana"/>
                <w:noProof/>
                <w:color w:val="FFFFFF"/>
              </w:rPr>
            </w:pPr>
            <w:r>
              <w:rPr>
                <w:rFonts w:ascii="Verdana" w:hAnsi="Verdana"/>
                <w:noProof/>
                <w:color w:val="FFFFFF"/>
              </w:rPr>
              <w:t>RON</w:t>
            </w:r>
          </w:p>
        </w:tc>
        <w:tc>
          <w:tcPr>
            <w:tcW w:w="981" w:type="dxa"/>
            <w:tcBorders>
              <w:top w:val="nil"/>
              <w:left w:val="nil"/>
              <w:bottom w:val="nil"/>
              <w:right w:val="nil"/>
              <w:tl2br w:val="nil"/>
              <w:tr2bl w:val="nil"/>
            </w:tcBorders>
            <w:shd w:val="solid" w:color="016794" w:fill="FFFFFF"/>
            <w:tcMar>
              <w:left w:w="60" w:type="dxa"/>
              <w:right w:w="60" w:type="dxa"/>
            </w:tcMar>
            <w:vAlign w:val="center"/>
          </w:tcPr>
          <w:p>
            <w:pPr>
              <w:pStyle w:val="DMETW36753BIPCRCY"/>
              <w:jc w:val="right"/>
              <w:rPr>
                <w:rFonts w:ascii="Verdana" w:eastAsia="Verdana" w:hAnsi="Verdana" w:cs="Verdana"/>
                <w:noProof/>
                <w:color w:val="FFFFFF"/>
              </w:rPr>
            </w:pPr>
            <w:r>
              <w:rPr>
                <w:rFonts w:ascii="Verdana" w:hAnsi="Verdana"/>
                <w:noProof/>
                <w:color w:val="FFFFFF"/>
              </w:rPr>
              <w:t>PLN</w:t>
            </w:r>
          </w:p>
        </w:tc>
        <w:tc>
          <w:tcPr>
            <w:tcW w:w="842" w:type="dxa"/>
            <w:tcBorders>
              <w:top w:val="nil"/>
              <w:left w:val="nil"/>
              <w:bottom w:val="nil"/>
              <w:right w:val="nil"/>
              <w:tl2br w:val="nil"/>
              <w:tr2bl w:val="nil"/>
            </w:tcBorders>
            <w:shd w:val="solid" w:color="016794" w:fill="FFFFFF"/>
            <w:tcMar>
              <w:left w:w="60" w:type="dxa"/>
              <w:right w:w="60" w:type="dxa"/>
            </w:tcMar>
            <w:vAlign w:val="center"/>
          </w:tcPr>
          <w:p>
            <w:pPr>
              <w:pStyle w:val="DMETW36753BIPCRCY"/>
              <w:jc w:val="right"/>
              <w:rPr>
                <w:rFonts w:ascii="Verdana" w:eastAsia="Verdana" w:hAnsi="Verdana" w:cs="Verdana"/>
                <w:noProof/>
                <w:color w:val="FFFFFF"/>
              </w:rPr>
            </w:pPr>
            <w:r>
              <w:rPr>
                <w:rFonts w:ascii="Verdana" w:hAnsi="Verdana"/>
                <w:noProof/>
                <w:color w:val="FFFFFF"/>
              </w:rPr>
              <w:t>SEK</w:t>
            </w:r>
          </w:p>
        </w:tc>
        <w:tc>
          <w:tcPr>
            <w:tcW w:w="1121" w:type="dxa"/>
            <w:tcBorders>
              <w:top w:val="nil"/>
              <w:left w:val="nil"/>
              <w:bottom w:val="nil"/>
              <w:right w:val="nil"/>
              <w:tl2br w:val="nil"/>
              <w:tr2bl w:val="nil"/>
            </w:tcBorders>
            <w:shd w:val="solid" w:color="016794" w:fill="FFFFFF"/>
            <w:tcMar>
              <w:left w:w="60" w:type="dxa"/>
              <w:right w:w="60" w:type="dxa"/>
            </w:tcMar>
            <w:vAlign w:val="center"/>
          </w:tcPr>
          <w:p>
            <w:pPr>
              <w:pStyle w:val="DMETW36753BIPCRCY"/>
              <w:jc w:val="right"/>
              <w:rPr>
                <w:rFonts w:ascii="Verdana" w:eastAsia="Verdana" w:hAnsi="Verdana" w:cs="Verdana"/>
                <w:noProof/>
                <w:color w:val="FFFFFF"/>
              </w:rPr>
            </w:pPr>
            <w:r>
              <w:rPr>
                <w:rFonts w:ascii="Verdana" w:hAnsi="Verdana"/>
                <w:noProof/>
                <w:color w:val="FFFFFF"/>
              </w:rPr>
              <w:t>Autres</w:t>
            </w:r>
          </w:p>
        </w:tc>
        <w:tc>
          <w:tcPr>
            <w:tcW w:w="953" w:type="dxa"/>
            <w:tcBorders>
              <w:top w:val="nil"/>
              <w:left w:val="nil"/>
              <w:bottom w:val="nil"/>
              <w:right w:val="nil"/>
              <w:tl2br w:val="nil"/>
              <w:tr2bl w:val="nil"/>
            </w:tcBorders>
            <w:shd w:val="solid" w:color="016794" w:fill="FFFFFF"/>
            <w:tcMar>
              <w:left w:w="60" w:type="dxa"/>
              <w:right w:w="60" w:type="dxa"/>
            </w:tcMar>
            <w:vAlign w:val="center"/>
          </w:tcPr>
          <w:p>
            <w:pPr>
              <w:pStyle w:val="DMETW36753BIPCRCY"/>
              <w:jc w:val="right"/>
              <w:rPr>
                <w:rFonts w:ascii="Verdana" w:eastAsia="Verdana" w:hAnsi="Verdana" w:cs="Verdana"/>
                <w:noProof/>
                <w:color w:val="FFFFFF"/>
              </w:rPr>
            </w:pPr>
            <w:r>
              <w:rPr>
                <w:rFonts w:ascii="Verdana" w:hAnsi="Verdana"/>
                <w:noProof/>
                <w:color w:val="FFFFFF"/>
              </w:rPr>
              <w:t>EUR</w:t>
            </w:r>
          </w:p>
        </w:tc>
        <w:tc>
          <w:tcPr>
            <w:tcW w:w="1100" w:type="dxa"/>
            <w:tcBorders>
              <w:top w:val="nil"/>
              <w:left w:val="nil"/>
              <w:bottom w:val="nil"/>
              <w:right w:val="nil"/>
              <w:tl2br w:val="nil"/>
              <w:tr2bl w:val="nil"/>
            </w:tcBorders>
            <w:shd w:val="solid" w:color="016794" w:fill="FFFFFF"/>
            <w:tcMar>
              <w:left w:w="60" w:type="dxa"/>
              <w:right w:w="60" w:type="dxa"/>
            </w:tcMar>
            <w:vAlign w:val="center"/>
          </w:tcPr>
          <w:p>
            <w:pPr>
              <w:pStyle w:val="DMETW36753BIPCRCY"/>
              <w:jc w:val="right"/>
              <w:rPr>
                <w:rFonts w:ascii="Verdana" w:eastAsia="Verdana" w:hAnsi="Verdana" w:cs="Verdana"/>
                <w:noProof/>
                <w:color w:val="FFFFFF"/>
              </w:rPr>
            </w:pPr>
            <w:r>
              <w:rPr>
                <w:rFonts w:ascii="Verdana" w:hAnsi="Verdana"/>
                <w:noProof/>
                <w:color w:val="FFFFFF"/>
              </w:rPr>
              <w:t>Total</w:t>
            </w:r>
          </w:p>
        </w:tc>
      </w:tr>
      <w:tr>
        <w:trPr>
          <w:trHeight w:val="255"/>
        </w:trPr>
        <w:tc>
          <w:tcPr>
            <w:tcW w:w="2798" w:type="dxa"/>
            <w:tcBorders>
              <w:top w:val="nil"/>
              <w:left w:val="nil"/>
              <w:bottom w:val="nil"/>
              <w:right w:val="nil"/>
              <w:tl2br w:val="nil"/>
              <w:tr2bl w:val="nil"/>
            </w:tcBorders>
            <w:tcMar>
              <w:left w:w="60" w:type="dxa"/>
              <w:right w:w="60" w:type="dxa"/>
            </w:tcMar>
            <w:vAlign w:val="center"/>
          </w:tcPr>
          <w:p>
            <w:pPr>
              <w:pStyle w:val="DMETW36753BIPCRCY"/>
              <w:rPr>
                <w:rFonts w:ascii="Verdana" w:eastAsia="Verdana" w:hAnsi="Verdana" w:cs="Verdana"/>
                <w:b/>
                <w:noProof/>
                <w:color w:val="000000"/>
                <w:sz w:val="18"/>
              </w:rPr>
            </w:pPr>
            <w:r>
              <w:rPr>
                <w:rFonts w:ascii="Verdana" w:hAnsi="Verdana"/>
                <w:b/>
                <w:noProof/>
                <w:color w:val="000000"/>
                <w:sz w:val="18"/>
              </w:rPr>
              <w:t>Actifs financiers</w:t>
            </w:r>
          </w:p>
        </w:tc>
        <w:tc>
          <w:tcPr>
            <w:tcW w:w="982" w:type="dxa"/>
            <w:tcBorders>
              <w:top w:val="nil"/>
              <w:left w:val="nil"/>
              <w:bottom w:val="nil"/>
              <w:right w:val="nil"/>
              <w:tl2br w:val="nil"/>
              <w:tr2bl w:val="nil"/>
            </w:tcBorders>
            <w:tcMar>
              <w:left w:w="60" w:type="dxa"/>
              <w:right w:w="60" w:type="dxa"/>
            </w:tcMar>
            <w:vAlign w:val="center"/>
          </w:tcPr>
          <w:p>
            <w:pPr>
              <w:pStyle w:val="DMETW36753BIPCRCY"/>
              <w:rPr>
                <w:rFonts w:ascii="Arial" w:eastAsia="Arial" w:hAnsi="Arial" w:cs="Arial"/>
                <w:noProof/>
                <w:color w:val="000000"/>
              </w:rPr>
            </w:pPr>
          </w:p>
        </w:tc>
        <w:tc>
          <w:tcPr>
            <w:tcW w:w="981" w:type="dxa"/>
            <w:tcBorders>
              <w:top w:val="nil"/>
              <w:left w:val="nil"/>
              <w:bottom w:val="nil"/>
              <w:right w:val="nil"/>
              <w:tl2br w:val="nil"/>
              <w:tr2bl w:val="nil"/>
            </w:tcBorders>
            <w:tcMar>
              <w:left w:w="60" w:type="dxa"/>
              <w:right w:w="60" w:type="dxa"/>
            </w:tcMar>
            <w:vAlign w:val="center"/>
          </w:tcPr>
          <w:p>
            <w:pPr>
              <w:pStyle w:val="DMETW36753BIPCRCY"/>
              <w:rPr>
                <w:rFonts w:ascii="Arial" w:eastAsia="Arial" w:hAnsi="Arial" w:cs="Arial"/>
                <w:noProof/>
                <w:color w:val="000000"/>
              </w:rPr>
            </w:pPr>
          </w:p>
        </w:tc>
        <w:tc>
          <w:tcPr>
            <w:tcW w:w="981" w:type="dxa"/>
            <w:tcBorders>
              <w:top w:val="nil"/>
              <w:left w:val="nil"/>
              <w:bottom w:val="nil"/>
              <w:right w:val="nil"/>
              <w:tl2br w:val="nil"/>
              <w:tr2bl w:val="nil"/>
            </w:tcBorders>
            <w:tcMar>
              <w:left w:w="60" w:type="dxa"/>
              <w:right w:w="60" w:type="dxa"/>
            </w:tcMar>
            <w:vAlign w:val="center"/>
          </w:tcPr>
          <w:p>
            <w:pPr>
              <w:pStyle w:val="DMETW36753BIPCRCY"/>
              <w:rPr>
                <w:rFonts w:ascii="Arial" w:eastAsia="Arial" w:hAnsi="Arial" w:cs="Arial"/>
                <w:noProof/>
                <w:color w:val="000000"/>
              </w:rPr>
            </w:pPr>
          </w:p>
        </w:tc>
        <w:tc>
          <w:tcPr>
            <w:tcW w:w="842" w:type="dxa"/>
            <w:tcBorders>
              <w:top w:val="nil"/>
              <w:left w:val="nil"/>
              <w:bottom w:val="nil"/>
              <w:right w:val="nil"/>
              <w:tl2br w:val="nil"/>
              <w:tr2bl w:val="nil"/>
            </w:tcBorders>
            <w:tcMar>
              <w:left w:w="60" w:type="dxa"/>
              <w:right w:w="60" w:type="dxa"/>
            </w:tcMar>
            <w:vAlign w:val="center"/>
          </w:tcPr>
          <w:p>
            <w:pPr>
              <w:pStyle w:val="DMETW36753BIPCRCY"/>
              <w:rPr>
                <w:rFonts w:ascii="Arial" w:eastAsia="Arial" w:hAnsi="Arial" w:cs="Arial"/>
                <w:noProof/>
                <w:color w:val="000000"/>
              </w:rPr>
            </w:pPr>
          </w:p>
        </w:tc>
        <w:tc>
          <w:tcPr>
            <w:tcW w:w="1121" w:type="dxa"/>
            <w:tcBorders>
              <w:top w:val="nil"/>
              <w:left w:val="nil"/>
              <w:bottom w:val="nil"/>
              <w:right w:val="nil"/>
              <w:tl2br w:val="nil"/>
              <w:tr2bl w:val="nil"/>
            </w:tcBorders>
            <w:tcMar>
              <w:left w:w="60" w:type="dxa"/>
              <w:right w:w="60" w:type="dxa"/>
            </w:tcMar>
            <w:vAlign w:val="center"/>
          </w:tcPr>
          <w:p>
            <w:pPr>
              <w:pStyle w:val="DMETW36753BIPCRCY"/>
              <w:rPr>
                <w:rFonts w:ascii="Arial" w:eastAsia="Arial" w:hAnsi="Arial" w:cs="Arial"/>
                <w:noProof/>
                <w:color w:val="000000"/>
              </w:rPr>
            </w:pPr>
          </w:p>
        </w:tc>
        <w:tc>
          <w:tcPr>
            <w:tcW w:w="953" w:type="dxa"/>
            <w:tcBorders>
              <w:top w:val="nil"/>
              <w:left w:val="nil"/>
              <w:bottom w:val="nil"/>
              <w:right w:val="nil"/>
              <w:tl2br w:val="nil"/>
              <w:tr2bl w:val="nil"/>
            </w:tcBorders>
            <w:tcMar>
              <w:left w:w="60" w:type="dxa"/>
              <w:right w:w="60" w:type="dxa"/>
            </w:tcMar>
            <w:vAlign w:val="center"/>
          </w:tcPr>
          <w:p>
            <w:pPr>
              <w:pStyle w:val="DMETW36753BIPCRCY"/>
              <w:rPr>
                <w:rFonts w:ascii="Arial" w:eastAsia="Arial" w:hAnsi="Arial" w:cs="Arial"/>
                <w:noProof/>
                <w:color w:val="000000"/>
              </w:rPr>
            </w:pPr>
          </w:p>
        </w:tc>
        <w:tc>
          <w:tcPr>
            <w:tcW w:w="1100" w:type="dxa"/>
            <w:tcBorders>
              <w:top w:val="nil"/>
              <w:left w:val="nil"/>
              <w:bottom w:val="nil"/>
              <w:right w:val="nil"/>
              <w:tl2br w:val="nil"/>
              <w:tr2bl w:val="nil"/>
            </w:tcBorders>
            <w:tcMar>
              <w:left w:w="60" w:type="dxa"/>
              <w:right w:w="60" w:type="dxa"/>
            </w:tcMar>
            <w:vAlign w:val="center"/>
          </w:tcPr>
          <w:p>
            <w:pPr>
              <w:pStyle w:val="DMETW36753BIPCRCY"/>
              <w:rPr>
                <w:rFonts w:ascii="Arial" w:eastAsia="Arial" w:hAnsi="Arial" w:cs="Arial"/>
                <w:noProof/>
                <w:color w:val="000000"/>
                <w:lang w:bidi="en-GB"/>
              </w:rPr>
            </w:pPr>
          </w:p>
        </w:tc>
      </w:tr>
      <w:tr>
        <w:trPr>
          <w:trHeight w:val="255"/>
        </w:trPr>
        <w:tc>
          <w:tcPr>
            <w:tcW w:w="2798" w:type="dxa"/>
            <w:tcBorders>
              <w:top w:val="nil"/>
              <w:left w:val="nil"/>
              <w:bottom w:val="nil"/>
              <w:right w:val="nil"/>
              <w:tl2br w:val="nil"/>
              <w:tr2bl w:val="nil"/>
            </w:tcBorders>
            <w:tcMar>
              <w:left w:w="60" w:type="dxa"/>
              <w:right w:w="60" w:type="dxa"/>
            </w:tcMar>
            <w:vAlign w:val="center"/>
          </w:tcPr>
          <w:p>
            <w:pPr>
              <w:pStyle w:val="DMETW36753BIPCRCY"/>
              <w:rPr>
                <w:rFonts w:ascii="Verdana" w:eastAsia="Verdana" w:hAnsi="Verdana" w:cs="Verdana"/>
                <w:i/>
                <w:noProof/>
                <w:color w:val="000000"/>
                <w:sz w:val="18"/>
              </w:rPr>
            </w:pPr>
            <w:r>
              <w:rPr>
                <w:rFonts w:ascii="Verdana" w:hAnsi="Verdana"/>
                <w:i/>
                <w:noProof/>
                <w:color w:val="000000"/>
                <w:sz w:val="18"/>
              </w:rPr>
              <w:t>Actifs financiers au coût amorti*</w:t>
            </w:r>
          </w:p>
        </w:tc>
        <w:tc>
          <w:tcPr>
            <w:tcW w:w="982"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 xml:space="preserve"> 51</w:t>
            </w:r>
          </w:p>
        </w:tc>
        <w:tc>
          <w:tcPr>
            <w:tcW w:w="981"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 xml:space="preserve"> 5</w:t>
            </w:r>
          </w:p>
        </w:tc>
        <w:tc>
          <w:tcPr>
            <w:tcW w:w="981"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w:t>
            </w:r>
          </w:p>
        </w:tc>
        <w:tc>
          <w:tcPr>
            <w:tcW w:w="842"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w:t>
            </w:r>
          </w:p>
        </w:tc>
        <w:tc>
          <w:tcPr>
            <w:tcW w:w="1121"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 xml:space="preserve"> 7</w:t>
            </w:r>
          </w:p>
        </w:tc>
        <w:tc>
          <w:tcPr>
            <w:tcW w:w="953"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 xml:space="preserve"> 548</w:t>
            </w:r>
          </w:p>
        </w:tc>
        <w:tc>
          <w:tcPr>
            <w:tcW w:w="1100"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 xml:space="preserve"> 611</w:t>
            </w:r>
          </w:p>
        </w:tc>
      </w:tr>
      <w:tr>
        <w:trPr>
          <w:trHeight w:val="462"/>
        </w:trPr>
        <w:tc>
          <w:tcPr>
            <w:tcW w:w="2798" w:type="dxa"/>
            <w:tcBorders>
              <w:top w:val="nil"/>
              <w:left w:val="nil"/>
              <w:bottom w:val="nil"/>
              <w:right w:val="nil"/>
              <w:tl2br w:val="nil"/>
              <w:tr2bl w:val="nil"/>
            </w:tcBorders>
            <w:tcMar>
              <w:left w:w="60" w:type="dxa"/>
              <w:right w:w="60" w:type="dxa"/>
            </w:tcMar>
            <w:vAlign w:val="center"/>
          </w:tcPr>
          <w:p>
            <w:pPr>
              <w:pStyle w:val="DMETW36753BIPCRCY"/>
              <w:rPr>
                <w:rFonts w:ascii="Verdana" w:eastAsia="Verdana" w:hAnsi="Verdana" w:cs="Verdana"/>
                <w:i/>
                <w:noProof/>
                <w:color w:val="000000"/>
                <w:sz w:val="18"/>
              </w:rPr>
            </w:pPr>
            <w:r>
              <w:rPr>
                <w:rFonts w:ascii="Verdana" w:hAnsi="Verdana"/>
                <w:i/>
                <w:noProof/>
                <w:color w:val="000000"/>
                <w:sz w:val="18"/>
              </w:rPr>
              <w:t>Actifs financiers à la JVCR</w:t>
            </w:r>
          </w:p>
        </w:tc>
        <w:tc>
          <w:tcPr>
            <w:tcW w:w="982"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p>
        </w:tc>
        <w:tc>
          <w:tcPr>
            <w:tcW w:w="981"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p>
        </w:tc>
        <w:tc>
          <w:tcPr>
            <w:tcW w:w="981"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p>
        </w:tc>
        <w:tc>
          <w:tcPr>
            <w:tcW w:w="842"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p>
        </w:tc>
        <w:tc>
          <w:tcPr>
            <w:tcW w:w="1121"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p>
        </w:tc>
        <w:tc>
          <w:tcPr>
            <w:tcW w:w="953"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p>
        </w:tc>
        <w:tc>
          <w:tcPr>
            <w:tcW w:w="1100"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lang w:bidi="en-GB"/>
              </w:rPr>
            </w:pPr>
          </w:p>
        </w:tc>
      </w:tr>
      <w:tr>
        <w:trPr>
          <w:trHeight w:val="255"/>
        </w:trPr>
        <w:tc>
          <w:tcPr>
            <w:tcW w:w="2798" w:type="dxa"/>
            <w:tcBorders>
              <w:top w:val="nil"/>
              <w:left w:val="nil"/>
              <w:bottom w:val="nil"/>
              <w:right w:val="nil"/>
              <w:tl2br w:val="nil"/>
              <w:tr2bl w:val="nil"/>
            </w:tcBorders>
            <w:tcMar>
              <w:left w:w="60" w:type="dxa"/>
              <w:right w:w="60" w:type="dxa"/>
            </w:tcMar>
            <w:vAlign w:val="center"/>
          </w:tcPr>
          <w:p>
            <w:pPr>
              <w:pStyle w:val="DMETW36753BIPCRCY"/>
              <w:ind w:left="400" w:firstLine="15"/>
              <w:rPr>
                <w:rFonts w:ascii="Verdana" w:eastAsia="Verdana" w:hAnsi="Verdana" w:cs="Verdana"/>
                <w:i/>
                <w:noProof/>
                <w:color w:val="000000"/>
                <w:sz w:val="18"/>
              </w:rPr>
            </w:pPr>
            <w:r>
              <w:rPr>
                <w:rFonts w:ascii="Verdana" w:hAnsi="Verdana"/>
                <w:i/>
                <w:noProof/>
                <w:color w:val="000000"/>
                <w:sz w:val="18"/>
              </w:rPr>
              <w:t>Non dérivés</w:t>
            </w:r>
          </w:p>
        </w:tc>
        <w:tc>
          <w:tcPr>
            <w:tcW w:w="982"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1 558</w:t>
            </w:r>
          </w:p>
        </w:tc>
        <w:tc>
          <w:tcPr>
            <w:tcW w:w="981"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w:t>
            </w:r>
          </w:p>
        </w:tc>
        <w:tc>
          <w:tcPr>
            <w:tcW w:w="981"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w:t>
            </w:r>
          </w:p>
        </w:tc>
        <w:tc>
          <w:tcPr>
            <w:tcW w:w="842"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 xml:space="preserve"> 18</w:t>
            </w:r>
          </w:p>
        </w:tc>
        <w:tc>
          <w:tcPr>
            <w:tcW w:w="1121"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 xml:space="preserve"> 124</w:t>
            </w:r>
          </w:p>
        </w:tc>
        <w:tc>
          <w:tcPr>
            <w:tcW w:w="953"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49 380</w:t>
            </w:r>
          </w:p>
        </w:tc>
        <w:tc>
          <w:tcPr>
            <w:tcW w:w="1100"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51 080</w:t>
            </w:r>
          </w:p>
        </w:tc>
      </w:tr>
      <w:tr>
        <w:trPr>
          <w:trHeight w:val="255"/>
        </w:trPr>
        <w:tc>
          <w:tcPr>
            <w:tcW w:w="2798" w:type="dxa"/>
            <w:tcBorders>
              <w:top w:val="nil"/>
              <w:left w:val="nil"/>
              <w:bottom w:val="nil"/>
              <w:right w:val="nil"/>
              <w:tl2br w:val="nil"/>
              <w:tr2bl w:val="nil"/>
            </w:tcBorders>
            <w:tcMar>
              <w:left w:w="60" w:type="dxa"/>
              <w:right w:w="60" w:type="dxa"/>
            </w:tcMar>
            <w:vAlign w:val="center"/>
          </w:tcPr>
          <w:p>
            <w:pPr>
              <w:pStyle w:val="DMETW36753BIPCRCY"/>
              <w:ind w:left="400" w:firstLine="15"/>
              <w:rPr>
                <w:rFonts w:ascii="Verdana" w:eastAsia="Verdana" w:hAnsi="Verdana" w:cs="Verdana"/>
                <w:i/>
                <w:noProof/>
                <w:color w:val="000000"/>
                <w:sz w:val="18"/>
              </w:rPr>
            </w:pPr>
            <w:r>
              <w:rPr>
                <w:rFonts w:ascii="Verdana" w:hAnsi="Verdana"/>
                <w:i/>
                <w:noProof/>
                <w:color w:val="000000"/>
                <w:sz w:val="18"/>
              </w:rPr>
              <w:t>Dérivés</w:t>
            </w:r>
          </w:p>
        </w:tc>
        <w:tc>
          <w:tcPr>
            <w:tcW w:w="982"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(1 122)</w:t>
            </w:r>
          </w:p>
        </w:tc>
        <w:tc>
          <w:tcPr>
            <w:tcW w:w="981"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 xml:space="preserve"> 87</w:t>
            </w:r>
          </w:p>
        </w:tc>
        <w:tc>
          <w:tcPr>
            <w:tcW w:w="981"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 xml:space="preserve"> 134</w:t>
            </w:r>
          </w:p>
        </w:tc>
        <w:tc>
          <w:tcPr>
            <w:tcW w:w="842"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 xml:space="preserve"> 93</w:t>
            </w:r>
          </w:p>
        </w:tc>
        <w:tc>
          <w:tcPr>
            <w:tcW w:w="1121"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 xml:space="preserve"> 164</w:t>
            </w:r>
          </w:p>
        </w:tc>
        <w:tc>
          <w:tcPr>
            <w:tcW w:w="953"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2 229</w:t>
            </w:r>
          </w:p>
        </w:tc>
        <w:tc>
          <w:tcPr>
            <w:tcW w:w="1100"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1 585</w:t>
            </w:r>
          </w:p>
        </w:tc>
      </w:tr>
      <w:tr>
        <w:trPr>
          <w:trHeight w:val="255"/>
        </w:trPr>
        <w:tc>
          <w:tcPr>
            <w:tcW w:w="2798" w:type="dxa"/>
            <w:tcBorders>
              <w:top w:val="nil"/>
              <w:left w:val="nil"/>
              <w:bottom w:val="nil"/>
              <w:right w:val="nil"/>
              <w:tl2br w:val="nil"/>
              <w:tr2bl w:val="nil"/>
            </w:tcBorders>
            <w:tcMar>
              <w:left w:w="60" w:type="dxa"/>
              <w:right w:w="60" w:type="dxa"/>
            </w:tcMar>
            <w:vAlign w:val="center"/>
          </w:tcPr>
          <w:p>
            <w:pPr>
              <w:pStyle w:val="DMETW36753BIPCRCY"/>
              <w:rPr>
                <w:rFonts w:ascii="Verdana" w:eastAsia="Verdana" w:hAnsi="Verdana" w:cs="Verdana"/>
                <w:i/>
                <w:noProof/>
                <w:color w:val="000000"/>
                <w:sz w:val="18"/>
              </w:rPr>
            </w:pPr>
            <w:r>
              <w:rPr>
                <w:rFonts w:ascii="Verdana" w:hAnsi="Verdana"/>
                <w:i/>
                <w:noProof/>
                <w:color w:val="000000"/>
                <w:sz w:val="18"/>
              </w:rPr>
              <w:t>Créances à recevoir**</w:t>
            </w:r>
          </w:p>
        </w:tc>
        <w:tc>
          <w:tcPr>
            <w:tcW w:w="982"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 xml:space="preserve"> 138</w:t>
            </w:r>
          </w:p>
        </w:tc>
        <w:tc>
          <w:tcPr>
            <w:tcW w:w="981"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 xml:space="preserve"> 8</w:t>
            </w:r>
          </w:p>
        </w:tc>
        <w:tc>
          <w:tcPr>
            <w:tcW w:w="981"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 xml:space="preserve"> 84</w:t>
            </w:r>
          </w:p>
        </w:tc>
        <w:tc>
          <w:tcPr>
            <w:tcW w:w="842"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 xml:space="preserve"> 2</w:t>
            </w:r>
          </w:p>
        </w:tc>
        <w:tc>
          <w:tcPr>
            <w:tcW w:w="1121"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 xml:space="preserve"> 159</w:t>
            </w:r>
          </w:p>
        </w:tc>
        <w:tc>
          <w:tcPr>
            <w:tcW w:w="953"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3 351</w:t>
            </w:r>
          </w:p>
        </w:tc>
        <w:tc>
          <w:tcPr>
            <w:tcW w:w="1100"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3 742</w:t>
            </w:r>
          </w:p>
        </w:tc>
      </w:tr>
      <w:tr>
        <w:trPr>
          <w:trHeight w:val="255"/>
        </w:trPr>
        <w:tc>
          <w:tcPr>
            <w:tcW w:w="2798" w:type="dxa"/>
            <w:tcBorders>
              <w:top w:val="nil"/>
              <w:left w:val="nil"/>
              <w:bottom w:val="single" w:sz="4" w:space="0" w:color="016794"/>
              <w:right w:val="nil"/>
              <w:tl2br w:val="nil"/>
              <w:tr2bl w:val="nil"/>
            </w:tcBorders>
            <w:tcMar>
              <w:left w:w="60" w:type="dxa"/>
              <w:right w:w="60" w:type="dxa"/>
            </w:tcMar>
            <w:vAlign w:val="center"/>
          </w:tcPr>
          <w:p>
            <w:pPr>
              <w:pStyle w:val="DMETW36753BIPCRCY"/>
              <w:rPr>
                <w:rFonts w:ascii="Verdana" w:eastAsia="Verdana" w:hAnsi="Verdana" w:cs="Verdana"/>
                <w:i/>
                <w:noProof/>
                <w:color w:val="000000"/>
                <w:sz w:val="18"/>
              </w:rPr>
            </w:pPr>
            <w:r>
              <w:rPr>
                <w:rFonts w:ascii="Verdana" w:hAnsi="Verdana"/>
                <w:i/>
                <w:noProof/>
                <w:color w:val="000000"/>
                <w:sz w:val="18"/>
              </w:rPr>
              <w:t>Trésorerie et équivalents de trésorerie</w:t>
            </w:r>
          </w:p>
        </w:tc>
        <w:tc>
          <w:tcPr>
            <w:tcW w:w="982" w:type="dxa"/>
            <w:tcBorders>
              <w:top w:val="nil"/>
              <w:left w:val="nil"/>
              <w:bottom w:val="single" w:sz="4" w:space="0" w:color="016794"/>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 xml:space="preserve"> 219</w:t>
            </w:r>
          </w:p>
        </w:tc>
        <w:tc>
          <w:tcPr>
            <w:tcW w:w="981" w:type="dxa"/>
            <w:tcBorders>
              <w:top w:val="nil"/>
              <w:left w:val="nil"/>
              <w:bottom w:val="single" w:sz="4" w:space="0" w:color="016794"/>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 xml:space="preserve"> 594</w:t>
            </w:r>
          </w:p>
        </w:tc>
        <w:tc>
          <w:tcPr>
            <w:tcW w:w="981" w:type="dxa"/>
            <w:tcBorders>
              <w:top w:val="nil"/>
              <w:left w:val="nil"/>
              <w:bottom w:val="single" w:sz="4" w:space="0" w:color="016794"/>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1 480</w:t>
            </w:r>
          </w:p>
        </w:tc>
        <w:tc>
          <w:tcPr>
            <w:tcW w:w="842" w:type="dxa"/>
            <w:tcBorders>
              <w:top w:val="nil"/>
              <w:left w:val="nil"/>
              <w:bottom w:val="single" w:sz="4" w:space="0" w:color="016794"/>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 xml:space="preserve"> 612</w:t>
            </w:r>
          </w:p>
        </w:tc>
        <w:tc>
          <w:tcPr>
            <w:tcW w:w="1121" w:type="dxa"/>
            <w:tcBorders>
              <w:top w:val="nil"/>
              <w:left w:val="nil"/>
              <w:bottom w:val="single" w:sz="4" w:space="0" w:color="016794"/>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1 517</w:t>
            </w:r>
          </w:p>
        </w:tc>
        <w:tc>
          <w:tcPr>
            <w:tcW w:w="953" w:type="dxa"/>
            <w:tcBorders>
              <w:top w:val="nil"/>
              <w:left w:val="nil"/>
              <w:bottom w:val="single" w:sz="4" w:space="0" w:color="016794"/>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98 619</w:t>
            </w:r>
          </w:p>
        </w:tc>
        <w:tc>
          <w:tcPr>
            <w:tcW w:w="1100" w:type="dxa"/>
            <w:tcBorders>
              <w:top w:val="nil"/>
              <w:left w:val="nil"/>
              <w:bottom w:val="single" w:sz="4" w:space="0" w:color="016794"/>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103 041</w:t>
            </w:r>
          </w:p>
        </w:tc>
      </w:tr>
      <w:tr>
        <w:trPr>
          <w:trHeight w:val="255"/>
        </w:trPr>
        <w:tc>
          <w:tcPr>
            <w:tcW w:w="279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CY"/>
              <w:jc w:val="right"/>
              <w:rPr>
                <w:rFonts w:ascii="Verdana" w:eastAsia="Verdana" w:hAnsi="Verdana" w:cs="Verdana"/>
                <w:b/>
                <w:noProof/>
                <w:color w:val="000000"/>
                <w:sz w:val="18"/>
              </w:rPr>
            </w:pPr>
          </w:p>
        </w:tc>
        <w:tc>
          <w:tcPr>
            <w:tcW w:w="98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CY"/>
              <w:jc w:val="right"/>
              <w:rPr>
                <w:rFonts w:ascii="Verdana" w:eastAsia="Verdana" w:hAnsi="Verdana" w:cs="Verdana"/>
                <w:b/>
                <w:noProof/>
                <w:color w:val="000000"/>
                <w:sz w:val="18"/>
              </w:rPr>
            </w:pPr>
            <w:r>
              <w:rPr>
                <w:rFonts w:ascii="Verdana" w:hAnsi="Verdana"/>
                <w:b/>
                <w:noProof/>
                <w:color w:val="000000"/>
                <w:sz w:val="18"/>
              </w:rPr>
              <w:t xml:space="preserve"> 845</w:t>
            </w:r>
          </w:p>
        </w:tc>
        <w:tc>
          <w:tcPr>
            <w:tcW w:w="98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CY"/>
              <w:jc w:val="right"/>
              <w:rPr>
                <w:rFonts w:ascii="Verdana" w:eastAsia="Verdana" w:hAnsi="Verdana" w:cs="Verdana"/>
                <w:b/>
                <w:noProof/>
                <w:color w:val="000000"/>
                <w:sz w:val="18"/>
              </w:rPr>
            </w:pPr>
            <w:r>
              <w:rPr>
                <w:rFonts w:ascii="Verdana" w:hAnsi="Verdana"/>
                <w:b/>
                <w:noProof/>
                <w:color w:val="000000"/>
                <w:sz w:val="18"/>
              </w:rPr>
              <w:t xml:space="preserve"> 694</w:t>
            </w:r>
          </w:p>
        </w:tc>
        <w:tc>
          <w:tcPr>
            <w:tcW w:w="98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CY"/>
              <w:jc w:val="right"/>
              <w:rPr>
                <w:rFonts w:ascii="Verdana" w:eastAsia="Verdana" w:hAnsi="Verdana" w:cs="Verdana"/>
                <w:b/>
                <w:noProof/>
                <w:color w:val="000000"/>
                <w:sz w:val="18"/>
              </w:rPr>
            </w:pPr>
            <w:r>
              <w:rPr>
                <w:rFonts w:ascii="Verdana" w:hAnsi="Verdana"/>
                <w:b/>
                <w:noProof/>
                <w:color w:val="000000"/>
                <w:sz w:val="18"/>
              </w:rPr>
              <w:t>1 698</w:t>
            </w:r>
          </w:p>
        </w:tc>
        <w:tc>
          <w:tcPr>
            <w:tcW w:w="84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CY"/>
              <w:jc w:val="right"/>
              <w:rPr>
                <w:rFonts w:ascii="Verdana" w:eastAsia="Verdana" w:hAnsi="Verdana" w:cs="Verdana"/>
                <w:b/>
                <w:noProof/>
                <w:color w:val="000000"/>
                <w:sz w:val="18"/>
              </w:rPr>
            </w:pPr>
            <w:r>
              <w:rPr>
                <w:rFonts w:ascii="Verdana" w:hAnsi="Verdana"/>
                <w:b/>
                <w:noProof/>
                <w:color w:val="000000"/>
                <w:sz w:val="18"/>
              </w:rPr>
              <w:t xml:space="preserve"> 725</w:t>
            </w:r>
          </w:p>
        </w:tc>
        <w:tc>
          <w:tcPr>
            <w:tcW w:w="112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CY"/>
              <w:jc w:val="right"/>
              <w:rPr>
                <w:rFonts w:ascii="Verdana" w:eastAsia="Verdana" w:hAnsi="Verdana" w:cs="Verdana"/>
                <w:b/>
                <w:noProof/>
                <w:color w:val="000000"/>
                <w:sz w:val="18"/>
              </w:rPr>
            </w:pPr>
            <w:r>
              <w:rPr>
                <w:rFonts w:ascii="Verdana" w:hAnsi="Verdana"/>
                <w:b/>
                <w:noProof/>
                <w:color w:val="000000"/>
                <w:sz w:val="18"/>
              </w:rPr>
              <w:t>1 972</w:t>
            </w:r>
          </w:p>
        </w:tc>
        <w:tc>
          <w:tcPr>
            <w:tcW w:w="95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CY"/>
              <w:jc w:val="right"/>
              <w:rPr>
                <w:rFonts w:ascii="Verdana" w:eastAsia="Verdana" w:hAnsi="Verdana" w:cs="Verdana"/>
                <w:b/>
                <w:noProof/>
                <w:color w:val="000000"/>
                <w:sz w:val="18"/>
              </w:rPr>
            </w:pPr>
            <w:r>
              <w:rPr>
                <w:rFonts w:ascii="Verdana" w:hAnsi="Verdana"/>
                <w:b/>
                <w:noProof/>
                <w:color w:val="000000"/>
                <w:sz w:val="18"/>
              </w:rPr>
              <w:t>154 127</w:t>
            </w:r>
          </w:p>
        </w:tc>
        <w:tc>
          <w:tcPr>
            <w:tcW w:w="110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CY"/>
              <w:jc w:val="right"/>
              <w:rPr>
                <w:rFonts w:ascii="Verdana" w:eastAsia="Verdana" w:hAnsi="Verdana" w:cs="Verdana"/>
                <w:b/>
                <w:noProof/>
                <w:color w:val="000000"/>
                <w:sz w:val="18"/>
              </w:rPr>
            </w:pPr>
            <w:r>
              <w:rPr>
                <w:rFonts w:ascii="Verdana" w:hAnsi="Verdana"/>
                <w:b/>
                <w:noProof/>
                <w:color w:val="000000"/>
                <w:sz w:val="18"/>
              </w:rPr>
              <w:t>160 060</w:t>
            </w:r>
          </w:p>
        </w:tc>
      </w:tr>
      <w:tr>
        <w:trPr>
          <w:trHeight w:val="255"/>
        </w:trPr>
        <w:tc>
          <w:tcPr>
            <w:tcW w:w="2798" w:type="dxa"/>
            <w:tcBorders>
              <w:top w:val="single" w:sz="4" w:space="0" w:color="016794"/>
              <w:left w:val="nil"/>
              <w:bottom w:val="nil"/>
              <w:right w:val="nil"/>
              <w:tl2br w:val="nil"/>
              <w:tr2bl w:val="nil"/>
            </w:tcBorders>
            <w:tcMar>
              <w:left w:w="60" w:type="dxa"/>
              <w:right w:w="60" w:type="dxa"/>
            </w:tcMar>
            <w:vAlign w:val="center"/>
          </w:tcPr>
          <w:p>
            <w:pPr>
              <w:pStyle w:val="DMETW36753BIPCRCY"/>
              <w:rPr>
                <w:rFonts w:ascii="Verdana" w:eastAsia="Verdana" w:hAnsi="Verdana" w:cs="Verdana"/>
                <w:b/>
                <w:noProof/>
                <w:color w:val="000000"/>
                <w:sz w:val="18"/>
              </w:rPr>
            </w:pPr>
            <w:r>
              <w:rPr>
                <w:rFonts w:ascii="Verdana" w:hAnsi="Verdana"/>
                <w:b/>
                <w:noProof/>
                <w:color w:val="000000"/>
                <w:sz w:val="18"/>
              </w:rPr>
              <w:t>Passifs financiers</w:t>
            </w:r>
          </w:p>
        </w:tc>
        <w:tc>
          <w:tcPr>
            <w:tcW w:w="982" w:type="dxa"/>
            <w:tcBorders>
              <w:top w:val="single" w:sz="4" w:space="0" w:color="016794"/>
              <w:left w:val="nil"/>
              <w:bottom w:val="nil"/>
              <w:right w:val="nil"/>
              <w:tl2br w:val="nil"/>
              <w:tr2bl w:val="nil"/>
            </w:tcBorders>
            <w:tcMar>
              <w:left w:w="60" w:type="dxa"/>
              <w:right w:w="60" w:type="dxa"/>
            </w:tcMar>
            <w:vAlign w:val="center"/>
          </w:tcPr>
          <w:p>
            <w:pPr>
              <w:pStyle w:val="DMETW36753BIPCRCY"/>
              <w:rPr>
                <w:rFonts w:ascii="Arial" w:eastAsia="Arial" w:hAnsi="Arial" w:cs="Arial"/>
                <w:noProof/>
                <w:color w:val="000000"/>
              </w:rPr>
            </w:pPr>
          </w:p>
        </w:tc>
        <w:tc>
          <w:tcPr>
            <w:tcW w:w="981" w:type="dxa"/>
            <w:tcBorders>
              <w:top w:val="single" w:sz="4" w:space="0" w:color="016794"/>
              <w:left w:val="nil"/>
              <w:bottom w:val="nil"/>
              <w:right w:val="nil"/>
              <w:tl2br w:val="nil"/>
              <w:tr2bl w:val="nil"/>
            </w:tcBorders>
            <w:tcMar>
              <w:left w:w="60" w:type="dxa"/>
              <w:right w:w="60" w:type="dxa"/>
            </w:tcMar>
            <w:vAlign w:val="center"/>
          </w:tcPr>
          <w:p>
            <w:pPr>
              <w:pStyle w:val="DMETW36753BIPCRCY"/>
              <w:rPr>
                <w:rFonts w:ascii="Arial" w:eastAsia="Arial" w:hAnsi="Arial" w:cs="Arial"/>
                <w:noProof/>
                <w:color w:val="000000"/>
              </w:rPr>
            </w:pPr>
          </w:p>
        </w:tc>
        <w:tc>
          <w:tcPr>
            <w:tcW w:w="981" w:type="dxa"/>
            <w:tcBorders>
              <w:top w:val="single" w:sz="4" w:space="0" w:color="016794"/>
              <w:left w:val="nil"/>
              <w:bottom w:val="nil"/>
              <w:right w:val="nil"/>
              <w:tl2br w:val="nil"/>
              <w:tr2bl w:val="nil"/>
            </w:tcBorders>
            <w:tcMar>
              <w:left w:w="60" w:type="dxa"/>
              <w:right w:w="60" w:type="dxa"/>
            </w:tcMar>
            <w:vAlign w:val="center"/>
          </w:tcPr>
          <w:p>
            <w:pPr>
              <w:pStyle w:val="DMETW36753BIPCRCY"/>
              <w:rPr>
                <w:rFonts w:ascii="Arial" w:eastAsia="Arial" w:hAnsi="Arial" w:cs="Arial"/>
                <w:noProof/>
                <w:color w:val="000000"/>
              </w:rPr>
            </w:pPr>
          </w:p>
        </w:tc>
        <w:tc>
          <w:tcPr>
            <w:tcW w:w="842" w:type="dxa"/>
            <w:tcBorders>
              <w:top w:val="single" w:sz="4" w:space="0" w:color="016794"/>
              <w:left w:val="nil"/>
              <w:bottom w:val="nil"/>
              <w:right w:val="nil"/>
              <w:tl2br w:val="nil"/>
              <w:tr2bl w:val="nil"/>
            </w:tcBorders>
            <w:tcMar>
              <w:left w:w="60" w:type="dxa"/>
              <w:right w:w="60" w:type="dxa"/>
            </w:tcMar>
            <w:vAlign w:val="center"/>
          </w:tcPr>
          <w:p>
            <w:pPr>
              <w:pStyle w:val="DMETW36753BIPCRCY"/>
              <w:rPr>
                <w:rFonts w:ascii="Arial" w:eastAsia="Arial" w:hAnsi="Arial" w:cs="Arial"/>
                <w:noProof/>
                <w:color w:val="000000"/>
              </w:rPr>
            </w:pPr>
          </w:p>
        </w:tc>
        <w:tc>
          <w:tcPr>
            <w:tcW w:w="1121" w:type="dxa"/>
            <w:tcBorders>
              <w:top w:val="single" w:sz="4" w:space="0" w:color="016794"/>
              <w:left w:val="nil"/>
              <w:bottom w:val="nil"/>
              <w:right w:val="nil"/>
              <w:tl2br w:val="nil"/>
              <w:tr2bl w:val="nil"/>
            </w:tcBorders>
            <w:tcMar>
              <w:left w:w="60" w:type="dxa"/>
              <w:right w:w="60" w:type="dxa"/>
            </w:tcMar>
            <w:vAlign w:val="center"/>
          </w:tcPr>
          <w:p>
            <w:pPr>
              <w:pStyle w:val="DMETW36753BIPCRCY"/>
              <w:rPr>
                <w:rFonts w:ascii="Arial" w:eastAsia="Arial" w:hAnsi="Arial" w:cs="Arial"/>
                <w:noProof/>
                <w:color w:val="000000"/>
              </w:rPr>
            </w:pPr>
          </w:p>
        </w:tc>
        <w:tc>
          <w:tcPr>
            <w:tcW w:w="953" w:type="dxa"/>
            <w:tcBorders>
              <w:top w:val="single" w:sz="4" w:space="0" w:color="016794"/>
              <w:left w:val="nil"/>
              <w:bottom w:val="nil"/>
              <w:right w:val="nil"/>
              <w:tl2br w:val="nil"/>
              <w:tr2bl w:val="nil"/>
            </w:tcBorders>
            <w:tcMar>
              <w:left w:w="60" w:type="dxa"/>
              <w:right w:w="60" w:type="dxa"/>
            </w:tcMar>
            <w:vAlign w:val="center"/>
          </w:tcPr>
          <w:p>
            <w:pPr>
              <w:pStyle w:val="DMETW36753BIPCRCY"/>
              <w:rPr>
                <w:rFonts w:ascii="Arial" w:eastAsia="Arial" w:hAnsi="Arial" w:cs="Arial"/>
                <w:noProof/>
                <w:color w:val="000000"/>
              </w:rPr>
            </w:pPr>
          </w:p>
        </w:tc>
        <w:tc>
          <w:tcPr>
            <w:tcW w:w="1100" w:type="dxa"/>
            <w:tcBorders>
              <w:top w:val="single" w:sz="4" w:space="0" w:color="016794"/>
              <w:left w:val="nil"/>
              <w:bottom w:val="nil"/>
              <w:right w:val="nil"/>
              <w:tl2br w:val="nil"/>
              <w:tr2bl w:val="nil"/>
            </w:tcBorders>
            <w:tcMar>
              <w:left w:w="60" w:type="dxa"/>
              <w:right w:w="60" w:type="dxa"/>
            </w:tcMar>
            <w:vAlign w:val="center"/>
          </w:tcPr>
          <w:p>
            <w:pPr>
              <w:pStyle w:val="DMETW36753BIPCRCY"/>
              <w:rPr>
                <w:rFonts w:ascii="Arial" w:eastAsia="Arial" w:hAnsi="Arial" w:cs="Arial"/>
                <w:b/>
                <w:noProof/>
                <w:color w:val="000000"/>
                <w:lang w:bidi="en-GB"/>
              </w:rPr>
            </w:pPr>
          </w:p>
        </w:tc>
      </w:tr>
      <w:tr>
        <w:trPr>
          <w:trHeight w:val="255"/>
        </w:trPr>
        <w:tc>
          <w:tcPr>
            <w:tcW w:w="2798" w:type="dxa"/>
            <w:tcBorders>
              <w:top w:val="nil"/>
              <w:left w:val="nil"/>
              <w:bottom w:val="nil"/>
              <w:right w:val="nil"/>
              <w:tl2br w:val="nil"/>
              <w:tr2bl w:val="nil"/>
            </w:tcBorders>
            <w:tcMar>
              <w:left w:w="60" w:type="dxa"/>
              <w:right w:w="60" w:type="dxa"/>
            </w:tcMar>
            <w:vAlign w:val="center"/>
          </w:tcPr>
          <w:p>
            <w:pPr>
              <w:pStyle w:val="DMETW36753BIPCRCY"/>
              <w:rPr>
                <w:rFonts w:ascii="Verdana" w:eastAsia="Verdana" w:hAnsi="Verdana" w:cs="Verdana"/>
                <w:i/>
                <w:noProof/>
                <w:color w:val="000000"/>
                <w:sz w:val="18"/>
              </w:rPr>
            </w:pPr>
            <w:r>
              <w:rPr>
                <w:rFonts w:ascii="Verdana" w:hAnsi="Verdana"/>
                <w:i/>
                <w:noProof/>
                <w:color w:val="000000"/>
                <w:sz w:val="18"/>
              </w:rPr>
              <w:t>Passif lié à la garantie financière</w:t>
            </w:r>
          </w:p>
        </w:tc>
        <w:tc>
          <w:tcPr>
            <w:tcW w:w="982"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 xml:space="preserve"> (469)</w:t>
            </w:r>
          </w:p>
        </w:tc>
        <w:tc>
          <w:tcPr>
            <w:tcW w:w="981"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 xml:space="preserve"> (51)</w:t>
            </w:r>
          </w:p>
        </w:tc>
        <w:tc>
          <w:tcPr>
            <w:tcW w:w="981"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 xml:space="preserve"> (77)</w:t>
            </w:r>
          </w:p>
        </w:tc>
        <w:tc>
          <w:tcPr>
            <w:tcW w:w="842"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 xml:space="preserve"> (9)</w:t>
            </w:r>
          </w:p>
        </w:tc>
        <w:tc>
          <w:tcPr>
            <w:tcW w:w="1121"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 xml:space="preserve"> (110)</w:t>
            </w:r>
          </w:p>
        </w:tc>
        <w:tc>
          <w:tcPr>
            <w:tcW w:w="953"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(7 012)</w:t>
            </w:r>
          </w:p>
        </w:tc>
        <w:tc>
          <w:tcPr>
            <w:tcW w:w="1100"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(7 729)</w:t>
            </w:r>
          </w:p>
        </w:tc>
      </w:tr>
      <w:tr>
        <w:trPr>
          <w:trHeight w:val="255"/>
        </w:trPr>
        <w:tc>
          <w:tcPr>
            <w:tcW w:w="2798" w:type="dxa"/>
            <w:tcBorders>
              <w:top w:val="nil"/>
              <w:left w:val="nil"/>
              <w:bottom w:val="single" w:sz="4" w:space="0" w:color="016794"/>
              <w:right w:val="nil"/>
              <w:tl2br w:val="nil"/>
              <w:tr2bl w:val="nil"/>
            </w:tcBorders>
            <w:tcMar>
              <w:left w:w="60" w:type="dxa"/>
              <w:right w:w="60" w:type="dxa"/>
            </w:tcMar>
            <w:vAlign w:val="center"/>
          </w:tcPr>
          <w:p>
            <w:pPr>
              <w:pStyle w:val="DMETW36753BIPCRCY"/>
              <w:rPr>
                <w:rFonts w:ascii="Verdana" w:eastAsia="Verdana" w:hAnsi="Verdana" w:cs="Verdana"/>
                <w:i/>
                <w:noProof/>
                <w:color w:val="000000"/>
                <w:sz w:val="18"/>
              </w:rPr>
            </w:pPr>
            <w:r>
              <w:rPr>
                <w:rFonts w:ascii="Verdana" w:hAnsi="Verdana"/>
                <w:i/>
                <w:noProof/>
                <w:color w:val="000000"/>
                <w:sz w:val="18"/>
              </w:rPr>
              <w:t>Passifs financiers à la JVCR</w:t>
            </w:r>
          </w:p>
        </w:tc>
        <w:tc>
          <w:tcPr>
            <w:tcW w:w="982" w:type="dxa"/>
            <w:tcBorders>
              <w:top w:val="nil"/>
              <w:left w:val="nil"/>
              <w:bottom w:val="single" w:sz="4" w:space="0" w:color="016794"/>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 xml:space="preserve"> (6)</w:t>
            </w:r>
          </w:p>
        </w:tc>
        <w:tc>
          <w:tcPr>
            <w:tcW w:w="981" w:type="dxa"/>
            <w:tcBorders>
              <w:top w:val="nil"/>
              <w:left w:val="nil"/>
              <w:bottom w:val="single" w:sz="4" w:space="0" w:color="016794"/>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 xml:space="preserve"> 221</w:t>
            </w:r>
          </w:p>
        </w:tc>
        <w:tc>
          <w:tcPr>
            <w:tcW w:w="981" w:type="dxa"/>
            <w:tcBorders>
              <w:top w:val="nil"/>
              <w:left w:val="nil"/>
              <w:bottom w:val="single" w:sz="4" w:space="0" w:color="016794"/>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w:t>
            </w:r>
          </w:p>
        </w:tc>
        <w:tc>
          <w:tcPr>
            <w:tcW w:w="842" w:type="dxa"/>
            <w:tcBorders>
              <w:top w:val="nil"/>
              <w:left w:val="nil"/>
              <w:bottom w:val="single" w:sz="4" w:space="0" w:color="016794"/>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w:t>
            </w:r>
          </w:p>
        </w:tc>
        <w:tc>
          <w:tcPr>
            <w:tcW w:w="1121" w:type="dxa"/>
            <w:tcBorders>
              <w:top w:val="nil"/>
              <w:left w:val="nil"/>
              <w:bottom w:val="single" w:sz="4" w:space="0" w:color="016794"/>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 xml:space="preserve"> (3)</w:t>
            </w:r>
          </w:p>
        </w:tc>
        <w:tc>
          <w:tcPr>
            <w:tcW w:w="953" w:type="dxa"/>
            <w:tcBorders>
              <w:top w:val="nil"/>
              <w:left w:val="nil"/>
              <w:bottom w:val="single" w:sz="4" w:space="0" w:color="016794"/>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 xml:space="preserve"> (273)</w:t>
            </w:r>
          </w:p>
        </w:tc>
        <w:tc>
          <w:tcPr>
            <w:tcW w:w="1100" w:type="dxa"/>
            <w:tcBorders>
              <w:top w:val="nil"/>
              <w:left w:val="nil"/>
              <w:bottom w:val="single" w:sz="4" w:space="0" w:color="016794"/>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 xml:space="preserve"> (62)</w:t>
            </w:r>
          </w:p>
        </w:tc>
      </w:tr>
      <w:tr>
        <w:trPr>
          <w:trHeight w:val="255"/>
        </w:trPr>
        <w:tc>
          <w:tcPr>
            <w:tcW w:w="279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CY"/>
              <w:jc w:val="right"/>
              <w:rPr>
                <w:rFonts w:ascii="Verdana" w:eastAsia="Verdana" w:hAnsi="Verdana" w:cs="Verdana"/>
                <w:b/>
                <w:noProof/>
                <w:color w:val="000000"/>
                <w:sz w:val="18"/>
              </w:rPr>
            </w:pPr>
          </w:p>
        </w:tc>
        <w:tc>
          <w:tcPr>
            <w:tcW w:w="98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CY"/>
              <w:jc w:val="right"/>
              <w:rPr>
                <w:rFonts w:ascii="Verdana" w:eastAsia="Verdana" w:hAnsi="Verdana" w:cs="Verdana"/>
                <w:b/>
                <w:noProof/>
                <w:color w:val="000000"/>
                <w:sz w:val="18"/>
              </w:rPr>
            </w:pPr>
            <w:r>
              <w:rPr>
                <w:rFonts w:ascii="Verdana" w:hAnsi="Verdana"/>
                <w:b/>
                <w:noProof/>
                <w:color w:val="000000"/>
                <w:sz w:val="18"/>
              </w:rPr>
              <w:t xml:space="preserve"> (475)</w:t>
            </w:r>
          </w:p>
        </w:tc>
        <w:tc>
          <w:tcPr>
            <w:tcW w:w="98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CY"/>
              <w:jc w:val="right"/>
              <w:rPr>
                <w:rFonts w:ascii="Verdana" w:eastAsia="Verdana" w:hAnsi="Verdana" w:cs="Verdana"/>
                <w:b/>
                <w:noProof/>
                <w:color w:val="000000"/>
                <w:sz w:val="18"/>
              </w:rPr>
            </w:pPr>
            <w:r>
              <w:rPr>
                <w:rFonts w:ascii="Verdana" w:hAnsi="Verdana"/>
                <w:b/>
                <w:noProof/>
                <w:color w:val="000000"/>
                <w:sz w:val="18"/>
              </w:rPr>
              <w:t xml:space="preserve"> 170</w:t>
            </w:r>
          </w:p>
        </w:tc>
        <w:tc>
          <w:tcPr>
            <w:tcW w:w="98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CY"/>
              <w:jc w:val="right"/>
              <w:rPr>
                <w:rFonts w:ascii="Verdana" w:eastAsia="Verdana" w:hAnsi="Verdana" w:cs="Verdana"/>
                <w:b/>
                <w:noProof/>
                <w:color w:val="000000"/>
                <w:sz w:val="18"/>
              </w:rPr>
            </w:pPr>
            <w:r>
              <w:rPr>
                <w:rFonts w:ascii="Verdana" w:hAnsi="Verdana"/>
                <w:b/>
                <w:noProof/>
                <w:color w:val="000000"/>
                <w:sz w:val="18"/>
              </w:rPr>
              <w:t xml:space="preserve"> (77)</w:t>
            </w:r>
          </w:p>
        </w:tc>
        <w:tc>
          <w:tcPr>
            <w:tcW w:w="84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CY"/>
              <w:jc w:val="right"/>
              <w:rPr>
                <w:rFonts w:ascii="Verdana" w:eastAsia="Verdana" w:hAnsi="Verdana" w:cs="Verdana"/>
                <w:b/>
                <w:noProof/>
                <w:color w:val="000000"/>
                <w:sz w:val="18"/>
              </w:rPr>
            </w:pPr>
            <w:r>
              <w:rPr>
                <w:rFonts w:ascii="Verdana" w:hAnsi="Verdana"/>
                <w:b/>
                <w:noProof/>
                <w:color w:val="000000"/>
                <w:sz w:val="18"/>
              </w:rPr>
              <w:t xml:space="preserve"> (9)</w:t>
            </w:r>
          </w:p>
        </w:tc>
        <w:tc>
          <w:tcPr>
            <w:tcW w:w="112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CY"/>
              <w:jc w:val="right"/>
              <w:rPr>
                <w:rFonts w:ascii="Verdana" w:eastAsia="Verdana" w:hAnsi="Verdana" w:cs="Verdana"/>
                <w:b/>
                <w:noProof/>
                <w:color w:val="000000"/>
                <w:sz w:val="18"/>
              </w:rPr>
            </w:pPr>
            <w:r>
              <w:rPr>
                <w:rFonts w:ascii="Verdana" w:hAnsi="Verdana"/>
                <w:b/>
                <w:noProof/>
                <w:color w:val="000000"/>
                <w:sz w:val="18"/>
              </w:rPr>
              <w:t xml:space="preserve"> (114)</w:t>
            </w:r>
          </w:p>
        </w:tc>
        <w:tc>
          <w:tcPr>
            <w:tcW w:w="95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CY"/>
              <w:jc w:val="right"/>
              <w:rPr>
                <w:rFonts w:ascii="Verdana" w:eastAsia="Verdana" w:hAnsi="Verdana" w:cs="Verdana"/>
                <w:b/>
                <w:noProof/>
                <w:color w:val="000000"/>
                <w:sz w:val="18"/>
              </w:rPr>
            </w:pPr>
            <w:r>
              <w:rPr>
                <w:rFonts w:ascii="Verdana" w:hAnsi="Verdana"/>
                <w:b/>
                <w:noProof/>
                <w:color w:val="000000"/>
                <w:sz w:val="18"/>
              </w:rPr>
              <w:t>(7 285)</w:t>
            </w:r>
          </w:p>
        </w:tc>
        <w:tc>
          <w:tcPr>
            <w:tcW w:w="110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CY"/>
              <w:jc w:val="right"/>
              <w:rPr>
                <w:rFonts w:ascii="Verdana" w:eastAsia="Verdana" w:hAnsi="Verdana" w:cs="Verdana"/>
                <w:b/>
                <w:noProof/>
                <w:color w:val="000000"/>
                <w:sz w:val="18"/>
              </w:rPr>
            </w:pPr>
            <w:r>
              <w:rPr>
                <w:rFonts w:ascii="Verdana" w:hAnsi="Verdana"/>
                <w:b/>
                <w:noProof/>
                <w:color w:val="000000"/>
                <w:sz w:val="18"/>
              </w:rPr>
              <w:t>(7 790)</w:t>
            </w:r>
          </w:p>
        </w:tc>
      </w:tr>
      <w:tr>
        <w:trPr>
          <w:trHeight w:val="255"/>
        </w:trPr>
        <w:tc>
          <w:tcPr>
            <w:tcW w:w="279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CY"/>
              <w:rPr>
                <w:rFonts w:ascii="Verdana" w:eastAsia="Verdana" w:hAnsi="Verdana" w:cs="Verdana"/>
                <w:b/>
                <w:noProof/>
                <w:color w:val="000000"/>
                <w:sz w:val="18"/>
              </w:rPr>
            </w:pPr>
            <w:r>
              <w:rPr>
                <w:rFonts w:ascii="Verdana" w:hAnsi="Verdana"/>
                <w:b/>
                <w:noProof/>
                <w:color w:val="000000"/>
                <w:sz w:val="18"/>
              </w:rPr>
              <w:t>Total</w:t>
            </w:r>
          </w:p>
        </w:tc>
        <w:tc>
          <w:tcPr>
            <w:tcW w:w="98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CY"/>
              <w:jc w:val="right"/>
              <w:rPr>
                <w:rFonts w:ascii="Verdana" w:eastAsia="Verdana" w:hAnsi="Verdana" w:cs="Verdana"/>
                <w:b/>
                <w:noProof/>
                <w:color w:val="000000"/>
                <w:sz w:val="18"/>
              </w:rPr>
            </w:pPr>
            <w:r>
              <w:rPr>
                <w:rFonts w:ascii="Verdana" w:hAnsi="Verdana"/>
                <w:b/>
                <w:noProof/>
                <w:color w:val="000000"/>
                <w:sz w:val="18"/>
              </w:rPr>
              <w:t xml:space="preserve"> 369</w:t>
            </w:r>
          </w:p>
        </w:tc>
        <w:tc>
          <w:tcPr>
            <w:tcW w:w="98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CY"/>
              <w:jc w:val="right"/>
              <w:rPr>
                <w:rFonts w:ascii="Verdana" w:eastAsia="Verdana" w:hAnsi="Verdana" w:cs="Verdana"/>
                <w:b/>
                <w:noProof/>
                <w:color w:val="000000"/>
                <w:sz w:val="18"/>
              </w:rPr>
            </w:pPr>
            <w:r>
              <w:rPr>
                <w:rFonts w:ascii="Verdana" w:hAnsi="Verdana"/>
                <w:b/>
                <w:noProof/>
                <w:color w:val="000000"/>
                <w:sz w:val="18"/>
              </w:rPr>
              <w:t xml:space="preserve"> 864</w:t>
            </w:r>
          </w:p>
        </w:tc>
        <w:tc>
          <w:tcPr>
            <w:tcW w:w="98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CY"/>
              <w:jc w:val="right"/>
              <w:rPr>
                <w:rFonts w:ascii="Verdana" w:eastAsia="Verdana" w:hAnsi="Verdana" w:cs="Verdana"/>
                <w:b/>
                <w:noProof/>
                <w:color w:val="000000"/>
                <w:sz w:val="18"/>
              </w:rPr>
            </w:pPr>
            <w:r>
              <w:rPr>
                <w:rFonts w:ascii="Verdana" w:hAnsi="Verdana"/>
                <w:b/>
                <w:noProof/>
                <w:color w:val="000000"/>
                <w:sz w:val="18"/>
              </w:rPr>
              <w:t>1 621</w:t>
            </w:r>
          </w:p>
        </w:tc>
        <w:tc>
          <w:tcPr>
            <w:tcW w:w="84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CY"/>
              <w:jc w:val="right"/>
              <w:rPr>
                <w:rFonts w:ascii="Verdana" w:eastAsia="Verdana" w:hAnsi="Verdana" w:cs="Verdana"/>
                <w:b/>
                <w:noProof/>
                <w:color w:val="000000"/>
                <w:sz w:val="18"/>
              </w:rPr>
            </w:pPr>
            <w:r>
              <w:rPr>
                <w:rFonts w:ascii="Verdana" w:hAnsi="Verdana"/>
                <w:b/>
                <w:noProof/>
                <w:color w:val="000000"/>
                <w:sz w:val="18"/>
              </w:rPr>
              <w:t xml:space="preserve"> 715</w:t>
            </w:r>
          </w:p>
        </w:tc>
        <w:tc>
          <w:tcPr>
            <w:tcW w:w="112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CY"/>
              <w:jc w:val="right"/>
              <w:rPr>
                <w:rFonts w:ascii="Verdana" w:eastAsia="Verdana" w:hAnsi="Verdana" w:cs="Verdana"/>
                <w:b/>
                <w:noProof/>
                <w:color w:val="000000"/>
                <w:sz w:val="18"/>
              </w:rPr>
            </w:pPr>
            <w:r>
              <w:rPr>
                <w:rFonts w:ascii="Verdana" w:hAnsi="Verdana"/>
                <w:b/>
                <w:noProof/>
                <w:color w:val="000000"/>
                <w:sz w:val="18"/>
              </w:rPr>
              <w:t>1 858</w:t>
            </w:r>
          </w:p>
        </w:tc>
        <w:tc>
          <w:tcPr>
            <w:tcW w:w="95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CY"/>
              <w:jc w:val="right"/>
              <w:rPr>
                <w:rFonts w:ascii="Verdana" w:eastAsia="Verdana" w:hAnsi="Verdana" w:cs="Verdana"/>
                <w:b/>
                <w:noProof/>
                <w:color w:val="000000"/>
                <w:sz w:val="18"/>
              </w:rPr>
            </w:pPr>
            <w:r>
              <w:rPr>
                <w:rFonts w:ascii="Verdana" w:hAnsi="Verdana"/>
                <w:b/>
                <w:noProof/>
                <w:color w:val="000000"/>
                <w:sz w:val="18"/>
              </w:rPr>
              <w:t>146 842</w:t>
            </w:r>
          </w:p>
        </w:tc>
        <w:tc>
          <w:tcPr>
            <w:tcW w:w="110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CY"/>
              <w:jc w:val="right"/>
              <w:rPr>
                <w:rFonts w:ascii="Verdana" w:eastAsia="Verdana" w:hAnsi="Verdana" w:cs="Verdana"/>
                <w:b/>
                <w:noProof/>
                <w:color w:val="000000"/>
                <w:sz w:val="18"/>
              </w:rPr>
            </w:pPr>
            <w:r>
              <w:rPr>
                <w:rFonts w:ascii="Verdana" w:hAnsi="Verdana"/>
                <w:b/>
                <w:noProof/>
                <w:color w:val="000000"/>
                <w:sz w:val="18"/>
              </w:rPr>
              <w:t>152 269</w:t>
            </w:r>
          </w:p>
        </w:tc>
      </w:tr>
    </w:tbl>
    <w:p>
      <w:pPr>
        <w:pStyle w:val="Textstand-alone"/>
        <w:spacing w:before="60" w:after="60"/>
        <w:rPr>
          <w:iCs/>
          <w:sz w:val="12"/>
          <w:szCs w:val="12"/>
        </w:rPr>
      </w:pP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8"/>
        <w:gridCol w:w="982"/>
        <w:gridCol w:w="981"/>
        <w:gridCol w:w="981"/>
        <w:gridCol w:w="842"/>
        <w:gridCol w:w="1121"/>
        <w:gridCol w:w="953"/>
        <w:gridCol w:w="1100"/>
      </w:tblGrid>
      <w:tr>
        <w:trPr>
          <w:trHeight w:val="255"/>
        </w:trPr>
        <w:tc>
          <w:tcPr>
            <w:tcW w:w="2798" w:type="dxa"/>
            <w:tcBorders>
              <w:top w:val="nil"/>
              <w:left w:val="nil"/>
              <w:bottom w:val="nil"/>
              <w:right w:val="nil"/>
              <w:tl2br w:val="nil"/>
              <w:tr2bl w:val="nil"/>
            </w:tcBorders>
            <w:tcMar>
              <w:left w:w="60" w:type="dxa"/>
              <w:right w:w="60" w:type="dxa"/>
            </w:tcMar>
            <w:vAlign w:val="bottom"/>
          </w:tcPr>
          <w:p>
            <w:pPr>
              <w:pStyle w:val="DMETW36753BIPCRPY"/>
              <w:rPr>
                <w:rFonts w:ascii="Arial" w:eastAsia="Arial" w:hAnsi="Arial" w:cs="Arial"/>
                <w:noProof/>
                <w:color w:val="000000"/>
              </w:rPr>
            </w:pPr>
            <w:bookmarkStart w:id="221" w:name="DOC_TBL00089_1_1"/>
            <w:bookmarkEnd w:id="221"/>
          </w:p>
        </w:tc>
        <w:tc>
          <w:tcPr>
            <w:tcW w:w="982" w:type="dxa"/>
            <w:tcBorders>
              <w:top w:val="nil"/>
              <w:left w:val="nil"/>
              <w:bottom w:val="nil"/>
              <w:right w:val="nil"/>
              <w:tl2br w:val="nil"/>
              <w:tr2bl w:val="nil"/>
            </w:tcBorders>
            <w:tcMar>
              <w:left w:w="60" w:type="dxa"/>
              <w:right w:w="60" w:type="dxa"/>
            </w:tcMar>
            <w:vAlign w:val="bottom"/>
          </w:tcPr>
          <w:p>
            <w:pPr>
              <w:pStyle w:val="DMETW36753BIPCRPY"/>
              <w:rPr>
                <w:rFonts w:ascii="Arial" w:eastAsia="Arial" w:hAnsi="Arial" w:cs="Arial"/>
                <w:noProof/>
                <w:color w:val="000000"/>
              </w:rPr>
            </w:pPr>
          </w:p>
        </w:tc>
        <w:tc>
          <w:tcPr>
            <w:tcW w:w="981" w:type="dxa"/>
            <w:tcBorders>
              <w:top w:val="nil"/>
              <w:left w:val="nil"/>
              <w:bottom w:val="nil"/>
              <w:right w:val="nil"/>
              <w:tl2br w:val="nil"/>
              <w:tr2bl w:val="nil"/>
            </w:tcBorders>
            <w:tcMar>
              <w:left w:w="60" w:type="dxa"/>
              <w:right w:w="60" w:type="dxa"/>
            </w:tcMar>
            <w:vAlign w:val="bottom"/>
          </w:tcPr>
          <w:p>
            <w:pPr>
              <w:pStyle w:val="DMETW36753BIPCRPY"/>
              <w:rPr>
                <w:rFonts w:ascii="Arial" w:eastAsia="Arial" w:hAnsi="Arial" w:cs="Arial"/>
                <w:noProof/>
                <w:color w:val="000000"/>
              </w:rPr>
            </w:pPr>
          </w:p>
        </w:tc>
        <w:tc>
          <w:tcPr>
            <w:tcW w:w="981" w:type="dxa"/>
            <w:tcBorders>
              <w:top w:val="nil"/>
              <w:left w:val="nil"/>
              <w:bottom w:val="nil"/>
              <w:right w:val="nil"/>
              <w:tl2br w:val="nil"/>
              <w:tr2bl w:val="nil"/>
            </w:tcBorders>
            <w:tcMar>
              <w:left w:w="60" w:type="dxa"/>
              <w:right w:w="60" w:type="dxa"/>
            </w:tcMar>
            <w:vAlign w:val="bottom"/>
          </w:tcPr>
          <w:p>
            <w:pPr>
              <w:pStyle w:val="DMETW36753BIPCRPY"/>
              <w:rPr>
                <w:rFonts w:ascii="Arial" w:eastAsia="Arial" w:hAnsi="Arial" w:cs="Arial"/>
                <w:noProof/>
                <w:color w:val="000000"/>
              </w:rPr>
            </w:pPr>
          </w:p>
        </w:tc>
        <w:tc>
          <w:tcPr>
            <w:tcW w:w="842" w:type="dxa"/>
            <w:tcBorders>
              <w:top w:val="nil"/>
              <w:left w:val="nil"/>
              <w:bottom w:val="nil"/>
              <w:right w:val="nil"/>
              <w:tl2br w:val="nil"/>
              <w:tr2bl w:val="nil"/>
            </w:tcBorders>
            <w:tcMar>
              <w:left w:w="60" w:type="dxa"/>
              <w:right w:w="60" w:type="dxa"/>
            </w:tcMar>
            <w:vAlign w:val="bottom"/>
          </w:tcPr>
          <w:p>
            <w:pPr>
              <w:pStyle w:val="DMETW36753BIPCRPY"/>
              <w:rPr>
                <w:rFonts w:ascii="Arial" w:eastAsia="Arial" w:hAnsi="Arial" w:cs="Arial"/>
                <w:noProof/>
                <w:color w:val="000000"/>
              </w:rPr>
            </w:pPr>
          </w:p>
        </w:tc>
        <w:tc>
          <w:tcPr>
            <w:tcW w:w="1121" w:type="dxa"/>
            <w:tcBorders>
              <w:top w:val="nil"/>
              <w:left w:val="nil"/>
              <w:bottom w:val="nil"/>
              <w:right w:val="nil"/>
              <w:tl2br w:val="nil"/>
              <w:tr2bl w:val="nil"/>
            </w:tcBorders>
            <w:tcMar>
              <w:left w:w="60" w:type="dxa"/>
              <w:right w:w="60" w:type="dxa"/>
            </w:tcMar>
            <w:vAlign w:val="bottom"/>
          </w:tcPr>
          <w:p>
            <w:pPr>
              <w:pStyle w:val="DMETW36753BIPCRPY"/>
              <w:rPr>
                <w:rFonts w:ascii="Arial" w:eastAsia="Arial" w:hAnsi="Arial" w:cs="Arial"/>
                <w:noProof/>
                <w:color w:val="000000"/>
              </w:rPr>
            </w:pPr>
          </w:p>
        </w:tc>
        <w:tc>
          <w:tcPr>
            <w:tcW w:w="953" w:type="dxa"/>
            <w:tcBorders>
              <w:top w:val="nil"/>
              <w:left w:val="nil"/>
              <w:bottom w:val="nil"/>
              <w:right w:val="nil"/>
              <w:tl2br w:val="nil"/>
              <w:tr2bl w:val="nil"/>
            </w:tcBorders>
            <w:tcMar>
              <w:left w:w="60" w:type="dxa"/>
              <w:right w:w="60" w:type="dxa"/>
            </w:tcMar>
            <w:vAlign w:val="bottom"/>
          </w:tcPr>
          <w:p>
            <w:pPr>
              <w:pStyle w:val="DMETW36753BIPCRPY"/>
              <w:rPr>
                <w:rFonts w:ascii="Arial" w:eastAsia="Arial" w:hAnsi="Arial" w:cs="Arial"/>
                <w:noProof/>
                <w:color w:val="000000"/>
              </w:rPr>
            </w:pPr>
          </w:p>
        </w:tc>
        <w:tc>
          <w:tcPr>
            <w:tcW w:w="1100" w:type="dxa"/>
            <w:tcBorders>
              <w:top w:val="nil"/>
              <w:left w:val="nil"/>
              <w:bottom w:val="nil"/>
              <w:right w:val="nil"/>
              <w:tl2br w:val="nil"/>
              <w:tr2bl w:val="nil"/>
            </w:tcBorders>
            <w:tcMar>
              <w:left w:w="60" w:type="dxa"/>
              <w:right w:w="60" w:type="dxa"/>
            </w:tcMar>
            <w:vAlign w:val="bottom"/>
          </w:tcPr>
          <w:p>
            <w:pPr>
              <w:pStyle w:val="DMETW36753BIPCRPY"/>
              <w:jc w:val="right"/>
              <w:rPr>
                <w:rFonts w:ascii="Verdana" w:eastAsia="Verdana" w:hAnsi="Verdana" w:cs="Verdana"/>
                <w:i/>
                <w:noProof/>
                <w:color w:val="000000"/>
                <w:sz w:val="16"/>
              </w:rPr>
            </w:pPr>
            <w:r>
              <w:rPr>
                <w:rFonts w:ascii="Verdana" w:hAnsi="Verdana"/>
                <w:i/>
                <w:noProof/>
                <w:color w:val="000000"/>
                <w:sz w:val="16"/>
              </w:rPr>
              <w:t>en Mio EUR</w:t>
            </w:r>
          </w:p>
        </w:tc>
      </w:tr>
      <w:tr>
        <w:trPr>
          <w:trHeight w:val="255"/>
        </w:trPr>
        <w:tc>
          <w:tcPr>
            <w:tcW w:w="2798" w:type="dxa"/>
            <w:tcBorders>
              <w:top w:val="nil"/>
              <w:left w:val="nil"/>
              <w:bottom w:val="nil"/>
              <w:right w:val="nil"/>
              <w:tl2br w:val="nil"/>
              <w:tr2bl w:val="nil"/>
            </w:tcBorders>
            <w:shd w:val="solid" w:color="016794" w:fill="FFFFFF"/>
            <w:tcMar>
              <w:left w:w="60" w:type="dxa"/>
              <w:right w:w="60" w:type="dxa"/>
            </w:tcMar>
            <w:vAlign w:val="center"/>
          </w:tcPr>
          <w:p>
            <w:pPr>
              <w:pStyle w:val="DMETW36753BIPCRPY"/>
              <w:jc w:val="right"/>
              <w:rPr>
                <w:rFonts w:ascii="Verdana" w:eastAsia="Verdana" w:hAnsi="Verdana" w:cs="Verdana"/>
                <w:noProof/>
                <w:color w:val="FFFFFF"/>
              </w:rPr>
            </w:pPr>
          </w:p>
        </w:tc>
        <w:tc>
          <w:tcPr>
            <w:tcW w:w="982" w:type="dxa"/>
            <w:gridSpan w:val="7"/>
            <w:tcBorders>
              <w:top w:val="nil"/>
              <w:left w:val="nil"/>
              <w:bottom w:val="nil"/>
              <w:right w:val="nil"/>
              <w:tl2br w:val="nil"/>
              <w:tr2bl w:val="nil"/>
            </w:tcBorders>
            <w:shd w:val="solid" w:color="016794" w:fill="FFFFFF"/>
            <w:tcMar>
              <w:left w:w="60" w:type="dxa"/>
              <w:right w:w="60" w:type="dxa"/>
            </w:tcMar>
            <w:vAlign w:val="center"/>
          </w:tcPr>
          <w:p>
            <w:pPr>
              <w:pStyle w:val="DMETW36753BIPCRPY"/>
              <w:jc w:val="center"/>
              <w:rPr>
                <w:rFonts w:ascii="Verdana" w:eastAsia="Verdana" w:hAnsi="Verdana" w:cs="Verdana"/>
                <w:noProof/>
                <w:color w:val="FFFFFF"/>
              </w:rPr>
            </w:pPr>
            <w:r>
              <w:rPr>
                <w:rFonts w:ascii="Verdana" w:hAnsi="Verdana"/>
                <w:noProof/>
                <w:color w:val="FFFFFF"/>
              </w:rPr>
              <w:t>31.12.2024</w:t>
            </w:r>
          </w:p>
        </w:tc>
      </w:tr>
      <w:tr>
        <w:trPr>
          <w:trHeight w:val="255"/>
        </w:trPr>
        <w:tc>
          <w:tcPr>
            <w:tcW w:w="2798" w:type="dxa"/>
            <w:tcBorders>
              <w:top w:val="nil"/>
              <w:left w:val="nil"/>
              <w:bottom w:val="nil"/>
              <w:right w:val="nil"/>
              <w:tl2br w:val="nil"/>
              <w:tr2bl w:val="nil"/>
            </w:tcBorders>
            <w:shd w:val="solid" w:color="016794" w:fill="FFFFFF"/>
            <w:tcMar>
              <w:left w:w="60" w:type="dxa"/>
              <w:right w:w="60" w:type="dxa"/>
            </w:tcMar>
            <w:vAlign w:val="center"/>
          </w:tcPr>
          <w:p>
            <w:pPr>
              <w:pStyle w:val="DMETW36753BIPCRPY"/>
              <w:jc w:val="right"/>
              <w:rPr>
                <w:rFonts w:ascii="Verdana" w:eastAsia="Verdana" w:hAnsi="Verdana" w:cs="Verdana"/>
                <w:noProof/>
                <w:color w:val="FFFFFF"/>
              </w:rPr>
            </w:pPr>
          </w:p>
        </w:tc>
        <w:tc>
          <w:tcPr>
            <w:tcW w:w="982" w:type="dxa"/>
            <w:tcBorders>
              <w:top w:val="nil"/>
              <w:left w:val="nil"/>
              <w:bottom w:val="nil"/>
              <w:right w:val="nil"/>
              <w:tl2br w:val="nil"/>
              <w:tr2bl w:val="nil"/>
            </w:tcBorders>
            <w:shd w:val="solid" w:color="016794" w:fill="FFFFFF"/>
            <w:tcMar>
              <w:left w:w="60" w:type="dxa"/>
              <w:right w:w="60" w:type="dxa"/>
            </w:tcMar>
            <w:vAlign w:val="center"/>
          </w:tcPr>
          <w:p>
            <w:pPr>
              <w:pStyle w:val="DMETW36753BIPCRPY"/>
              <w:jc w:val="right"/>
              <w:rPr>
                <w:rFonts w:ascii="Verdana" w:eastAsia="Verdana" w:hAnsi="Verdana" w:cs="Verdana"/>
                <w:noProof/>
                <w:color w:val="FFFFFF"/>
              </w:rPr>
            </w:pPr>
            <w:r>
              <w:rPr>
                <w:rFonts w:ascii="Verdana" w:hAnsi="Verdana"/>
                <w:noProof/>
                <w:color w:val="FFFFFF"/>
              </w:rPr>
              <w:t>USD</w:t>
            </w:r>
          </w:p>
        </w:tc>
        <w:tc>
          <w:tcPr>
            <w:tcW w:w="981" w:type="dxa"/>
            <w:tcBorders>
              <w:top w:val="nil"/>
              <w:left w:val="nil"/>
              <w:bottom w:val="nil"/>
              <w:right w:val="nil"/>
              <w:tl2br w:val="nil"/>
              <w:tr2bl w:val="nil"/>
            </w:tcBorders>
            <w:shd w:val="solid" w:color="016794" w:fill="FFFFFF"/>
            <w:tcMar>
              <w:left w:w="60" w:type="dxa"/>
              <w:right w:w="60" w:type="dxa"/>
            </w:tcMar>
            <w:vAlign w:val="center"/>
          </w:tcPr>
          <w:p>
            <w:pPr>
              <w:pStyle w:val="DMETW36753BIPCRPY"/>
              <w:jc w:val="right"/>
              <w:rPr>
                <w:rFonts w:ascii="Verdana" w:eastAsia="Verdana" w:hAnsi="Verdana" w:cs="Verdana"/>
                <w:noProof/>
                <w:color w:val="FFFFFF"/>
              </w:rPr>
            </w:pPr>
            <w:r>
              <w:rPr>
                <w:rFonts w:ascii="Verdana" w:hAnsi="Verdana"/>
                <w:noProof/>
                <w:color w:val="FFFFFF"/>
              </w:rPr>
              <w:t>RON</w:t>
            </w:r>
          </w:p>
        </w:tc>
        <w:tc>
          <w:tcPr>
            <w:tcW w:w="981" w:type="dxa"/>
            <w:tcBorders>
              <w:top w:val="nil"/>
              <w:left w:val="nil"/>
              <w:bottom w:val="nil"/>
              <w:right w:val="nil"/>
              <w:tl2br w:val="nil"/>
              <w:tr2bl w:val="nil"/>
            </w:tcBorders>
            <w:shd w:val="solid" w:color="016794" w:fill="FFFFFF"/>
            <w:tcMar>
              <w:left w:w="60" w:type="dxa"/>
              <w:right w:w="60" w:type="dxa"/>
            </w:tcMar>
            <w:vAlign w:val="center"/>
          </w:tcPr>
          <w:p>
            <w:pPr>
              <w:pStyle w:val="DMETW36753BIPCRPY"/>
              <w:jc w:val="right"/>
              <w:rPr>
                <w:rFonts w:ascii="Verdana" w:eastAsia="Verdana" w:hAnsi="Verdana" w:cs="Verdana"/>
                <w:noProof/>
                <w:color w:val="FFFFFF"/>
              </w:rPr>
            </w:pPr>
            <w:r>
              <w:rPr>
                <w:rFonts w:ascii="Verdana" w:hAnsi="Verdana"/>
                <w:noProof/>
                <w:color w:val="FFFFFF"/>
              </w:rPr>
              <w:t>PLN</w:t>
            </w:r>
          </w:p>
        </w:tc>
        <w:tc>
          <w:tcPr>
            <w:tcW w:w="842" w:type="dxa"/>
            <w:tcBorders>
              <w:top w:val="nil"/>
              <w:left w:val="nil"/>
              <w:bottom w:val="nil"/>
              <w:right w:val="nil"/>
              <w:tl2br w:val="nil"/>
              <w:tr2bl w:val="nil"/>
            </w:tcBorders>
            <w:shd w:val="solid" w:color="016794" w:fill="FFFFFF"/>
            <w:tcMar>
              <w:left w:w="60" w:type="dxa"/>
              <w:right w:w="60" w:type="dxa"/>
            </w:tcMar>
            <w:vAlign w:val="center"/>
          </w:tcPr>
          <w:p>
            <w:pPr>
              <w:pStyle w:val="DMETW36753BIPCRPY"/>
              <w:jc w:val="right"/>
              <w:rPr>
                <w:rFonts w:ascii="Verdana" w:eastAsia="Verdana" w:hAnsi="Verdana" w:cs="Verdana"/>
                <w:noProof/>
                <w:color w:val="FFFFFF"/>
              </w:rPr>
            </w:pPr>
            <w:r>
              <w:rPr>
                <w:rFonts w:ascii="Verdana" w:hAnsi="Verdana"/>
                <w:noProof/>
                <w:color w:val="FFFFFF"/>
              </w:rPr>
              <w:t>SEK</w:t>
            </w:r>
          </w:p>
        </w:tc>
        <w:tc>
          <w:tcPr>
            <w:tcW w:w="1121" w:type="dxa"/>
            <w:tcBorders>
              <w:top w:val="nil"/>
              <w:left w:val="nil"/>
              <w:bottom w:val="nil"/>
              <w:right w:val="nil"/>
              <w:tl2br w:val="nil"/>
              <w:tr2bl w:val="nil"/>
            </w:tcBorders>
            <w:shd w:val="solid" w:color="016794" w:fill="FFFFFF"/>
            <w:tcMar>
              <w:left w:w="60" w:type="dxa"/>
              <w:right w:w="60" w:type="dxa"/>
            </w:tcMar>
            <w:vAlign w:val="center"/>
          </w:tcPr>
          <w:p>
            <w:pPr>
              <w:pStyle w:val="DMETW36753BIPCRPY"/>
              <w:jc w:val="right"/>
              <w:rPr>
                <w:rFonts w:ascii="Verdana" w:eastAsia="Verdana" w:hAnsi="Verdana" w:cs="Verdana"/>
                <w:noProof/>
                <w:color w:val="FFFFFF"/>
              </w:rPr>
            </w:pPr>
            <w:r>
              <w:rPr>
                <w:rFonts w:ascii="Verdana" w:hAnsi="Verdana"/>
                <w:noProof/>
                <w:color w:val="FFFFFF"/>
              </w:rPr>
              <w:t>Autres</w:t>
            </w:r>
          </w:p>
        </w:tc>
        <w:tc>
          <w:tcPr>
            <w:tcW w:w="953" w:type="dxa"/>
            <w:tcBorders>
              <w:top w:val="nil"/>
              <w:left w:val="nil"/>
              <w:bottom w:val="nil"/>
              <w:right w:val="nil"/>
              <w:tl2br w:val="nil"/>
              <w:tr2bl w:val="nil"/>
            </w:tcBorders>
            <w:shd w:val="solid" w:color="016794" w:fill="FFFFFF"/>
            <w:tcMar>
              <w:left w:w="60" w:type="dxa"/>
              <w:right w:w="60" w:type="dxa"/>
            </w:tcMar>
            <w:vAlign w:val="center"/>
          </w:tcPr>
          <w:p>
            <w:pPr>
              <w:pStyle w:val="DMETW36753BIPCRPY"/>
              <w:jc w:val="right"/>
              <w:rPr>
                <w:rFonts w:ascii="Verdana" w:eastAsia="Verdana" w:hAnsi="Verdana" w:cs="Verdana"/>
                <w:noProof/>
                <w:color w:val="FFFFFF"/>
              </w:rPr>
            </w:pPr>
            <w:r>
              <w:rPr>
                <w:rFonts w:ascii="Verdana" w:hAnsi="Verdana"/>
                <w:noProof/>
                <w:color w:val="FFFFFF"/>
              </w:rPr>
              <w:t>EUR</w:t>
            </w:r>
          </w:p>
        </w:tc>
        <w:tc>
          <w:tcPr>
            <w:tcW w:w="1100" w:type="dxa"/>
            <w:tcBorders>
              <w:top w:val="nil"/>
              <w:left w:val="nil"/>
              <w:bottom w:val="nil"/>
              <w:right w:val="nil"/>
              <w:tl2br w:val="nil"/>
              <w:tr2bl w:val="nil"/>
            </w:tcBorders>
            <w:shd w:val="solid" w:color="016794" w:fill="FFFFFF"/>
            <w:tcMar>
              <w:left w:w="60" w:type="dxa"/>
              <w:right w:w="60" w:type="dxa"/>
            </w:tcMar>
            <w:vAlign w:val="center"/>
          </w:tcPr>
          <w:p>
            <w:pPr>
              <w:pStyle w:val="DMETW36753BIPCRPY"/>
              <w:jc w:val="right"/>
              <w:rPr>
                <w:rFonts w:ascii="Verdana" w:eastAsia="Verdana" w:hAnsi="Verdana" w:cs="Verdana"/>
                <w:noProof/>
                <w:color w:val="FFFFFF"/>
              </w:rPr>
            </w:pPr>
            <w:r>
              <w:rPr>
                <w:rFonts w:ascii="Verdana" w:hAnsi="Verdana"/>
                <w:noProof/>
                <w:color w:val="FFFFFF"/>
              </w:rPr>
              <w:t>Total</w:t>
            </w:r>
          </w:p>
        </w:tc>
      </w:tr>
      <w:tr>
        <w:trPr>
          <w:trHeight w:val="255"/>
        </w:trPr>
        <w:tc>
          <w:tcPr>
            <w:tcW w:w="2798" w:type="dxa"/>
            <w:tcBorders>
              <w:top w:val="nil"/>
              <w:left w:val="nil"/>
              <w:bottom w:val="nil"/>
              <w:right w:val="nil"/>
              <w:tl2br w:val="nil"/>
              <w:tr2bl w:val="nil"/>
            </w:tcBorders>
            <w:tcMar>
              <w:left w:w="60" w:type="dxa"/>
              <w:right w:w="60" w:type="dxa"/>
            </w:tcMar>
            <w:vAlign w:val="center"/>
          </w:tcPr>
          <w:p>
            <w:pPr>
              <w:pStyle w:val="DMETW36753BIPCRPY"/>
              <w:rPr>
                <w:rFonts w:ascii="Verdana" w:eastAsia="Verdana" w:hAnsi="Verdana" w:cs="Verdana"/>
                <w:b/>
                <w:noProof/>
                <w:color w:val="000000"/>
                <w:sz w:val="18"/>
              </w:rPr>
            </w:pPr>
            <w:r>
              <w:rPr>
                <w:rFonts w:ascii="Verdana" w:hAnsi="Verdana"/>
                <w:b/>
                <w:noProof/>
                <w:color w:val="000000"/>
                <w:sz w:val="18"/>
              </w:rPr>
              <w:t>Actifs financiers</w:t>
            </w:r>
          </w:p>
        </w:tc>
        <w:tc>
          <w:tcPr>
            <w:tcW w:w="982" w:type="dxa"/>
            <w:tcBorders>
              <w:top w:val="nil"/>
              <w:left w:val="nil"/>
              <w:bottom w:val="nil"/>
              <w:right w:val="nil"/>
              <w:tl2br w:val="nil"/>
              <w:tr2bl w:val="nil"/>
            </w:tcBorders>
            <w:tcMar>
              <w:left w:w="60" w:type="dxa"/>
              <w:right w:w="60" w:type="dxa"/>
            </w:tcMar>
            <w:vAlign w:val="center"/>
          </w:tcPr>
          <w:p>
            <w:pPr>
              <w:pStyle w:val="DMETW36753BIPCRPY"/>
              <w:rPr>
                <w:rFonts w:ascii="Arial" w:eastAsia="Arial" w:hAnsi="Arial" w:cs="Arial"/>
                <w:noProof/>
                <w:color w:val="000000"/>
              </w:rPr>
            </w:pPr>
          </w:p>
        </w:tc>
        <w:tc>
          <w:tcPr>
            <w:tcW w:w="981" w:type="dxa"/>
            <w:tcBorders>
              <w:top w:val="nil"/>
              <w:left w:val="nil"/>
              <w:bottom w:val="nil"/>
              <w:right w:val="nil"/>
              <w:tl2br w:val="nil"/>
              <w:tr2bl w:val="nil"/>
            </w:tcBorders>
            <w:tcMar>
              <w:left w:w="60" w:type="dxa"/>
              <w:right w:w="60" w:type="dxa"/>
            </w:tcMar>
            <w:vAlign w:val="center"/>
          </w:tcPr>
          <w:p>
            <w:pPr>
              <w:pStyle w:val="DMETW36753BIPCRPY"/>
              <w:rPr>
                <w:rFonts w:ascii="Arial" w:eastAsia="Arial" w:hAnsi="Arial" w:cs="Arial"/>
                <w:noProof/>
                <w:color w:val="000000"/>
              </w:rPr>
            </w:pPr>
          </w:p>
        </w:tc>
        <w:tc>
          <w:tcPr>
            <w:tcW w:w="981" w:type="dxa"/>
            <w:tcBorders>
              <w:top w:val="nil"/>
              <w:left w:val="nil"/>
              <w:bottom w:val="nil"/>
              <w:right w:val="nil"/>
              <w:tl2br w:val="nil"/>
              <w:tr2bl w:val="nil"/>
            </w:tcBorders>
            <w:tcMar>
              <w:left w:w="60" w:type="dxa"/>
              <w:right w:w="60" w:type="dxa"/>
            </w:tcMar>
            <w:vAlign w:val="center"/>
          </w:tcPr>
          <w:p>
            <w:pPr>
              <w:pStyle w:val="DMETW36753BIPCRPY"/>
              <w:rPr>
                <w:rFonts w:ascii="Arial" w:eastAsia="Arial" w:hAnsi="Arial" w:cs="Arial"/>
                <w:noProof/>
                <w:color w:val="000000"/>
              </w:rPr>
            </w:pPr>
          </w:p>
        </w:tc>
        <w:tc>
          <w:tcPr>
            <w:tcW w:w="842" w:type="dxa"/>
            <w:tcBorders>
              <w:top w:val="nil"/>
              <w:left w:val="nil"/>
              <w:bottom w:val="nil"/>
              <w:right w:val="nil"/>
              <w:tl2br w:val="nil"/>
              <w:tr2bl w:val="nil"/>
            </w:tcBorders>
            <w:tcMar>
              <w:left w:w="60" w:type="dxa"/>
              <w:right w:w="60" w:type="dxa"/>
            </w:tcMar>
            <w:vAlign w:val="center"/>
          </w:tcPr>
          <w:p>
            <w:pPr>
              <w:pStyle w:val="DMETW36753BIPCRPY"/>
              <w:rPr>
                <w:rFonts w:ascii="Arial" w:eastAsia="Arial" w:hAnsi="Arial" w:cs="Arial"/>
                <w:noProof/>
                <w:color w:val="000000"/>
              </w:rPr>
            </w:pPr>
          </w:p>
        </w:tc>
        <w:tc>
          <w:tcPr>
            <w:tcW w:w="1121" w:type="dxa"/>
            <w:tcBorders>
              <w:top w:val="nil"/>
              <w:left w:val="nil"/>
              <w:bottom w:val="nil"/>
              <w:right w:val="nil"/>
              <w:tl2br w:val="nil"/>
              <w:tr2bl w:val="nil"/>
            </w:tcBorders>
            <w:tcMar>
              <w:left w:w="60" w:type="dxa"/>
              <w:right w:w="60" w:type="dxa"/>
            </w:tcMar>
            <w:vAlign w:val="center"/>
          </w:tcPr>
          <w:p>
            <w:pPr>
              <w:pStyle w:val="DMETW36753BIPCRPY"/>
              <w:rPr>
                <w:rFonts w:ascii="Arial" w:eastAsia="Arial" w:hAnsi="Arial" w:cs="Arial"/>
                <w:noProof/>
                <w:color w:val="000000"/>
              </w:rPr>
            </w:pPr>
          </w:p>
        </w:tc>
        <w:tc>
          <w:tcPr>
            <w:tcW w:w="953" w:type="dxa"/>
            <w:tcBorders>
              <w:top w:val="nil"/>
              <w:left w:val="nil"/>
              <w:bottom w:val="nil"/>
              <w:right w:val="nil"/>
              <w:tl2br w:val="nil"/>
              <w:tr2bl w:val="nil"/>
            </w:tcBorders>
            <w:tcMar>
              <w:left w:w="60" w:type="dxa"/>
              <w:right w:w="60" w:type="dxa"/>
            </w:tcMar>
            <w:vAlign w:val="center"/>
          </w:tcPr>
          <w:p>
            <w:pPr>
              <w:pStyle w:val="DMETW36753BIPCRPY"/>
              <w:rPr>
                <w:rFonts w:ascii="Arial" w:eastAsia="Arial" w:hAnsi="Arial" w:cs="Arial"/>
                <w:noProof/>
                <w:color w:val="000000"/>
              </w:rPr>
            </w:pPr>
          </w:p>
        </w:tc>
        <w:tc>
          <w:tcPr>
            <w:tcW w:w="1100" w:type="dxa"/>
            <w:tcBorders>
              <w:top w:val="nil"/>
              <w:left w:val="nil"/>
              <w:bottom w:val="nil"/>
              <w:right w:val="nil"/>
              <w:tl2br w:val="nil"/>
              <w:tr2bl w:val="nil"/>
            </w:tcBorders>
            <w:tcMar>
              <w:left w:w="60" w:type="dxa"/>
              <w:right w:w="60" w:type="dxa"/>
            </w:tcMar>
            <w:vAlign w:val="center"/>
          </w:tcPr>
          <w:p>
            <w:pPr>
              <w:pStyle w:val="DMETW36753BIPCRPY"/>
              <w:rPr>
                <w:rFonts w:ascii="Arial" w:eastAsia="Arial" w:hAnsi="Arial" w:cs="Arial"/>
                <w:noProof/>
                <w:color w:val="000000"/>
                <w:lang w:bidi="en-GB"/>
              </w:rPr>
            </w:pPr>
          </w:p>
        </w:tc>
      </w:tr>
      <w:tr>
        <w:trPr>
          <w:trHeight w:val="255"/>
        </w:trPr>
        <w:tc>
          <w:tcPr>
            <w:tcW w:w="2798" w:type="dxa"/>
            <w:tcBorders>
              <w:top w:val="nil"/>
              <w:left w:val="nil"/>
              <w:bottom w:val="nil"/>
              <w:right w:val="nil"/>
              <w:tl2br w:val="nil"/>
              <w:tr2bl w:val="nil"/>
            </w:tcBorders>
            <w:tcMar>
              <w:left w:w="60" w:type="dxa"/>
              <w:right w:w="60" w:type="dxa"/>
            </w:tcMar>
            <w:vAlign w:val="center"/>
          </w:tcPr>
          <w:p>
            <w:pPr>
              <w:pStyle w:val="DMETW36753BIPCRPY"/>
              <w:rPr>
                <w:rFonts w:ascii="Verdana" w:eastAsia="Verdana" w:hAnsi="Verdana" w:cs="Verdana"/>
                <w:i/>
                <w:noProof/>
                <w:color w:val="000000"/>
                <w:sz w:val="18"/>
              </w:rPr>
            </w:pPr>
            <w:r>
              <w:rPr>
                <w:rFonts w:ascii="Verdana" w:hAnsi="Verdana"/>
                <w:i/>
                <w:noProof/>
                <w:color w:val="000000"/>
                <w:sz w:val="18"/>
              </w:rPr>
              <w:t>Actifs financiers au coût amorti*</w:t>
            </w:r>
          </w:p>
        </w:tc>
        <w:tc>
          <w:tcPr>
            <w:tcW w:w="982"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 xml:space="preserve"> 40</w:t>
            </w:r>
          </w:p>
        </w:tc>
        <w:tc>
          <w:tcPr>
            <w:tcW w:w="981"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 xml:space="preserve"> 5</w:t>
            </w:r>
          </w:p>
        </w:tc>
        <w:tc>
          <w:tcPr>
            <w:tcW w:w="981"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w:t>
            </w:r>
          </w:p>
        </w:tc>
        <w:tc>
          <w:tcPr>
            <w:tcW w:w="842"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w:t>
            </w:r>
          </w:p>
        </w:tc>
        <w:tc>
          <w:tcPr>
            <w:tcW w:w="1121"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 xml:space="preserve"> 7</w:t>
            </w:r>
          </w:p>
        </w:tc>
        <w:tc>
          <w:tcPr>
            <w:tcW w:w="953"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 xml:space="preserve"> 414</w:t>
            </w:r>
          </w:p>
        </w:tc>
        <w:tc>
          <w:tcPr>
            <w:tcW w:w="1100"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 xml:space="preserve"> 466</w:t>
            </w:r>
          </w:p>
        </w:tc>
      </w:tr>
      <w:tr>
        <w:trPr>
          <w:trHeight w:val="255"/>
        </w:trPr>
        <w:tc>
          <w:tcPr>
            <w:tcW w:w="2798" w:type="dxa"/>
            <w:tcBorders>
              <w:top w:val="nil"/>
              <w:left w:val="nil"/>
              <w:bottom w:val="nil"/>
              <w:right w:val="nil"/>
              <w:tl2br w:val="nil"/>
              <w:tr2bl w:val="nil"/>
            </w:tcBorders>
            <w:tcMar>
              <w:left w:w="60" w:type="dxa"/>
              <w:right w:w="60" w:type="dxa"/>
            </w:tcMar>
            <w:vAlign w:val="center"/>
          </w:tcPr>
          <w:p>
            <w:pPr>
              <w:pStyle w:val="DMETW36753BIPCRPY"/>
              <w:rPr>
                <w:rFonts w:ascii="Verdana" w:eastAsia="Verdana" w:hAnsi="Verdana" w:cs="Verdana"/>
                <w:i/>
                <w:noProof/>
                <w:color w:val="000000"/>
                <w:sz w:val="18"/>
              </w:rPr>
            </w:pPr>
            <w:r>
              <w:rPr>
                <w:rFonts w:ascii="Verdana" w:hAnsi="Verdana"/>
                <w:i/>
                <w:noProof/>
                <w:color w:val="000000"/>
                <w:sz w:val="18"/>
              </w:rPr>
              <w:t>Actifs financiers à la JVCR</w:t>
            </w:r>
          </w:p>
        </w:tc>
        <w:tc>
          <w:tcPr>
            <w:tcW w:w="982"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p>
        </w:tc>
        <w:tc>
          <w:tcPr>
            <w:tcW w:w="981"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p>
        </w:tc>
        <w:tc>
          <w:tcPr>
            <w:tcW w:w="981"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p>
        </w:tc>
        <w:tc>
          <w:tcPr>
            <w:tcW w:w="842"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p>
        </w:tc>
        <w:tc>
          <w:tcPr>
            <w:tcW w:w="1121"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p>
        </w:tc>
        <w:tc>
          <w:tcPr>
            <w:tcW w:w="953"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p>
        </w:tc>
        <w:tc>
          <w:tcPr>
            <w:tcW w:w="1100"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lang w:bidi="en-GB"/>
              </w:rPr>
            </w:pPr>
          </w:p>
        </w:tc>
      </w:tr>
      <w:tr>
        <w:trPr>
          <w:trHeight w:val="255"/>
        </w:trPr>
        <w:tc>
          <w:tcPr>
            <w:tcW w:w="2798" w:type="dxa"/>
            <w:tcBorders>
              <w:top w:val="nil"/>
              <w:left w:val="nil"/>
              <w:bottom w:val="nil"/>
              <w:right w:val="nil"/>
              <w:tl2br w:val="nil"/>
              <w:tr2bl w:val="nil"/>
            </w:tcBorders>
            <w:tcMar>
              <w:left w:w="60" w:type="dxa"/>
              <w:right w:w="60" w:type="dxa"/>
            </w:tcMar>
            <w:vAlign w:val="center"/>
          </w:tcPr>
          <w:p>
            <w:pPr>
              <w:pStyle w:val="DMETW36753BIPCRPY"/>
              <w:ind w:left="400" w:firstLine="15"/>
              <w:rPr>
                <w:rFonts w:ascii="Verdana" w:eastAsia="Verdana" w:hAnsi="Verdana" w:cs="Verdana"/>
                <w:i/>
                <w:noProof/>
                <w:color w:val="000000"/>
                <w:sz w:val="18"/>
              </w:rPr>
            </w:pPr>
            <w:r>
              <w:rPr>
                <w:rFonts w:ascii="Verdana" w:hAnsi="Verdana"/>
                <w:i/>
                <w:noProof/>
                <w:color w:val="000000"/>
                <w:sz w:val="18"/>
              </w:rPr>
              <w:t>Non dérivés</w:t>
            </w:r>
          </w:p>
        </w:tc>
        <w:tc>
          <w:tcPr>
            <w:tcW w:w="982"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2 148</w:t>
            </w:r>
          </w:p>
        </w:tc>
        <w:tc>
          <w:tcPr>
            <w:tcW w:w="981"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w:t>
            </w:r>
          </w:p>
        </w:tc>
        <w:tc>
          <w:tcPr>
            <w:tcW w:w="981"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w:t>
            </w:r>
          </w:p>
        </w:tc>
        <w:tc>
          <w:tcPr>
            <w:tcW w:w="842"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 xml:space="preserve"> 45</w:t>
            </w:r>
          </w:p>
        </w:tc>
        <w:tc>
          <w:tcPr>
            <w:tcW w:w="1121"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 xml:space="preserve"> 120</w:t>
            </w:r>
          </w:p>
        </w:tc>
        <w:tc>
          <w:tcPr>
            <w:tcW w:w="953"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41 336</w:t>
            </w:r>
          </w:p>
        </w:tc>
        <w:tc>
          <w:tcPr>
            <w:tcW w:w="1100"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43 648</w:t>
            </w:r>
          </w:p>
        </w:tc>
      </w:tr>
      <w:tr>
        <w:trPr>
          <w:trHeight w:val="255"/>
        </w:trPr>
        <w:tc>
          <w:tcPr>
            <w:tcW w:w="2798" w:type="dxa"/>
            <w:tcBorders>
              <w:top w:val="nil"/>
              <w:left w:val="nil"/>
              <w:bottom w:val="nil"/>
              <w:right w:val="nil"/>
              <w:tl2br w:val="nil"/>
              <w:tr2bl w:val="nil"/>
            </w:tcBorders>
            <w:tcMar>
              <w:left w:w="60" w:type="dxa"/>
              <w:right w:w="60" w:type="dxa"/>
            </w:tcMar>
            <w:vAlign w:val="center"/>
          </w:tcPr>
          <w:p>
            <w:pPr>
              <w:pStyle w:val="DMETW36753BIPCRPY"/>
              <w:ind w:left="400" w:firstLine="15"/>
              <w:rPr>
                <w:rFonts w:ascii="Verdana" w:eastAsia="Verdana" w:hAnsi="Verdana" w:cs="Verdana"/>
                <w:i/>
                <w:noProof/>
                <w:color w:val="000000"/>
                <w:sz w:val="18"/>
              </w:rPr>
            </w:pPr>
            <w:r>
              <w:rPr>
                <w:rFonts w:ascii="Verdana" w:hAnsi="Verdana"/>
                <w:i/>
                <w:noProof/>
                <w:color w:val="000000"/>
                <w:sz w:val="18"/>
              </w:rPr>
              <w:t>Dérivés</w:t>
            </w:r>
          </w:p>
        </w:tc>
        <w:tc>
          <w:tcPr>
            <w:tcW w:w="982"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w:t>
            </w:r>
          </w:p>
        </w:tc>
        <w:tc>
          <w:tcPr>
            <w:tcW w:w="981"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w:t>
            </w:r>
          </w:p>
        </w:tc>
        <w:tc>
          <w:tcPr>
            <w:tcW w:w="981"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w:t>
            </w:r>
          </w:p>
        </w:tc>
        <w:tc>
          <w:tcPr>
            <w:tcW w:w="842"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w:t>
            </w:r>
          </w:p>
        </w:tc>
        <w:tc>
          <w:tcPr>
            <w:tcW w:w="1121"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w:t>
            </w:r>
          </w:p>
        </w:tc>
        <w:tc>
          <w:tcPr>
            <w:tcW w:w="953"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1 110</w:t>
            </w:r>
          </w:p>
        </w:tc>
        <w:tc>
          <w:tcPr>
            <w:tcW w:w="1100"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1 110</w:t>
            </w:r>
          </w:p>
        </w:tc>
      </w:tr>
      <w:tr>
        <w:trPr>
          <w:trHeight w:val="255"/>
        </w:trPr>
        <w:tc>
          <w:tcPr>
            <w:tcW w:w="2798" w:type="dxa"/>
            <w:tcBorders>
              <w:top w:val="nil"/>
              <w:left w:val="nil"/>
              <w:bottom w:val="nil"/>
              <w:right w:val="nil"/>
              <w:tl2br w:val="nil"/>
              <w:tr2bl w:val="nil"/>
            </w:tcBorders>
            <w:tcMar>
              <w:left w:w="60" w:type="dxa"/>
              <w:right w:w="60" w:type="dxa"/>
            </w:tcMar>
            <w:vAlign w:val="center"/>
          </w:tcPr>
          <w:p>
            <w:pPr>
              <w:pStyle w:val="DMETW36753BIPCRPY"/>
              <w:rPr>
                <w:rFonts w:ascii="Verdana" w:eastAsia="Verdana" w:hAnsi="Verdana" w:cs="Verdana"/>
                <w:i/>
                <w:noProof/>
                <w:color w:val="000000"/>
                <w:sz w:val="18"/>
              </w:rPr>
            </w:pPr>
            <w:r>
              <w:rPr>
                <w:rFonts w:ascii="Verdana" w:hAnsi="Verdana"/>
                <w:i/>
                <w:noProof/>
                <w:color w:val="000000"/>
                <w:sz w:val="18"/>
              </w:rPr>
              <w:t>Créances à recevoir**</w:t>
            </w:r>
          </w:p>
        </w:tc>
        <w:tc>
          <w:tcPr>
            <w:tcW w:w="982"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 xml:space="preserve"> 72</w:t>
            </w:r>
          </w:p>
        </w:tc>
        <w:tc>
          <w:tcPr>
            <w:tcW w:w="981"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 xml:space="preserve"> 1</w:t>
            </w:r>
          </w:p>
        </w:tc>
        <w:tc>
          <w:tcPr>
            <w:tcW w:w="981"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 xml:space="preserve"> 17</w:t>
            </w:r>
          </w:p>
        </w:tc>
        <w:tc>
          <w:tcPr>
            <w:tcW w:w="842"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 xml:space="preserve"> 1</w:t>
            </w:r>
          </w:p>
        </w:tc>
        <w:tc>
          <w:tcPr>
            <w:tcW w:w="1121"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 xml:space="preserve"> 111</w:t>
            </w:r>
          </w:p>
        </w:tc>
        <w:tc>
          <w:tcPr>
            <w:tcW w:w="953"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3 039</w:t>
            </w:r>
          </w:p>
        </w:tc>
        <w:tc>
          <w:tcPr>
            <w:tcW w:w="1100"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3 240</w:t>
            </w:r>
          </w:p>
        </w:tc>
      </w:tr>
      <w:tr>
        <w:trPr>
          <w:trHeight w:val="255"/>
        </w:trPr>
        <w:tc>
          <w:tcPr>
            <w:tcW w:w="2798" w:type="dxa"/>
            <w:tcBorders>
              <w:top w:val="nil"/>
              <w:left w:val="nil"/>
              <w:bottom w:val="single" w:sz="4" w:space="0" w:color="016794"/>
              <w:right w:val="nil"/>
              <w:tl2br w:val="nil"/>
              <w:tr2bl w:val="nil"/>
            </w:tcBorders>
            <w:tcMar>
              <w:left w:w="60" w:type="dxa"/>
              <w:right w:w="60" w:type="dxa"/>
            </w:tcMar>
            <w:vAlign w:val="center"/>
          </w:tcPr>
          <w:p>
            <w:pPr>
              <w:pStyle w:val="DMETW36753BIPCRPY"/>
              <w:rPr>
                <w:rFonts w:ascii="Verdana" w:eastAsia="Verdana" w:hAnsi="Verdana" w:cs="Verdana"/>
                <w:i/>
                <w:noProof/>
                <w:color w:val="000000"/>
                <w:sz w:val="18"/>
              </w:rPr>
            </w:pPr>
            <w:r>
              <w:rPr>
                <w:rFonts w:ascii="Verdana" w:hAnsi="Verdana"/>
                <w:i/>
                <w:noProof/>
                <w:color w:val="000000"/>
                <w:sz w:val="18"/>
              </w:rPr>
              <w:t>Trésorerie et équivalents de trésorerie</w:t>
            </w:r>
          </w:p>
        </w:tc>
        <w:tc>
          <w:tcPr>
            <w:tcW w:w="982" w:type="dxa"/>
            <w:tcBorders>
              <w:top w:val="nil"/>
              <w:left w:val="nil"/>
              <w:bottom w:val="single" w:sz="4" w:space="0" w:color="016794"/>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 xml:space="preserve"> 111</w:t>
            </w:r>
          </w:p>
        </w:tc>
        <w:tc>
          <w:tcPr>
            <w:tcW w:w="981" w:type="dxa"/>
            <w:tcBorders>
              <w:top w:val="nil"/>
              <w:left w:val="nil"/>
              <w:bottom w:val="single" w:sz="4" w:space="0" w:color="016794"/>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 xml:space="preserve"> 258</w:t>
            </w:r>
          </w:p>
        </w:tc>
        <w:tc>
          <w:tcPr>
            <w:tcW w:w="981" w:type="dxa"/>
            <w:tcBorders>
              <w:top w:val="nil"/>
              <w:left w:val="nil"/>
              <w:bottom w:val="single" w:sz="4" w:space="0" w:color="016794"/>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 xml:space="preserve"> 573</w:t>
            </w:r>
          </w:p>
        </w:tc>
        <w:tc>
          <w:tcPr>
            <w:tcW w:w="842" w:type="dxa"/>
            <w:tcBorders>
              <w:top w:val="nil"/>
              <w:left w:val="nil"/>
              <w:bottom w:val="single" w:sz="4" w:space="0" w:color="016794"/>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 xml:space="preserve"> 314</w:t>
            </w:r>
          </w:p>
        </w:tc>
        <w:tc>
          <w:tcPr>
            <w:tcW w:w="1121" w:type="dxa"/>
            <w:tcBorders>
              <w:top w:val="nil"/>
              <w:left w:val="nil"/>
              <w:bottom w:val="single" w:sz="4" w:space="0" w:color="016794"/>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 xml:space="preserve"> 966</w:t>
            </w:r>
          </w:p>
        </w:tc>
        <w:tc>
          <w:tcPr>
            <w:tcW w:w="953" w:type="dxa"/>
            <w:tcBorders>
              <w:top w:val="nil"/>
              <w:left w:val="nil"/>
              <w:bottom w:val="single" w:sz="4" w:space="0" w:color="016794"/>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60 941</w:t>
            </w:r>
          </w:p>
        </w:tc>
        <w:tc>
          <w:tcPr>
            <w:tcW w:w="1100" w:type="dxa"/>
            <w:tcBorders>
              <w:top w:val="nil"/>
              <w:left w:val="nil"/>
              <w:bottom w:val="single" w:sz="4" w:space="0" w:color="016794"/>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63 163</w:t>
            </w:r>
          </w:p>
        </w:tc>
      </w:tr>
      <w:tr>
        <w:trPr>
          <w:trHeight w:val="255"/>
        </w:trPr>
        <w:tc>
          <w:tcPr>
            <w:tcW w:w="279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PY"/>
              <w:jc w:val="right"/>
              <w:rPr>
                <w:rFonts w:ascii="Verdana" w:eastAsia="Verdana" w:hAnsi="Verdana" w:cs="Verdana"/>
                <w:b/>
                <w:noProof/>
                <w:color w:val="000000"/>
                <w:sz w:val="18"/>
              </w:rPr>
            </w:pPr>
          </w:p>
        </w:tc>
        <w:tc>
          <w:tcPr>
            <w:tcW w:w="98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PY"/>
              <w:jc w:val="right"/>
              <w:rPr>
                <w:rFonts w:ascii="Verdana" w:eastAsia="Verdana" w:hAnsi="Verdana" w:cs="Verdana"/>
                <w:b/>
                <w:noProof/>
                <w:color w:val="000000"/>
                <w:sz w:val="18"/>
              </w:rPr>
            </w:pPr>
            <w:r>
              <w:rPr>
                <w:rFonts w:ascii="Verdana" w:hAnsi="Verdana"/>
                <w:b/>
                <w:noProof/>
                <w:color w:val="000000"/>
                <w:sz w:val="18"/>
              </w:rPr>
              <w:t>2 371</w:t>
            </w:r>
          </w:p>
        </w:tc>
        <w:tc>
          <w:tcPr>
            <w:tcW w:w="98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PY"/>
              <w:jc w:val="right"/>
              <w:rPr>
                <w:rFonts w:ascii="Verdana" w:eastAsia="Verdana" w:hAnsi="Verdana" w:cs="Verdana"/>
                <w:b/>
                <w:noProof/>
                <w:color w:val="000000"/>
                <w:sz w:val="18"/>
              </w:rPr>
            </w:pPr>
            <w:r>
              <w:rPr>
                <w:rFonts w:ascii="Verdana" w:hAnsi="Verdana"/>
                <w:b/>
                <w:noProof/>
                <w:color w:val="000000"/>
                <w:sz w:val="18"/>
              </w:rPr>
              <w:t xml:space="preserve"> 264</w:t>
            </w:r>
          </w:p>
        </w:tc>
        <w:tc>
          <w:tcPr>
            <w:tcW w:w="98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PY"/>
              <w:jc w:val="right"/>
              <w:rPr>
                <w:rFonts w:ascii="Verdana" w:eastAsia="Verdana" w:hAnsi="Verdana" w:cs="Verdana"/>
                <w:b/>
                <w:noProof/>
                <w:color w:val="000000"/>
                <w:sz w:val="18"/>
              </w:rPr>
            </w:pPr>
            <w:r>
              <w:rPr>
                <w:rFonts w:ascii="Verdana" w:hAnsi="Verdana"/>
                <w:b/>
                <w:noProof/>
                <w:color w:val="000000"/>
                <w:sz w:val="18"/>
              </w:rPr>
              <w:t xml:space="preserve"> 590</w:t>
            </w:r>
          </w:p>
        </w:tc>
        <w:tc>
          <w:tcPr>
            <w:tcW w:w="84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PY"/>
              <w:jc w:val="right"/>
              <w:rPr>
                <w:rFonts w:ascii="Verdana" w:eastAsia="Verdana" w:hAnsi="Verdana" w:cs="Verdana"/>
                <w:b/>
                <w:noProof/>
                <w:color w:val="000000"/>
                <w:sz w:val="18"/>
              </w:rPr>
            </w:pPr>
            <w:r>
              <w:rPr>
                <w:rFonts w:ascii="Verdana" w:hAnsi="Verdana"/>
                <w:b/>
                <w:noProof/>
                <w:color w:val="000000"/>
                <w:sz w:val="18"/>
              </w:rPr>
              <w:t xml:space="preserve"> 360</w:t>
            </w:r>
          </w:p>
        </w:tc>
        <w:tc>
          <w:tcPr>
            <w:tcW w:w="112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PY"/>
              <w:jc w:val="right"/>
              <w:rPr>
                <w:rFonts w:ascii="Verdana" w:eastAsia="Verdana" w:hAnsi="Verdana" w:cs="Verdana"/>
                <w:b/>
                <w:noProof/>
                <w:color w:val="000000"/>
                <w:sz w:val="18"/>
              </w:rPr>
            </w:pPr>
            <w:r>
              <w:rPr>
                <w:rFonts w:ascii="Verdana" w:hAnsi="Verdana"/>
                <w:b/>
                <w:noProof/>
                <w:color w:val="000000"/>
                <w:sz w:val="18"/>
              </w:rPr>
              <w:t>1 204</w:t>
            </w:r>
          </w:p>
        </w:tc>
        <w:tc>
          <w:tcPr>
            <w:tcW w:w="95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PY"/>
              <w:jc w:val="right"/>
              <w:rPr>
                <w:rFonts w:ascii="Verdana" w:eastAsia="Verdana" w:hAnsi="Verdana" w:cs="Verdana"/>
                <w:b/>
                <w:noProof/>
                <w:color w:val="000000"/>
                <w:sz w:val="18"/>
              </w:rPr>
            </w:pPr>
            <w:r>
              <w:rPr>
                <w:rFonts w:ascii="Verdana" w:hAnsi="Verdana"/>
                <w:b/>
                <w:noProof/>
                <w:color w:val="000000"/>
                <w:sz w:val="18"/>
              </w:rPr>
              <w:t>106 839</w:t>
            </w:r>
          </w:p>
        </w:tc>
        <w:tc>
          <w:tcPr>
            <w:tcW w:w="110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PY"/>
              <w:jc w:val="right"/>
              <w:rPr>
                <w:rFonts w:ascii="Verdana" w:eastAsia="Verdana" w:hAnsi="Verdana" w:cs="Verdana"/>
                <w:b/>
                <w:noProof/>
                <w:color w:val="000000"/>
                <w:sz w:val="18"/>
              </w:rPr>
            </w:pPr>
            <w:r>
              <w:rPr>
                <w:rFonts w:ascii="Verdana" w:hAnsi="Verdana"/>
                <w:b/>
                <w:noProof/>
                <w:color w:val="000000"/>
                <w:sz w:val="18"/>
              </w:rPr>
              <w:t>111 628</w:t>
            </w:r>
          </w:p>
        </w:tc>
      </w:tr>
      <w:tr>
        <w:trPr>
          <w:trHeight w:val="255"/>
        </w:trPr>
        <w:tc>
          <w:tcPr>
            <w:tcW w:w="2798" w:type="dxa"/>
            <w:tcBorders>
              <w:top w:val="single" w:sz="4" w:space="0" w:color="016794"/>
              <w:left w:val="nil"/>
              <w:bottom w:val="nil"/>
              <w:right w:val="nil"/>
              <w:tl2br w:val="nil"/>
              <w:tr2bl w:val="nil"/>
            </w:tcBorders>
            <w:tcMar>
              <w:left w:w="60" w:type="dxa"/>
              <w:right w:w="60" w:type="dxa"/>
            </w:tcMar>
            <w:vAlign w:val="center"/>
          </w:tcPr>
          <w:p>
            <w:pPr>
              <w:pStyle w:val="DMETW36753BIPCRPY"/>
              <w:rPr>
                <w:rFonts w:ascii="Verdana" w:eastAsia="Verdana" w:hAnsi="Verdana" w:cs="Verdana"/>
                <w:b/>
                <w:noProof/>
                <w:color w:val="000000"/>
                <w:sz w:val="18"/>
              </w:rPr>
            </w:pPr>
            <w:r>
              <w:rPr>
                <w:rFonts w:ascii="Verdana" w:hAnsi="Verdana"/>
                <w:b/>
                <w:noProof/>
                <w:color w:val="000000"/>
                <w:sz w:val="18"/>
              </w:rPr>
              <w:t>Passifs financiers</w:t>
            </w:r>
          </w:p>
        </w:tc>
        <w:tc>
          <w:tcPr>
            <w:tcW w:w="982" w:type="dxa"/>
            <w:tcBorders>
              <w:top w:val="single" w:sz="4" w:space="0" w:color="016794"/>
              <w:left w:val="nil"/>
              <w:bottom w:val="nil"/>
              <w:right w:val="nil"/>
              <w:tl2br w:val="nil"/>
              <w:tr2bl w:val="nil"/>
            </w:tcBorders>
            <w:tcMar>
              <w:left w:w="60" w:type="dxa"/>
              <w:right w:w="60" w:type="dxa"/>
            </w:tcMar>
            <w:vAlign w:val="center"/>
          </w:tcPr>
          <w:p>
            <w:pPr>
              <w:pStyle w:val="DMETW36753BIPCRPY"/>
              <w:rPr>
                <w:rFonts w:ascii="Arial" w:eastAsia="Arial" w:hAnsi="Arial" w:cs="Arial"/>
                <w:noProof/>
                <w:color w:val="000000"/>
              </w:rPr>
            </w:pPr>
          </w:p>
        </w:tc>
        <w:tc>
          <w:tcPr>
            <w:tcW w:w="981" w:type="dxa"/>
            <w:tcBorders>
              <w:top w:val="single" w:sz="4" w:space="0" w:color="016794"/>
              <w:left w:val="nil"/>
              <w:bottom w:val="nil"/>
              <w:right w:val="nil"/>
              <w:tl2br w:val="nil"/>
              <w:tr2bl w:val="nil"/>
            </w:tcBorders>
            <w:tcMar>
              <w:left w:w="60" w:type="dxa"/>
              <w:right w:w="60" w:type="dxa"/>
            </w:tcMar>
            <w:vAlign w:val="center"/>
          </w:tcPr>
          <w:p>
            <w:pPr>
              <w:pStyle w:val="DMETW36753BIPCRPY"/>
              <w:rPr>
                <w:rFonts w:ascii="Arial" w:eastAsia="Arial" w:hAnsi="Arial" w:cs="Arial"/>
                <w:noProof/>
                <w:color w:val="000000"/>
              </w:rPr>
            </w:pPr>
          </w:p>
        </w:tc>
        <w:tc>
          <w:tcPr>
            <w:tcW w:w="981" w:type="dxa"/>
            <w:tcBorders>
              <w:top w:val="single" w:sz="4" w:space="0" w:color="016794"/>
              <w:left w:val="nil"/>
              <w:bottom w:val="nil"/>
              <w:right w:val="nil"/>
              <w:tl2br w:val="nil"/>
              <w:tr2bl w:val="nil"/>
            </w:tcBorders>
            <w:tcMar>
              <w:left w:w="60" w:type="dxa"/>
              <w:right w:w="60" w:type="dxa"/>
            </w:tcMar>
            <w:vAlign w:val="center"/>
          </w:tcPr>
          <w:p>
            <w:pPr>
              <w:pStyle w:val="DMETW36753BIPCRPY"/>
              <w:rPr>
                <w:rFonts w:ascii="Arial" w:eastAsia="Arial" w:hAnsi="Arial" w:cs="Arial"/>
                <w:noProof/>
                <w:color w:val="000000"/>
              </w:rPr>
            </w:pPr>
          </w:p>
        </w:tc>
        <w:tc>
          <w:tcPr>
            <w:tcW w:w="842" w:type="dxa"/>
            <w:tcBorders>
              <w:top w:val="single" w:sz="4" w:space="0" w:color="016794"/>
              <w:left w:val="nil"/>
              <w:bottom w:val="nil"/>
              <w:right w:val="nil"/>
              <w:tl2br w:val="nil"/>
              <w:tr2bl w:val="nil"/>
            </w:tcBorders>
            <w:tcMar>
              <w:left w:w="60" w:type="dxa"/>
              <w:right w:w="60" w:type="dxa"/>
            </w:tcMar>
            <w:vAlign w:val="center"/>
          </w:tcPr>
          <w:p>
            <w:pPr>
              <w:pStyle w:val="DMETW36753BIPCRPY"/>
              <w:rPr>
                <w:rFonts w:ascii="Arial" w:eastAsia="Arial" w:hAnsi="Arial" w:cs="Arial"/>
                <w:noProof/>
                <w:color w:val="000000"/>
              </w:rPr>
            </w:pPr>
          </w:p>
        </w:tc>
        <w:tc>
          <w:tcPr>
            <w:tcW w:w="1121" w:type="dxa"/>
            <w:tcBorders>
              <w:top w:val="single" w:sz="4" w:space="0" w:color="016794"/>
              <w:left w:val="nil"/>
              <w:bottom w:val="nil"/>
              <w:right w:val="nil"/>
              <w:tl2br w:val="nil"/>
              <w:tr2bl w:val="nil"/>
            </w:tcBorders>
            <w:tcMar>
              <w:left w:w="60" w:type="dxa"/>
              <w:right w:w="60" w:type="dxa"/>
            </w:tcMar>
            <w:vAlign w:val="center"/>
          </w:tcPr>
          <w:p>
            <w:pPr>
              <w:pStyle w:val="DMETW36753BIPCRPY"/>
              <w:rPr>
                <w:rFonts w:ascii="Arial" w:eastAsia="Arial" w:hAnsi="Arial" w:cs="Arial"/>
                <w:noProof/>
                <w:color w:val="000000"/>
              </w:rPr>
            </w:pPr>
          </w:p>
        </w:tc>
        <w:tc>
          <w:tcPr>
            <w:tcW w:w="953" w:type="dxa"/>
            <w:tcBorders>
              <w:top w:val="single" w:sz="4" w:space="0" w:color="016794"/>
              <w:left w:val="nil"/>
              <w:bottom w:val="nil"/>
              <w:right w:val="nil"/>
              <w:tl2br w:val="nil"/>
              <w:tr2bl w:val="nil"/>
            </w:tcBorders>
            <w:tcMar>
              <w:left w:w="60" w:type="dxa"/>
              <w:right w:w="60" w:type="dxa"/>
            </w:tcMar>
            <w:vAlign w:val="center"/>
          </w:tcPr>
          <w:p>
            <w:pPr>
              <w:pStyle w:val="DMETW36753BIPCRPY"/>
              <w:rPr>
                <w:rFonts w:ascii="Arial" w:eastAsia="Arial" w:hAnsi="Arial" w:cs="Arial"/>
                <w:noProof/>
                <w:color w:val="000000"/>
              </w:rPr>
            </w:pPr>
          </w:p>
        </w:tc>
        <w:tc>
          <w:tcPr>
            <w:tcW w:w="1100" w:type="dxa"/>
            <w:tcBorders>
              <w:top w:val="single" w:sz="4" w:space="0" w:color="016794"/>
              <w:left w:val="nil"/>
              <w:bottom w:val="nil"/>
              <w:right w:val="nil"/>
              <w:tl2br w:val="nil"/>
              <w:tr2bl w:val="nil"/>
            </w:tcBorders>
            <w:tcMar>
              <w:left w:w="60" w:type="dxa"/>
              <w:right w:w="60" w:type="dxa"/>
            </w:tcMar>
            <w:vAlign w:val="center"/>
          </w:tcPr>
          <w:p>
            <w:pPr>
              <w:pStyle w:val="DMETW36753BIPCRPY"/>
              <w:rPr>
                <w:rFonts w:ascii="Arial" w:eastAsia="Arial" w:hAnsi="Arial" w:cs="Arial"/>
                <w:b/>
                <w:noProof/>
                <w:color w:val="000000"/>
                <w:lang w:bidi="en-GB"/>
              </w:rPr>
            </w:pPr>
          </w:p>
        </w:tc>
      </w:tr>
      <w:tr>
        <w:trPr>
          <w:trHeight w:val="255"/>
        </w:trPr>
        <w:tc>
          <w:tcPr>
            <w:tcW w:w="2798" w:type="dxa"/>
            <w:tcBorders>
              <w:top w:val="nil"/>
              <w:left w:val="nil"/>
              <w:bottom w:val="nil"/>
              <w:right w:val="nil"/>
              <w:tl2br w:val="nil"/>
              <w:tr2bl w:val="nil"/>
            </w:tcBorders>
            <w:tcMar>
              <w:left w:w="60" w:type="dxa"/>
              <w:right w:w="60" w:type="dxa"/>
            </w:tcMar>
            <w:vAlign w:val="center"/>
          </w:tcPr>
          <w:p>
            <w:pPr>
              <w:pStyle w:val="DMETW36753BIPCRPY"/>
              <w:rPr>
                <w:rFonts w:ascii="Verdana" w:eastAsia="Verdana" w:hAnsi="Verdana" w:cs="Verdana"/>
                <w:i/>
                <w:noProof/>
                <w:color w:val="000000"/>
                <w:sz w:val="18"/>
              </w:rPr>
            </w:pPr>
            <w:r>
              <w:rPr>
                <w:rFonts w:ascii="Verdana" w:hAnsi="Verdana"/>
                <w:i/>
                <w:noProof/>
                <w:color w:val="000000"/>
                <w:sz w:val="18"/>
              </w:rPr>
              <w:t>Passif lié à la garantie financière</w:t>
            </w:r>
          </w:p>
        </w:tc>
        <w:tc>
          <w:tcPr>
            <w:tcW w:w="982"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 xml:space="preserve"> (518)</w:t>
            </w:r>
          </w:p>
        </w:tc>
        <w:tc>
          <w:tcPr>
            <w:tcW w:w="981"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 xml:space="preserve"> (36)</w:t>
            </w:r>
          </w:p>
        </w:tc>
        <w:tc>
          <w:tcPr>
            <w:tcW w:w="981"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 xml:space="preserve"> (59)</w:t>
            </w:r>
          </w:p>
        </w:tc>
        <w:tc>
          <w:tcPr>
            <w:tcW w:w="842"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 xml:space="preserve"> (12)</w:t>
            </w:r>
          </w:p>
        </w:tc>
        <w:tc>
          <w:tcPr>
            <w:tcW w:w="1121"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 xml:space="preserve"> (112)</w:t>
            </w:r>
          </w:p>
        </w:tc>
        <w:tc>
          <w:tcPr>
            <w:tcW w:w="953"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(5 643)</w:t>
            </w:r>
          </w:p>
        </w:tc>
        <w:tc>
          <w:tcPr>
            <w:tcW w:w="1100"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(6 379)</w:t>
            </w:r>
          </w:p>
        </w:tc>
      </w:tr>
      <w:tr>
        <w:trPr>
          <w:trHeight w:val="255"/>
        </w:trPr>
        <w:tc>
          <w:tcPr>
            <w:tcW w:w="2798" w:type="dxa"/>
            <w:tcBorders>
              <w:top w:val="nil"/>
              <w:left w:val="nil"/>
              <w:bottom w:val="single" w:sz="4" w:space="0" w:color="016794"/>
              <w:right w:val="nil"/>
              <w:tl2br w:val="nil"/>
              <w:tr2bl w:val="nil"/>
            </w:tcBorders>
            <w:tcMar>
              <w:left w:w="60" w:type="dxa"/>
              <w:right w:w="60" w:type="dxa"/>
            </w:tcMar>
            <w:vAlign w:val="center"/>
          </w:tcPr>
          <w:p>
            <w:pPr>
              <w:pStyle w:val="DMETW36753BIPCRPY"/>
              <w:rPr>
                <w:rFonts w:ascii="Verdana" w:eastAsia="Verdana" w:hAnsi="Verdana" w:cs="Verdana"/>
                <w:i/>
                <w:noProof/>
                <w:color w:val="000000"/>
                <w:sz w:val="18"/>
              </w:rPr>
            </w:pPr>
            <w:r>
              <w:rPr>
                <w:rFonts w:ascii="Verdana" w:hAnsi="Verdana"/>
                <w:i/>
                <w:noProof/>
                <w:color w:val="000000"/>
                <w:sz w:val="18"/>
              </w:rPr>
              <w:t>Passifs financiers à la JVCR</w:t>
            </w:r>
          </w:p>
        </w:tc>
        <w:tc>
          <w:tcPr>
            <w:tcW w:w="982" w:type="dxa"/>
            <w:tcBorders>
              <w:top w:val="nil"/>
              <w:left w:val="nil"/>
              <w:bottom w:val="single" w:sz="4" w:space="0" w:color="016794"/>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(1 712)</w:t>
            </w:r>
          </w:p>
        </w:tc>
        <w:tc>
          <w:tcPr>
            <w:tcW w:w="981" w:type="dxa"/>
            <w:tcBorders>
              <w:top w:val="nil"/>
              <w:left w:val="nil"/>
              <w:bottom w:val="single" w:sz="4" w:space="0" w:color="016794"/>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 xml:space="preserve"> 285</w:t>
            </w:r>
          </w:p>
        </w:tc>
        <w:tc>
          <w:tcPr>
            <w:tcW w:w="981" w:type="dxa"/>
            <w:tcBorders>
              <w:top w:val="nil"/>
              <w:left w:val="nil"/>
              <w:bottom w:val="single" w:sz="4" w:space="0" w:color="016794"/>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 xml:space="preserve"> 76</w:t>
            </w:r>
          </w:p>
        </w:tc>
        <w:tc>
          <w:tcPr>
            <w:tcW w:w="842" w:type="dxa"/>
            <w:tcBorders>
              <w:top w:val="nil"/>
              <w:left w:val="nil"/>
              <w:bottom w:val="single" w:sz="4" w:space="0" w:color="016794"/>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 xml:space="preserve"> 75</w:t>
            </w:r>
          </w:p>
        </w:tc>
        <w:tc>
          <w:tcPr>
            <w:tcW w:w="1121" w:type="dxa"/>
            <w:tcBorders>
              <w:top w:val="nil"/>
              <w:left w:val="nil"/>
              <w:bottom w:val="single" w:sz="4" w:space="0" w:color="016794"/>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 xml:space="preserve"> 138</w:t>
            </w:r>
          </w:p>
        </w:tc>
        <w:tc>
          <w:tcPr>
            <w:tcW w:w="953" w:type="dxa"/>
            <w:tcBorders>
              <w:top w:val="nil"/>
              <w:left w:val="nil"/>
              <w:bottom w:val="single" w:sz="4" w:space="0" w:color="016794"/>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1 040</w:t>
            </w:r>
          </w:p>
        </w:tc>
        <w:tc>
          <w:tcPr>
            <w:tcW w:w="1100" w:type="dxa"/>
            <w:tcBorders>
              <w:top w:val="nil"/>
              <w:left w:val="nil"/>
              <w:bottom w:val="single" w:sz="4" w:space="0" w:color="016794"/>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 xml:space="preserve"> (98)</w:t>
            </w:r>
          </w:p>
        </w:tc>
      </w:tr>
      <w:tr>
        <w:trPr>
          <w:trHeight w:val="255"/>
        </w:trPr>
        <w:tc>
          <w:tcPr>
            <w:tcW w:w="279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PY"/>
              <w:jc w:val="right"/>
              <w:rPr>
                <w:rFonts w:ascii="Verdana" w:eastAsia="Verdana" w:hAnsi="Verdana" w:cs="Verdana"/>
                <w:b/>
                <w:noProof/>
                <w:color w:val="000000"/>
                <w:sz w:val="18"/>
              </w:rPr>
            </w:pPr>
          </w:p>
        </w:tc>
        <w:tc>
          <w:tcPr>
            <w:tcW w:w="98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PY"/>
              <w:jc w:val="right"/>
              <w:rPr>
                <w:rFonts w:ascii="Verdana" w:eastAsia="Verdana" w:hAnsi="Verdana" w:cs="Verdana"/>
                <w:b/>
                <w:noProof/>
                <w:color w:val="000000"/>
                <w:sz w:val="18"/>
              </w:rPr>
            </w:pPr>
            <w:r>
              <w:rPr>
                <w:rFonts w:ascii="Verdana" w:hAnsi="Verdana"/>
                <w:b/>
                <w:noProof/>
                <w:color w:val="000000"/>
                <w:sz w:val="18"/>
              </w:rPr>
              <w:t>(2 230)</w:t>
            </w:r>
          </w:p>
        </w:tc>
        <w:tc>
          <w:tcPr>
            <w:tcW w:w="98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PY"/>
              <w:jc w:val="right"/>
              <w:rPr>
                <w:rFonts w:ascii="Verdana" w:eastAsia="Verdana" w:hAnsi="Verdana" w:cs="Verdana"/>
                <w:b/>
                <w:noProof/>
                <w:color w:val="000000"/>
                <w:sz w:val="18"/>
              </w:rPr>
            </w:pPr>
            <w:r>
              <w:rPr>
                <w:rFonts w:ascii="Verdana" w:hAnsi="Verdana"/>
                <w:b/>
                <w:noProof/>
                <w:color w:val="000000"/>
                <w:sz w:val="18"/>
              </w:rPr>
              <w:t xml:space="preserve"> 248</w:t>
            </w:r>
          </w:p>
        </w:tc>
        <w:tc>
          <w:tcPr>
            <w:tcW w:w="98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PY"/>
              <w:jc w:val="right"/>
              <w:rPr>
                <w:rFonts w:ascii="Verdana" w:eastAsia="Verdana" w:hAnsi="Verdana" w:cs="Verdana"/>
                <w:b/>
                <w:noProof/>
                <w:color w:val="000000"/>
                <w:sz w:val="18"/>
              </w:rPr>
            </w:pPr>
            <w:r>
              <w:rPr>
                <w:rFonts w:ascii="Verdana" w:hAnsi="Verdana"/>
                <w:b/>
                <w:noProof/>
                <w:color w:val="000000"/>
                <w:sz w:val="18"/>
              </w:rPr>
              <w:t xml:space="preserve"> 17</w:t>
            </w:r>
          </w:p>
        </w:tc>
        <w:tc>
          <w:tcPr>
            <w:tcW w:w="84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PY"/>
              <w:jc w:val="right"/>
              <w:rPr>
                <w:rFonts w:ascii="Verdana" w:eastAsia="Verdana" w:hAnsi="Verdana" w:cs="Verdana"/>
                <w:b/>
                <w:noProof/>
                <w:color w:val="000000"/>
                <w:sz w:val="18"/>
              </w:rPr>
            </w:pPr>
            <w:r>
              <w:rPr>
                <w:rFonts w:ascii="Verdana" w:hAnsi="Verdana"/>
                <w:b/>
                <w:noProof/>
                <w:color w:val="000000"/>
                <w:sz w:val="18"/>
              </w:rPr>
              <w:t xml:space="preserve"> 63</w:t>
            </w:r>
          </w:p>
        </w:tc>
        <w:tc>
          <w:tcPr>
            <w:tcW w:w="112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PY"/>
              <w:jc w:val="right"/>
              <w:rPr>
                <w:rFonts w:ascii="Verdana" w:eastAsia="Verdana" w:hAnsi="Verdana" w:cs="Verdana"/>
                <w:b/>
                <w:noProof/>
                <w:color w:val="000000"/>
                <w:sz w:val="18"/>
              </w:rPr>
            </w:pPr>
            <w:r>
              <w:rPr>
                <w:rFonts w:ascii="Verdana" w:hAnsi="Verdana"/>
                <w:b/>
                <w:noProof/>
                <w:color w:val="000000"/>
                <w:sz w:val="18"/>
              </w:rPr>
              <w:t xml:space="preserve"> 26</w:t>
            </w:r>
          </w:p>
        </w:tc>
        <w:tc>
          <w:tcPr>
            <w:tcW w:w="95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PY"/>
              <w:jc w:val="right"/>
              <w:rPr>
                <w:rFonts w:ascii="Verdana" w:eastAsia="Verdana" w:hAnsi="Verdana" w:cs="Verdana"/>
                <w:b/>
                <w:noProof/>
                <w:color w:val="000000"/>
                <w:sz w:val="18"/>
              </w:rPr>
            </w:pPr>
            <w:r>
              <w:rPr>
                <w:rFonts w:ascii="Verdana" w:hAnsi="Verdana"/>
                <w:b/>
                <w:noProof/>
                <w:color w:val="000000"/>
                <w:sz w:val="18"/>
              </w:rPr>
              <w:t>(4 603)</w:t>
            </w:r>
          </w:p>
        </w:tc>
        <w:tc>
          <w:tcPr>
            <w:tcW w:w="110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PY"/>
              <w:jc w:val="right"/>
              <w:rPr>
                <w:rFonts w:ascii="Verdana" w:eastAsia="Verdana" w:hAnsi="Verdana" w:cs="Verdana"/>
                <w:b/>
                <w:noProof/>
                <w:color w:val="000000"/>
                <w:sz w:val="18"/>
              </w:rPr>
            </w:pPr>
            <w:r>
              <w:rPr>
                <w:rFonts w:ascii="Verdana" w:hAnsi="Verdana"/>
                <w:b/>
                <w:noProof/>
                <w:color w:val="000000"/>
                <w:sz w:val="18"/>
              </w:rPr>
              <w:t>(6 477)</w:t>
            </w:r>
          </w:p>
        </w:tc>
      </w:tr>
      <w:tr>
        <w:trPr>
          <w:trHeight w:val="255"/>
        </w:trPr>
        <w:tc>
          <w:tcPr>
            <w:tcW w:w="279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PY"/>
              <w:rPr>
                <w:rFonts w:ascii="Verdana" w:eastAsia="Verdana" w:hAnsi="Verdana" w:cs="Verdana"/>
                <w:b/>
                <w:noProof/>
                <w:color w:val="000000"/>
                <w:sz w:val="18"/>
              </w:rPr>
            </w:pPr>
            <w:r>
              <w:rPr>
                <w:rFonts w:ascii="Verdana" w:hAnsi="Verdana"/>
                <w:b/>
                <w:noProof/>
                <w:color w:val="000000"/>
                <w:sz w:val="18"/>
              </w:rPr>
              <w:t>Total</w:t>
            </w:r>
          </w:p>
        </w:tc>
        <w:tc>
          <w:tcPr>
            <w:tcW w:w="98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PY"/>
              <w:jc w:val="right"/>
              <w:rPr>
                <w:rFonts w:ascii="Verdana" w:eastAsia="Verdana" w:hAnsi="Verdana" w:cs="Verdana"/>
                <w:b/>
                <w:noProof/>
                <w:color w:val="000000"/>
                <w:sz w:val="18"/>
              </w:rPr>
            </w:pPr>
            <w:r>
              <w:rPr>
                <w:rFonts w:ascii="Verdana" w:hAnsi="Verdana"/>
                <w:b/>
                <w:noProof/>
                <w:color w:val="000000"/>
                <w:sz w:val="18"/>
              </w:rPr>
              <w:t xml:space="preserve"> 141</w:t>
            </w:r>
          </w:p>
        </w:tc>
        <w:tc>
          <w:tcPr>
            <w:tcW w:w="98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PY"/>
              <w:jc w:val="right"/>
              <w:rPr>
                <w:rFonts w:ascii="Verdana" w:eastAsia="Verdana" w:hAnsi="Verdana" w:cs="Verdana"/>
                <w:b/>
                <w:noProof/>
                <w:color w:val="000000"/>
                <w:sz w:val="18"/>
              </w:rPr>
            </w:pPr>
            <w:r>
              <w:rPr>
                <w:rFonts w:ascii="Verdana" w:hAnsi="Verdana"/>
                <w:b/>
                <w:noProof/>
                <w:color w:val="000000"/>
                <w:sz w:val="18"/>
              </w:rPr>
              <w:t xml:space="preserve"> 512</w:t>
            </w:r>
          </w:p>
        </w:tc>
        <w:tc>
          <w:tcPr>
            <w:tcW w:w="98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PY"/>
              <w:jc w:val="right"/>
              <w:rPr>
                <w:rFonts w:ascii="Verdana" w:eastAsia="Verdana" w:hAnsi="Verdana" w:cs="Verdana"/>
                <w:b/>
                <w:noProof/>
                <w:color w:val="000000"/>
                <w:sz w:val="18"/>
              </w:rPr>
            </w:pPr>
            <w:r>
              <w:rPr>
                <w:rFonts w:ascii="Verdana" w:hAnsi="Verdana"/>
                <w:b/>
                <w:noProof/>
                <w:color w:val="000000"/>
                <w:sz w:val="18"/>
              </w:rPr>
              <w:t xml:space="preserve"> 607</w:t>
            </w:r>
          </w:p>
        </w:tc>
        <w:tc>
          <w:tcPr>
            <w:tcW w:w="84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PY"/>
              <w:jc w:val="right"/>
              <w:rPr>
                <w:rFonts w:ascii="Verdana" w:eastAsia="Verdana" w:hAnsi="Verdana" w:cs="Verdana"/>
                <w:b/>
                <w:noProof/>
                <w:color w:val="000000"/>
                <w:sz w:val="18"/>
              </w:rPr>
            </w:pPr>
            <w:r>
              <w:rPr>
                <w:rFonts w:ascii="Verdana" w:hAnsi="Verdana"/>
                <w:b/>
                <w:noProof/>
                <w:color w:val="000000"/>
                <w:sz w:val="18"/>
              </w:rPr>
              <w:t xml:space="preserve"> 423</w:t>
            </w:r>
          </w:p>
        </w:tc>
        <w:tc>
          <w:tcPr>
            <w:tcW w:w="112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PY"/>
              <w:jc w:val="right"/>
              <w:rPr>
                <w:rFonts w:ascii="Verdana" w:eastAsia="Verdana" w:hAnsi="Verdana" w:cs="Verdana"/>
                <w:b/>
                <w:noProof/>
                <w:color w:val="000000"/>
                <w:sz w:val="18"/>
              </w:rPr>
            </w:pPr>
            <w:r>
              <w:rPr>
                <w:rFonts w:ascii="Verdana" w:hAnsi="Verdana"/>
                <w:b/>
                <w:noProof/>
                <w:color w:val="000000"/>
                <w:sz w:val="18"/>
              </w:rPr>
              <w:t>1 230</w:t>
            </w:r>
          </w:p>
        </w:tc>
        <w:tc>
          <w:tcPr>
            <w:tcW w:w="95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PY"/>
              <w:jc w:val="right"/>
              <w:rPr>
                <w:rFonts w:ascii="Verdana" w:eastAsia="Verdana" w:hAnsi="Verdana" w:cs="Verdana"/>
                <w:b/>
                <w:noProof/>
                <w:color w:val="000000"/>
                <w:sz w:val="18"/>
              </w:rPr>
            </w:pPr>
            <w:r>
              <w:rPr>
                <w:rFonts w:ascii="Verdana" w:hAnsi="Verdana"/>
                <w:b/>
                <w:noProof/>
                <w:color w:val="000000"/>
                <w:sz w:val="18"/>
              </w:rPr>
              <w:t>102 237</w:t>
            </w:r>
          </w:p>
        </w:tc>
        <w:tc>
          <w:tcPr>
            <w:tcW w:w="110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PY"/>
              <w:jc w:val="right"/>
              <w:rPr>
                <w:rFonts w:ascii="Verdana" w:eastAsia="Verdana" w:hAnsi="Verdana" w:cs="Verdana"/>
                <w:b/>
                <w:noProof/>
                <w:color w:val="000000"/>
                <w:sz w:val="18"/>
              </w:rPr>
            </w:pPr>
            <w:r>
              <w:rPr>
                <w:rFonts w:ascii="Verdana" w:hAnsi="Verdana"/>
                <w:b/>
                <w:noProof/>
                <w:color w:val="000000"/>
                <w:sz w:val="18"/>
              </w:rPr>
              <w:t>105 151</w:t>
            </w:r>
          </w:p>
        </w:tc>
      </w:tr>
    </w:tbl>
    <w:p>
      <w:pPr>
        <w:pStyle w:val="Textstand-alone"/>
        <w:tabs>
          <w:tab w:val="left" w:pos="142"/>
        </w:tabs>
        <w:spacing w:before="60" w:after="0"/>
        <w:ind w:left="142" w:hanging="142"/>
        <w:rPr>
          <w:i/>
          <w:sz w:val="14"/>
        </w:rPr>
      </w:pPr>
      <w:r>
        <w:rPr>
          <w:i/>
          <w:sz w:val="14"/>
          <w:vertAlign w:val="superscript"/>
        </w:rPr>
        <w:t>*</w:t>
      </w:r>
      <w:r>
        <w:rPr>
          <w:i/>
          <w:sz w:val="14"/>
        </w:rPr>
        <w:tab/>
        <w:t>Hors prêts aux États membres de l’UE et à des pays tiers</w:t>
      </w:r>
    </w:p>
    <w:p>
      <w:pPr>
        <w:pStyle w:val="Textstand-alone"/>
        <w:tabs>
          <w:tab w:val="left" w:pos="142"/>
        </w:tabs>
        <w:spacing w:before="0" w:after="0"/>
        <w:ind w:left="142" w:hanging="142"/>
        <w:rPr>
          <w:i/>
          <w:sz w:val="14"/>
        </w:rPr>
      </w:pPr>
      <w:r>
        <w:rPr>
          <w:i/>
          <w:sz w:val="14"/>
          <w:vertAlign w:val="superscript"/>
        </w:rPr>
        <w:t>**</w:t>
      </w:r>
      <w:r>
        <w:rPr>
          <w:i/>
          <w:sz w:val="14"/>
        </w:rPr>
        <w:tab/>
        <w:t>Hors charges à reporter.</w:t>
      </w:r>
    </w:p>
    <w:p>
      <w:pPr>
        <w:pStyle w:val="DGTextstand-alone"/>
      </w:pPr>
      <w:r>
        <w:t>Si l’euro s’était apprécié ou déprécié de 10 % par rapport aux autres monnaies, l’effet aurait été le suivant sur le résultat économique:</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99"/>
        <w:gridCol w:w="1385"/>
        <w:gridCol w:w="1338"/>
        <w:gridCol w:w="1338"/>
        <w:gridCol w:w="1198"/>
      </w:tblGrid>
      <w:tr>
        <w:trPr>
          <w:trHeight w:val="255"/>
        </w:trPr>
        <w:tc>
          <w:tcPr>
            <w:tcW w:w="4499" w:type="dxa"/>
            <w:tcBorders>
              <w:top w:val="nil"/>
              <w:left w:val="nil"/>
              <w:bottom w:val="nil"/>
              <w:right w:val="nil"/>
              <w:tl2br w:val="nil"/>
              <w:tr2bl w:val="nil"/>
            </w:tcBorders>
            <w:tcMar>
              <w:left w:w="60" w:type="dxa"/>
              <w:right w:w="60" w:type="dxa"/>
            </w:tcMar>
            <w:vAlign w:val="bottom"/>
          </w:tcPr>
          <w:p>
            <w:pPr>
              <w:pStyle w:val="DMETW36753BIPCYS"/>
              <w:rPr>
                <w:rFonts w:ascii="Arial" w:eastAsia="Arial" w:hAnsi="Arial" w:cs="Arial"/>
                <w:noProof/>
                <w:color w:val="000000"/>
              </w:rPr>
            </w:pPr>
            <w:bookmarkStart w:id="222" w:name="DOC_TBL00090_1_1"/>
            <w:bookmarkEnd w:id="222"/>
          </w:p>
        </w:tc>
        <w:tc>
          <w:tcPr>
            <w:tcW w:w="1385" w:type="dxa"/>
            <w:tcBorders>
              <w:top w:val="nil"/>
              <w:left w:val="nil"/>
              <w:bottom w:val="nil"/>
              <w:right w:val="nil"/>
              <w:tl2br w:val="nil"/>
              <w:tr2bl w:val="nil"/>
            </w:tcBorders>
            <w:tcMar>
              <w:left w:w="60" w:type="dxa"/>
              <w:right w:w="60" w:type="dxa"/>
            </w:tcMar>
            <w:vAlign w:val="bottom"/>
          </w:tcPr>
          <w:p>
            <w:pPr>
              <w:pStyle w:val="DMETW36753BIPCYS"/>
              <w:rPr>
                <w:rFonts w:ascii="Arial" w:eastAsia="Arial" w:hAnsi="Arial" w:cs="Arial"/>
                <w:noProof/>
                <w:color w:val="000000"/>
              </w:rPr>
            </w:pPr>
          </w:p>
        </w:tc>
        <w:tc>
          <w:tcPr>
            <w:tcW w:w="1338" w:type="dxa"/>
            <w:tcBorders>
              <w:top w:val="nil"/>
              <w:left w:val="nil"/>
              <w:bottom w:val="nil"/>
              <w:right w:val="nil"/>
              <w:tl2br w:val="nil"/>
              <w:tr2bl w:val="nil"/>
            </w:tcBorders>
            <w:tcMar>
              <w:left w:w="60" w:type="dxa"/>
              <w:right w:w="60" w:type="dxa"/>
            </w:tcMar>
            <w:vAlign w:val="bottom"/>
          </w:tcPr>
          <w:p>
            <w:pPr>
              <w:pStyle w:val="DMETW36753BIPCYS"/>
              <w:rPr>
                <w:rFonts w:ascii="Arial" w:eastAsia="Arial" w:hAnsi="Arial" w:cs="Arial"/>
                <w:noProof/>
                <w:color w:val="000000"/>
              </w:rPr>
            </w:pPr>
          </w:p>
        </w:tc>
        <w:tc>
          <w:tcPr>
            <w:tcW w:w="1338" w:type="dxa"/>
            <w:tcBorders>
              <w:top w:val="nil"/>
              <w:left w:val="nil"/>
              <w:bottom w:val="nil"/>
              <w:right w:val="nil"/>
              <w:tl2br w:val="nil"/>
              <w:tr2bl w:val="nil"/>
            </w:tcBorders>
            <w:tcMar>
              <w:left w:w="60" w:type="dxa"/>
              <w:right w:w="60" w:type="dxa"/>
            </w:tcMar>
            <w:vAlign w:val="bottom"/>
          </w:tcPr>
          <w:p>
            <w:pPr>
              <w:pStyle w:val="DMETW36753BIPCYS"/>
              <w:rPr>
                <w:rFonts w:ascii="Arial" w:eastAsia="Arial" w:hAnsi="Arial" w:cs="Arial"/>
                <w:noProof/>
                <w:color w:val="000000"/>
              </w:rPr>
            </w:pPr>
          </w:p>
        </w:tc>
        <w:tc>
          <w:tcPr>
            <w:tcW w:w="1198" w:type="dxa"/>
            <w:tcBorders>
              <w:top w:val="nil"/>
              <w:left w:val="nil"/>
              <w:bottom w:val="nil"/>
              <w:right w:val="nil"/>
              <w:tl2br w:val="nil"/>
              <w:tr2bl w:val="nil"/>
            </w:tcBorders>
            <w:tcMar>
              <w:left w:w="60" w:type="dxa"/>
              <w:right w:w="60" w:type="dxa"/>
            </w:tcMar>
            <w:vAlign w:val="bottom"/>
          </w:tcPr>
          <w:p>
            <w:pPr>
              <w:pStyle w:val="DMETW36753BIPCYS"/>
              <w:jc w:val="right"/>
              <w:rPr>
                <w:rFonts w:ascii="Verdana" w:eastAsia="Verdana" w:hAnsi="Verdana" w:cs="Verdana"/>
                <w:i/>
                <w:noProof/>
                <w:color w:val="000000"/>
                <w:sz w:val="16"/>
              </w:rPr>
            </w:pPr>
            <w:r>
              <w:rPr>
                <w:rFonts w:ascii="Verdana" w:hAnsi="Verdana"/>
                <w:i/>
                <w:noProof/>
                <w:color w:val="000000"/>
                <w:sz w:val="16"/>
              </w:rPr>
              <w:t>en Mio EUR</w:t>
            </w:r>
          </w:p>
        </w:tc>
      </w:tr>
      <w:tr>
        <w:trPr>
          <w:trHeight w:val="255"/>
        </w:trPr>
        <w:tc>
          <w:tcPr>
            <w:tcW w:w="4499"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753BIPCYS"/>
              <w:jc w:val="right"/>
              <w:rPr>
                <w:rFonts w:ascii="Verdana" w:eastAsia="Verdana" w:hAnsi="Verdana" w:cs="Verdana"/>
                <w:noProof/>
                <w:color w:val="FFFFFF"/>
              </w:rPr>
            </w:pPr>
            <w:r>
              <w:rPr>
                <w:rFonts w:ascii="Verdana" w:hAnsi="Verdana"/>
                <w:noProof/>
                <w:color w:val="FFFFFF"/>
              </w:rPr>
              <w:t>Augmentation du taux de change (+)/</w:t>
            </w:r>
          </w:p>
          <w:p>
            <w:pPr>
              <w:pStyle w:val="DMETW36753BIPCYS"/>
              <w:jc w:val="right"/>
              <w:rPr>
                <w:rFonts w:ascii="Verdana" w:eastAsia="Verdana" w:hAnsi="Verdana" w:cs="Verdana"/>
                <w:noProof/>
                <w:color w:val="FFFFFF"/>
              </w:rPr>
            </w:pPr>
            <w:r>
              <w:rPr>
                <w:rFonts w:ascii="Verdana" w:hAnsi="Verdana"/>
                <w:noProof/>
                <w:color w:val="FFFFFF"/>
              </w:rPr>
              <w:t>Diminution du taux de change (−)</w:t>
            </w:r>
          </w:p>
        </w:tc>
        <w:tc>
          <w:tcPr>
            <w:tcW w:w="1385" w:type="dxa"/>
            <w:gridSpan w:val="4"/>
            <w:tcBorders>
              <w:top w:val="nil"/>
              <w:left w:val="nil"/>
              <w:bottom w:val="nil"/>
              <w:right w:val="nil"/>
              <w:tl2br w:val="nil"/>
              <w:tr2bl w:val="nil"/>
            </w:tcBorders>
            <w:shd w:val="solid" w:color="016794" w:fill="FFFFFF"/>
            <w:tcMar>
              <w:left w:w="60" w:type="dxa"/>
              <w:right w:w="60" w:type="dxa"/>
            </w:tcMar>
            <w:vAlign w:val="center"/>
          </w:tcPr>
          <w:p>
            <w:pPr>
              <w:pStyle w:val="DMETW36753BIPCYS"/>
              <w:jc w:val="center"/>
              <w:rPr>
                <w:rFonts w:ascii="Verdana" w:eastAsia="Verdana" w:hAnsi="Verdana" w:cs="Verdana"/>
                <w:noProof/>
                <w:color w:val="FFFFFF"/>
              </w:rPr>
            </w:pPr>
            <w:r>
              <w:rPr>
                <w:rFonts w:ascii="Verdana" w:hAnsi="Verdana"/>
                <w:noProof/>
                <w:color w:val="FFFFFF"/>
              </w:rPr>
              <w:t>2025</w:t>
            </w:r>
          </w:p>
        </w:tc>
      </w:tr>
      <w:tr>
        <w:trPr>
          <w:trHeight w:val="255"/>
        </w:trPr>
        <w:tc>
          <w:tcPr>
            <w:tcW w:w="3930" w:type="dxa"/>
            <w:vMerge/>
            <w:tcBorders>
              <w:top w:val="nil"/>
              <w:left w:val="nil"/>
              <w:bottom w:val="nil"/>
              <w:right w:val="nil"/>
              <w:tl2br w:val="nil"/>
              <w:tr2bl w:val="nil"/>
            </w:tcBorders>
            <w:shd w:val="solid" w:color="016794" w:fill="FFFFFF"/>
            <w:tcMar>
              <w:left w:w="60" w:type="dxa"/>
              <w:right w:w="60" w:type="dxa"/>
            </w:tcMar>
            <w:vAlign w:val="center"/>
          </w:tcPr>
          <w:p>
            <w:pPr>
              <w:pStyle w:val="DMETW36753BIPCYS"/>
              <w:jc w:val="right"/>
              <w:rPr>
                <w:rFonts w:ascii="Verdana" w:eastAsia="Verdana" w:hAnsi="Verdana" w:cs="Verdana"/>
                <w:noProof/>
                <w:color w:val="FFFFFF"/>
              </w:rPr>
            </w:pPr>
          </w:p>
        </w:tc>
        <w:tc>
          <w:tcPr>
            <w:tcW w:w="1385" w:type="dxa"/>
            <w:tcBorders>
              <w:top w:val="nil"/>
              <w:left w:val="nil"/>
              <w:bottom w:val="nil"/>
              <w:right w:val="nil"/>
              <w:tl2br w:val="nil"/>
              <w:tr2bl w:val="nil"/>
            </w:tcBorders>
            <w:shd w:val="solid" w:color="016794" w:fill="FFFFFF"/>
            <w:tcMar>
              <w:left w:w="60" w:type="dxa"/>
              <w:right w:w="60" w:type="dxa"/>
            </w:tcMar>
            <w:vAlign w:val="center"/>
          </w:tcPr>
          <w:p>
            <w:pPr>
              <w:pStyle w:val="DMETW36753BIPCYS"/>
              <w:jc w:val="right"/>
              <w:rPr>
                <w:rFonts w:ascii="Verdana" w:eastAsia="Verdana" w:hAnsi="Verdana" w:cs="Verdana"/>
                <w:noProof/>
                <w:color w:val="FFFFFF"/>
              </w:rPr>
            </w:pPr>
            <w:r>
              <w:rPr>
                <w:rFonts w:ascii="Verdana" w:hAnsi="Verdana"/>
                <w:noProof/>
                <w:color w:val="FFFFFF"/>
              </w:rPr>
              <w:t>USD</w:t>
            </w:r>
          </w:p>
        </w:tc>
        <w:tc>
          <w:tcPr>
            <w:tcW w:w="1338" w:type="dxa"/>
            <w:tcBorders>
              <w:top w:val="nil"/>
              <w:left w:val="nil"/>
              <w:bottom w:val="nil"/>
              <w:right w:val="nil"/>
              <w:tl2br w:val="nil"/>
              <w:tr2bl w:val="nil"/>
            </w:tcBorders>
            <w:shd w:val="solid" w:color="016794" w:fill="FFFFFF"/>
            <w:tcMar>
              <w:left w:w="60" w:type="dxa"/>
              <w:right w:w="60" w:type="dxa"/>
            </w:tcMar>
            <w:vAlign w:val="center"/>
          </w:tcPr>
          <w:p>
            <w:pPr>
              <w:pStyle w:val="DMETW36753BIPCYS"/>
              <w:jc w:val="right"/>
              <w:rPr>
                <w:rFonts w:ascii="Verdana" w:eastAsia="Verdana" w:hAnsi="Verdana" w:cs="Verdana"/>
                <w:noProof/>
                <w:color w:val="FFFFFF"/>
              </w:rPr>
            </w:pPr>
            <w:r>
              <w:rPr>
                <w:rFonts w:ascii="Verdana" w:hAnsi="Verdana"/>
                <w:noProof/>
                <w:color w:val="FFFFFF"/>
              </w:rPr>
              <w:t>RON</w:t>
            </w:r>
          </w:p>
        </w:tc>
        <w:tc>
          <w:tcPr>
            <w:tcW w:w="1338" w:type="dxa"/>
            <w:tcBorders>
              <w:top w:val="nil"/>
              <w:left w:val="nil"/>
              <w:bottom w:val="nil"/>
              <w:right w:val="nil"/>
              <w:tl2br w:val="nil"/>
              <w:tr2bl w:val="nil"/>
            </w:tcBorders>
            <w:shd w:val="solid" w:color="016794" w:fill="FFFFFF"/>
            <w:tcMar>
              <w:left w:w="60" w:type="dxa"/>
              <w:right w:w="60" w:type="dxa"/>
            </w:tcMar>
            <w:vAlign w:val="center"/>
          </w:tcPr>
          <w:p>
            <w:pPr>
              <w:pStyle w:val="DMETW36753BIPCYS"/>
              <w:jc w:val="right"/>
              <w:rPr>
                <w:rFonts w:ascii="Verdana" w:eastAsia="Verdana" w:hAnsi="Verdana" w:cs="Verdana"/>
                <w:noProof/>
                <w:color w:val="FFFFFF"/>
              </w:rPr>
            </w:pPr>
            <w:r>
              <w:rPr>
                <w:rFonts w:ascii="Verdana" w:hAnsi="Verdana"/>
                <w:noProof/>
                <w:color w:val="FFFFFF"/>
              </w:rPr>
              <w:t>PLN</w:t>
            </w:r>
          </w:p>
        </w:tc>
        <w:tc>
          <w:tcPr>
            <w:tcW w:w="1198" w:type="dxa"/>
            <w:tcBorders>
              <w:top w:val="nil"/>
              <w:left w:val="nil"/>
              <w:bottom w:val="nil"/>
              <w:right w:val="nil"/>
              <w:tl2br w:val="nil"/>
              <w:tr2bl w:val="nil"/>
            </w:tcBorders>
            <w:shd w:val="solid" w:color="016794" w:fill="FFFFFF"/>
            <w:tcMar>
              <w:left w:w="60" w:type="dxa"/>
              <w:right w:w="60" w:type="dxa"/>
            </w:tcMar>
            <w:vAlign w:val="center"/>
          </w:tcPr>
          <w:p>
            <w:pPr>
              <w:pStyle w:val="DMETW36753BIPCYS"/>
              <w:jc w:val="right"/>
              <w:rPr>
                <w:rFonts w:ascii="Verdana" w:eastAsia="Verdana" w:hAnsi="Verdana" w:cs="Verdana"/>
                <w:noProof/>
                <w:color w:val="FFFFFF"/>
              </w:rPr>
            </w:pPr>
            <w:r>
              <w:rPr>
                <w:rFonts w:ascii="Verdana" w:hAnsi="Verdana"/>
                <w:noProof/>
                <w:color w:val="FFFFFF"/>
              </w:rPr>
              <w:t>SEK</w:t>
            </w:r>
          </w:p>
        </w:tc>
      </w:tr>
      <w:tr>
        <w:trPr>
          <w:trHeight w:val="255"/>
        </w:trPr>
        <w:tc>
          <w:tcPr>
            <w:tcW w:w="4499" w:type="dxa"/>
            <w:tcBorders>
              <w:top w:val="nil"/>
              <w:left w:val="nil"/>
              <w:bottom w:val="nil"/>
              <w:right w:val="nil"/>
              <w:tl2br w:val="nil"/>
              <w:tr2bl w:val="nil"/>
            </w:tcBorders>
            <w:tcMar>
              <w:left w:w="60" w:type="dxa"/>
              <w:right w:w="60" w:type="dxa"/>
            </w:tcMar>
            <w:vAlign w:val="center"/>
          </w:tcPr>
          <w:p>
            <w:pPr>
              <w:pStyle w:val="DMETW36753BIPCYS"/>
              <w:jc w:val="right"/>
              <w:rPr>
                <w:rFonts w:ascii="Verdana" w:eastAsia="Verdana" w:hAnsi="Verdana" w:cs="Verdana"/>
                <w:i/>
                <w:noProof/>
                <w:color w:val="000000"/>
                <w:sz w:val="18"/>
              </w:rPr>
            </w:pPr>
            <w:r>
              <w:rPr>
                <w:rFonts w:ascii="Verdana" w:hAnsi="Verdana"/>
                <w:i/>
                <w:noProof/>
                <w:color w:val="000000"/>
                <w:sz w:val="18"/>
              </w:rPr>
              <w:t>+10 %</w:t>
            </w:r>
          </w:p>
        </w:tc>
        <w:tc>
          <w:tcPr>
            <w:tcW w:w="1385" w:type="dxa"/>
            <w:tcBorders>
              <w:top w:val="nil"/>
              <w:left w:val="nil"/>
              <w:bottom w:val="nil"/>
              <w:right w:val="nil"/>
              <w:tl2br w:val="nil"/>
              <w:tr2bl w:val="nil"/>
            </w:tcBorders>
            <w:tcMar>
              <w:left w:w="60" w:type="dxa"/>
              <w:right w:w="60" w:type="dxa"/>
            </w:tcMar>
            <w:vAlign w:val="center"/>
          </w:tcPr>
          <w:p>
            <w:pPr>
              <w:pStyle w:val="DMETW36753BIPCYS"/>
              <w:jc w:val="right"/>
              <w:rPr>
                <w:rFonts w:ascii="Verdana" w:eastAsia="Verdana" w:hAnsi="Verdana" w:cs="Verdana"/>
                <w:i/>
                <w:noProof/>
                <w:color w:val="000000"/>
                <w:sz w:val="18"/>
              </w:rPr>
            </w:pPr>
            <w:r>
              <w:rPr>
                <w:rFonts w:ascii="Verdana" w:hAnsi="Verdana"/>
                <w:i/>
                <w:noProof/>
                <w:color w:val="000000"/>
                <w:sz w:val="18"/>
              </w:rPr>
              <w:t xml:space="preserve"> (34)</w:t>
            </w:r>
          </w:p>
        </w:tc>
        <w:tc>
          <w:tcPr>
            <w:tcW w:w="1338" w:type="dxa"/>
            <w:tcBorders>
              <w:top w:val="nil"/>
              <w:left w:val="nil"/>
              <w:bottom w:val="nil"/>
              <w:right w:val="nil"/>
              <w:tl2br w:val="nil"/>
              <w:tr2bl w:val="nil"/>
            </w:tcBorders>
            <w:tcMar>
              <w:left w:w="60" w:type="dxa"/>
              <w:right w:w="60" w:type="dxa"/>
            </w:tcMar>
            <w:vAlign w:val="center"/>
          </w:tcPr>
          <w:p>
            <w:pPr>
              <w:pStyle w:val="DMETW36753BIPCYS"/>
              <w:jc w:val="right"/>
              <w:rPr>
                <w:rFonts w:ascii="Verdana" w:eastAsia="Verdana" w:hAnsi="Verdana" w:cs="Verdana"/>
                <w:i/>
                <w:noProof/>
                <w:color w:val="000000"/>
                <w:sz w:val="18"/>
              </w:rPr>
            </w:pPr>
            <w:r>
              <w:rPr>
                <w:rFonts w:ascii="Verdana" w:hAnsi="Verdana"/>
                <w:i/>
                <w:noProof/>
                <w:color w:val="000000"/>
                <w:sz w:val="18"/>
              </w:rPr>
              <w:t xml:space="preserve"> (79)</w:t>
            </w:r>
          </w:p>
        </w:tc>
        <w:tc>
          <w:tcPr>
            <w:tcW w:w="1338" w:type="dxa"/>
            <w:tcBorders>
              <w:top w:val="nil"/>
              <w:left w:val="nil"/>
              <w:bottom w:val="nil"/>
              <w:right w:val="nil"/>
              <w:tl2br w:val="nil"/>
              <w:tr2bl w:val="nil"/>
            </w:tcBorders>
            <w:tcMar>
              <w:left w:w="60" w:type="dxa"/>
              <w:right w:w="60" w:type="dxa"/>
            </w:tcMar>
            <w:vAlign w:val="center"/>
          </w:tcPr>
          <w:p>
            <w:pPr>
              <w:pStyle w:val="DMETW36753BIPCYS"/>
              <w:jc w:val="right"/>
              <w:rPr>
                <w:rFonts w:ascii="Verdana" w:eastAsia="Verdana" w:hAnsi="Verdana" w:cs="Verdana"/>
                <w:i/>
                <w:noProof/>
                <w:color w:val="000000"/>
                <w:sz w:val="18"/>
              </w:rPr>
            </w:pPr>
            <w:r>
              <w:rPr>
                <w:rFonts w:ascii="Verdana" w:hAnsi="Verdana"/>
                <w:i/>
                <w:noProof/>
                <w:color w:val="000000"/>
                <w:sz w:val="18"/>
              </w:rPr>
              <w:t xml:space="preserve"> (147)</w:t>
            </w:r>
          </w:p>
        </w:tc>
        <w:tc>
          <w:tcPr>
            <w:tcW w:w="1198" w:type="dxa"/>
            <w:tcBorders>
              <w:top w:val="nil"/>
              <w:left w:val="nil"/>
              <w:bottom w:val="nil"/>
              <w:right w:val="nil"/>
              <w:tl2br w:val="nil"/>
              <w:tr2bl w:val="nil"/>
            </w:tcBorders>
            <w:tcMar>
              <w:left w:w="60" w:type="dxa"/>
              <w:right w:w="60" w:type="dxa"/>
            </w:tcMar>
            <w:vAlign w:val="center"/>
          </w:tcPr>
          <w:p>
            <w:pPr>
              <w:pStyle w:val="DMETW36753BIPCYS"/>
              <w:jc w:val="right"/>
              <w:rPr>
                <w:rFonts w:ascii="Verdana" w:eastAsia="Verdana" w:hAnsi="Verdana" w:cs="Verdana"/>
                <w:i/>
                <w:noProof/>
                <w:color w:val="000000"/>
                <w:sz w:val="18"/>
              </w:rPr>
            </w:pPr>
            <w:r>
              <w:rPr>
                <w:rFonts w:ascii="Verdana" w:hAnsi="Verdana"/>
                <w:i/>
                <w:noProof/>
                <w:color w:val="000000"/>
                <w:sz w:val="18"/>
              </w:rPr>
              <w:t xml:space="preserve"> (65)</w:t>
            </w:r>
          </w:p>
        </w:tc>
      </w:tr>
      <w:tr>
        <w:trPr>
          <w:trHeight w:val="255"/>
        </w:trPr>
        <w:tc>
          <w:tcPr>
            <w:tcW w:w="4499" w:type="dxa"/>
            <w:tcBorders>
              <w:top w:val="nil"/>
              <w:left w:val="nil"/>
              <w:bottom w:val="nil"/>
              <w:right w:val="nil"/>
              <w:tl2br w:val="nil"/>
              <w:tr2bl w:val="nil"/>
            </w:tcBorders>
            <w:tcMar>
              <w:left w:w="60" w:type="dxa"/>
              <w:right w:w="60" w:type="dxa"/>
            </w:tcMar>
            <w:vAlign w:val="center"/>
          </w:tcPr>
          <w:p>
            <w:pPr>
              <w:pStyle w:val="DMETW36753BIPCYS"/>
              <w:jc w:val="right"/>
              <w:rPr>
                <w:rFonts w:ascii="Verdana" w:eastAsia="Verdana" w:hAnsi="Verdana" w:cs="Verdana"/>
                <w:i/>
                <w:noProof/>
                <w:color w:val="000000"/>
                <w:sz w:val="18"/>
              </w:rPr>
            </w:pPr>
            <w:r>
              <w:rPr>
                <w:rFonts w:ascii="Verdana" w:hAnsi="Verdana"/>
                <w:i/>
                <w:noProof/>
                <w:color w:val="000000"/>
                <w:sz w:val="18"/>
              </w:rPr>
              <w:t>–10 %</w:t>
            </w:r>
          </w:p>
        </w:tc>
        <w:tc>
          <w:tcPr>
            <w:tcW w:w="1385" w:type="dxa"/>
            <w:tcBorders>
              <w:top w:val="nil"/>
              <w:left w:val="nil"/>
              <w:bottom w:val="nil"/>
              <w:right w:val="nil"/>
              <w:tl2br w:val="nil"/>
              <w:tr2bl w:val="nil"/>
            </w:tcBorders>
            <w:tcMar>
              <w:left w:w="60" w:type="dxa"/>
              <w:right w:w="60" w:type="dxa"/>
            </w:tcMar>
            <w:vAlign w:val="center"/>
          </w:tcPr>
          <w:p>
            <w:pPr>
              <w:pStyle w:val="DMETW36753BIPCYS"/>
              <w:jc w:val="right"/>
              <w:rPr>
                <w:rFonts w:ascii="Verdana" w:eastAsia="Verdana" w:hAnsi="Verdana" w:cs="Verdana"/>
                <w:i/>
                <w:noProof/>
                <w:color w:val="000000"/>
                <w:sz w:val="18"/>
              </w:rPr>
            </w:pPr>
            <w:r>
              <w:rPr>
                <w:rFonts w:ascii="Verdana" w:hAnsi="Verdana"/>
                <w:i/>
                <w:noProof/>
                <w:color w:val="000000"/>
                <w:sz w:val="18"/>
              </w:rPr>
              <w:t xml:space="preserve"> 41</w:t>
            </w:r>
          </w:p>
        </w:tc>
        <w:tc>
          <w:tcPr>
            <w:tcW w:w="1338" w:type="dxa"/>
            <w:tcBorders>
              <w:top w:val="nil"/>
              <w:left w:val="nil"/>
              <w:bottom w:val="nil"/>
              <w:right w:val="nil"/>
              <w:tl2br w:val="nil"/>
              <w:tr2bl w:val="nil"/>
            </w:tcBorders>
            <w:tcMar>
              <w:left w:w="60" w:type="dxa"/>
              <w:right w:w="60" w:type="dxa"/>
            </w:tcMar>
            <w:vAlign w:val="center"/>
          </w:tcPr>
          <w:p>
            <w:pPr>
              <w:pStyle w:val="DMETW36753BIPCYS"/>
              <w:jc w:val="right"/>
              <w:rPr>
                <w:rFonts w:ascii="Verdana" w:eastAsia="Verdana" w:hAnsi="Verdana" w:cs="Verdana"/>
                <w:i/>
                <w:noProof/>
                <w:color w:val="000000"/>
                <w:sz w:val="18"/>
              </w:rPr>
            </w:pPr>
            <w:r>
              <w:rPr>
                <w:rFonts w:ascii="Verdana" w:hAnsi="Verdana"/>
                <w:i/>
                <w:noProof/>
                <w:color w:val="000000"/>
                <w:sz w:val="18"/>
              </w:rPr>
              <w:t xml:space="preserve"> 96</w:t>
            </w:r>
          </w:p>
        </w:tc>
        <w:tc>
          <w:tcPr>
            <w:tcW w:w="1338" w:type="dxa"/>
            <w:tcBorders>
              <w:top w:val="nil"/>
              <w:left w:val="nil"/>
              <w:bottom w:val="nil"/>
              <w:right w:val="nil"/>
              <w:tl2br w:val="nil"/>
              <w:tr2bl w:val="nil"/>
            </w:tcBorders>
            <w:tcMar>
              <w:left w:w="60" w:type="dxa"/>
              <w:right w:w="60" w:type="dxa"/>
            </w:tcMar>
            <w:vAlign w:val="center"/>
          </w:tcPr>
          <w:p>
            <w:pPr>
              <w:pStyle w:val="DMETW36753BIPCYS"/>
              <w:jc w:val="right"/>
              <w:rPr>
                <w:rFonts w:ascii="Verdana" w:eastAsia="Verdana" w:hAnsi="Verdana" w:cs="Verdana"/>
                <w:i/>
                <w:noProof/>
                <w:color w:val="000000"/>
                <w:sz w:val="18"/>
              </w:rPr>
            </w:pPr>
            <w:r>
              <w:rPr>
                <w:rFonts w:ascii="Verdana" w:hAnsi="Verdana"/>
                <w:i/>
                <w:noProof/>
                <w:color w:val="000000"/>
                <w:sz w:val="18"/>
              </w:rPr>
              <w:t xml:space="preserve"> 180</w:t>
            </w:r>
          </w:p>
        </w:tc>
        <w:tc>
          <w:tcPr>
            <w:tcW w:w="1198" w:type="dxa"/>
            <w:tcBorders>
              <w:top w:val="nil"/>
              <w:left w:val="nil"/>
              <w:bottom w:val="nil"/>
              <w:right w:val="nil"/>
              <w:tl2br w:val="nil"/>
              <w:tr2bl w:val="nil"/>
            </w:tcBorders>
            <w:tcMar>
              <w:left w:w="60" w:type="dxa"/>
              <w:right w:w="60" w:type="dxa"/>
            </w:tcMar>
            <w:vAlign w:val="center"/>
          </w:tcPr>
          <w:p>
            <w:pPr>
              <w:pStyle w:val="DMETW36753BIPCYS"/>
              <w:jc w:val="right"/>
              <w:rPr>
                <w:rFonts w:ascii="Verdana" w:eastAsia="Verdana" w:hAnsi="Verdana" w:cs="Verdana"/>
                <w:i/>
                <w:noProof/>
                <w:color w:val="000000"/>
                <w:sz w:val="18"/>
              </w:rPr>
            </w:pPr>
            <w:r>
              <w:rPr>
                <w:rFonts w:ascii="Verdana" w:hAnsi="Verdana"/>
                <w:i/>
                <w:noProof/>
                <w:color w:val="000000"/>
                <w:sz w:val="18"/>
              </w:rPr>
              <w:t xml:space="preserve"> 79</w:t>
            </w:r>
          </w:p>
        </w:tc>
      </w:tr>
    </w:tbl>
    <w:p>
      <w:pPr>
        <w:pStyle w:val="Textstand-alone"/>
        <w:spacing w:before="60" w:after="60"/>
        <w:rPr>
          <w:sz w:val="12"/>
          <w:szCs w:val="12"/>
        </w:rPr>
      </w:pP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99"/>
        <w:gridCol w:w="1385"/>
        <w:gridCol w:w="1338"/>
        <w:gridCol w:w="1338"/>
        <w:gridCol w:w="1198"/>
      </w:tblGrid>
      <w:tr>
        <w:trPr>
          <w:trHeight w:val="255"/>
        </w:trPr>
        <w:tc>
          <w:tcPr>
            <w:tcW w:w="4499" w:type="dxa"/>
            <w:tcBorders>
              <w:top w:val="nil"/>
              <w:left w:val="nil"/>
              <w:bottom w:val="nil"/>
              <w:right w:val="nil"/>
              <w:tl2br w:val="nil"/>
              <w:tr2bl w:val="nil"/>
            </w:tcBorders>
            <w:tcMar>
              <w:left w:w="60" w:type="dxa"/>
              <w:right w:w="60" w:type="dxa"/>
            </w:tcMar>
            <w:vAlign w:val="bottom"/>
          </w:tcPr>
          <w:p>
            <w:pPr>
              <w:pStyle w:val="DMETW36753BIPPYS"/>
              <w:rPr>
                <w:rFonts w:ascii="Arial" w:eastAsia="Arial" w:hAnsi="Arial" w:cs="Arial"/>
                <w:noProof/>
                <w:color w:val="000000"/>
              </w:rPr>
            </w:pPr>
            <w:bookmarkStart w:id="223" w:name="DOC_TBL00091_1_1"/>
            <w:bookmarkEnd w:id="223"/>
          </w:p>
        </w:tc>
        <w:tc>
          <w:tcPr>
            <w:tcW w:w="1385" w:type="dxa"/>
            <w:tcBorders>
              <w:top w:val="nil"/>
              <w:left w:val="nil"/>
              <w:bottom w:val="nil"/>
              <w:right w:val="nil"/>
              <w:tl2br w:val="nil"/>
              <w:tr2bl w:val="nil"/>
            </w:tcBorders>
            <w:tcMar>
              <w:left w:w="60" w:type="dxa"/>
              <w:right w:w="60" w:type="dxa"/>
            </w:tcMar>
            <w:vAlign w:val="bottom"/>
          </w:tcPr>
          <w:p>
            <w:pPr>
              <w:pStyle w:val="DMETW36753BIPPYS"/>
              <w:rPr>
                <w:rFonts w:ascii="Arial" w:eastAsia="Arial" w:hAnsi="Arial" w:cs="Arial"/>
                <w:noProof/>
                <w:color w:val="000000"/>
              </w:rPr>
            </w:pPr>
          </w:p>
        </w:tc>
        <w:tc>
          <w:tcPr>
            <w:tcW w:w="1338" w:type="dxa"/>
            <w:tcBorders>
              <w:top w:val="nil"/>
              <w:left w:val="nil"/>
              <w:bottom w:val="nil"/>
              <w:right w:val="nil"/>
              <w:tl2br w:val="nil"/>
              <w:tr2bl w:val="nil"/>
            </w:tcBorders>
            <w:tcMar>
              <w:left w:w="60" w:type="dxa"/>
              <w:right w:w="60" w:type="dxa"/>
            </w:tcMar>
            <w:vAlign w:val="bottom"/>
          </w:tcPr>
          <w:p>
            <w:pPr>
              <w:pStyle w:val="DMETW36753BIPPYS"/>
              <w:rPr>
                <w:rFonts w:ascii="Arial" w:eastAsia="Arial" w:hAnsi="Arial" w:cs="Arial"/>
                <w:noProof/>
                <w:color w:val="000000"/>
              </w:rPr>
            </w:pPr>
          </w:p>
        </w:tc>
        <w:tc>
          <w:tcPr>
            <w:tcW w:w="1338" w:type="dxa"/>
            <w:tcBorders>
              <w:top w:val="nil"/>
              <w:left w:val="nil"/>
              <w:bottom w:val="nil"/>
              <w:right w:val="nil"/>
              <w:tl2br w:val="nil"/>
              <w:tr2bl w:val="nil"/>
            </w:tcBorders>
            <w:tcMar>
              <w:left w:w="60" w:type="dxa"/>
              <w:right w:w="60" w:type="dxa"/>
            </w:tcMar>
            <w:vAlign w:val="bottom"/>
          </w:tcPr>
          <w:p>
            <w:pPr>
              <w:pStyle w:val="DMETW36753BIPPYS"/>
              <w:rPr>
                <w:rFonts w:ascii="Arial" w:eastAsia="Arial" w:hAnsi="Arial" w:cs="Arial"/>
                <w:noProof/>
                <w:color w:val="000000"/>
              </w:rPr>
            </w:pPr>
          </w:p>
        </w:tc>
        <w:tc>
          <w:tcPr>
            <w:tcW w:w="1198" w:type="dxa"/>
            <w:tcBorders>
              <w:top w:val="nil"/>
              <w:left w:val="nil"/>
              <w:bottom w:val="nil"/>
              <w:right w:val="nil"/>
              <w:tl2br w:val="nil"/>
              <w:tr2bl w:val="nil"/>
            </w:tcBorders>
            <w:tcMar>
              <w:left w:w="60" w:type="dxa"/>
              <w:right w:w="60" w:type="dxa"/>
            </w:tcMar>
            <w:vAlign w:val="bottom"/>
          </w:tcPr>
          <w:p>
            <w:pPr>
              <w:pStyle w:val="DMETW36753BIPPYS"/>
              <w:jc w:val="right"/>
              <w:rPr>
                <w:rFonts w:ascii="Verdana" w:eastAsia="Verdana" w:hAnsi="Verdana" w:cs="Verdana"/>
                <w:i/>
                <w:noProof/>
                <w:color w:val="000000"/>
                <w:sz w:val="16"/>
              </w:rPr>
            </w:pPr>
            <w:r>
              <w:rPr>
                <w:rFonts w:ascii="Verdana" w:hAnsi="Verdana"/>
                <w:i/>
                <w:noProof/>
                <w:color w:val="000000"/>
                <w:sz w:val="16"/>
              </w:rPr>
              <w:t>en Mio EUR</w:t>
            </w:r>
          </w:p>
        </w:tc>
      </w:tr>
      <w:tr>
        <w:trPr>
          <w:trHeight w:val="255"/>
        </w:trPr>
        <w:tc>
          <w:tcPr>
            <w:tcW w:w="4499"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753BIPPYS"/>
              <w:jc w:val="right"/>
              <w:rPr>
                <w:rFonts w:ascii="Verdana" w:eastAsia="Verdana" w:hAnsi="Verdana" w:cs="Verdana"/>
                <w:noProof/>
                <w:color w:val="FFFFFF"/>
              </w:rPr>
            </w:pPr>
            <w:r>
              <w:rPr>
                <w:rFonts w:ascii="Verdana" w:hAnsi="Verdana"/>
                <w:noProof/>
                <w:color w:val="FFFFFF"/>
              </w:rPr>
              <w:t>Augmentation du taux de change (+)/</w:t>
            </w:r>
          </w:p>
          <w:p>
            <w:pPr>
              <w:pStyle w:val="DMETW36753BIPPYS"/>
              <w:jc w:val="right"/>
              <w:rPr>
                <w:rFonts w:ascii="Verdana" w:eastAsia="Verdana" w:hAnsi="Verdana" w:cs="Verdana"/>
                <w:noProof/>
                <w:color w:val="FFFFFF"/>
              </w:rPr>
            </w:pPr>
            <w:r>
              <w:rPr>
                <w:rFonts w:ascii="Verdana" w:hAnsi="Verdana"/>
                <w:noProof/>
                <w:color w:val="FFFFFF"/>
              </w:rPr>
              <w:t>Diminution du taux de change (−)</w:t>
            </w:r>
          </w:p>
        </w:tc>
        <w:tc>
          <w:tcPr>
            <w:tcW w:w="1385" w:type="dxa"/>
            <w:gridSpan w:val="4"/>
            <w:tcBorders>
              <w:top w:val="nil"/>
              <w:left w:val="nil"/>
              <w:bottom w:val="nil"/>
              <w:right w:val="nil"/>
              <w:tl2br w:val="nil"/>
              <w:tr2bl w:val="nil"/>
            </w:tcBorders>
            <w:shd w:val="solid" w:color="016794" w:fill="FFFFFF"/>
            <w:tcMar>
              <w:left w:w="60" w:type="dxa"/>
              <w:right w:w="60" w:type="dxa"/>
            </w:tcMar>
            <w:vAlign w:val="center"/>
          </w:tcPr>
          <w:p>
            <w:pPr>
              <w:pStyle w:val="DMETW36753BIPPYS"/>
              <w:jc w:val="center"/>
              <w:rPr>
                <w:rFonts w:ascii="Verdana" w:eastAsia="Verdana" w:hAnsi="Verdana" w:cs="Verdana"/>
                <w:noProof/>
                <w:color w:val="FFFFFF"/>
              </w:rPr>
            </w:pPr>
            <w:r>
              <w:rPr>
                <w:rFonts w:ascii="Verdana" w:hAnsi="Verdana"/>
                <w:noProof/>
                <w:color w:val="FFFFFF"/>
              </w:rPr>
              <w:t>2024</w:t>
            </w:r>
          </w:p>
        </w:tc>
      </w:tr>
      <w:tr>
        <w:trPr>
          <w:trHeight w:val="255"/>
        </w:trPr>
        <w:tc>
          <w:tcPr>
            <w:tcW w:w="3930" w:type="dxa"/>
            <w:vMerge/>
            <w:tcBorders>
              <w:top w:val="nil"/>
              <w:left w:val="nil"/>
              <w:bottom w:val="nil"/>
              <w:right w:val="nil"/>
              <w:tl2br w:val="nil"/>
              <w:tr2bl w:val="nil"/>
            </w:tcBorders>
            <w:shd w:val="solid" w:color="016794" w:fill="FFFFFF"/>
            <w:tcMar>
              <w:left w:w="60" w:type="dxa"/>
              <w:right w:w="60" w:type="dxa"/>
            </w:tcMar>
            <w:vAlign w:val="center"/>
          </w:tcPr>
          <w:p>
            <w:pPr>
              <w:pStyle w:val="DMETW36753BIPPYS"/>
              <w:jc w:val="right"/>
              <w:rPr>
                <w:rFonts w:ascii="Verdana" w:eastAsia="Verdana" w:hAnsi="Verdana" w:cs="Verdana"/>
                <w:noProof/>
                <w:color w:val="FFFFFF"/>
              </w:rPr>
            </w:pPr>
          </w:p>
        </w:tc>
        <w:tc>
          <w:tcPr>
            <w:tcW w:w="1385" w:type="dxa"/>
            <w:tcBorders>
              <w:top w:val="nil"/>
              <w:left w:val="nil"/>
              <w:bottom w:val="nil"/>
              <w:right w:val="nil"/>
              <w:tl2br w:val="nil"/>
              <w:tr2bl w:val="nil"/>
            </w:tcBorders>
            <w:shd w:val="solid" w:color="016794" w:fill="FFFFFF"/>
            <w:tcMar>
              <w:left w:w="60" w:type="dxa"/>
              <w:right w:w="60" w:type="dxa"/>
            </w:tcMar>
            <w:vAlign w:val="center"/>
          </w:tcPr>
          <w:p>
            <w:pPr>
              <w:pStyle w:val="DMETW36753BIPPYS"/>
              <w:jc w:val="right"/>
              <w:rPr>
                <w:rFonts w:ascii="Verdana" w:eastAsia="Verdana" w:hAnsi="Verdana" w:cs="Verdana"/>
                <w:noProof/>
                <w:color w:val="FFFFFF"/>
              </w:rPr>
            </w:pPr>
            <w:r>
              <w:rPr>
                <w:rFonts w:ascii="Verdana" w:hAnsi="Verdana"/>
                <w:noProof/>
                <w:color w:val="FFFFFF"/>
              </w:rPr>
              <w:t>USD</w:t>
            </w:r>
          </w:p>
        </w:tc>
        <w:tc>
          <w:tcPr>
            <w:tcW w:w="1338" w:type="dxa"/>
            <w:tcBorders>
              <w:top w:val="nil"/>
              <w:left w:val="nil"/>
              <w:bottom w:val="nil"/>
              <w:right w:val="nil"/>
              <w:tl2br w:val="nil"/>
              <w:tr2bl w:val="nil"/>
            </w:tcBorders>
            <w:shd w:val="solid" w:color="016794" w:fill="FFFFFF"/>
            <w:tcMar>
              <w:left w:w="60" w:type="dxa"/>
              <w:right w:w="60" w:type="dxa"/>
            </w:tcMar>
            <w:vAlign w:val="center"/>
          </w:tcPr>
          <w:p>
            <w:pPr>
              <w:pStyle w:val="DMETW36753BIPPYS"/>
              <w:jc w:val="right"/>
              <w:rPr>
                <w:rFonts w:ascii="Verdana" w:eastAsia="Verdana" w:hAnsi="Verdana" w:cs="Verdana"/>
                <w:noProof/>
                <w:color w:val="FFFFFF"/>
              </w:rPr>
            </w:pPr>
            <w:r>
              <w:rPr>
                <w:rFonts w:ascii="Verdana" w:hAnsi="Verdana"/>
                <w:noProof/>
                <w:color w:val="FFFFFF"/>
              </w:rPr>
              <w:t>RON</w:t>
            </w:r>
          </w:p>
        </w:tc>
        <w:tc>
          <w:tcPr>
            <w:tcW w:w="1338" w:type="dxa"/>
            <w:tcBorders>
              <w:top w:val="nil"/>
              <w:left w:val="nil"/>
              <w:bottom w:val="nil"/>
              <w:right w:val="nil"/>
              <w:tl2br w:val="nil"/>
              <w:tr2bl w:val="nil"/>
            </w:tcBorders>
            <w:shd w:val="solid" w:color="016794" w:fill="FFFFFF"/>
            <w:tcMar>
              <w:left w:w="60" w:type="dxa"/>
              <w:right w:w="60" w:type="dxa"/>
            </w:tcMar>
            <w:vAlign w:val="center"/>
          </w:tcPr>
          <w:p>
            <w:pPr>
              <w:pStyle w:val="DMETW36753BIPPYS"/>
              <w:jc w:val="right"/>
              <w:rPr>
                <w:rFonts w:ascii="Verdana" w:eastAsia="Verdana" w:hAnsi="Verdana" w:cs="Verdana"/>
                <w:noProof/>
                <w:color w:val="FFFFFF"/>
              </w:rPr>
            </w:pPr>
            <w:r>
              <w:rPr>
                <w:rFonts w:ascii="Verdana" w:hAnsi="Verdana"/>
                <w:noProof/>
                <w:color w:val="FFFFFF"/>
              </w:rPr>
              <w:t>PLN</w:t>
            </w:r>
          </w:p>
        </w:tc>
        <w:tc>
          <w:tcPr>
            <w:tcW w:w="1198" w:type="dxa"/>
            <w:tcBorders>
              <w:top w:val="nil"/>
              <w:left w:val="nil"/>
              <w:bottom w:val="nil"/>
              <w:right w:val="nil"/>
              <w:tl2br w:val="nil"/>
              <w:tr2bl w:val="nil"/>
            </w:tcBorders>
            <w:shd w:val="solid" w:color="016794" w:fill="FFFFFF"/>
            <w:tcMar>
              <w:left w:w="60" w:type="dxa"/>
              <w:right w:w="60" w:type="dxa"/>
            </w:tcMar>
            <w:vAlign w:val="center"/>
          </w:tcPr>
          <w:p>
            <w:pPr>
              <w:pStyle w:val="DMETW36753BIPPYS"/>
              <w:jc w:val="right"/>
              <w:rPr>
                <w:rFonts w:ascii="Verdana" w:eastAsia="Verdana" w:hAnsi="Verdana" w:cs="Verdana"/>
                <w:noProof/>
                <w:color w:val="FFFFFF"/>
              </w:rPr>
            </w:pPr>
            <w:r>
              <w:rPr>
                <w:rFonts w:ascii="Verdana" w:hAnsi="Verdana"/>
                <w:noProof/>
                <w:color w:val="FFFFFF"/>
              </w:rPr>
              <w:t>SEK</w:t>
            </w:r>
          </w:p>
        </w:tc>
      </w:tr>
      <w:tr>
        <w:trPr>
          <w:trHeight w:val="255"/>
        </w:trPr>
        <w:tc>
          <w:tcPr>
            <w:tcW w:w="4499" w:type="dxa"/>
            <w:tcBorders>
              <w:top w:val="nil"/>
              <w:left w:val="nil"/>
              <w:bottom w:val="nil"/>
              <w:right w:val="nil"/>
              <w:tl2br w:val="nil"/>
              <w:tr2bl w:val="nil"/>
            </w:tcBorders>
            <w:tcMar>
              <w:left w:w="60" w:type="dxa"/>
              <w:right w:w="60" w:type="dxa"/>
            </w:tcMar>
            <w:vAlign w:val="center"/>
          </w:tcPr>
          <w:p>
            <w:pPr>
              <w:pStyle w:val="DMETW36753BIPPYS"/>
              <w:jc w:val="right"/>
              <w:rPr>
                <w:rFonts w:ascii="Verdana" w:eastAsia="Verdana" w:hAnsi="Verdana" w:cs="Verdana"/>
                <w:i/>
                <w:noProof/>
                <w:color w:val="000000"/>
                <w:sz w:val="18"/>
              </w:rPr>
            </w:pPr>
            <w:r>
              <w:rPr>
                <w:rFonts w:ascii="Verdana" w:hAnsi="Verdana"/>
                <w:i/>
                <w:noProof/>
                <w:color w:val="000000"/>
                <w:sz w:val="18"/>
              </w:rPr>
              <w:t>+10 %</w:t>
            </w:r>
          </w:p>
        </w:tc>
        <w:tc>
          <w:tcPr>
            <w:tcW w:w="1385" w:type="dxa"/>
            <w:tcBorders>
              <w:top w:val="nil"/>
              <w:left w:val="nil"/>
              <w:bottom w:val="nil"/>
              <w:right w:val="nil"/>
              <w:tl2br w:val="nil"/>
              <w:tr2bl w:val="nil"/>
            </w:tcBorders>
            <w:tcMar>
              <w:left w:w="60" w:type="dxa"/>
              <w:right w:w="60" w:type="dxa"/>
            </w:tcMar>
            <w:vAlign w:val="center"/>
          </w:tcPr>
          <w:p>
            <w:pPr>
              <w:pStyle w:val="DMETW36753BIPPYS"/>
              <w:jc w:val="right"/>
              <w:rPr>
                <w:rFonts w:ascii="Verdana" w:eastAsia="Verdana" w:hAnsi="Verdana" w:cs="Verdana"/>
                <w:i/>
                <w:noProof/>
                <w:color w:val="000000"/>
                <w:sz w:val="18"/>
              </w:rPr>
            </w:pPr>
            <w:r>
              <w:rPr>
                <w:rFonts w:ascii="Verdana" w:hAnsi="Verdana"/>
                <w:i/>
                <w:noProof/>
                <w:color w:val="000000"/>
                <w:sz w:val="18"/>
              </w:rPr>
              <w:t xml:space="preserve"> (13)</w:t>
            </w:r>
          </w:p>
        </w:tc>
        <w:tc>
          <w:tcPr>
            <w:tcW w:w="1338" w:type="dxa"/>
            <w:tcBorders>
              <w:top w:val="nil"/>
              <w:left w:val="nil"/>
              <w:bottom w:val="nil"/>
              <w:right w:val="nil"/>
              <w:tl2br w:val="nil"/>
              <w:tr2bl w:val="nil"/>
            </w:tcBorders>
            <w:tcMar>
              <w:left w:w="60" w:type="dxa"/>
              <w:right w:w="60" w:type="dxa"/>
            </w:tcMar>
            <w:vAlign w:val="center"/>
          </w:tcPr>
          <w:p>
            <w:pPr>
              <w:pStyle w:val="DMETW36753BIPPYS"/>
              <w:jc w:val="right"/>
              <w:rPr>
                <w:rFonts w:ascii="Verdana" w:eastAsia="Verdana" w:hAnsi="Verdana" w:cs="Verdana"/>
                <w:i/>
                <w:noProof/>
                <w:color w:val="000000"/>
                <w:sz w:val="18"/>
              </w:rPr>
            </w:pPr>
            <w:r>
              <w:rPr>
                <w:rFonts w:ascii="Verdana" w:hAnsi="Verdana"/>
                <w:i/>
                <w:noProof/>
                <w:color w:val="000000"/>
                <w:sz w:val="18"/>
              </w:rPr>
              <w:t xml:space="preserve"> (47)</w:t>
            </w:r>
          </w:p>
        </w:tc>
        <w:tc>
          <w:tcPr>
            <w:tcW w:w="1338" w:type="dxa"/>
            <w:tcBorders>
              <w:top w:val="nil"/>
              <w:left w:val="nil"/>
              <w:bottom w:val="nil"/>
              <w:right w:val="nil"/>
              <w:tl2br w:val="nil"/>
              <w:tr2bl w:val="nil"/>
            </w:tcBorders>
            <w:tcMar>
              <w:left w:w="60" w:type="dxa"/>
              <w:right w:w="60" w:type="dxa"/>
            </w:tcMar>
            <w:vAlign w:val="center"/>
          </w:tcPr>
          <w:p>
            <w:pPr>
              <w:pStyle w:val="DMETW36753BIPPYS"/>
              <w:jc w:val="right"/>
              <w:rPr>
                <w:rFonts w:ascii="Verdana" w:eastAsia="Verdana" w:hAnsi="Verdana" w:cs="Verdana"/>
                <w:i/>
                <w:noProof/>
                <w:color w:val="000000"/>
                <w:sz w:val="18"/>
              </w:rPr>
            </w:pPr>
            <w:r>
              <w:rPr>
                <w:rFonts w:ascii="Verdana" w:hAnsi="Verdana"/>
                <w:i/>
                <w:noProof/>
                <w:color w:val="000000"/>
                <w:sz w:val="18"/>
              </w:rPr>
              <w:t xml:space="preserve"> (55)</w:t>
            </w:r>
          </w:p>
        </w:tc>
        <w:tc>
          <w:tcPr>
            <w:tcW w:w="1198" w:type="dxa"/>
            <w:tcBorders>
              <w:top w:val="nil"/>
              <w:left w:val="nil"/>
              <w:bottom w:val="nil"/>
              <w:right w:val="nil"/>
              <w:tl2br w:val="nil"/>
              <w:tr2bl w:val="nil"/>
            </w:tcBorders>
            <w:tcMar>
              <w:left w:w="60" w:type="dxa"/>
              <w:right w:w="60" w:type="dxa"/>
            </w:tcMar>
            <w:vAlign w:val="center"/>
          </w:tcPr>
          <w:p>
            <w:pPr>
              <w:pStyle w:val="DMETW36753BIPPYS"/>
              <w:jc w:val="right"/>
              <w:rPr>
                <w:rFonts w:ascii="Verdana" w:eastAsia="Verdana" w:hAnsi="Verdana" w:cs="Verdana"/>
                <w:i/>
                <w:noProof/>
                <w:color w:val="000000"/>
                <w:sz w:val="18"/>
              </w:rPr>
            </w:pPr>
            <w:r>
              <w:rPr>
                <w:rFonts w:ascii="Verdana" w:hAnsi="Verdana"/>
                <w:i/>
                <w:noProof/>
                <w:color w:val="000000"/>
                <w:sz w:val="18"/>
              </w:rPr>
              <w:t xml:space="preserve"> (38)</w:t>
            </w:r>
          </w:p>
        </w:tc>
      </w:tr>
      <w:tr>
        <w:trPr>
          <w:trHeight w:val="255"/>
        </w:trPr>
        <w:tc>
          <w:tcPr>
            <w:tcW w:w="4499" w:type="dxa"/>
            <w:tcBorders>
              <w:top w:val="nil"/>
              <w:left w:val="nil"/>
              <w:bottom w:val="nil"/>
              <w:right w:val="nil"/>
              <w:tl2br w:val="nil"/>
              <w:tr2bl w:val="nil"/>
            </w:tcBorders>
            <w:tcMar>
              <w:left w:w="60" w:type="dxa"/>
              <w:right w:w="60" w:type="dxa"/>
            </w:tcMar>
            <w:vAlign w:val="center"/>
          </w:tcPr>
          <w:p>
            <w:pPr>
              <w:pStyle w:val="DMETW36753BIPPYS"/>
              <w:jc w:val="right"/>
              <w:rPr>
                <w:rFonts w:ascii="Verdana" w:eastAsia="Verdana" w:hAnsi="Verdana" w:cs="Verdana"/>
                <w:i/>
                <w:noProof/>
                <w:color w:val="000000"/>
                <w:sz w:val="18"/>
              </w:rPr>
            </w:pPr>
            <w:r>
              <w:rPr>
                <w:rFonts w:ascii="Verdana" w:hAnsi="Verdana"/>
                <w:i/>
                <w:noProof/>
                <w:color w:val="000000"/>
                <w:sz w:val="18"/>
              </w:rPr>
              <w:lastRenderedPageBreak/>
              <w:t>-10 %</w:t>
            </w:r>
          </w:p>
        </w:tc>
        <w:tc>
          <w:tcPr>
            <w:tcW w:w="1385" w:type="dxa"/>
            <w:tcBorders>
              <w:top w:val="nil"/>
              <w:left w:val="nil"/>
              <w:bottom w:val="nil"/>
              <w:right w:val="nil"/>
              <w:tl2br w:val="nil"/>
              <w:tr2bl w:val="nil"/>
            </w:tcBorders>
            <w:tcMar>
              <w:left w:w="60" w:type="dxa"/>
              <w:right w:w="60" w:type="dxa"/>
            </w:tcMar>
            <w:vAlign w:val="center"/>
          </w:tcPr>
          <w:p>
            <w:pPr>
              <w:pStyle w:val="DMETW36753BIPPYS"/>
              <w:jc w:val="right"/>
              <w:rPr>
                <w:rFonts w:ascii="Verdana" w:eastAsia="Verdana" w:hAnsi="Verdana" w:cs="Verdana"/>
                <w:i/>
                <w:noProof/>
                <w:color w:val="000000"/>
                <w:sz w:val="18"/>
              </w:rPr>
            </w:pPr>
            <w:r>
              <w:rPr>
                <w:rFonts w:ascii="Verdana" w:hAnsi="Verdana"/>
                <w:i/>
                <w:noProof/>
                <w:color w:val="000000"/>
                <w:sz w:val="18"/>
              </w:rPr>
              <w:t xml:space="preserve"> 16</w:t>
            </w:r>
          </w:p>
        </w:tc>
        <w:tc>
          <w:tcPr>
            <w:tcW w:w="1338" w:type="dxa"/>
            <w:tcBorders>
              <w:top w:val="nil"/>
              <w:left w:val="nil"/>
              <w:bottom w:val="nil"/>
              <w:right w:val="nil"/>
              <w:tl2br w:val="nil"/>
              <w:tr2bl w:val="nil"/>
            </w:tcBorders>
            <w:tcMar>
              <w:left w:w="60" w:type="dxa"/>
              <w:right w:w="60" w:type="dxa"/>
            </w:tcMar>
            <w:vAlign w:val="center"/>
          </w:tcPr>
          <w:p>
            <w:pPr>
              <w:pStyle w:val="DMETW36753BIPPYS"/>
              <w:jc w:val="right"/>
              <w:rPr>
                <w:rFonts w:ascii="Verdana" w:eastAsia="Verdana" w:hAnsi="Verdana" w:cs="Verdana"/>
                <w:i/>
                <w:noProof/>
                <w:color w:val="000000"/>
                <w:sz w:val="18"/>
              </w:rPr>
            </w:pPr>
            <w:r>
              <w:rPr>
                <w:rFonts w:ascii="Verdana" w:hAnsi="Verdana"/>
                <w:i/>
                <w:noProof/>
                <w:color w:val="000000"/>
                <w:sz w:val="18"/>
              </w:rPr>
              <w:t xml:space="preserve"> 57</w:t>
            </w:r>
          </w:p>
        </w:tc>
        <w:tc>
          <w:tcPr>
            <w:tcW w:w="1338" w:type="dxa"/>
            <w:tcBorders>
              <w:top w:val="nil"/>
              <w:left w:val="nil"/>
              <w:bottom w:val="nil"/>
              <w:right w:val="nil"/>
              <w:tl2br w:val="nil"/>
              <w:tr2bl w:val="nil"/>
            </w:tcBorders>
            <w:tcMar>
              <w:left w:w="60" w:type="dxa"/>
              <w:right w:w="60" w:type="dxa"/>
            </w:tcMar>
            <w:vAlign w:val="center"/>
          </w:tcPr>
          <w:p>
            <w:pPr>
              <w:pStyle w:val="DMETW36753BIPPYS"/>
              <w:jc w:val="right"/>
              <w:rPr>
                <w:rFonts w:ascii="Verdana" w:eastAsia="Verdana" w:hAnsi="Verdana" w:cs="Verdana"/>
                <w:i/>
                <w:noProof/>
                <w:color w:val="000000"/>
                <w:sz w:val="18"/>
              </w:rPr>
            </w:pPr>
            <w:r>
              <w:rPr>
                <w:rFonts w:ascii="Verdana" w:hAnsi="Verdana"/>
                <w:i/>
                <w:noProof/>
                <w:color w:val="000000"/>
                <w:sz w:val="18"/>
              </w:rPr>
              <w:t xml:space="preserve"> 67</w:t>
            </w:r>
          </w:p>
        </w:tc>
        <w:tc>
          <w:tcPr>
            <w:tcW w:w="1198" w:type="dxa"/>
            <w:tcBorders>
              <w:top w:val="nil"/>
              <w:left w:val="nil"/>
              <w:bottom w:val="nil"/>
              <w:right w:val="nil"/>
              <w:tl2br w:val="nil"/>
              <w:tr2bl w:val="nil"/>
            </w:tcBorders>
            <w:tcMar>
              <w:left w:w="60" w:type="dxa"/>
              <w:right w:w="60" w:type="dxa"/>
            </w:tcMar>
            <w:vAlign w:val="center"/>
          </w:tcPr>
          <w:p>
            <w:pPr>
              <w:pStyle w:val="DMETW36753BIPPYS"/>
              <w:jc w:val="right"/>
              <w:rPr>
                <w:rFonts w:ascii="Verdana" w:eastAsia="Verdana" w:hAnsi="Verdana" w:cs="Verdana"/>
                <w:i/>
                <w:noProof/>
                <w:color w:val="000000"/>
                <w:sz w:val="18"/>
              </w:rPr>
            </w:pPr>
            <w:r>
              <w:rPr>
                <w:rFonts w:ascii="Verdana" w:hAnsi="Verdana"/>
                <w:i/>
                <w:noProof/>
                <w:color w:val="000000"/>
                <w:sz w:val="18"/>
              </w:rPr>
              <w:t xml:space="preserve"> 47</w:t>
            </w:r>
          </w:p>
        </w:tc>
      </w:tr>
    </w:tbl>
    <w:p>
      <w:pPr>
        <w:pStyle w:val="HEADER5"/>
        <w:rPr>
          <w:noProof/>
        </w:rPr>
      </w:pPr>
    </w:p>
    <w:p>
      <w:pPr>
        <w:pStyle w:val="HEADER5"/>
        <w:rPr>
          <w:noProof/>
        </w:rPr>
      </w:pPr>
      <w:r>
        <w:rPr>
          <w:noProof/>
        </w:rPr>
        <w:t>Emprunts et prêts</w:t>
      </w:r>
    </w:p>
    <w:p>
      <w:pPr>
        <w:pStyle w:val="DGTextstand-alone"/>
      </w:pPr>
      <w:r>
        <w:t>Étant donné que tous les actifs et passifs financiers de l’UE sont actuellement libellés en euros, l’UE n’est pas exposée au risque de change.</w:t>
      </w:r>
    </w:p>
    <w:p>
      <w:pPr>
        <w:pStyle w:val="HEADER5"/>
        <w:spacing w:before="240"/>
        <w:rPr>
          <w:noProof/>
        </w:rPr>
      </w:pPr>
      <w:r>
        <w:rPr>
          <w:noProof/>
        </w:rPr>
        <w:t>Trésorerie</w:t>
      </w:r>
    </w:p>
    <w:p>
      <w:pPr>
        <w:pStyle w:val="DGTextstand-alone"/>
      </w:pPr>
      <w:r>
        <w:t>Les ressources propres versées par les États membres dans des monnaies autres que l’euro sont conservées sur les comptes de ressources propres. Lorsque ces fonds sont nécessaires pour les paiements, ils sont convertis en euros. Dans certains cas, ils sont directement utilisés pour des paiements dans ces mêmes monnaies.</w:t>
      </w:r>
    </w:p>
    <w:p>
      <w:pPr>
        <w:pStyle w:val="DGTextstand-alone"/>
      </w:pPr>
      <w:r>
        <w:t>La Commission détient également des comptes dans des devises autres que l’euro, tels que le dollar américain (USD) et la livre sterling (GBP), auprès de banques commerciales, pour effectuer des paiements dans ces devises. Ces comptes sont réapprovisionnés en fonction des besoins, ce qui atténue le risque lié au taux de change.</w:t>
      </w:r>
    </w:p>
    <w:p>
      <w:pPr>
        <w:pStyle w:val="DGTextstand-alone"/>
      </w:pPr>
      <w:r>
        <w:t xml:space="preserve">Si des recettes diverses sont reçues dans des devises autres que l’euro, elles sont soit transférées sur les comptes que la Commission possède dans les mêmes devises, soit converties en euros et transférées sur des comptes libellés en euros. </w:t>
      </w:r>
    </w:p>
    <w:p>
      <w:pPr>
        <w:pStyle w:val="DGTextstand-alone"/>
      </w:pPr>
      <w:r>
        <w:t>Les régies d’avances libellées en devises autres que l’euro sont réapprovisionnées en fonction des besoins estimés de paiement à court terme et sont maintenues dans les limites de leurs plafonds respectifs.</w:t>
      </w:r>
    </w:p>
    <w:p>
      <w:pPr>
        <w:pStyle w:val="HEADER5"/>
        <w:spacing w:before="240"/>
        <w:rPr>
          <w:noProof/>
        </w:rPr>
      </w:pPr>
      <w:r>
        <w:rPr>
          <w:noProof/>
        </w:rPr>
        <w:t>Amendes</w:t>
      </w:r>
    </w:p>
    <w:p>
      <w:pPr>
        <w:pStyle w:val="DGTextstand-alone"/>
      </w:pPr>
      <w:r>
        <w:t>Toutes les amendes infligées, payées ou couvertes à titre provisionnel sont libellées en euros, éliminant ainsi tout risque de change lorsqu’elles sont détenues dans le fonds BUFI.</w:t>
      </w:r>
    </w:p>
    <w:p>
      <w:pPr>
        <w:pStyle w:val="HEADER5"/>
        <w:spacing w:before="240"/>
        <w:rPr>
          <w:noProof/>
        </w:rPr>
      </w:pPr>
      <w:r>
        <w:rPr>
          <w:noProof/>
        </w:rPr>
        <w:t>Garanties budgétaires</w:t>
      </w:r>
    </w:p>
    <w:p>
      <w:pPr>
        <w:pStyle w:val="DGTextstand-alone"/>
      </w:pPr>
      <w:r>
        <w:t>Les garanties budgétaires sont généralement plafonnées à un montant maximal en euros. Toutefois, certaines opérations sous-jacentes peuvent être libellées dans d’autres devises telles que l’USD ou des monnaies locales, auquel cas l’UE peut également prendre en charge les pertes de change.</w:t>
      </w:r>
    </w:p>
    <w:p>
      <w:pPr>
        <w:pStyle w:val="DGTextstand-alone"/>
      </w:pPr>
      <w:r>
        <w:t>La Commission tient compte du risque de change lorsqu’elle détermine les besoins de provisionnement des garanties budgétaires.</w:t>
      </w:r>
    </w:p>
    <w:p>
      <w:pPr>
        <w:pStyle w:val="HEADER5"/>
        <w:spacing w:before="240"/>
        <w:rPr>
          <w:noProof/>
        </w:rPr>
      </w:pPr>
      <w:r>
        <w:rPr>
          <w:noProof/>
        </w:rPr>
        <w:t>Fonds commun de provisionnement</w:t>
      </w:r>
    </w:p>
    <w:p>
      <w:pPr>
        <w:pStyle w:val="DGTextstand-alone"/>
      </w:pPr>
      <w:r>
        <w:t>Les opérations au titre du FCP sont menées tant en EUR qu’en USD. Afin de gérer le risque de change, le FCP conclut des contrats de change à terme pour couvrir la valeur boursière de ses investissements en USD, la limite de l’exposition maximale au risque de change non couverte étant fixée à 1 % de la valeur totale du portefeuille dans le cadre des critères de référence et des dotations stratégiques annuelles, tels que définis dans les instruments financiers pertinents.</w:t>
      </w:r>
    </w:p>
    <w:p>
      <w:pPr>
        <w:pStyle w:val="DGTextstand-alone"/>
      </w:pPr>
      <w:r>
        <w:t xml:space="preserve">Le FCP utilise cette stratégie de couverture pour ajuster ou inverser la position couverte en conséquence, le cas échéant. Toutefois, le FCP ne couvre pas le risque de change pour les prêts subrogés (voir note </w:t>
      </w:r>
      <w:r>
        <w:rPr>
          <w:b/>
        </w:rPr>
        <w:t>2.4.1.2</w:t>
      </w:r>
      <w:r>
        <w:t>) qui sont comptabilisés dans leur monnaie d’origine, ce qui expose l’UE à un risque de change. Pour ces prêts, aucune opération visant à compenser les fluctuations de devises n’est effectuée, eu égard à l’incertitude quant aux délais de remboursement des prêts.</w:t>
      </w:r>
    </w:p>
    <w:p>
      <w:pPr>
        <w:pStyle w:val="DGTextstand-alone"/>
      </w:pPr>
    </w:p>
    <w:p>
      <w:pPr>
        <w:pStyle w:val="DGTextstand-alone"/>
      </w:pPr>
    </w:p>
    <w:p>
      <w:pPr>
        <w:pStyle w:val="DGTextstand-alone"/>
      </w:pPr>
    </w:p>
    <w:p>
      <w:pPr>
        <w:pStyle w:val="DGTextstand-alone"/>
      </w:pPr>
    </w:p>
    <w:p>
      <w:pPr>
        <w:pStyle w:val="DGTextstand-alone"/>
      </w:pPr>
    </w:p>
    <w:p>
      <w:pPr>
        <w:pStyle w:val="HEADER2NOTES"/>
        <w:numPr>
          <w:ilvl w:val="1"/>
          <w:numId w:val="15"/>
        </w:numPr>
        <w:jc w:val="both"/>
        <w:rPr>
          <w:noProof/>
        </w:rPr>
      </w:pPr>
      <w:r>
        <w:rPr>
          <w:noProof/>
        </w:rPr>
        <w:lastRenderedPageBreak/>
        <w:t>RISQUE DE TAUX D’INTÉRÊT</w:t>
      </w:r>
    </w:p>
    <w:p>
      <w:pPr>
        <w:pStyle w:val="DGTextstand-alone"/>
      </w:pPr>
      <w:r>
        <w:t>Le tableau suivant montre l’incidence qu’une variation de 1 % des taux d’intérêt (± 100 points de base) aurait sur le résultat économique de l’UE pour des titres de créance, des fonds du marché monétaire et des FNB.</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89"/>
        <w:gridCol w:w="2905"/>
        <w:gridCol w:w="2764"/>
      </w:tblGrid>
      <w:tr>
        <w:trPr>
          <w:trHeight w:val="255"/>
        </w:trPr>
        <w:tc>
          <w:tcPr>
            <w:tcW w:w="4089" w:type="dxa"/>
            <w:tcBorders>
              <w:top w:val="nil"/>
              <w:left w:val="nil"/>
              <w:bottom w:val="nil"/>
              <w:right w:val="nil"/>
              <w:tl2br w:val="nil"/>
              <w:tr2bl w:val="nil"/>
            </w:tcBorders>
            <w:tcMar>
              <w:left w:w="60" w:type="dxa"/>
              <w:right w:w="60" w:type="dxa"/>
            </w:tcMar>
            <w:vAlign w:val="bottom"/>
          </w:tcPr>
          <w:p>
            <w:pPr>
              <w:pStyle w:val="DMETW36754BIPIRR"/>
              <w:rPr>
                <w:rFonts w:ascii="Arial" w:eastAsia="Arial" w:hAnsi="Arial" w:cs="Arial"/>
                <w:noProof/>
                <w:color w:val="000000"/>
              </w:rPr>
            </w:pPr>
            <w:bookmarkStart w:id="224" w:name="DOC_TBL00092_1_1"/>
            <w:bookmarkEnd w:id="224"/>
          </w:p>
        </w:tc>
        <w:tc>
          <w:tcPr>
            <w:tcW w:w="2905" w:type="dxa"/>
            <w:tcBorders>
              <w:top w:val="nil"/>
              <w:left w:val="nil"/>
              <w:bottom w:val="nil"/>
              <w:right w:val="nil"/>
              <w:tl2br w:val="nil"/>
              <w:tr2bl w:val="nil"/>
            </w:tcBorders>
            <w:tcMar>
              <w:left w:w="60" w:type="dxa"/>
              <w:right w:w="60" w:type="dxa"/>
            </w:tcMar>
            <w:vAlign w:val="bottom"/>
          </w:tcPr>
          <w:p>
            <w:pPr>
              <w:pStyle w:val="DMETW36754BIPIRR"/>
              <w:rPr>
                <w:rFonts w:ascii="Arial" w:eastAsia="Arial" w:hAnsi="Arial" w:cs="Arial"/>
                <w:noProof/>
                <w:color w:val="000000"/>
              </w:rPr>
            </w:pPr>
          </w:p>
        </w:tc>
        <w:tc>
          <w:tcPr>
            <w:tcW w:w="2764" w:type="dxa"/>
            <w:tcBorders>
              <w:top w:val="nil"/>
              <w:left w:val="nil"/>
              <w:bottom w:val="nil"/>
              <w:right w:val="nil"/>
              <w:tl2br w:val="nil"/>
              <w:tr2bl w:val="nil"/>
            </w:tcBorders>
            <w:tcMar>
              <w:left w:w="60" w:type="dxa"/>
              <w:right w:w="60" w:type="dxa"/>
            </w:tcMar>
            <w:vAlign w:val="bottom"/>
          </w:tcPr>
          <w:p>
            <w:pPr>
              <w:pStyle w:val="DMETW36754BIPIRR"/>
              <w:jc w:val="right"/>
              <w:rPr>
                <w:rFonts w:ascii="Verdana" w:eastAsia="Verdana" w:hAnsi="Verdana" w:cs="Verdana"/>
                <w:i/>
                <w:noProof/>
                <w:color w:val="000000"/>
                <w:sz w:val="16"/>
              </w:rPr>
            </w:pPr>
            <w:r>
              <w:rPr>
                <w:rFonts w:ascii="Verdana" w:hAnsi="Verdana"/>
                <w:i/>
                <w:noProof/>
                <w:color w:val="000000"/>
                <w:sz w:val="16"/>
              </w:rPr>
              <w:t>en Mio EUR</w:t>
            </w:r>
          </w:p>
        </w:tc>
      </w:tr>
      <w:tr>
        <w:trPr>
          <w:trHeight w:val="255"/>
        </w:trPr>
        <w:tc>
          <w:tcPr>
            <w:tcW w:w="4089" w:type="dxa"/>
            <w:tcBorders>
              <w:top w:val="nil"/>
              <w:left w:val="nil"/>
              <w:bottom w:val="nil"/>
              <w:right w:val="nil"/>
              <w:tl2br w:val="nil"/>
              <w:tr2bl w:val="nil"/>
            </w:tcBorders>
            <w:shd w:val="solid" w:color="016794" w:fill="FFFFFF"/>
            <w:tcMar>
              <w:left w:w="60" w:type="dxa"/>
              <w:right w:w="60" w:type="dxa"/>
            </w:tcMar>
            <w:vAlign w:val="center"/>
          </w:tcPr>
          <w:p>
            <w:pPr>
              <w:pStyle w:val="DMETW36754BIPIRR"/>
              <w:jc w:val="right"/>
              <w:rPr>
                <w:rFonts w:ascii="Verdana" w:eastAsia="Verdana" w:hAnsi="Verdana" w:cs="Verdana"/>
                <w:noProof/>
                <w:color w:val="FFFFFF"/>
              </w:rPr>
            </w:pPr>
          </w:p>
        </w:tc>
        <w:tc>
          <w:tcPr>
            <w:tcW w:w="2905" w:type="dxa"/>
            <w:tcBorders>
              <w:top w:val="nil"/>
              <w:left w:val="nil"/>
              <w:bottom w:val="nil"/>
              <w:right w:val="nil"/>
              <w:tl2br w:val="nil"/>
              <w:tr2bl w:val="nil"/>
            </w:tcBorders>
            <w:shd w:val="solid" w:color="016794" w:fill="FFFFFF"/>
            <w:tcMar>
              <w:left w:w="60" w:type="dxa"/>
              <w:right w:w="60" w:type="dxa"/>
            </w:tcMar>
            <w:vAlign w:val="center"/>
          </w:tcPr>
          <w:p>
            <w:pPr>
              <w:pStyle w:val="DMETW36754BIPIRR"/>
              <w:jc w:val="right"/>
              <w:rPr>
                <w:rFonts w:ascii="Verdana" w:eastAsia="Verdana" w:hAnsi="Verdana" w:cs="Verdana"/>
                <w:noProof/>
                <w:color w:val="FFFFFF"/>
              </w:rPr>
            </w:pPr>
            <w:r>
              <w:rPr>
                <w:rFonts w:ascii="Verdana" w:hAnsi="Verdana"/>
                <w:noProof/>
                <w:color w:val="FFFFFF"/>
              </w:rPr>
              <w:t>Hausse (+) / baisse (-) en points de base</w:t>
            </w:r>
          </w:p>
        </w:tc>
        <w:tc>
          <w:tcPr>
            <w:tcW w:w="2764" w:type="dxa"/>
            <w:tcBorders>
              <w:top w:val="nil"/>
              <w:left w:val="nil"/>
              <w:bottom w:val="nil"/>
              <w:right w:val="nil"/>
              <w:tl2br w:val="nil"/>
              <w:tr2bl w:val="nil"/>
            </w:tcBorders>
            <w:shd w:val="solid" w:color="016794" w:fill="FFFFFF"/>
            <w:tcMar>
              <w:left w:w="60" w:type="dxa"/>
              <w:right w:w="60" w:type="dxa"/>
            </w:tcMar>
            <w:vAlign w:val="center"/>
          </w:tcPr>
          <w:p>
            <w:pPr>
              <w:pStyle w:val="DMETW36754BIPIRR"/>
              <w:jc w:val="right"/>
              <w:rPr>
                <w:rFonts w:ascii="Verdana" w:eastAsia="Verdana" w:hAnsi="Verdana" w:cs="Verdana"/>
                <w:noProof/>
                <w:color w:val="FFFFFF"/>
              </w:rPr>
            </w:pPr>
            <w:r>
              <w:rPr>
                <w:rFonts w:ascii="Verdana" w:hAnsi="Verdana"/>
                <w:noProof/>
                <w:color w:val="FFFFFF"/>
              </w:rPr>
              <w:t>Résultat économique</w:t>
            </w:r>
          </w:p>
        </w:tc>
      </w:tr>
      <w:tr>
        <w:trPr>
          <w:trHeight w:val="255"/>
        </w:trPr>
        <w:tc>
          <w:tcPr>
            <w:tcW w:w="4089" w:type="dxa"/>
            <w:vMerge w:val="restart"/>
            <w:tcBorders>
              <w:top w:val="nil"/>
              <w:left w:val="nil"/>
              <w:bottom w:val="nil"/>
              <w:right w:val="nil"/>
              <w:tl2br w:val="nil"/>
              <w:tr2bl w:val="nil"/>
            </w:tcBorders>
            <w:tcMar>
              <w:left w:w="60" w:type="dxa"/>
              <w:right w:w="60" w:type="dxa"/>
            </w:tcMar>
            <w:vAlign w:val="center"/>
          </w:tcPr>
          <w:p>
            <w:pPr>
              <w:pStyle w:val="DMETW36754BIPIRR"/>
              <w:rPr>
                <w:rFonts w:ascii="Verdana" w:eastAsia="Verdana" w:hAnsi="Verdana" w:cs="Verdana"/>
                <w:i/>
                <w:noProof/>
                <w:color w:val="000000"/>
                <w:sz w:val="18"/>
              </w:rPr>
            </w:pPr>
            <w:r>
              <w:rPr>
                <w:rFonts w:ascii="Verdana" w:hAnsi="Verdana"/>
                <w:i/>
                <w:noProof/>
                <w:color w:val="000000"/>
                <w:sz w:val="18"/>
              </w:rPr>
              <w:t>2025: Actifs financiers à la JVCR</w:t>
            </w:r>
          </w:p>
        </w:tc>
        <w:tc>
          <w:tcPr>
            <w:tcW w:w="2905" w:type="dxa"/>
            <w:tcBorders>
              <w:top w:val="nil"/>
              <w:left w:val="nil"/>
              <w:bottom w:val="nil"/>
              <w:right w:val="nil"/>
              <w:tl2br w:val="nil"/>
              <w:tr2bl w:val="nil"/>
            </w:tcBorders>
            <w:tcMar>
              <w:left w:w="60" w:type="dxa"/>
              <w:right w:w="60" w:type="dxa"/>
            </w:tcMar>
            <w:vAlign w:val="center"/>
          </w:tcPr>
          <w:p>
            <w:pPr>
              <w:pStyle w:val="DMETW36754BIPIRR"/>
              <w:jc w:val="right"/>
              <w:rPr>
                <w:rFonts w:ascii="Verdana" w:eastAsia="Verdana" w:hAnsi="Verdana" w:cs="Verdana"/>
                <w:i/>
                <w:noProof/>
                <w:color w:val="000000"/>
                <w:sz w:val="18"/>
              </w:rPr>
            </w:pPr>
            <w:r>
              <w:rPr>
                <w:rFonts w:ascii="Verdana" w:hAnsi="Verdana"/>
                <w:i/>
                <w:noProof/>
                <w:color w:val="000000"/>
                <w:sz w:val="18"/>
              </w:rPr>
              <w:t>+100</w:t>
            </w:r>
          </w:p>
        </w:tc>
        <w:tc>
          <w:tcPr>
            <w:tcW w:w="2764" w:type="dxa"/>
            <w:tcBorders>
              <w:top w:val="nil"/>
              <w:left w:val="nil"/>
              <w:bottom w:val="nil"/>
              <w:right w:val="nil"/>
              <w:tl2br w:val="nil"/>
              <w:tr2bl w:val="nil"/>
            </w:tcBorders>
            <w:tcMar>
              <w:left w:w="60" w:type="dxa"/>
              <w:right w:w="60" w:type="dxa"/>
            </w:tcMar>
            <w:vAlign w:val="center"/>
          </w:tcPr>
          <w:p>
            <w:pPr>
              <w:pStyle w:val="DMETW36754BIPIRR"/>
              <w:jc w:val="right"/>
              <w:rPr>
                <w:rFonts w:ascii="Verdana" w:eastAsia="Verdana" w:hAnsi="Verdana" w:cs="Verdana"/>
                <w:i/>
                <w:noProof/>
                <w:color w:val="000000"/>
                <w:sz w:val="18"/>
              </w:rPr>
            </w:pPr>
            <w:r>
              <w:rPr>
                <w:rFonts w:ascii="Verdana" w:hAnsi="Verdana"/>
                <w:i/>
                <w:noProof/>
                <w:color w:val="000000"/>
                <w:sz w:val="18"/>
              </w:rPr>
              <w:t>(1 448)</w:t>
            </w:r>
          </w:p>
        </w:tc>
      </w:tr>
      <w:tr>
        <w:trPr>
          <w:trHeight w:val="255"/>
        </w:trPr>
        <w:tc>
          <w:tcPr>
            <w:tcW w:w="3930" w:type="dxa"/>
            <w:vMerge/>
            <w:tcBorders>
              <w:top w:val="nil"/>
              <w:left w:val="nil"/>
              <w:bottom w:val="nil"/>
              <w:right w:val="nil"/>
              <w:tl2br w:val="nil"/>
              <w:tr2bl w:val="nil"/>
            </w:tcBorders>
            <w:tcMar>
              <w:left w:w="60" w:type="dxa"/>
              <w:right w:w="60" w:type="dxa"/>
            </w:tcMar>
            <w:vAlign w:val="center"/>
          </w:tcPr>
          <w:p>
            <w:pPr>
              <w:pStyle w:val="DMETW36754BIPIRR"/>
              <w:rPr>
                <w:rFonts w:ascii="Verdana" w:eastAsia="Verdana" w:hAnsi="Verdana" w:cs="Verdana"/>
                <w:i/>
                <w:noProof/>
                <w:color w:val="000000"/>
                <w:sz w:val="18"/>
              </w:rPr>
            </w:pPr>
          </w:p>
        </w:tc>
        <w:tc>
          <w:tcPr>
            <w:tcW w:w="2905" w:type="dxa"/>
            <w:tcBorders>
              <w:top w:val="nil"/>
              <w:left w:val="nil"/>
              <w:bottom w:val="nil"/>
              <w:right w:val="nil"/>
              <w:tl2br w:val="nil"/>
              <w:tr2bl w:val="nil"/>
            </w:tcBorders>
            <w:tcMar>
              <w:left w:w="60" w:type="dxa"/>
              <w:right w:w="60" w:type="dxa"/>
            </w:tcMar>
            <w:vAlign w:val="center"/>
          </w:tcPr>
          <w:p>
            <w:pPr>
              <w:pStyle w:val="DMETW36754BIPIRR"/>
              <w:jc w:val="right"/>
              <w:rPr>
                <w:rFonts w:ascii="Verdana" w:eastAsia="Verdana" w:hAnsi="Verdana" w:cs="Verdana"/>
                <w:i/>
                <w:noProof/>
                <w:color w:val="000000"/>
                <w:sz w:val="18"/>
              </w:rPr>
            </w:pPr>
            <w:r>
              <w:rPr>
                <w:rFonts w:ascii="Verdana" w:hAnsi="Verdana"/>
                <w:i/>
                <w:noProof/>
                <w:color w:val="000000"/>
                <w:sz w:val="18"/>
              </w:rPr>
              <w:t>–100</w:t>
            </w:r>
          </w:p>
        </w:tc>
        <w:tc>
          <w:tcPr>
            <w:tcW w:w="2764" w:type="dxa"/>
            <w:tcBorders>
              <w:top w:val="nil"/>
              <w:left w:val="nil"/>
              <w:bottom w:val="nil"/>
              <w:right w:val="nil"/>
              <w:tl2br w:val="nil"/>
              <w:tr2bl w:val="nil"/>
            </w:tcBorders>
            <w:tcMar>
              <w:left w:w="60" w:type="dxa"/>
              <w:right w:w="60" w:type="dxa"/>
            </w:tcMar>
            <w:vAlign w:val="center"/>
          </w:tcPr>
          <w:p>
            <w:pPr>
              <w:pStyle w:val="DMETW36754BIPIRR"/>
              <w:jc w:val="right"/>
              <w:rPr>
                <w:rFonts w:ascii="Verdana" w:eastAsia="Verdana" w:hAnsi="Verdana" w:cs="Verdana"/>
                <w:i/>
                <w:noProof/>
                <w:color w:val="000000"/>
                <w:sz w:val="18"/>
              </w:rPr>
            </w:pPr>
            <w:r>
              <w:rPr>
                <w:rFonts w:ascii="Verdana" w:hAnsi="Verdana"/>
                <w:i/>
                <w:noProof/>
                <w:color w:val="000000"/>
                <w:sz w:val="18"/>
              </w:rPr>
              <w:t>1 536</w:t>
            </w:r>
          </w:p>
        </w:tc>
      </w:tr>
      <w:tr>
        <w:trPr>
          <w:trHeight w:val="255"/>
        </w:trPr>
        <w:tc>
          <w:tcPr>
            <w:tcW w:w="4089" w:type="dxa"/>
            <w:vMerge w:val="restart"/>
            <w:tcBorders>
              <w:top w:val="nil"/>
              <w:left w:val="nil"/>
              <w:bottom w:val="nil"/>
              <w:right w:val="nil"/>
              <w:tl2br w:val="nil"/>
              <w:tr2bl w:val="nil"/>
            </w:tcBorders>
            <w:tcMar>
              <w:left w:w="60" w:type="dxa"/>
              <w:right w:w="60" w:type="dxa"/>
            </w:tcMar>
            <w:vAlign w:val="center"/>
          </w:tcPr>
          <w:p>
            <w:pPr>
              <w:pStyle w:val="DMETW36754BIPIRR"/>
              <w:rPr>
                <w:rFonts w:ascii="Verdana" w:eastAsia="Verdana" w:hAnsi="Verdana" w:cs="Verdana"/>
                <w:i/>
                <w:noProof/>
                <w:color w:val="000000"/>
                <w:sz w:val="18"/>
              </w:rPr>
            </w:pPr>
            <w:r>
              <w:rPr>
                <w:rFonts w:ascii="Verdana" w:hAnsi="Verdana"/>
                <w:i/>
                <w:noProof/>
                <w:color w:val="000000"/>
                <w:sz w:val="18"/>
              </w:rPr>
              <w:t>2024: Actifs financiers à la JVCR</w:t>
            </w:r>
          </w:p>
        </w:tc>
        <w:tc>
          <w:tcPr>
            <w:tcW w:w="2905" w:type="dxa"/>
            <w:tcBorders>
              <w:top w:val="nil"/>
              <w:left w:val="nil"/>
              <w:bottom w:val="nil"/>
              <w:right w:val="nil"/>
              <w:tl2br w:val="nil"/>
              <w:tr2bl w:val="nil"/>
            </w:tcBorders>
            <w:tcMar>
              <w:left w:w="60" w:type="dxa"/>
              <w:right w:w="60" w:type="dxa"/>
            </w:tcMar>
            <w:vAlign w:val="center"/>
          </w:tcPr>
          <w:p>
            <w:pPr>
              <w:pStyle w:val="DMETW36754BIPIRR"/>
              <w:jc w:val="right"/>
              <w:rPr>
                <w:rFonts w:ascii="Verdana" w:eastAsia="Verdana" w:hAnsi="Verdana" w:cs="Verdana"/>
                <w:i/>
                <w:noProof/>
                <w:color w:val="000000"/>
                <w:sz w:val="18"/>
              </w:rPr>
            </w:pPr>
            <w:r>
              <w:rPr>
                <w:rFonts w:ascii="Verdana" w:hAnsi="Verdana"/>
                <w:i/>
                <w:noProof/>
                <w:color w:val="000000"/>
                <w:sz w:val="18"/>
              </w:rPr>
              <w:t>+100</w:t>
            </w:r>
          </w:p>
        </w:tc>
        <w:tc>
          <w:tcPr>
            <w:tcW w:w="2764" w:type="dxa"/>
            <w:tcBorders>
              <w:top w:val="nil"/>
              <w:left w:val="nil"/>
              <w:bottom w:val="nil"/>
              <w:right w:val="nil"/>
              <w:tl2br w:val="nil"/>
              <w:tr2bl w:val="nil"/>
            </w:tcBorders>
            <w:tcMar>
              <w:left w:w="60" w:type="dxa"/>
              <w:right w:w="60" w:type="dxa"/>
            </w:tcMar>
            <w:vAlign w:val="center"/>
          </w:tcPr>
          <w:p>
            <w:pPr>
              <w:pStyle w:val="DMETW36754BIPIRR"/>
              <w:jc w:val="right"/>
              <w:rPr>
                <w:rFonts w:ascii="Verdana" w:eastAsia="Verdana" w:hAnsi="Verdana" w:cs="Verdana"/>
                <w:i/>
                <w:noProof/>
                <w:color w:val="000000"/>
                <w:sz w:val="18"/>
              </w:rPr>
            </w:pPr>
            <w:r>
              <w:rPr>
                <w:rFonts w:ascii="Verdana" w:hAnsi="Verdana"/>
                <w:i/>
                <w:noProof/>
                <w:color w:val="000000"/>
                <w:sz w:val="18"/>
              </w:rPr>
              <w:t>(1 172)</w:t>
            </w:r>
          </w:p>
        </w:tc>
      </w:tr>
      <w:tr>
        <w:trPr>
          <w:trHeight w:val="255"/>
        </w:trPr>
        <w:tc>
          <w:tcPr>
            <w:tcW w:w="3930" w:type="dxa"/>
            <w:vMerge/>
            <w:tcBorders>
              <w:top w:val="nil"/>
              <w:left w:val="nil"/>
              <w:bottom w:val="nil"/>
              <w:right w:val="nil"/>
              <w:tl2br w:val="nil"/>
              <w:tr2bl w:val="nil"/>
            </w:tcBorders>
            <w:tcMar>
              <w:left w:w="60" w:type="dxa"/>
              <w:right w:w="60" w:type="dxa"/>
            </w:tcMar>
            <w:vAlign w:val="center"/>
          </w:tcPr>
          <w:p>
            <w:pPr>
              <w:pStyle w:val="DMETW36754BIPIRR"/>
              <w:rPr>
                <w:rFonts w:ascii="Verdana" w:eastAsia="Verdana" w:hAnsi="Verdana" w:cs="Verdana"/>
                <w:i/>
                <w:noProof/>
                <w:color w:val="000000"/>
                <w:sz w:val="18"/>
              </w:rPr>
            </w:pPr>
          </w:p>
        </w:tc>
        <w:tc>
          <w:tcPr>
            <w:tcW w:w="2905" w:type="dxa"/>
            <w:tcBorders>
              <w:top w:val="nil"/>
              <w:left w:val="nil"/>
              <w:bottom w:val="nil"/>
              <w:right w:val="nil"/>
              <w:tl2br w:val="nil"/>
              <w:tr2bl w:val="nil"/>
            </w:tcBorders>
            <w:tcMar>
              <w:left w:w="60" w:type="dxa"/>
              <w:right w:w="60" w:type="dxa"/>
            </w:tcMar>
            <w:vAlign w:val="center"/>
          </w:tcPr>
          <w:p>
            <w:pPr>
              <w:pStyle w:val="DMETW36754BIPIRR"/>
              <w:jc w:val="right"/>
              <w:rPr>
                <w:rFonts w:ascii="Verdana" w:eastAsia="Verdana" w:hAnsi="Verdana" w:cs="Verdana"/>
                <w:i/>
                <w:noProof/>
                <w:color w:val="000000"/>
                <w:sz w:val="18"/>
              </w:rPr>
            </w:pPr>
            <w:r>
              <w:rPr>
                <w:rFonts w:ascii="Verdana" w:hAnsi="Verdana"/>
                <w:i/>
                <w:noProof/>
                <w:color w:val="000000"/>
                <w:sz w:val="18"/>
              </w:rPr>
              <w:t>–100</w:t>
            </w:r>
          </w:p>
        </w:tc>
        <w:tc>
          <w:tcPr>
            <w:tcW w:w="2764" w:type="dxa"/>
            <w:tcBorders>
              <w:top w:val="nil"/>
              <w:left w:val="nil"/>
              <w:bottom w:val="nil"/>
              <w:right w:val="nil"/>
              <w:tl2br w:val="nil"/>
              <w:tr2bl w:val="nil"/>
            </w:tcBorders>
            <w:tcMar>
              <w:left w:w="60" w:type="dxa"/>
              <w:right w:w="60" w:type="dxa"/>
            </w:tcMar>
            <w:vAlign w:val="center"/>
          </w:tcPr>
          <w:p>
            <w:pPr>
              <w:pStyle w:val="DMETW36754BIPIRR"/>
              <w:jc w:val="right"/>
              <w:rPr>
                <w:rFonts w:ascii="Verdana" w:eastAsia="Verdana" w:hAnsi="Verdana" w:cs="Verdana"/>
                <w:i/>
                <w:noProof/>
                <w:color w:val="000000"/>
                <w:sz w:val="18"/>
              </w:rPr>
            </w:pPr>
            <w:r>
              <w:rPr>
                <w:rFonts w:ascii="Verdana" w:hAnsi="Verdana"/>
                <w:i/>
                <w:noProof/>
                <w:color w:val="000000"/>
                <w:sz w:val="18"/>
              </w:rPr>
              <w:t>1 246</w:t>
            </w:r>
          </w:p>
        </w:tc>
      </w:tr>
    </w:tbl>
    <w:p>
      <w:pPr>
        <w:pStyle w:val="DGTextstand-alone"/>
      </w:pPr>
      <w:r>
        <w:t>La sensibilité d’un portefeuille d’obligations aux variations des taux d’intérêt augmente avec sa durée. La durée des principaux portefeuilles d’actifs gérés par la Commission est indiquée ci-dessous.</w:t>
      </w:r>
    </w:p>
    <w:p>
      <w:pPr>
        <w:pStyle w:val="HEADER5"/>
        <w:spacing w:before="240"/>
        <w:rPr>
          <w:noProof/>
        </w:rPr>
      </w:pPr>
      <w:r>
        <w:rPr>
          <w:noProof/>
        </w:rPr>
        <w:t>Emprunts et prêts</w:t>
      </w:r>
    </w:p>
    <w:p>
      <w:pPr>
        <w:pStyle w:val="DGTextstand-alone"/>
      </w:pPr>
      <w:r>
        <w:t>En raison de ses opérations d’emprunt et de prêt, l’UE possède d’importants actifs et passifs producteurs d’intérêts. Dans le cas d’instruments d’assistance financière historiques relevant de l’approche «back-to-back», il n’y a pas de risque de taux d’intérêt étant donné que les emprunts sont compensés par des prêts équivalents selon des modalités similaires.</w:t>
      </w:r>
    </w:p>
    <w:p>
      <w:pPr>
        <w:pStyle w:val="DGTextstand-alone"/>
      </w:pPr>
      <w:r>
        <w:t xml:space="preserve">Pour l’approche unifiée en matière de financement, le risque de taux d’intérêt est couvert par la mise en œuvre de procédures et de mécanismes qui atténuent ce risque. Le principe sous-jacent de l’approche unifiée en matière de financement consiste à imputer le coût du financement et les coûts liés aux bénéficiaires des prêts et au budget de l’UE de la manière la plus transparente, la plus rentable et la plus équitable possible, sur la base du calcul des intérêts journaliers. Le financement unifié est fondé sur le principe de la répartition intégrale des coûts, de sorte que tous les coûts d’intérêts provenant d’instruments d’emprunt, de la détention de liquidités ou d’autres instruments d’investissement sont intégralement réaffectés et facturés aux bénéficiaires de prêts en tant que coûts du financement ou coûts de gestion de la liquidité. </w:t>
      </w:r>
    </w:p>
    <w:p>
      <w:pPr>
        <w:pStyle w:val="DGTextstand-alone"/>
      </w:pPr>
      <w:r>
        <w:t>Les coûts du financement sont alloués aux bénéficiaires de prêts sur la base de l’encours des prêts. Les coûts du financement non affectés aux prêts ou au soutien non remboursable sont facturés aux bénéficiaires de prêts et au budget de l’UE sous la forme de coûts de gestion de la liquidité qui peuvent être positifs ou négatifs en fonction de l’évolution des taux d’intérêt appliqués aux soldes de trésorerie.</w:t>
      </w:r>
    </w:p>
    <w:p>
      <w:pPr>
        <w:pStyle w:val="DGTextstand-alone"/>
      </w:pPr>
      <w:r>
        <w:t>Dans le cadre de l’approche unifiée en matière de financement, les liquidités sont détenues dans une réserve de financement de l’UE afin de maintenir un coussin de sécurité déterminé permettant des décaissements à bref délai tout en évitant tout solde excédentaire. Le coussin de sécurité se compose des liquidités détenues en banque, de dépôts à terme sur le marché monétaire auprès de banques nationales et d’agences publiques de financement, ainsi que d’opérations de prise en pension d’une durée de 7 ou 14 jours (voir note </w:t>
      </w:r>
      <w:r>
        <w:rPr>
          <w:b/>
          <w:bCs/>
        </w:rPr>
        <w:t>2.8.2</w:t>
      </w:r>
      <w:r>
        <w:t>).  Les liquidités sont essentiellement conservées à la BCE lorsque le taux d’intérêt à court terme du marché monétaire de l’euro moins 20 points de base s’applique à tout encours de trésorerie Les recettes provenant de la détention de liquidités et d’autres instruments d’investissement font partie de la facturation des coûts de gestion de la liquidité.</w:t>
      </w:r>
    </w:p>
    <w:p>
      <w:pPr>
        <w:pStyle w:val="HEADER5"/>
        <w:spacing w:before="240"/>
        <w:rPr>
          <w:noProof/>
        </w:rPr>
      </w:pPr>
      <w:r>
        <w:rPr>
          <w:noProof/>
        </w:rPr>
        <w:t>Trésorerie</w:t>
      </w:r>
    </w:p>
    <w:p>
      <w:pPr>
        <w:pStyle w:val="DGTextstand-alone"/>
      </w:pPr>
      <w:r>
        <w:t>La Commission a mis en place des mesures visant à faire en sorte que l’intérêt généré par ses comptes bancaires reflète régulièrement les taux d’intérêt du marché et leurs éventuelles fluctuations.</w:t>
      </w:r>
    </w:p>
    <w:p>
      <w:pPr>
        <w:pStyle w:val="DGTextstand-alone"/>
      </w:pPr>
      <w:r>
        <w:t>Les comptes de ressources propres sont protégés contre les coûts éventuels, étant donné qu’ils ne génèrent ni frais ni intérêts conformément à l’article 9, paragraphe 1, du règlement (UE, Euratom) nº 609/2014 du Conseil.</w:t>
      </w:r>
    </w:p>
    <w:p>
      <w:pPr>
        <w:pStyle w:val="DGTextstand-alone"/>
      </w:pPr>
      <w:r>
        <w:t>Les comptes ouverts auprès des Trésors des États membres pour l’encaissement des ressources propres ne génèrent ni intérêts ni frais. Les comptes détenus auprès des banques centrales nationales (ressources propres et autres) peuvent être rémunérés aux taux officiels appliqués par chaque institution.</w:t>
      </w:r>
    </w:p>
    <w:p>
      <w:pPr>
        <w:pStyle w:val="DGTextstand-alone"/>
      </w:pPr>
      <w:r>
        <w:lastRenderedPageBreak/>
        <w:t>La Commission adapte ses procédures de gestion de trésorerie en fonction des conditions d’intérêt actuelles du marché.  Un coussin de sécurité est détenu sur des comptes de dépôt centraux, sur la base d’un financement hebdomadaire provenant de comptes de ressources propres, afin de couvrir les besoins de paiement liés à l’exécution du budget, tout en évitant un solde excédentaire.</w:t>
      </w:r>
    </w:p>
    <w:p>
      <w:pPr>
        <w:pStyle w:val="DGTextstand-alone"/>
      </w:pPr>
      <w:r>
        <w:t>Les soldes de fin de journée des comptes bancaires détenus auprès de banques commerciales et centrales rapportent quotidiennement des intérêts qui sont calculés selon des taux du marché variables auxquels s’applique une marge contractuelle (positive ou négative).</w:t>
      </w:r>
    </w:p>
    <w:p>
      <w:pPr>
        <w:pStyle w:val="HEADER5"/>
        <w:spacing w:before="240"/>
        <w:rPr>
          <w:noProof/>
        </w:rPr>
      </w:pPr>
      <w:r>
        <w:rPr>
          <w:noProof/>
        </w:rPr>
        <w:t>Amendes</w:t>
      </w:r>
    </w:p>
    <w:p>
      <w:pPr>
        <w:pStyle w:val="DGTextstand-alone"/>
      </w:pPr>
      <w:r>
        <w:t>Les amendes encaissées à titre provisionnel sont investies dans un portefeuille d’obligations à long terme, le portefeuille ayant une durée moyenne de 1,81 an.</w:t>
      </w:r>
    </w:p>
    <w:p>
      <w:pPr>
        <w:pStyle w:val="HEADER5"/>
        <w:spacing w:before="240"/>
        <w:rPr>
          <w:noProof/>
        </w:rPr>
      </w:pPr>
      <w:r>
        <w:rPr>
          <w:noProof/>
        </w:rPr>
        <w:t>Fonds commun de provisionnement</w:t>
      </w:r>
    </w:p>
    <w:p>
      <w:pPr>
        <w:pStyle w:val="DGTextstand-alone"/>
      </w:pPr>
      <w:r>
        <w:t>Le portefeuille du FCP a une durée moyenne totale de 3,56 ans.</w:t>
      </w:r>
    </w:p>
    <w:p>
      <w:pPr>
        <w:pStyle w:val="HEADER5"/>
        <w:rPr>
          <w:noProof/>
        </w:rPr>
      </w:pPr>
      <w:r>
        <w:rPr>
          <w:noProof/>
        </w:rPr>
        <w:t>CECA en liq.</w:t>
      </w:r>
    </w:p>
    <w:p>
      <w:pPr>
        <w:pStyle w:val="DGTextstand-alone"/>
      </w:pPr>
      <w:r>
        <w:t>Les montants liés à la CECA en liquidation sont investis dans un portefeuille d’obligations à long terme, pendant une durée moyenne de 3,83 ans.</w:t>
      </w:r>
    </w:p>
    <w:p>
      <w:pPr>
        <w:rPr>
          <w:rFonts w:ascii="Verdana" w:hAnsi="Verdana"/>
          <w:noProof/>
          <w:sz w:val="18"/>
          <w:szCs w:val="18"/>
        </w:rPr>
      </w:pPr>
      <w:r>
        <w:rPr>
          <w:noProof/>
        </w:rPr>
        <w:br w:type="page"/>
      </w:r>
    </w:p>
    <w:p>
      <w:pPr>
        <w:pStyle w:val="HEADER2NOTES"/>
        <w:numPr>
          <w:ilvl w:val="1"/>
          <w:numId w:val="15"/>
        </w:numPr>
        <w:jc w:val="both"/>
        <w:rPr>
          <w:noProof/>
        </w:rPr>
      </w:pPr>
      <w:r>
        <w:rPr>
          <w:noProof/>
        </w:rPr>
        <w:lastRenderedPageBreak/>
        <w:t>AUTRES RISQUES LIÉS AUX PRIX</w:t>
      </w:r>
    </w:p>
    <w:p>
      <w:pPr>
        <w:pStyle w:val="DGTextstand-alone"/>
      </w:pPr>
      <w:r>
        <w:t>Au 31 décembre 2025, l’UE est exposée au risque de prix sur instruments de capitaux propres découlant de divers investissements, notamment:</w:t>
      </w:r>
    </w:p>
    <w:p>
      <w:pPr>
        <w:pStyle w:val="DGTextstand-alonedashesjustified"/>
        <w:numPr>
          <w:ilvl w:val="0"/>
          <w:numId w:val="22"/>
        </w:numPr>
      </w:pPr>
      <w:r>
        <w:t>des investissements en fonds propres non cotés (tels que le capital-risque et d’autres fonds d’investissement);</w:t>
      </w:r>
    </w:p>
    <w:p>
      <w:pPr>
        <w:pStyle w:val="DGTextstand-alonedashesjustified"/>
        <w:numPr>
          <w:ilvl w:val="0"/>
          <w:numId w:val="22"/>
        </w:numPr>
      </w:pPr>
      <w:r>
        <w:t>de fonds du marché monétaire (tels que le Fonds unitaire de la BEI);</w:t>
      </w:r>
    </w:p>
    <w:p>
      <w:pPr>
        <w:pStyle w:val="DGTextstand-alonedashesjustified"/>
        <w:numPr>
          <w:ilvl w:val="0"/>
          <w:numId w:val="22"/>
        </w:numPr>
      </w:pPr>
      <w:r>
        <w:t>de FNB;</w:t>
      </w:r>
    </w:p>
    <w:p>
      <w:pPr>
        <w:pStyle w:val="DGTextstand-alonedashesjustified"/>
        <w:numPr>
          <w:ilvl w:val="0"/>
          <w:numId w:val="22"/>
        </w:numPr>
      </w:pPr>
      <w:r>
        <w:t xml:space="preserve">d’investissements dans des portefeuilles mis en commun (voir note </w:t>
      </w:r>
      <w:r>
        <w:rPr>
          <w:b/>
        </w:rPr>
        <w:t>2.4.2.1</w:t>
      </w:r>
      <w:r>
        <w:t>).</w:t>
      </w:r>
    </w:p>
    <w:p>
      <w:pPr>
        <w:pStyle w:val="DGTextstand-alone"/>
      </w:pPr>
      <w:r>
        <w:t xml:space="preserve">L’UE est également exposée au risque de prix sur instruments de capitaux propres par des garanties couvrant des investissements en fonds propres ou en quasi-fonds propres non cotés, qui sont traitées comme des dérivés à la juste valeur par le biais du compte de résultat (voir note </w:t>
      </w:r>
      <w:r>
        <w:rPr>
          <w:b/>
        </w:rPr>
        <w:t>2.4.2.2</w:t>
      </w:r>
      <w:r>
        <w:t>).</w:t>
      </w:r>
    </w:p>
    <w:p>
      <w:pPr>
        <w:pStyle w:val="DGTextstand-alone"/>
      </w:pPr>
      <w:r>
        <w:t>Le risque de prix sur instruments de capitaux propres désigne le risque que la juste valeur des participations dans ces instruments évolue en raison des variations des prix des capitaux propres concernés et/ou de la valeur des participations garanties.</w:t>
      </w:r>
    </w:p>
    <w:p>
      <w:pPr>
        <w:pStyle w:val="DGTextstand-alone"/>
      </w:pPr>
      <w:r>
        <w:t>L’effet sur l’excédent ou le déficit d’une augmentation ou d’une diminution de 10 % de la valeur des instruments mentionnés ci-dessus serait le suivant:</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96"/>
        <w:gridCol w:w="1731"/>
        <w:gridCol w:w="1731"/>
      </w:tblGrid>
      <w:tr>
        <w:trPr>
          <w:trHeight w:val="255"/>
        </w:trPr>
        <w:tc>
          <w:tcPr>
            <w:tcW w:w="6296" w:type="dxa"/>
            <w:tcBorders>
              <w:top w:val="nil"/>
              <w:left w:val="nil"/>
              <w:bottom w:val="nil"/>
              <w:right w:val="nil"/>
              <w:tl2br w:val="nil"/>
              <w:tr2bl w:val="nil"/>
            </w:tcBorders>
            <w:tcMar>
              <w:left w:w="60" w:type="dxa"/>
              <w:right w:w="60" w:type="dxa"/>
            </w:tcMar>
            <w:vAlign w:val="center"/>
          </w:tcPr>
          <w:p>
            <w:pPr>
              <w:pStyle w:val="DMETW36626BIPEQR"/>
              <w:rPr>
                <w:rFonts w:ascii="Verdana" w:eastAsia="Verdana" w:hAnsi="Verdana" w:cs="Verdana"/>
                <w:i/>
                <w:noProof/>
                <w:color w:val="FFFFFF"/>
                <w:sz w:val="18"/>
              </w:rPr>
            </w:pPr>
            <w:bookmarkStart w:id="225" w:name="DOC_TBL00093_1_1"/>
            <w:bookmarkEnd w:id="225"/>
          </w:p>
        </w:tc>
        <w:tc>
          <w:tcPr>
            <w:tcW w:w="1731" w:type="dxa"/>
            <w:tcBorders>
              <w:top w:val="nil"/>
              <w:left w:val="nil"/>
              <w:bottom w:val="nil"/>
              <w:right w:val="nil"/>
              <w:tl2br w:val="nil"/>
              <w:tr2bl w:val="nil"/>
            </w:tcBorders>
            <w:tcMar>
              <w:left w:w="60" w:type="dxa"/>
              <w:right w:w="60" w:type="dxa"/>
            </w:tcMar>
            <w:vAlign w:val="bottom"/>
          </w:tcPr>
          <w:p>
            <w:pPr>
              <w:pStyle w:val="DMETW36626BIPEQR"/>
              <w:rPr>
                <w:rFonts w:ascii="Verdana" w:eastAsia="Verdana" w:hAnsi="Verdana" w:cs="Verdana"/>
                <w:noProof/>
                <w:color w:val="000000"/>
                <w:sz w:val="18"/>
              </w:rPr>
            </w:pPr>
          </w:p>
        </w:tc>
        <w:tc>
          <w:tcPr>
            <w:tcW w:w="1731" w:type="dxa"/>
            <w:tcBorders>
              <w:top w:val="nil"/>
              <w:left w:val="nil"/>
              <w:bottom w:val="nil"/>
              <w:right w:val="nil"/>
              <w:tl2br w:val="nil"/>
              <w:tr2bl w:val="nil"/>
            </w:tcBorders>
            <w:tcMar>
              <w:left w:w="60" w:type="dxa"/>
              <w:right w:w="60" w:type="dxa"/>
            </w:tcMar>
            <w:vAlign w:val="bottom"/>
          </w:tcPr>
          <w:p>
            <w:pPr>
              <w:pStyle w:val="DMETW36626BIPEQR"/>
              <w:jc w:val="right"/>
              <w:rPr>
                <w:rFonts w:ascii="Verdana" w:eastAsia="Verdana" w:hAnsi="Verdana" w:cs="Verdana"/>
                <w:i/>
                <w:noProof/>
                <w:color w:val="000000"/>
                <w:sz w:val="18"/>
              </w:rPr>
            </w:pPr>
            <w:r>
              <w:rPr>
                <w:rFonts w:ascii="Verdana" w:hAnsi="Verdana"/>
                <w:i/>
                <w:noProof/>
                <w:color w:val="000000"/>
                <w:sz w:val="18"/>
              </w:rPr>
              <w:t>en Mio EUR</w:t>
            </w:r>
          </w:p>
        </w:tc>
      </w:tr>
      <w:tr>
        <w:trPr>
          <w:trHeight w:val="255"/>
        </w:trPr>
        <w:tc>
          <w:tcPr>
            <w:tcW w:w="6296" w:type="dxa"/>
            <w:tcBorders>
              <w:top w:val="nil"/>
              <w:left w:val="nil"/>
              <w:bottom w:val="nil"/>
              <w:right w:val="nil"/>
              <w:tl2br w:val="nil"/>
              <w:tr2bl w:val="nil"/>
            </w:tcBorders>
            <w:shd w:val="solid" w:color="016794" w:fill="FFFFFF"/>
            <w:tcMar>
              <w:left w:w="60" w:type="dxa"/>
              <w:right w:w="60" w:type="dxa"/>
            </w:tcMar>
            <w:vAlign w:val="center"/>
          </w:tcPr>
          <w:p>
            <w:pPr>
              <w:pStyle w:val="DMETW36626BIPEQR"/>
              <w:rPr>
                <w:rFonts w:ascii="Verdana" w:eastAsia="Verdana" w:hAnsi="Verdana" w:cs="Verdana"/>
                <w:noProof/>
                <w:color w:val="FFFFFF"/>
                <w:sz w:val="18"/>
              </w:rPr>
            </w:pPr>
          </w:p>
        </w:tc>
        <w:tc>
          <w:tcPr>
            <w:tcW w:w="1731" w:type="dxa"/>
            <w:tcBorders>
              <w:top w:val="nil"/>
              <w:left w:val="nil"/>
              <w:bottom w:val="nil"/>
              <w:right w:val="nil"/>
              <w:tl2br w:val="nil"/>
              <w:tr2bl w:val="nil"/>
            </w:tcBorders>
            <w:shd w:val="solid" w:color="016794" w:fill="FFFFFF"/>
            <w:tcMar>
              <w:left w:w="60" w:type="dxa"/>
              <w:right w:w="60" w:type="dxa"/>
            </w:tcMar>
            <w:vAlign w:val="center"/>
          </w:tcPr>
          <w:p>
            <w:pPr>
              <w:pStyle w:val="DMETW36626BIPEQR"/>
              <w:jc w:val="right"/>
              <w:rPr>
                <w:rFonts w:ascii="Verdana" w:eastAsia="Verdana" w:hAnsi="Verdana" w:cs="Verdana"/>
                <w:noProof/>
                <w:color w:val="FFFFFF"/>
                <w:sz w:val="18"/>
              </w:rPr>
            </w:pPr>
            <w:r>
              <w:rPr>
                <w:rFonts w:ascii="Verdana" w:hAnsi="Verdana"/>
                <w:noProof/>
                <w:color w:val="FFFFFF"/>
                <w:sz w:val="18"/>
              </w:rPr>
              <w:t>10 %</w:t>
            </w:r>
          </w:p>
        </w:tc>
        <w:tc>
          <w:tcPr>
            <w:tcW w:w="1731" w:type="dxa"/>
            <w:tcBorders>
              <w:top w:val="nil"/>
              <w:left w:val="nil"/>
              <w:bottom w:val="nil"/>
              <w:right w:val="nil"/>
              <w:tl2br w:val="nil"/>
              <w:tr2bl w:val="nil"/>
            </w:tcBorders>
            <w:shd w:val="solid" w:color="016794" w:fill="FFFFFF"/>
            <w:tcMar>
              <w:left w:w="60" w:type="dxa"/>
              <w:right w:w="60" w:type="dxa"/>
            </w:tcMar>
            <w:vAlign w:val="center"/>
          </w:tcPr>
          <w:p>
            <w:pPr>
              <w:pStyle w:val="DMETW36626BIPEQR"/>
              <w:jc w:val="right"/>
              <w:rPr>
                <w:rFonts w:ascii="Verdana" w:eastAsia="Verdana" w:hAnsi="Verdana" w:cs="Verdana"/>
                <w:noProof/>
                <w:color w:val="FFFFFF"/>
                <w:sz w:val="18"/>
              </w:rPr>
            </w:pPr>
            <w:r>
              <w:rPr>
                <w:rFonts w:ascii="Verdana" w:hAnsi="Verdana"/>
                <w:noProof/>
                <w:color w:val="FFFFFF"/>
                <w:sz w:val="18"/>
              </w:rPr>
              <w:t>(10) %</w:t>
            </w:r>
          </w:p>
        </w:tc>
      </w:tr>
      <w:tr>
        <w:trPr>
          <w:trHeight w:val="255"/>
        </w:trPr>
        <w:tc>
          <w:tcPr>
            <w:tcW w:w="6296" w:type="dxa"/>
            <w:tcBorders>
              <w:top w:val="nil"/>
              <w:left w:val="nil"/>
              <w:bottom w:val="nil"/>
              <w:right w:val="nil"/>
              <w:tl2br w:val="nil"/>
              <w:tr2bl w:val="nil"/>
            </w:tcBorders>
            <w:tcMar>
              <w:left w:w="60" w:type="dxa"/>
              <w:right w:w="60" w:type="dxa"/>
            </w:tcMar>
            <w:vAlign w:val="center"/>
          </w:tcPr>
          <w:p>
            <w:pPr>
              <w:pStyle w:val="DMETW36626BIPEQR"/>
              <w:rPr>
                <w:rFonts w:ascii="Verdana" w:eastAsia="Verdana" w:hAnsi="Verdana" w:cs="Verdana"/>
                <w:i/>
                <w:noProof/>
                <w:color w:val="000000"/>
                <w:sz w:val="18"/>
              </w:rPr>
            </w:pPr>
            <w:r>
              <w:rPr>
                <w:rFonts w:ascii="Verdana" w:hAnsi="Verdana"/>
                <w:i/>
                <w:noProof/>
                <w:color w:val="000000"/>
                <w:sz w:val="18"/>
              </w:rPr>
              <w:t>Investissements en fonds propres</w:t>
            </w:r>
          </w:p>
        </w:tc>
        <w:tc>
          <w:tcPr>
            <w:tcW w:w="1731" w:type="dxa"/>
            <w:tcBorders>
              <w:top w:val="nil"/>
              <w:left w:val="nil"/>
              <w:bottom w:val="nil"/>
              <w:right w:val="nil"/>
              <w:tl2br w:val="nil"/>
              <w:tr2bl w:val="nil"/>
            </w:tcBorders>
            <w:tcMar>
              <w:left w:w="60" w:type="dxa"/>
              <w:right w:w="60" w:type="dxa"/>
            </w:tcMar>
            <w:vAlign w:val="center"/>
          </w:tcPr>
          <w:p>
            <w:pPr>
              <w:pStyle w:val="DMETW36626BIPEQR"/>
              <w:jc w:val="right"/>
              <w:rPr>
                <w:rFonts w:ascii="Verdana" w:eastAsia="Verdana" w:hAnsi="Verdana" w:cs="Verdana"/>
                <w:i/>
                <w:noProof/>
                <w:color w:val="000000"/>
                <w:sz w:val="18"/>
              </w:rPr>
            </w:pPr>
            <w:r>
              <w:rPr>
                <w:rFonts w:ascii="Verdana" w:hAnsi="Verdana"/>
                <w:i/>
                <w:noProof/>
                <w:color w:val="000000"/>
                <w:sz w:val="18"/>
              </w:rPr>
              <w:t xml:space="preserve"> 380</w:t>
            </w:r>
          </w:p>
        </w:tc>
        <w:tc>
          <w:tcPr>
            <w:tcW w:w="1731" w:type="dxa"/>
            <w:tcBorders>
              <w:top w:val="nil"/>
              <w:left w:val="nil"/>
              <w:bottom w:val="nil"/>
              <w:right w:val="nil"/>
              <w:tl2br w:val="nil"/>
              <w:tr2bl w:val="nil"/>
            </w:tcBorders>
            <w:tcMar>
              <w:left w:w="60" w:type="dxa"/>
              <w:right w:w="60" w:type="dxa"/>
            </w:tcMar>
            <w:vAlign w:val="center"/>
          </w:tcPr>
          <w:p>
            <w:pPr>
              <w:pStyle w:val="DMETW36626BIPEQR"/>
              <w:jc w:val="right"/>
              <w:rPr>
                <w:rFonts w:ascii="Verdana" w:eastAsia="Verdana" w:hAnsi="Verdana" w:cs="Verdana"/>
                <w:i/>
                <w:noProof/>
                <w:color w:val="000000"/>
                <w:sz w:val="18"/>
              </w:rPr>
            </w:pPr>
            <w:r>
              <w:rPr>
                <w:rFonts w:ascii="Verdana" w:hAnsi="Verdana"/>
                <w:i/>
                <w:noProof/>
                <w:color w:val="000000"/>
                <w:sz w:val="18"/>
              </w:rPr>
              <w:t xml:space="preserve"> (380)</w:t>
            </w:r>
          </w:p>
        </w:tc>
      </w:tr>
      <w:tr>
        <w:trPr>
          <w:trHeight w:val="255"/>
        </w:trPr>
        <w:tc>
          <w:tcPr>
            <w:tcW w:w="6296" w:type="dxa"/>
            <w:tcBorders>
              <w:top w:val="nil"/>
              <w:left w:val="nil"/>
              <w:bottom w:val="nil"/>
              <w:right w:val="nil"/>
              <w:tl2br w:val="nil"/>
              <w:tr2bl w:val="nil"/>
            </w:tcBorders>
            <w:tcMar>
              <w:left w:w="60" w:type="dxa"/>
              <w:right w:w="60" w:type="dxa"/>
            </w:tcMar>
            <w:vAlign w:val="bottom"/>
          </w:tcPr>
          <w:p>
            <w:pPr>
              <w:pStyle w:val="DMETW36626BIPEQR"/>
              <w:rPr>
                <w:rFonts w:ascii="Verdana" w:eastAsia="Verdana" w:hAnsi="Verdana" w:cs="Verdana"/>
                <w:i/>
                <w:noProof/>
                <w:color w:val="000000"/>
                <w:sz w:val="18"/>
              </w:rPr>
            </w:pPr>
            <w:r>
              <w:rPr>
                <w:rFonts w:ascii="Verdana" w:hAnsi="Verdana"/>
                <w:i/>
                <w:noProof/>
                <w:color w:val="000000"/>
                <w:sz w:val="18"/>
              </w:rPr>
              <w:t xml:space="preserve">FMM, FNB et investissements dans des portefeuilles mis en commun </w:t>
            </w:r>
          </w:p>
        </w:tc>
        <w:tc>
          <w:tcPr>
            <w:tcW w:w="1731" w:type="dxa"/>
            <w:tcBorders>
              <w:top w:val="nil"/>
              <w:left w:val="nil"/>
              <w:bottom w:val="nil"/>
              <w:right w:val="nil"/>
              <w:tl2br w:val="nil"/>
              <w:tr2bl w:val="nil"/>
            </w:tcBorders>
            <w:tcMar>
              <w:left w:w="60" w:type="dxa"/>
              <w:right w:w="60" w:type="dxa"/>
            </w:tcMar>
            <w:vAlign w:val="center"/>
          </w:tcPr>
          <w:p>
            <w:pPr>
              <w:pStyle w:val="DMETW36626BIPEQR"/>
              <w:jc w:val="right"/>
              <w:rPr>
                <w:rFonts w:ascii="Verdana" w:eastAsia="Verdana" w:hAnsi="Verdana" w:cs="Verdana"/>
                <w:i/>
                <w:noProof/>
                <w:color w:val="000000"/>
                <w:sz w:val="18"/>
              </w:rPr>
            </w:pPr>
            <w:r>
              <w:rPr>
                <w:rFonts w:ascii="Verdana" w:hAnsi="Verdana"/>
                <w:i/>
                <w:noProof/>
                <w:color w:val="000000"/>
                <w:sz w:val="18"/>
              </w:rPr>
              <w:t xml:space="preserve"> 681</w:t>
            </w:r>
          </w:p>
        </w:tc>
        <w:tc>
          <w:tcPr>
            <w:tcW w:w="1731" w:type="dxa"/>
            <w:tcBorders>
              <w:top w:val="nil"/>
              <w:left w:val="nil"/>
              <w:bottom w:val="nil"/>
              <w:right w:val="nil"/>
              <w:tl2br w:val="nil"/>
              <w:tr2bl w:val="nil"/>
            </w:tcBorders>
            <w:tcMar>
              <w:left w:w="60" w:type="dxa"/>
              <w:right w:w="60" w:type="dxa"/>
            </w:tcMar>
            <w:vAlign w:val="center"/>
          </w:tcPr>
          <w:p>
            <w:pPr>
              <w:pStyle w:val="DMETW36626BIPEQR"/>
              <w:jc w:val="right"/>
              <w:rPr>
                <w:rFonts w:ascii="Verdana" w:eastAsia="Verdana" w:hAnsi="Verdana" w:cs="Verdana"/>
                <w:i/>
                <w:noProof/>
                <w:color w:val="000000"/>
                <w:sz w:val="18"/>
              </w:rPr>
            </w:pPr>
            <w:r>
              <w:rPr>
                <w:rFonts w:ascii="Verdana" w:hAnsi="Verdana"/>
                <w:i/>
                <w:noProof/>
                <w:color w:val="000000"/>
                <w:sz w:val="18"/>
              </w:rPr>
              <w:t xml:space="preserve"> (681)</w:t>
            </w:r>
          </w:p>
        </w:tc>
      </w:tr>
      <w:tr>
        <w:trPr>
          <w:trHeight w:val="255"/>
        </w:trPr>
        <w:tc>
          <w:tcPr>
            <w:tcW w:w="6296" w:type="dxa"/>
            <w:tcBorders>
              <w:top w:val="nil"/>
              <w:left w:val="nil"/>
              <w:bottom w:val="single" w:sz="4" w:space="0" w:color="016794"/>
              <w:right w:val="nil"/>
              <w:tl2br w:val="nil"/>
              <w:tr2bl w:val="nil"/>
            </w:tcBorders>
            <w:tcMar>
              <w:left w:w="60" w:type="dxa"/>
              <w:right w:w="60" w:type="dxa"/>
            </w:tcMar>
            <w:vAlign w:val="center"/>
          </w:tcPr>
          <w:p>
            <w:pPr>
              <w:pStyle w:val="DMETW36626BIPEQR"/>
              <w:rPr>
                <w:rFonts w:ascii="Verdana" w:eastAsia="Verdana" w:hAnsi="Verdana" w:cs="Verdana"/>
                <w:i/>
                <w:noProof/>
                <w:color w:val="000000"/>
                <w:sz w:val="18"/>
              </w:rPr>
            </w:pPr>
            <w:r>
              <w:rPr>
                <w:rFonts w:ascii="Verdana" w:hAnsi="Verdana"/>
                <w:i/>
                <w:noProof/>
                <w:color w:val="000000"/>
                <w:sz w:val="18"/>
              </w:rPr>
              <w:t>Garanties sur fonds propres*</w:t>
            </w:r>
          </w:p>
        </w:tc>
        <w:tc>
          <w:tcPr>
            <w:tcW w:w="1731" w:type="dxa"/>
            <w:tcBorders>
              <w:top w:val="nil"/>
              <w:left w:val="nil"/>
              <w:bottom w:val="single" w:sz="4" w:space="0" w:color="0070C0"/>
              <w:right w:val="nil"/>
              <w:tl2br w:val="nil"/>
              <w:tr2bl w:val="nil"/>
            </w:tcBorders>
            <w:tcMar>
              <w:left w:w="60" w:type="dxa"/>
              <w:right w:w="60" w:type="dxa"/>
            </w:tcMar>
            <w:vAlign w:val="center"/>
          </w:tcPr>
          <w:p>
            <w:pPr>
              <w:pStyle w:val="DMETW36626BIPEQR"/>
              <w:jc w:val="right"/>
              <w:rPr>
                <w:rFonts w:ascii="Verdana" w:eastAsia="Verdana" w:hAnsi="Verdana" w:cs="Verdana"/>
                <w:i/>
                <w:noProof/>
                <w:color w:val="000000"/>
                <w:sz w:val="18"/>
              </w:rPr>
            </w:pPr>
            <w:r>
              <w:rPr>
                <w:rFonts w:ascii="Verdana" w:hAnsi="Verdana"/>
                <w:i/>
                <w:noProof/>
                <w:color w:val="000000"/>
                <w:sz w:val="18"/>
              </w:rPr>
              <w:t xml:space="preserve"> 695</w:t>
            </w:r>
          </w:p>
        </w:tc>
        <w:tc>
          <w:tcPr>
            <w:tcW w:w="1731" w:type="dxa"/>
            <w:tcBorders>
              <w:top w:val="nil"/>
              <w:left w:val="nil"/>
              <w:bottom w:val="single" w:sz="4" w:space="0" w:color="0070C0"/>
              <w:right w:val="nil"/>
              <w:tl2br w:val="nil"/>
              <w:tr2bl w:val="nil"/>
            </w:tcBorders>
            <w:tcMar>
              <w:left w:w="60" w:type="dxa"/>
              <w:right w:w="60" w:type="dxa"/>
            </w:tcMar>
            <w:vAlign w:val="center"/>
          </w:tcPr>
          <w:p>
            <w:pPr>
              <w:pStyle w:val="DMETW36626BIPEQR"/>
              <w:jc w:val="right"/>
              <w:rPr>
                <w:rFonts w:ascii="Verdana" w:eastAsia="Verdana" w:hAnsi="Verdana" w:cs="Verdana"/>
                <w:i/>
                <w:noProof/>
                <w:color w:val="000000"/>
                <w:sz w:val="18"/>
              </w:rPr>
            </w:pPr>
            <w:r>
              <w:rPr>
                <w:rFonts w:ascii="Verdana" w:hAnsi="Verdana"/>
                <w:i/>
                <w:noProof/>
                <w:color w:val="000000"/>
                <w:sz w:val="18"/>
              </w:rPr>
              <w:t xml:space="preserve"> (695)</w:t>
            </w:r>
          </w:p>
        </w:tc>
      </w:tr>
      <w:tr>
        <w:trPr>
          <w:trHeight w:val="255"/>
        </w:trPr>
        <w:tc>
          <w:tcPr>
            <w:tcW w:w="629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26BIPEQR"/>
              <w:rPr>
                <w:rFonts w:ascii="Verdana" w:eastAsia="Verdana" w:hAnsi="Verdana" w:cs="Verdana"/>
                <w:b/>
                <w:noProof/>
                <w:color w:val="000000"/>
                <w:sz w:val="18"/>
              </w:rPr>
            </w:pPr>
            <w:r>
              <w:rPr>
                <w:rFonts w:ascii="Verdana" w:hAnsi="Verdana"/>
                <w:b/>
                <w:noProof/>
                <w:color w:val="000000"/>
                <w:sz w:val="18"/>
              </w:rPr>
              <w:t>Total au 31.12.2025</w:t>
            </w:r>
          </w:p>
        </w:tc>
        <w:tc>
          <w:tcPr>
            <w:tcW w:w="1731" w:type="dxa"/>
            <w:tcBorders>
              <w:top w:val="single" w:sz="4" w:space="0" w:color="0070C0"/>
              <w:left w:val="nil"/>
              <w:bottom w:val="single" w:sz="4" w:space="0" w:color="016794"/>
              <w:right w:val="nil"/>
              <w:tl2br w:val="nil"/>
              <w:tr2bl w:val="nil"/>
            </w:tcBorders>
            <w:tcMar>
              <w:left w:w="60" w:type="dxa"/>
              <w:right w:w="60" w:type="dxa"/>
            </w:tcMar>
            <w:vAlign w:val="center"/>
          </w:tcPr>
          <w:p>
            <w:pPr>
              <w:pStyle w:val="DMETW36626BIPEQR"/>
              <w:jc w:val="right"/>
              <w:rPr>
                <w:rFonts w:ascii="Verdana" w:eastAsia="Verdana" w:hAnsi="Verdana" w:cs="Verdana"/>
                <w:b/>
                <w:noProof/>
                <w:color w:val="000000"/>
                <w:sz w:val="18"/>
              </w:rPr>
            </w:pPr>
            <w:r>
              <w:rPr>
                <w:rFonts w:ascii="Verdana" w:hAnsi="Verdana"/>
                <w:b/>
                <w:noProof/>
                <w:color w:val="000000"/>
                <w:sz w:val="18"/>
              </w:rPr>
              <w:t>1 756</w:t>
            </w:r>
          </w:p>
        </w:tc>
        <w:tc>
          <w:tcPr>
            <w:tcW w:w="1731" w:type="dxa"/>
            <w:tcBorders>
              <w:top w:val="single" w:sz="4" w:space="0" w:color="0070C0"/>
              <w:left w:val="nil"/>
              <w:bottom w:val="single" w:sz="4" w:space="0" w:color="016794"/>
              <w:right w:val="nil"/>
              <w:tl2br w:val="nil"/>
              <w:tr2bl w:val="nil"/>
            </w:tcBorders>
            <w:tcMar>
              <w:left w:w="60" w:type="dxa"/>
              <w:right w:w="60" w:type="dxa"/>
            </w:tcMar>
            <w:vAlign w:val="center"/>
          </w:tcPr>
          <w:p>
            <w:pPr>
              <w:pStyle w:val="DMETW36626BIPEQR"/>
              <w:jc w:val="right"/>
              <w:rPr>
                <w:rFonts w:ascii="Verdana" w:eastAsia="Verdana" w:hAnsi="Verdana" w:cs="Verdana"/>
                <w:b/>
                <w:noProof/>
                <w:color w:val="000000"/>
                <w:sz w:val="18"/>
              </w:rPr>
            </w:pPr>
            <w:r>
              <w:rPr>
                <w:rFonts w:ascii="Verdana" w:hAnsi="Verdana"/>
                <w:b/>
                <w:noProof/>
                <w:color w:val="000000"/>
                <w:sz w:val="18"/>
              </w:rPr>
              <w:t>(1 756)</w:t>
            </w:r>
          </w:p>
        </w:tc>
      </w:tr>
      <w:tr>
        <w:trPr>
          <w:trHeight w:val="255"/>
        </w:trPr>
        <w:tc>
          <w:tcPr>
            <w:tcW w:w="6296" w:type="dxa"/>
            <w:tcBorders>
              <w:top w:val="single" w:sz="4" w:space="0" w:color="016794"/>
              <w:left w:val="nil"/>
              <w:bottom w:val="nil"/>
              <w:right w:val="nil"/>
              <w:tl2br w:val="nil"/>
              <w:tr2bl w:val="nil"/>
            </w:tcBorders>
            <w:tcMar>
              <w:left w:w="60" w:type="dxa"/>
              <w:right w:w="60" w:type="dxa"/>
            </w:tcMar>
            <w:vAlign w:val="center"/>
          </w:tcPr>
          <w:p>
            <w:pPr>
              <w:pStyle w:val="DMETW36626BIPEQR"/>
              <w:rPr>
                <w:rFonts w:ascii="Verdana" w:eastAsia="Verdana" w:hAnsi="Verdana" w:cs="Verdana"/>
                <w:i/>
                <w:noProof/>
                <w:color w:val="000000"/>
                <w:sz w:val="18"/>
              </w:rPr>
            </w:pPr>
            <w:r>
              <w:rPr>
                <w:rFonts w:ascii="Verdana" w:hAnsi="Verdana"/>
                <w:i/>
                <w:noProof/>
                <w:color w:val="000000"/>
                <w:sz w:val="18"/>
              </w:rPr>
              <w:t>Investissements en fonds propres</w:t>
            </w:r>
          </w:p>
        </w:tc>
        <w:tc>
          <w:tcPr>
            <w:tcW w:w="1731" w:type="dxa"/>
            <w:tcBorders>
              <w:top w:val="single" w:sz="4" w:space="0" w:color="016794"/>
              <w:left w:val="nil"/>
              <w:bottom w:val="nil"/>
              <w:right w:val="nil"/>
              <w:tl2br w:val="nil"/>
              <w:tr2bl w:val="nil"/>
            </w:tcBorders>
            <w:tcMar>
              <w:left w:w="60" w:type="dxa"/>
              <w:right w:w="60" w:type="dxa"/>
            </w:tcMar>
            <w:vAlign w:val="center"/>
          </w:tcPr>
          <w:p>
            <w:pPr>
              <w:pStyle w:val="DMETW36626BIPEQR"/>
              <w:jc w:val="right"/>
              <w:rPr>
                <w:rFonts w:ascii="Verdana" w:eastAsia="Verdana" w:hAnsi="Verdana" w:cs="Verdana"/>
                <w:i/>
                <w:noProof/>
                <w:color w:val="000000"/>
                <w:sz w:val="18"/>
              </w:rPr>
            </w:pPr>
            <w:r>
              <w:rPr>
                <w:rFonts w:ascii="Verdana" w:hAnsi="Verdana"/>
                <w:i/>
                <w:noProof/>
                <w:color w:val="000000"/>
                <w:sz w:val="18"/>
              </w:rPr>
              <w:t xml:space="preserve"> 320</w:t>
            </w:r>
          </w:p>
        </w:tc>
        <w:tc>
          <w:tcPr>
            <w:tcW w:w="1731" w:type="dxa"/>
            <w:tcBorders>
              <w:top w:val="single" w:sz="4" w:space="0" w:color="016794"/>
              <w:left w:val="nil"/>
              <w:bottom w:val="nil"/>
              <w:right w:val="nil"/>
              <w:tl2br w:val="nil"/>
              <w:tr2bl w:val="nil"/>
            </w:tcBorders>
            <w:tcMar>
              <w:left w:w="60" w:type="dxa"/>
              <w:right w:w="60" w:type="dxa"/>
            </w:tcMar>
            <w:vAlign w:val="center"/>
          </w:tcPr>
          <w:p>
            <w:pPr>
              <w:pStyle w:val="DMETW36626BIPEQR"/>
              <w:jc w:val="right"/>
              <w:rPr>
                <w:rFonts w:ascii="Verdana" w:eastAsia="Verdana" w:hAnsi="Verdana" w:cs="Verdana"/>
                <w:i/>
                <w:noProof/>
                <w:color w:val="000000"/>
                <w:sz w:val="18"/>
              </w:rPr>
            </w:pPr>
            <w:r>
              <w:rPr>
                <w:rFonts w:ascii="Verdana" w:hAnsi="Verdana"/>
                <w:i/>
                <w:noProof/>
                <w:color w:val="000000"/>
                <w:sz w:val="18"/>
              </w:rPr>
              <w:t xml:space="preserve"> (320)</w:t>
            </w:r>
          </w:p>
        </w:tc>
      </w:tr>
      <w:tr>
        <w:trPr>
          <w:trHeight w:val="255"/>
        </w:trPr>
        <w:tc>
          <w:tcPr>
            <w:tcW w:w="6296" w:type="dxa"/>
            <w:tcBorders>
              <w:top w:val="nil"/>
              <w:left w:val="nil"/>
              <w:bottom w:val="nil"/>
              <w:right w:val="nil"/>
              <w:tl2br w:val="nil"/>
              <w:tr2bl w:val="nil"/>
            </w:tcBorders>
            <w:tcMar>
              <w:left w:w="60" w:type="dxa"/>
              <w:right w:w="60" w:type="dxa"/>
            </w:tcMar>
            <w:vAlign w:val="bottom"/>
          </w:tcPr>
          <w:p>
            <w:pPr>
              <w:pStyle w:val="DMETW36626BIPEQR"/>
              <w:rPr>
                <w:rFonts w:ascii="Verdana" w:eastAsia="Verdana" w:hAnsi="Verdana" w:cs="Verdana"/>
                <w:i/>
                <w:noProof/>
                <w:color w:val="000000"/>
                <w:sz w:val="18"/>
              </w:rPr>
            </w:pPr>
            <w:r>
              <w:rPr>
                <w:rFonts w:ascii="Verdana" w:hAnsi="Verdana"/>
                <w:i/>
                <w:noProof/>
                <w:color w:val="000000"/>
                <w:sz w:val="18"/>
              </w:rPr>
              <w:t xml:space="preserve">FMM, FNB et investissements dans des portefeuilles mis en commun </w:t>
            </w:r>
          </w:p>
        </w:tc>
        <w:tc>
          <w:tcPr>
            <w:tcW w:w="1731" w:type="dxa"/>
            <w:tcBorders>
              <w:top w:val="nil"/>
              <w:left w:val="nil"/>
              <w:bottom w:val="nil"/>
              <w:right w:val="nil"/>
              <w:tl2br w:val="nil"/>
              <w:tr2bl w:val="nil"/>
            </w:tcBorders>
            <w:tcMar>
              <w:left w:w="60" w:type="dxa"/>
              <w:right w:w="60" w:type="dxa"/>
            </w:tcMar>
            <w:vAlign w:val="center"/>
          </w:tcPr>
          <w:p>
            <w:pPr>
              <w:pStyle w:val="DMETW36626BIPEQR"/>
              <w:jc w:val="right"/>
              <w:rPr>
                <w:rFonts w:ascii="Verdana" w:eastAsia="Verdana" w:hAnsi="Verdana" w:cs="Verdana"/>
                <w:i/>
                <w:noProof/>
                <w:color w:val="000000"/>
                <w:sz w:val="18"/>
              </w:rPr>
            </w:pPr>
            <w:r>
              <w:rPr>
                <w:rFonts w:ascii="Verdana" w:hAnsi="Verdana"/>
                <w:i/>
                <w:noProof/>
                <w:color w:val="000000"/>
                <w:sz w:val="18"/>
              </w:rPr>
              <w:t xml:space="preserve"> 598</w:t>
            </w:r>
          </w:p>
        </w:tc>
        <w:tc>
          <w:tcPr>
            <w:tcW w:w="1731" w:type="dxa"/>
            <w:tcBorders>
              <w:top w:val="nil"/>
              <w:left w:val="nil"/>
              <w:bottom w:val="nil"/>
              <w:right w:val="nil"/>
              <w:tl2br w:val="nil"/>
              <w:tr2bl w:val="nil"/>
            </w:tcBorders>
            <w:tcMar>
              <w:left w:w="60" w:type="dxa"/>
              <w:right w:w="60" w:type="dxa"/>
            </w:tcMar>
            <w:vAlign w:val="center"/>
          </w:tcPr>
          <w:p>
            <w:pPr>
              <w:pStyle w:val="DMETW36626BIPEQR"/>
              <w:jc w:val="right"/>
              <w:rPr>
                <w:rFonts w:ascii="Verdana" w:eastAsia="Verdana" w:hAnsi="Verdana" w:cs="Verdana"/>
                <w:i/>
                <w:noProof/>
                <w:color w:val="000000"/>
                <w:sz w:val="18"/>
              </w:rPr>
            </w:pPr>
            <w:r>
              <w:rPr>
                <w:rFonts w:ascii="Verdana" w:hAnsi="Verdana"/>
                <w:i/>
                <w:noProof/>
                <w:color w:val="000000"/>
                <w:sz w:val="18"/>
              </w:rPr>
              <w:t xml:space="preserve"> (598)</w:t>
            </w:r>
          </w:p>
        </w:tc>
      </w:tr>
      <w:tr>
        <w:trPr>
          <w:trHeight w:val="255"/>
        </w:trPr>
        <w:tc>
          <w:tcPr>
            <w:tcW w:w="6296" w:type="dxa"/>
            <w:tcBorders>
              <w:top w:val="nil"/>
              <w:left w:val="nil"/>
              <w:bottom w:val="single" w:sz="4" w:space="0" w:color="016794"/>
              <w:right w:val="nil"/>
              <w:tl2br w:val="nil"/>
              <w:tr2bl w:val="nil"/>
            </w:tcBorders>
            <w:tcMar>
              <w:left w:w="60" w:type="dxa"/>
              <w:right w:w="60" w:type="dxa"/>
            </w:tcMar>
            <w:vAlign w:val="center"/>
          </w:tcPr>
          <w:p>
            <w:pPr>
              <w:pStyle w:val="DMETW36626BIPEQR"/>
              <w:rPr>
                <w:rFonts w:ascii="Verdana" w:eastAsia="Verdana" w:hAnsi="Verdana" w:cs="Verdana"/>
                <w:i/>
                <w:noProof/>
                <w:color w:val="000000"/>
                <w:sz w:val="18"/>
              </w:rPr>
            </w:pPr>
            <w:r>
              <w:rPr>
                <w:rFonts w:ascii="Verdana" w:hAnsi="Verdana"/>
                <w:i/>
                <w:noProof/>
                <w:color w:val="000000"/>
                <w:sz w:val="18"/>
              </w:rPr>
              <w:t>Garanties sur fonds propres*</w:t>
            </w:r>
          </w:p>
        </w:tc>
        <w:tc>
          <w:tcPr>
            <w:tcW w:w="1731" w:type="dxa"/>
            <w:tcBorders>
              <w:top w:val="nil"/>
              <w:left w:val="nil"/>
              <w:bottom w:val="single" w:sz="4" w:space="0" w:color="016794"/>
              <w:right w:val="nil"/>
              <w:tl2br w:val="nil"/>
              <w:tr2bl w:val="nil"/>
            </w:tcBorders>
            <w:tcMar>
              <w:left w:w="60" w:type="dxa"/>
              <w:right w:w="60" w:type="dxa"/>
            </w:tcMar>
            <w:vAlign w:val="center"/>
          </w:tcPr>
          <w:p>
            <w:pPr>
              <w:pStyle w:val="DMETW36626BIPEQR"/>
              <w:jc w:val="right"/>
              <w:rPr>
                <w:rFonts w:ascii="Verdana" w:eastAsia="Verdana" w:hAnsi="Verdana" w:cs="Verdana"/>
                <w:i/>
                <w:noProof/>
                <w:color w:val="000000"/>
                <w:sz w:val="18"/>
              </w:rPr>
            </w:pPr>
            <w:r>
              <w:rPr>
                <w:rFonts w:ascii="Verdana" w:hAnsi="Verdana"/>
                <w:i/>
                <w:noProof/>
                <w:color w:val="000000"/>
                <w:sz w:val="18"/>
              </w:rPr>
              <w:t xml:space="preserve"> 606</w:t>
            </w:r>
          </w:p>
        </w:tc>
        <w:tc>
          <w:tcPr>
            <w:tcW w:w="1731" w:type="dxa"/>
            <w:tcBorders>
              <w:top w:val="nil"/>
              <w:left w:val="nil"/>
              <w:bottom w:val="single" w:sz="4" w:space="0" w:color="016794"/>
              <w:right w:val="nil"/>
              <w:tl2br w:val="nil"/>
              <w:tr2bl w:val="nil"/>
            </w:tcBorders>
            <w:tcMar>
              <w:left w:w="60" w:type="dxa"/>
              <w:right w:w="60" w:type="dxa"/>
            </w:tcMar>
            <w:vAlign w:val="center"/>
          </w:tcPr>
          <w:p>
            <w:pPr>
              <w:pStyle w:val="DMETW36626BIPEQR"/>
              <w:jc w:val="right"/>
              <w:rPr>
                <w:rFonts w:ascii="Verdana" w:eastAsia="Verdana" w:hAnsi="Verdana" w:cs="Verdana"/>
                <w:i/>
                <w:noProof/>
                <w:color w:val="000000"/>
                <w:sz w:val="18"/>
              </w:rPr>
            </w:pPr>
            <w:r>
              <w:rPr>
                <w:rFonts w:ascii="Verdana" w:hAnsi="Verdana"/>
                <w:i/>
                <w:noProof/>
                <w:color w:val="000000"/>
                <w:sz w:val="18"/>
              </w:rPr>
              <w:t xml:space="preserve"> (606)</w:t>
            </w:r>
          </w:p>
        </w:tc>
      </w:tr>
      <w:tr>
        <w:trPr>
          <w:trHeight w:val="255"/>
        </w:trPr>
        <w:tc>
          <w:tcPr>
            <w:tcW w:w="629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26BIPEQR"/>
              <w:rPr>
                <w:rFonts w:ascii="Verdana" w:eastAsia="Verdana" w:hAnsi="Verdana" w:cs="Verdana"/>
                <w:b/>
                <w:noProof/>
                <w:color w:val="000000"/>
                <w:sz w:val="18"/>
              </w:rPr>
            </w:pPr>
            <w:r>
              <w:rPr>
                <w:rFonts w:ascii="Verdana" w:hAnsi="Verdana"/>
                <w:b/>
                <w:noProof/>
                <w:color w:val="000000"/>
                <w:sz w:val="18"/>
              </w:rPr>
              <w:t>Total au 31.12.2024</w:t>
            </w:r>
          </w:p>
        </w:tc>
        <w:tc>
          <w:tcPr>
            <w:tcW w:w="173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26BIPEQR"/>
              <w:jc w:val="right"/>
              <w:rPr>
                <w:rFonts w:ascii="Verdana" w:eastAsia="Verdana" w:hAnsi="Verdana" w:cs="Verdana"/>
                <w:b/>
                <w:noProof/>
                <w:color w:val="000000"/>
                <w:sz w:val="18"/>
              </w:rPr>
            </w:pPr>
            <w:r>
              <w:rPr>
                <w:rFonts w:ascii="Verdana" w:hAnsi="Verdana"/>
                <w:b/>
                <w:noProof/>
                <w:color w:val="000000"/>
                <w:sz w:val="18"/>
              </w:rPr>
              <w:t>1 523</w:t>
            </w:r>
          </w:p>
        </w:tc>
        <w:tc>
          <w:tcPr>
            <w:tcW w:w="173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26BIPEQR"/>
              <w:jc w:val="right"/>
              <w:rPr>
                <w:rFonts w:ascii="Verdana" w:eastAsia="Verdana" w:hAnsi="Verdana" w:cs="Verdana"/>
                <w:b/>
                <w:noProof/>
                <w:color w:val="000000"/>
                <w:sz w:val="18"/>
              </w:rPr>
            </w:pPr>
            <w:r>
              <w:rPr>
                <w:rFonts w:ascii="Verdana" w:hAnsi="Verdana"/>
                <w:b/>
                <w:noProof/>
                <w:color w:val="000000"/>
                <w:sz w:val="18"/>
              </w:rPr>
              <w:t>(1 523)</w:t>
            </w:r>
          </w:p>
        </w:tc>
      </w:tr>
    </w:tbl>
    <w:p>
      <w:pPr>
        <w:pStyle w:val="DGTextstand-alone"/>
        <w:spacing w:before="60"/>
        <w:rPr>
          <w:i/>
          <w:iCs/>
          <w:sz w:val="14"/>
          <w:szCs w:val="14"/>
        </w:rPr>
      </w:pPr>
      <w:r>
        <w:rPr>
          <w:i/>
          <w:color w:val="000000"/>
          <w:sz w:val="14"/>
          <w:vertAlign w:val="superscript"/>
        </w:rPr>
        <w:t>*</w:t>
      </w:r>
      <w:r>
        <w:rPr>
          <w:i/>
          <w:sz w:val="14"/>
        </w:rPr>
        <w:t>Le risque de garanties sur fonds propres est fondé sur le montant notionnel couvert par la garantie.</w:t>
      </w:r>
    </w:p>
    <w:p>
      <w:pPr>
        <w:pStyle w:val="DGTextstand-alone"/>
      </w:pPr>
      <w:r>
        <w:t>L’UE investit dans des actifs non cotés, ou garantit des actifs non cotés, dont les valeurs ne sont pas accessibles au public. Ces actifs sont généralement mis en œuvre par des entités responsables, à savoir des experts du secteur qui évaluent et contrôlent régulièrement leur valeur.</w:t>
      </w:r>
    </w:p>
    <w:p>
      <w:pPr>
        <w:pStyle w:val="HEADER2NOTES"/>
        <w:numPr>
          <w:ilvl w:val="1"/>
          <w:numId w:val="15"/>
        </w:numPr>
        <w:jc w:val="both"/>
        <w:rPr>
          <w:noProof/>
        </w:rPr>
      </w:pPr>
      <w:r>
        <w:rPr>
          <w:noProof/>
        </w:rPr>
        <w:t>RISQUE DE CRÉDIT</w:t>
      </w:r>
    </w:p>
    <w:p>
      <w:pPr>
        <w:pStyle w:val="HEADER5"/>
        <w:rPr>
          <w:noProof/>
        </w:rPr>
      </w:pPr>
      <w:r>
        <w:rPr>
          <w:noProof/>
        </w:rPr>
        <w:t xml:space="preserve">Exposition maximale au risque de crédit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97"/>
        <w:gridCol w:w="1843"/>
        <w:gridCol w:w="1618"/>
      </w:tblGrid>
      <w:tr>
        <w:trPr>
          <w:trHeight w:hRule="exact" w:val="255"/>
        </w:trPr>
        <w:tc>
          <w:tcPr>
            <w:tcW w:w="6297" w:type="dxa"/>
            <w:tcBorders>
              <w:top w:val="nil"/>
              <w:left w:val="nil"/>
              <w:bottom w:val="nil"/>
              <w:right w:val="nil"/>
              <w:tl2br w:val="nil"/>
              <w:tr2bl w:val="nil"/>
            </w:tcBorders>
            <w:tcMar>
              <w:left w:w="60" w:type="dxa"/>
              <w:right w:w="60" w:type="dxa"/>
            </w:tcMar>
            <w:vAlign w:val="bottom"/>
          </w:tcPr>
          <w:p>
            <w:pPr>
              <w:pStyle w:val="DMETW36755BIPCDTRCY"/>
              <w:rPr>
                <w:rFonts w:ascii="Verdana" w:eastAsia="Verdana" w:hAnsi="Verdana" w:cs="Verdana"/>
                <w:noProof/>
                <w:color w:val="000000"/>
              </w:rPr>
            </w:pPr>
            <w:bookmarkStart w:id="226" w:name="DOC_TBL00094_1_1"/>
            <w:bookmarkEnd w:id="226"/>
          </w:p>
        </w:tc>
        <w:tc>
          <w:tcPr>
            <w:tcW w:w="1843" w:type="dxa"/>
            <w:tcBorders>
              <w:top w:val="nil"/>
              <w:left w:val="nil"/>
              <w:bottom w:val="nil"/>
              <w:right w:val="nil"/>
              <w:tl2br w:val="nil"/>
              <w:tr2bl w:val="nil"/>
            </w:tcBorders>
            <w:tcMar>
              <w:left w:w="60" w:type="dxa"/>
              <w:right w:w="60" w:type="dxa"/>
            </w:tcMar>
            <w:vAlign w:val="bottom"/>
          </w:tcPr>
          <w:p>
            <w:pPr>
              <w:pStyle w:val="DMETW36755BIPCDTRCY"/>
              <w:jc w:val="right"/>
              <w:rPr>
                <w:rFonts w:ascii="Verdana" w:eastAsia="Verdana" w:hAnsi="Verdana" w:cs="Verdana"/>
                <w:i/>
                <w:noProof/>
                <w:color w:val="000000"/>
                <w:sz w:val="16"/>
              </w:rPr>
            </w:pPr>
          </w:p>
        </w:tc>
        <w:tc>
          <w:tcPr>
            <w:tcW w:w="1618" w:type="dxa"/>
            <w:tcBorders>
              <w:top w:val="nil"/>
              <w:left w:val="nil"/>
              <w:bottom w:val="nil"/>
              <w:right w:val="nil"/>
              <w:tl2br w:val="nil"/>
              <w:tr2bl w:val="nil"/>
            </w:tcBorders>
            <w:tcMar>
              <w:left w:w="60" w:type="dxa"/>
              <w:right w:w="60" w:type="dxa"/>
            </w:tcMar>
            <w:vAlign w:val="bottom"/>
          </w:tcPr>
          <w:p>
            <w:pPr>
              <w:pStyle w:val="DMETW36755BIPCDTRCY"/>
              <w:jc w:val="right"/>
              <w:rPr>
                <w:rFonts w:ascii="Verdana" w:eastAsia="Verdana" w:hAnsi="Verdana" w:cs="Verdana"/>
                <w:i/>
                <w:noProof/>
                <w:color w:val="000000"/>
                <w:sz w:val="16"/>
              </w:rPr>
            </w:pPr>
            <w:r>
              <w:rPr>
                <w:rFonts w:ascii="Verdana" w:hAnsi="Verdana"/>
                <w:i/>
                <w:noProof/>
                <w:color w:val="000000"/>
                <w:sz w:val="16"/>
              </w:rPr>
              <w:t>en Mio EUR</w:t>
            </w:r>
          </w:p>
        </w:tc>
      </w:tr>
      <w:tr>
        <w:trPr>
          <w:trHeight w:hRule="exact" w:val="255"/>
        </w:trPr>
        <w:tc>
          <w:tcPr>
            <w:tcW w:w="6297" w:type="dxa"/>
            <w:tcBorders>
              <w:top w:val="nil"/>
              <w:left w:val="nil"/>
              <w:bottom w:val="nil"/>
              <w:right w:val="nil"/>
              <w:tl2br w:val="nil"/>
              <w:tr2bl w:val="nil"/>
            </w:tcBorders>
            <w:shd w:val="solid" w:color="016794" w:fill="FFFFFF"/>
            <w:tcMar>
              <w:left w:w="60" w:type="dxa"/>
              <w:right w:w="60" w:type="dxa"/>
            </w:tcMar>
            <w:vAlign w:val="center"/>
          </w:tcPr>
          <w:p>
            <w:pPr>
              <w:pStyle w:val="DMETW36755BIPCDTRCY"/>
              <w:rPr>
                <w:rFonts w:ascii="Verdana" w:eastAsia="Verdana" w:hAnsi="Verdana" w:cs="Verdana"/>
                <w:noProof/>
                <w:color w:val="FFFFFF"/>
              </w:rPr>
            </w:pPr>
          </w:p>
        </w:tc>
        <w:tc>
          <w:tcPr>
            <w:tcW w:w="1843" w:type="dxa"/>
            <w:tcBorders>
              <w:top w:val="nil"/>
              <w:left w:val="nil"/>
              <w:bottom w:val="nil"/>
              <w:right w:val="nil"/>
              <w:tl2br w:val="nil"/>
              <w:tr2bl w:val="nil"/>
            </w:tcBorders>
            <w:shd w:val="solid" w:color="016794" w:fill="FFFFFF"/>
            <w:tcMar>
              <w:left w:w="60" w:type="dxa"/>
              <w:right w:w="60" w:type="dxa"/>
            </w:tcMar>
            <w:vAlign w:val="center"/>
          </w:tcPr>
          <w:p>
            <w:pPr>
              <w:pStyle w:val="DMETW36755BIPCDTRCY"/>
              <w:jc w:val="right"/>
              <w:rPr>
                <w:rFonts w:ascii="Verdana" w:eastAsia="Verdana" w:hAnsi="Verdana" w:cs="Verdana"/>
                <w:noProof/>
                <w:color w:val="FFFFFF"/>
              </w:rPr>
            </w:pPr>
            <w:r>
              <w:rPr>
                <w:rFonts w:ascii="Verdana" w:hAnsi="Verdana"/>
                <w:noProof/>
                <w:color w:val="FFFFFF"/>
              </w:rPr>
              <w:t>31.12.2025</w:t>
            </w:r>
          </w:p>
        </w:tc>
        <w:tc>
          <w:tcPr>
            <w:tcW w:w="1618" w:type="dxa"/>
            <w:tcBorders>
              <w:top w:val="nil"/>
              <w:left w:val="nil"/>
              <w:bottom w:val="nil"/>
              <w:right w:val="nil"/>
              <w:tl2br w:val="nil"/>
              <w:tr2bl w:val="nil"/>
            </w:tcBorders>
            <w:shd w:val="solid" w:color="016794" w:fill="FFFFFF"/>
            <w:tcMar>
              <w:left w:w="60" w:type="dxa"/>
              <w:right w:w="60" w:type="dxa"/>
            </w:tcMar>
            <w:vAlign w:val="center"/>
          </w:tcPr>
          <w:p>
            <w:pPr>
              <w:pStyle w:val="DMETW36755BIPCDTRCY"/>
              <w:jc w:val="right"/>
              <w:rPr>
                <w:rFonts w:ascii="Verdana" w:eastAsia="Verdana" w:hAnsi="Verdana" w:cs="Verdana"/>
                <w:noProof/>
                <w:color w:val="FFFFFF"/>
              </w:rPr>
            </w:pPr>
            <w:r>
              <w:rPr>
                <w:rFonts w:ascii="Verdana" w:hAnsi="Verdana"/>
                <w:noProof/>
                <w:color w:val="FFFFFF"/>
              </w:rPr>
              <w:t>31.12.2024</w:t>
            </w:r>
          </w:p>
        </w:tc>
      </w:tr>
      <w:tr>
        <w:trPr>
          <w:trHeight w:hRule="exact" w:val="255"/>
        </w:trPr>
        <w:tc>
          <w:tcPr>
            <w:tcW w:w="6297" w:type="dxa"/>
            <w:tcBorders>
              <w:top w:val="nil"/>
              <w:left w:val="nil"/>
              <w:bottom w:val="nil"/>
              <w:right w:val="nil"/>
              <w:tl2br w:val="nil"/>
              <w:tr2bl w:val="nil"/>
            </w:tcBorders>
            <w:tcMar>
              <w:left w:w="60" w:type="dxa"/>
              <w:right w:w="60" w:type="dxa"/>
            </w:tcMar>
            <w:vAlign w:val="center"/>
          </w:tcPr>
          <w:p>
            <w:pPr>
              <w:pStyle w:val="DMETW36755BIPCDTRCY"/>
              <w:rPr>
                <w:rFonts w:ascii="Verdana" w:eastAsia="Verdana" w:hAnsi="Verdana" w:cs="Verdana"/>
                <w:b/>
                <w:noProof/>
                <w:color w:val="000000"/>
                <w:sz w:val="18"/>
              </w:rPr>
            </w:pPr>
            <w:r>
              <w:rPr>
                <w:rFonts w:ascii="Verdana" w:hAnsi="Verdana"/>
                <w:b/>
                <w:noProof/>
                <w:color w:val="000000"/>
                <w:sz w:val="18"/>
              </w:rPr>
              <w:t>Actifs financiers</w:t>
            </w:r>
          </w:p>
        </w:tc>
        <w:tc>
          <w:tcPr>
            <w:tcW w:w="1843" w:type="dxa"/>
            <w:tcBorders>
              <w:top w:val="nil"/>
              <w:left w:val="nil"/>
              <w:bottom w:val="nil"/>
              <w:right w:val="nil"/>
              <w:tl2br w:val="nil"/>
              <w:tr2bl w:val="nil"/>
            </w:tcBorders>
            <w:tcMar>
              <w:left w:w="60" w:type="dxa"/>
              <w:right w:w="60" w:type="dxa"/>
            </w:tcMar>
            <w:vAlign w:val="center"/>
          </w:tcPr>
          <w:p>
            <w:pPr>
              <w:pStyle w:val="DMETW36755BIPCDTRCY"/>
              <w:jc w:val="right"/>
              <w:rPr>
                <w:rFonts w:ascii="Verdana" w:eastAsia="Verdana" w:hAnsi="Verdana" w:cs="Verdana"/>
                <w:i/>
                <w:noProof/>
                <w:color w:val="000000"/>
                <w:sz w:val="18"/>
              </w:rPr>
            </w:pPr>
          </w:p>
        </w:tc>
        <w:tc>
          <w:tcPr>
            <w:tcW w:w="1618" w:type="dxa"/>
            <w:tcBorders>
              <w:top w:val="nil"/>
              <w:left w:val="nil"/>
              <w:bottom w:val="nil"/>
              <w:right w:val="nil"/>
              <w:tl2br w:val="nil"/>
              <w:tr2bl w:val="nil"/>
            </w:tcBorders>
            <w:tcMar>
              <w:left w:w="60" w:type="dxa"/>
              <w:right w:w="60" w:type="dxa"/>
            </w:tcMar>
            <w:vAlign w:val="center"/>
          </w:tcPr>
          <w:p>
            <w:pPr>
              <w:pStyle w:val="DMETW36755BIPCDTRCY"/>
              <w:jc w:val="right"/>
              <w:rPr>
                <w:rFonts w:ascii="Verdana" w:eastAsia="Verdana" w:hAnsi="Verdana" w:cs="Verdana"/>
                <w:i/>
                <w:noProof/>
                <w:color w:val="000000"/>
                <w:sz w:val="18"/>
                <w:lang w:bidi="en-GB"/>
              </w:rPr>
            </w:pPr>
          </w:p>
        </w:tc>
      </w:tr>
      <w:tr>
        <w:trPr>
          <w:trHeight w:hRule="exact" w:val="255"/>
        </w:trPr>
        <w:tc>
          <w:tcPr>
            <w:tcW w:w="6297" w:type="dxa"/>
            <w:tcBorders>
              <w:top w:val="nil"/>
              <w:left w:val="nil"/>
              <w:bottom w:val="nil"/>
              <w:right w:val="nil"/>
              <w:tl2br w:val="nil"/>
              <w:tr2bl w:val="nil"/>
            </w:tcBorders>
            <w:tcMar>
              <w:left w:w="60" w:type="dxa"/>
              <w:right w:w="60" w:type="dxa"/>
            </w:tcMar>
            <w:vAlign w:val="center"/>
          </w:tcPr>
          <w:p>
            <w:pPr>
              <w:pStyle w:val="DMETW36755BIPCDTRCY"/>
              <w:rPr>
                <w:rFonts w:ascii="Verdana" w:eastAsia="Verdana" w:hAnsi="Verdana" w:cs="Verdana"/>
                <w:i/>
                <w:noProof/>
                <w:color w:val="000000"/>
                <w:sz w:val="18"/>
              </w:rPr>
            </w:pPr>
            <w:r>
              <w:rPr>
                <w:rFonts w:ascii="Verdana" w:hAnsi="Verdana"/>
                <w:i/>
                <w:noProof/>
                <w:color w:val="000000"/>
                <w:sz w:val="18"/>
              </w:rPr>
              <w:t>Prêts</w:t>
            </w:r>
          </w:p>
        </w:tc>
        <w:tc>
          <w:tcPr>
            <w:tcW w:w="1843" w:type="dxa"/>
            <w:tcBorders>
              <w:top w:val="nil"/>
              <w:left w:val="nil"/>
              <w:bottom w:val="nil"/>
              <w:right w:val="nil"/>
              <w:tl2br w:val="nil"/>
              <w:tr2bl w:val="nil"/>
            </w:tcBorders>
            <w:tcMar>
              <w:left w:w="60" w:type="dxa"/>
              <w:right w:w="60" w:type="dxa"/>
            </w:tcMar>
            <w:vAlign w:val="center"/>
          </w:tcPr>
          <w:p>
            <w:pPr>
              <w:pStyle w:val="DMETW36755BIPCDTRCY"/>
              <w:jc w:val="right"/>
              <w:rPr>
                <w:rFonts w:ascii="Verdana" w:eastAsia="Verdana" w:hAnsi="Verdana" w:cs="Verdana"/>
                <w:i/>
                <w:noProof/>
                <w:color w:val="000000"/>
                <w:sz w:val="18"/>
              </w:rPr>
            </w:pPr>
            <w:r>
              <w:rPr>
                <w:rFonts w:ascii="Verdana" w:hAnsi="Verdana"/>
                <w:i/>
                <w:noProof/>
                <w:color w:val="000000"/>
                <w:sz w:val="18"/>
              </w:rPr>
              <w:t>333 432</w:t>
            </w:r>
          </w:p>
        </w:tc>
        <w:tc>
          <w:tcPr>
            <w:tcW w:w="1618" w:type="dxa"/>
            <w:tcBorders>
              <w:top w:val="nil"/>
              <w:left w:val="nil"/>
              <w:bottom w:val="nil"/>
              <w:right w:val="nil"/>
              <w:tl2br w:val="nil"/>
              <w:tr2bl w:val="nil"/>
            </w:tcBorders>
            <w:tcMar>
              <w:left w:w="60" w:type="dxa"/>
              <w:right w:w="60" w:type="dxa"/>
            </w:tcMar>
            <w:vAlign w:val="center"/>
          </w:tcPr>
          <w:p>
            <w:pPr>
              <w:pStyle w:val="DMETW36755BIPCDTRCY"/>
              <w:jc w:val="right"/>
              <w:rPr>
                <w:rFonts w:ascii="Verdana" w:eastAsia="Verdana" w:hAnsi="Verdana" w:cs="Verdana"/>
                <w:i/>
                <w:noProof/>
                <w:color w:val="000000"/>
                <w:sz w:val="18"/>
              </w:rPr>
            </w:pPr>
            <w:r>
              <w:rPr>
                <w:rFonts w:ascii="Verdana" w:hAnsi="Verdana"/>
                <w:i/>
                <w:noProof/>
                <w:color w:val="000000"/>
                <w:sz w:val="18"/>
              </w:rPr>
              <w:t>283 580</w:t>
            </w:r>
          </w:p>
        </w:tc>
      </w:tr>
      <w:tr>
        <w:trPr>
          <w:trHeight w:hRule="exact" w:val="255"/>
        </w:trPr>
        <w:tc>
          <w:tcPr>
            <w:tcW w:w="6297" w:type="dxa"/>
            <w:tcBorders>
              <w:top w:val="nil"/>
              <w:left w:val="nil"/>
              <w:bottom w:val="nil"/>
              <w:right w:val="nil"/>
              <w:tl2br w:val="nil"/>
              <w:tr2bl w:val="nil"/>
            </w:tcBorders>
            <w:tcMar>
              <w:left w:w="60" w:type="dxa"/>
              <w:right w:w="60" w:type="dxa"/>
            </w:tcMar>
            <w:vAlign w:val="center"/>
          </w:tcPr>
          <w:p>
            <w:pPr>
              <w:pStyle w:val="DMETW36755BIPCDTRCY"/>
              <w:rPr>
                <w:rFonts w:ascii="Verdana" w:eastAsia="Verdana" w:hAnsi="Verdana" w:cs="Verdana"/>
                <w:i/>
                <w:noProof/>
                <w:color w:val="000000"/>
                <w:sz w:val="18"/>
              </w:rPr>
            </w:pPr>
            <w:r>
              <w:rPr>
                <w:rFonts w:ascii="Verdana" w:hAnsi="Verdana"/>
                <w:i/>
                <w:noProof/>
                <w:color w:val="000000"/>
                <w:sz w:val="18"/>
              </w:rPr>
              <w:t>Trésorerie et équivalents de trésorerie</w:t>
            </w:r>
          </w:p>
        </w:tc>
        <w:tc>
          <w:tcPr>
            <w:tcW w:w="1843" w:type="dxa"/>
            <w:tcBorders>
              <w:top w:val="nil"/>
              <w:left w:val="nil"/>
              <w:bottom w:val="nil"/>
              <w:right w:val="nil"/>
              <w:tl2br w:val="nil"/>
              <w:tr2bl w:val="nil"/>
            </w:tcBorders>
            <w:tcMar>
              <w:left w:w="60" w:type="dxa"/>
              <w:right w:w="60" w:type="dxa"/>
            </w:tcMar>
            <w:vAlign w:val="center"/>
          </w:tcPr>
          <w:p>
            <w:pPr>
              <w:pStyle w:val="DMETW36755BIPCDTRCY"/>
              <w:jc w:val="right"/>
              <w:rPr>
                <w:rFonts w:ascii="Verdana" w:eastAsia="Verdana" w:hAnsi="Verdana" w:cs="Verdana"/>
                <w:i/>
                <w:noProof/>
                <w:color w:val="000000"/>
                <w:sz w:val="18"/>
              </w:rPr>
            </w:pPr>
            <w:r>
              <w:rPr>
                <w:rFonts w:ascii="Verdana" w:hAnsi="Verdana"/>
                <w:i/>
                <w:noProof/>
                <w:color w:val="000000"/>
                <w:sz w:val="18"/>
              </w:rPr>
              <w:t>103 041</w:t>
            </w:r>
          </w:p>
        </w:tc>
        <w:tc>
          <w:tcPr>
            <w:tcW w:w="1618" w:type="dxa"/>
            <w:tcBorders>
              <w:top w:val="nil"/>
              <w:left w:val="nil"/>
              <w:bottom w:val="nil"/>
              <w:right w:val="nil"/>
              <w:tl2br w:val="nil"/>
              <w:tr2bl w:val="nil"/>
            </w:tcBorders>
            <w:tcMar>
              <w:left w:w="60" w:type="dxa"/>
              <w:right w:w="60" w:type="dxa"/>
            </w:tcMar>
            <w:vAlign w:val="center"/>
          </w:tcPr>
          <w:p>
            <w:pPr>
              <w:pStyle w:val="DMETW36755BIPCDTRCY"/>
              <w:jc w:val="right"/>
              <w:rPr>
                <w:rFonts w:ascii="Verdana" w:eastAsia="Verdana" w:hAnsi="Verdana" w:cs="Verdana"/>
                <w:i/>
                <w:noProof/>
                <w:color w:val="000000"/>
                <w:sz w:val="18"/>
              </w:rPr>
            </w:pPr>
            <w:r>
              <w:rPr>
                <w:rFonts w:ascii="Verdana" w:hAnsi="Verdana"/>
                <w:i/>
                <w:noProof/>
                <w:color w:val="000000"/>
                <w:sz w:val="18"/>
              </w:rPr>
              <w:t>63 163</w:t>
            </w:r>
          </w:p>
        </w:tc>
      </w:tr>
      <w:tr>
        <w:trPr>
          <w:trHeight w:hRule="exact" w:val="255"/>
        </w:trPr>
        <w:tc>
          <w:tcPr>
            <w:tcW w:w="6297" w:type="dxa"/>
            <w:tcBorders>
              <w:top w:val="nil"/>
              <w:left w:val="nil"/>
              <w:bottom w:val="nil"/>
              <w:right w:val="nil"/>
              <w:tl2br w:val="nil"/>
              <w:tr2bl w:val="nil"/>
            </w:tcBorders>
            <w:tcMar>
              <w:left w:w="60" w:type="dxa"/>
              <w:right w:w="60" w:type="dxa"/>
            </w:tcMar>
            <w:vAlign w:val="center"/>
          </w:tcPr>
          <w:p>
            <w:pPr>
              <w:pStyle w:val="DMETW36755BIPCDTRCY"/>
              <w:rPr>
                <w:rFonts w:ascii="Verdana" w:eastAsia="Verdana" w:hAnsi="Verdana" w:cs="Verdana"/>
                <w:i/>
                <w:noProof/>
                <w:color w:val="000000"/>
                <w:sz w:val="18"/>
              </w:rPr>
            </w:pPr>
            <w:r>
              <w:rPr>
                <w:rFonts w:ascii="Verdana" w:hAnsi="Verdana"/>
                <w:i/>
                <w:noProof/>
                <w:color w:val="000000"/>
                <w:sz w:val="18"/>
              </w:rPr>
              <w:t>Créances à recevoir avec contrepartie directe*</w:t>
            </w:r>
          </w:p>
        </w:tc>
        <w:tc>
          <w:tcPr>
            <w:tcW w:w="1843" w:type="dxa"/>
            <w:tcBorders>
              <w:top w:val="nil"/>
              <w:left w:val="nil"/>
              <w:bottom w:val="nil"/>
              <w:right w:val="nil"/>
              <w:tl2br w:val="nil"/>
              <w:tr2bl w:val="nil"/>
            </w:tcBorders>
            <w:tcMar>
              <w:left w:w="60" w:type="dxa"/>
              <w:right w:w="60" w:type="dxa"/>
            </w:tcMar>
            <w:vAlign w:val="center"/>
          </w:tcPr>
          <w:p>
            <w:pPr>
              <w:pStyle w:val="DMETW36755BIPCDTRCY"/>
              <w:jc w:val="right"/>
              <w:rPr>
                <w:rFonts w:ascii="Verdana" w:eastAsia="Verdana" w:hAnsi="Verdana" w:cs="Verdana"/>
                <w:i/>
                <w:noProof/>
                <w:color w:val="000000"/>
                <w:sz w:val="18"/>
              </w:rPr>
            </w:pPr>
            <w:r>
              <w:rPr>
                <w:rFonts w:ascii="Verdana" w:hAnsi="Verdana"/>
                <w:i/>
                <w:noProof/>
                <w:color w:val="000000"/>
                <w:sz w:val="18"/>
              </w:rPr>
              <w:t>3 742</w:t>
            </w:r>
          </w:p>
        </w:tc>
        <w:tc>
          <w:tcPr>
            <w:tcW w:w="1618" w:type="dxa"/>
            <w:tcBorders>
              <w:top w:val="nil"/>
              <w:left w:val="nil"/>
              <w:bottom w:val="nil"/>
              <w:right w:val="nil"/>
              <w:tl2br w:val="nil"/>
              <w:tr2bl w:val="nil"/>
            </w:tcBorders>
            <w:tcMar>
              <w:left w:w="60" w:type="dxa"/>
              <w:right w:w="60" w:type="dxa"/>
            </w:tcMar>
            <w:vAlign w:val="center"/>
          </w:tcPr>
          <w:p>
            <w:pPr>
              <w:pStyle w:val="DMETW36755BIPCDTRCY"/>
              <w:jc w:val="right"/>
              <w:rPr>
                <w:rFonts w:ascii="Verdana" w:eastAsia="Verdana" w:hAnsi="Verdana" w:cs="Verdana"/>
                <w:i/>
                <w:noProof/>
                <w:color w:val="000000"/>
                <w:sz w:val="18"/>
              </w:rPr>
            </w:pPr>
            <w:r>
              <w:rPr>
                <w:rFonts w:ascii="Verdana" w:hAnsi="Verdana"/>
                <w:i/>
                <w:noProof/>
                <w:color w:val="000000"/>
                <w:sz w:val="18"/>
              </w:rPr>
              <w:t>3 240</w:t>
            </w:r>
          </w:p>
        </w:tc>
      </w:tr>
      <w:tr>
        <w:trPr>
          <w:trHeight w:hRule="exact" w:val="255"/>
        </w:trPr>
        <w:tc>
          <w:tcPr>
            <w:tcW w:w="6297" w:type="dxa"/>
            <w:tcBorders>
              <w:top w:val="nil"/>
              <w:left w:val="nil"/>
              <w:bottom w:val="nil"/>
              <w:right w:val="nil"/>
              <w:tl2br w:val="nil"/>
              <w:tr2bl w:val="nil"/>
            </w:tcBorders>
            <w:tcMar>
              <w:left w:w="60" w:type="dxa"/>
              <w:right w:w="60" w:type="dxa"/>
            </w:tcMar>
            <w:vAlign w:val="center"/>
          </w:tcPr>
          <w:p>
            <w:pPr>
              <w:pStyle w:val="DMETW36755BIPCDTRCY"/>
              <w:rPr>
                <w:rFonts w:ascii="Verdana" w:eastAsia="Verdana" w:hAnsi="Verdana" w:cs="Verdana"/>
                <w:i/>
                <w:noProof/>
                <w:color w:val="000000"/>
                <w:sz w:val="18"/>
              </w:rPr>
            </w:pPr>
            <w:r>
              <w:rPr>
                <w:rFonts w:ascii="Verdana" w:hAnsi="Verdana"/>
                <w:i/>
                <w:noProof/>
                <w:color w:val="000000"/>
                <w:sz w:val="18"/>
              </w:rPr>
              <w:t>Actifs financiers à la JVCR – titres de créance:</w:t>
            </w:r>
          </w:p>
        </w:tc>
        <w:tc>
          <w:tcPr>
            <w:tcW w:w="1843" w:type="dxa"/>
            <w:tcBorders>
              <w:top w:val="nil"/>
              <w:left w:val="nil"/>
              <w:bottom w:val="nil"/>
              <w:right w:val="nil"/>
              <w:tl2br w:val="nil"/>
              <w:tr2bl w:val="nil"/>
            </w:tcBorders>
            <w:tcMar>
              <w:left w:w="60" w:type="dxa"/>
              <w:right w:w="60" w:type="dxa"/>
            </w:tcMar>
            <w:vAlign w:val="center"/>
          </w:tcPr>
          <w:p>
            <w:pPr>
              <w:pStyle w:val="DMETW36755BIPCDTRCY"/>
              <w:jc w:val="right"/>
              <w:rPr>
                <w:rFonts w:ascii="Verdana" w:eastAsia="Verdana" w:hAnsi="Verdana" w:cs="Verdana"/>
                <w:i/>
                <w:noProof/>
                <w:color w:val="000000"/>
                <w:sz w:val="18"/>
              </w:rPr>
            </w:pPr>
            <w:r>
              <w:rPr>
                <w:rFonts w:ascii="Verdana" w:hAnsi="Verdana"/>
                <w:i/>
                <w:noProof/>
                <w:color w:val="000000"/>
                <w:sz w:val="18"/>
              </w:rPr>
              <w:t>40 462</w:t>
            </w:r>
          </w:p>
        </w:tc>
        <w:tc>
          <w:tcPr>
            <w:tcW w:w="1618" w:type="dxa"/>
            <w:tcBorders>
              <w:top w:val="nil"/>
              <w:left w:val="nil"/>
              <w:bottom w:val="nil"/>
              <w:right w:val="nil"/>
              <w:tl2br w:val="nil"/>
              <w:tr2bl w:val="nil"/>
            </w:tcBorders>
            <w:tcMar>
              <w:left w:w="60" w:type="dxa"/>
              <w:right w:w="60" w:type="dxa"/>
            </w:tcMar>
            <w:vAlign w:val="center"/>
          </w:tcPr>
          <w:p>
            <w:pPr>
              <w:pStyle w:val="DMETW36755BIPCDTRCY"/>
              <w:jc w:val="right"/>
              <w:rPr>
                <w:rFonts w:ascii="Verdana" w:eastAsia="Verdana" w:hAnsi="Verdana" w:cs="Verdana"/>
                <w:i/>
                <w:noProof/>
                <w:color w:val="000000"/>
                <w:sz w:val="18"/>
              </w:rPr>
            </w:pPr>
            <w:r>
              <w:rPr>
                <w:rFonts w:ascii="Verdana" w:hAnsi="Verdana"/>
                <w:i/>
                <w:noProof/>
                <w:color w:val="000000"/>
                <w:sz w:val="18"/>
              </w:rPr>
              <w:t>34 465</w:t>
            </w:r>
          </w:p>
        </w:tc>
      </w:tr>
      <w:tr>
        <w:trPr>
          <w:trHeight w:hRule="exact" w:val="255"/>
        </w:trPr>
        <w:tc>
          <w:tcPr>
            <w:tcW w:w="6297" w:type="dxa"/>
            <w:tcBorders>
              <w:top w:val="nil"/>
              <w:left w:val="nil"/>
              <w:bottom w:val="nil"/>
              <w:right w:val="nil"/>
              <w:tl2br w:val="nil"/>
              <w:tr2bl w:val="nil"/>
            </w:tcBorders>
            <w:tcMar>
              <w:left w:w="60" w:type="dxa"/>
              <w:right w:w="60" w:type="dxa"/>
            </w:tcMar>
            <w:vAlign w:val="center"/>
          </w:tcPr>
          <w:p>
            <w:pPr>
              <w:pStyle w:val="DMETW36755BIPCDTRCY"/>
              <w:rPr>
                <w:rFonts w:ascii="Verdana" w:eastAsia="Verdana" w:hAnsi="Verdana" w:cs="Verdana"/>
                <w:i/>
                <w:noProof/>
                <w:color w:val="000000"/>
                <w:sz w:val="18"/>
              </w:rPr>
            </w:pPr>
            <w:r>
              <w:rPr>
                <w:rFonts w:ascii="Verdana" w:hAnsi="Verdana"/>
                <w:i/>
                <w:noProof/>
                <w:color w:val="000000"/>
                <w:sz w:val="18"/>
              </w:rPr>
              <w:t>Actifs financiers à la JVCR – dérivés</w:t>
            </w:r>
          </w:p>
        </w:tc>
        <w:tc>
          <w:tcPr>
            <w:tcW w:w="1843" w:type="dxa"/>
            <w:tcBorders>
              <w:top w:val="nil"/>
              <w:left w:val="nil"/>
              <w:bottom w:val="nil"/>
              <w:right w:val="nil"/>
              <w:tl2br w:val="nil"/>
              <w:tr2bl w:val="nil"/>
            </w:tcBorders>
            <w:tcMar>
              <w:left w:w="60" w:type="dxa"/>
              <w:right w:w="60" w:type="dxa"/>
            </w:tcMar>
            <w:vAlign w:val="center"/>
          </w:tcPr>
          <w:p>
            <w:pPr>
              <w:pStyle w:val="DMETW36755BIPCDTRCY"/>
              <w:jc w:val="right"/>
              <w:rPr>
                <w:rFonts w:ascii="Verdana" w:eastAsia="Verdana" w:hAnsi="Verdana" w:cs="Verdana"/>
                <w:i/>
                <w:noProof/>
                <w:color w:val="000000"/>
                <w:sz w:val="18"/>
              </w:rPr>
            </w:pPr>
            <w:r>
              <w:rPr>
                <w:rFonts w:ascii="Verdana" w:hAnsi="Verdana"/>
                <w:i/>
                <w:noProof/>
                <w:color w:val="000000"/>
                <w:sz w:val="18"/>
              </w:rPr>
              <w:t>1 585</w:t>
            </w:r>
          </w:p>
        </w:tc>
        <w:tc>
          <w:tcPr>
            <w:tcW w:w="1618" w:type="dxa"/>
            <w:tcBorders>
              <w:top w:val="nil"/>
              <w:left w:val="nil"/>
              <w:bottom w:val="nil"/>
              <w:right w:val="nil"/>
              <w:tl2br w:val="nil"/>
              <w:tr2bl w:val="nil"/>
            </w:tcBorders>
            <w:tcMar>
              <w:left w:w="60" w:type="dxa"/>
              <w:right w:w="60" w:type="dxa"/>
            </w:tcMar>
            <w:vAlign w:val="center"/>
          </w:tcPr>
          <w:p>
            <w:pPr>
              <w:pStyle w:val="DMETW36755BIPCDTRCY"/>
              <w:jc w:val="right"/>
              <w:rPr>
                <w:rFonts w:ascii="Verdana" w:eastAsia="Verdana" w:hAnsi="Verdana" w:cs="Verdana"/>
                <w:i/>
                <w:noProof/>
                <w:color w:val="000000"/>
                <w:sz w:val="18"/>
              </w:rPr>
            </w:pPr>
            <w:r>
              <w:rPr>
                <w:rFonts w:ascii="Verdana" w:hAnsi="Verdana"/>
                <w:i/>
                <w:noProof/>
                <w:color w:val="000000"/>
                <w:sz w:val="18"/>
              </w:rPr>
              <w:t>1 110</w:t>
            </w:r>
          </w:p>
        </w:tc>
      </w:tr>
      <w:tr>
        <w:trPr>
          <w:trHeight w:hRule="exact" w:val="255"/>
        </w:trPr>
        <w:tc>
          <w:tcPr>
            <w:tcW w:w="6297" w:type="dxa"/>
            <w:tcBorders>
              <w:top w:val="nil"/>
              <w:left w:val="nil"/>
              <w:bottom w:val="nil"/>
              <w:right w:val="nil"/>
              <w:tl2br w:val="nil"/>
              <w:tr2bl w:val="nil"/>
            </w:tcBorders>
            <w:tcMar>
              <w:left w:w="60" w:type="dxa"/>
              <w:right w:w="60" w:type="dxa"/>
            </w:tcMar>
            <w:vAlign w:val="center"/>
          </w:tcPr>
          <w:p>
            <w:pPr>
              <w:pStyle w:val="DMETW36755BIPCDTRCY"/>
              <w:rPr>
                <w:rFonts w:ascii="Verdana" w:eastAsia="Verdana" w:hAnsi="Verdana" w:cs="Verdana"/>
                <w:i/>
                <w:noProof/>
                <w:color w:val="000000"/>
                <w:sz w:val="18"/>
              </w:rPr>
            </w:pPr>
            <w:r>
              <w:rPr>
                <w:rFonts w:ascii="Verdana" w:hAnsi="Verdana"/>
                <w:i/>
                <w:noProof/>
                <w:color w:val="000000"/>
                <w:sz w:val="18"/>
              </w:rPr>
              <w:t>Actifs financiers à la JVCR – prêts</w:t>
            </w:r>
          </w:p>
        </w:tc>
        <w:tc>
          <w:tcPr>
            <w:tcW w:w="1843" w:type="dxa"/>
            <w:tcBorders>
              <w:top w:val="nil"/>
              <w:left w:val="nil"/>
              <w:bottom w:val="nil"/>
              <w:right w:val="nil"/>
              <w:tl2br w:val="nil"/>
              <w:tr2bl w:val="nil"/>
            </w:tcBorders>
            <w:tcMar>
              <w:left w:w="60" w:type="dxa"/>
              <w:right w:w="60" w:type="dxa"/>
            </w:tcMar>
            <w:vAlign w:val="center"/>
          </w:tcPr>
          <w:p>
            <w:pPr>
              <w:pStyle w:val="DMETW36755BIPCDTRCY"/>
              <w:jc w:val="right"/>
              <w:rPr>
                <w:rFonts w:ascii="Verdana" w:eastAsia="Verdana" w:hAnsi="Verdana" w:cs="Verdana"/>
                <w:i/>
                <w:noProof/>
                <w:color w:val="000000"/>
                <w:sz w:val="18"/>
              </w:rPr>
            </w:pPr>
            <w:r>
              <w:rPr>
                <w:rFonts w:ascii="Verdana" w:hAnsi="Verdana"/>
                <w:i/>
                <w:noProof/>
                <w:color w:val="000000"/>
                <w:sz w:val="18"/>
              </w:rPr>
              <w:t xml:space="preserve"> 9</w:t>
            </w:r>
          </w:p>
        </w:tc>
        <w:tc>
          <w:tcPr>
            <w:tcW w:w="1618" w:type="dxa"/>
            <w:tcBorders>
              <w:top w:val="nil"/>
              <w:left w:val="nil"/>
              <w:bottom w:val="nil"/>
              <w:right w:val="nil"/>
              <w:tl2br w:val="nil"/>
              <w:tr2bl w:val="nil"/>
            </w:tcBorders>
            <w:tcMar>
              <w:left w:w="60" w:type="dxa"/>
              <w:right w:w="60" w:type="dxa"/>
            </w:tcMar>
            <w:vAlign w:val="center"/>
          </w:tcPr>
          <w:p>
            <w:pPr>
              <w:pStyle w:val="DMETW36755BIPCDTRCY"/>
              <w:jc w:val="right"/>
              <w:rPr>
                <w:rFonts w:ascii="Verdana" w:eastAsia="Verdana" w:hAnsi="Verdana" w:cs="Verdana"/>
                <w:i/>
                <w:noProof/>
                <w:color w:val="000000"/>
                <w:sz w:val="18"/>
              </w:rPr>
            </w:pPr>
            <w:r>
              <w:rPr>
                <w:rFonts w:ascii="Verdana" w:hAnsi="Verdana"/>
                <w:i/>
                <w:noProof/>
                <w:color w:val="000000"/>
                <w:sz w:val="18"/>
              </w:rPr>
              <w:t>–</w:t>
            </w:r>
          </w:p>
        </w:tc>
      </w:tr>
      <w:tr>
        <w:trPr>
          <w:trHeight w:hRule="exact" w:val="255"/>
        </w:trPr>
        <w:tc>
          <w:tcPr>
            <w:tcW w:w="6297" w:type="dxa"/>
            <w:tcBorders>
              <w:top w:val="nil"/>
              <w:left w:val="nil"/>
              <w:bottom w:val="nil"/>
              <w:right w:val="nil"/>
              <w:tl2br w:val="nil"/>
              <w:tr2bl w:val="nil"/>
            </w:tcBorders>
            <w:tcMar>
              <w:left w:w="60" w:type="dxa"/>
              <w:right w:w="60" w:type="dxa"/>
            </w:tcMar>
            <w:vAlign w:val="center"/>
          </w:tcPr>
          <w:p>
            <w:pPr>
              <w:pStyle w:val="DMETW36755BIPCDTRCY"/>
              <w:rPr>
                <w:rFonts w:ascii="Verdana" w:eastAsia="Verdana" w:hAnsi="Verdana" w:cs="Verdana"/>
                <w:b/>
                <w:noProof/>
                <w:color w:val="000000"/>
                <w:sz w:val="18"/>
              </w:rPr>
            </w:pPr>
            <w:r>
              <w:rPr>
                <w:rFonts w:ascii="Verdana" w:hAnsi="Verdana"/>
                <w:b/>
                <w:noProof/>
                <w:color w:val="000000"/>
                <w:sz w:val="18"/>
              </w:rPr>
              <w:t>Garanties accordées et engagements de prêt</w:t>
            </w:r>
          </w:p>
        </w:tc>
        <w:tc>
          <w:tcPr>
            <w:tcW w:w="1843" w:type="dxa"/>
            <w:tcBorders>
              <w:top w:val="nil"/>
              <w:left w:val="nil"/>
              <w:bottom w:val="nil"/>
              <w:right w:val="nil"/>
              <w:tl2br w:val="nil"/>
              <w:tr2bl w:val="nil"/>
            </w:tcBorders>
            <w:tcMar>
              <w:left w:w="60" w:type="dxa"/>
              <w:right w:w="60" w:type="dxa"/>
            </w:tcMar>
            <w:vAlign w:val="center"/>
          </w:tcPr>
          <w:p>
            <w:pPr>
              <w:pStyle w:val="DMETW36755BIPCDTRCY"/>
              <w:jc w:val="right"/>
              <w:rPr>
                <w:rFonts w:ascii="Verdana" w:eastAsia="Verdana" w:hAnsi="Verdana" w:cs="Verdana"/>
                <w:i/>
                <w:noProof/>
                <w:color w:val="000000"/>
                <w:sz w:val="18"/>
              </w:rPr>
            </w:pPr>
          </w:p>
        </w:tc>
        <w:tc>
          <w:tcPr>
            <w:tcW w:w="1618" w:type="dxa"/>
            <w:tcBorders>
              <w:top w:val="nil"/>
              <w:left w:val="nil"/>
              <w:bottom w:val="nil"/>
              <w:right w:val="nil"/>
              <w:tl2br w:val="nil"/>
              <w:tr2bl w:val="nil"/>
            </w:tcBorders>
            <w:tcMar>
              <w:left w:w="60" w:type="dxa"/>
              <w:right w:w="60" w:type="dxa"/>
            </w:tcMar>
            <w:vAlign w:val="center"/>
          </w:tcPr>
          <w:p>
            <w:pPr>
              <w:pStyle w:val="DMETW36755BIPCDTRCY"/>
              <w:jc w:val="right"/>
              <w:rPr>
                <w:rFonts w:ascii="Verdana" w:eastAsia="Verdana" w:hAnsi="Verdana" w:cs="Verdana"/>
                <w:i/>
                <w:noProof/>
                <w:color w:val="000000"/>
                <w:sz w:val="18"/>
                <w:lang w:bidi="en-GB"/>
              </w:rPr>
            </w:pPr>
          </w:p>
        </w:tc>
      </w:tr>
      <w:tr>
        <w:trPr>
          <w:trHeight w:hRule="exact" w:val="255"/>
        </w:trPr>
        <w:tc>
          <w:tcPr>
            <w:tcW w:w="6297" w:type="dxa"/>
            <w:tcBorders>
              <w:top w:val="nil"/>
              <w:left w:val="nil"/>
              <w:bottom w:val="nil"/>
              <w:right w:val="nil"/>
              <w:tl2br w:val="nil"/>
              <w:tr2bl w:val="nil"/>
            </w:tcBorders>
            <w:tcMar>
              <w:left w:w="60" w:type="dxa"/>
              <w:right w:w="60" w:type="dxa"/>
            </w:tcMar>
            <w:vAlign w:val="center"/>
          </w:tcPr>
          <w:p>
            <w:pPr>
              <w:pStyle w:val="DMETW36755BIPCDTRCY"/>
              <w:rPr>
                <w:rFonts w:ascii="Verdana" w:eastAsia="Verdana" w:hAnsi="Verdana" w:cs="Verdana"/>
                <w:i/>
                <w:noProof/>
                <w:color w:val="000000"/>
                <w:sz w:val="18"/>
              </w:rPr>
            </w:pPr>
            <w:r>
              <w:rPr>
                <w:rFonts w:ascii="Verdana" w:hAnsi="Verdana"/>
                <w:i/>
                <w:noProof/>
                <w:color w:val="000000"/>
                <w:sz w:val="18"/>
              </w:rPr>
              <w:t>CGF</w:t>
            </w:r>
          </w:p>
        </w:tc>
        <w:tc>
          <w:tcPr>
            <w:tcW w:w="1843" w:type="dxa"/>
            <w:tcBorders>
              <w:top w:val="nil"/>
              <w:left w:val="nil"/>
              <w:bottom w:val="nil"/>
              <w:right w:val="nil"/>
              <w:tl2br w:val="nil"/>
              <w:tr2bl w:val="nil"/>
            </w:tcBorders>
            <w:tcMar>
              <w:left w:w="60" w:type="dxa"/>
              <w:right w:w="60" w:type="dxa"/>
            </w:tcMar>
            <w:vAlign w:val="center"/>
          </w:tcPr>
          <w:p>
            <w:pPr>
              <w:pStyle w:val="DMETW36755BIPCDTRCY"/>
              <w:jc w:val="right"/>
              <w:rPr>
                <w:rFonts w:ascii="Verdana" w:eastAsia="Verdana" w:hAnsi="Verdana" w:cs="Verdana"/>
                <w:i/>
                <w:noProof/>
                <w:color w:val="000000"/>
                <w:sz w:val="18"/>
              </w:rPr>
            </w:pPr>
            <w:r>
              <w:rPr>
                <w:rFonts w:ascii="Verdana" w:hAnsi="Verdana"/>
                <w:i/>
                <w:noProof/>
                <w:color w:val="000000"/>
                <w:sz w:val="18"/>
              </w:rPr>
              <w:t>65 474</w:t>
            </w:r>
          </w:p>
        </w:tc>
        <w:tc>
          <w:tcPr>
            <w:tcW w:w="1618" w:type="dxa"/>
            <w:tcBorders>
              <w:top w:val="nil"/>
              <w:left w:val="nil"/>
              <w:bottom w:val="nil"/>
              <w:right w:val="nil"/>
              <w:tl2br w:val="nil"/>
              <w:tr2bl w:val="nil"/>
            </w:tcBorders>
            <w:tcMar>
              <w:left w:w="60" w:type="dxa"/>
              <w:right w:w="60" w:type="dxa"/>
            </w:tcMar>
            <w:vAlign w:val="center"/>
          </w:tcPr>
          <w:p>
            <w:pPr>
              <w:pStyle w:val="DMETW36755BIPCDTRCY"/>
              <w:jc w:val="right"/>
              <w:rPr>
                <w:rFonts w:ascii="Verdana" w:eastAsia="Verdana" w:hAnsi="Verdana" w:cs="Verdana"/>
                <w:i/>
                <w:noProof/>
                <w:color w:val="000000"/>
                <w:sz w:val="18"/>
              </w:rPr>
            </w:pPr>
            <w:r>
              <w:rPr>
                <w:rFonts w:ascii="Verdana" w:hAnsi="Verdana"/>
                <w:i/>
                <w:noProof/>
                <w:color w:val="000000"/>
                <w:sz w:val="18"/>
              </w:rPr>
              <w:t>60 857</w:t>
            </w:r>
          </w:p>
        </w:tc>
      </w:tr>
      <w:tr>
        <w:trPr>
          <w:trHeight w:hRule="exact" w:val="255"/>
        </w:trPr>
        <w:tc>
          <w:tcPr>
            <w:tcW w:w="6297" w:type="dxa"/>
            <w:tcBorders>
              <w:top w:val="nil"/>
              <w:left w:val="nil"/>
              <w:bottom w:val="single" w:sz="4" w:space="0" w:color="016794"/>
              <w:right w:val="nil"/>
              <w:tl2br w:val="nil"/>
              <w:tr2bl w:val="nil"/>
            </w:tcBorders>
            <w:tcMar>
              <w:left w:w="60" w:type="dxa"/>
              <w:right w:w="60" w:type="dxa"/>
            </w:tcMar>
            <w:vAlign w:val="center"/>
          </w:tcPr>
          <w:p>
            <w:pPr>
              <w:pStyle w:val="DMETW36755BIPCDTRCY"/>
              <w:rPr>
                <w:rFonts w:ascii="Verdana" w:eastAsia="Verdana" w:hAnsi="Verdana" w:cs="Verdana"/>
                <w:i/>
                <w:noProof/>
                <w:color w:val="000000"/>
                <w:sz w:val="18"/>
              </w:rPr>
            </w:pPr>
            <w:r>
              <w:rPr>
                <w:rFonts w:ascii="Verdana" w:hAnsi="Verdana"/>
                <w:i/>
                <w:noProof/>
                <w:color w:val="000000"/>
                <w:sz w:val="18"/>
              </w:rPr>
              <w:t>Engagements de prêts</w:t>
            </w:r>
          </w:p>
        </w:tc>
        <w:tc>
          <w:tcPr>
            <w:tcW w:w="1843" w:type="dxa"/>
            <w:tcBorders>
              <w:top w:val="nil"/>
              <w:left w:val="nil"/>
              <w:bottom w:val="single" w:sz="4" w:space="0" w:color="016794"/>
              <w:right w:val="nil"/>
              <w:tl2br w:val="nil"/>
              <w:tr2bl w:val="nil"/>
            </w:tcBorders>
            <w:tcMar>
              <w:left w:w="60" w:type="dxa"/>
              <w:right w:w="60" w:type="dxa"/>
            </w:tcMar>
            <w:vAlign w:val="center"/>
          </w:tcPr>
          <w:p>
            <w:pPr>
              <w:pStyle w:val="DMETW36755BIPCDTRCY"/>
              <w:jc w:val="right"/>
              <w:rPr>
                <w:rFonts w:ascii="Verdana" w:eastAsia="Verdana" w:hAnsi="Verdana" w:cs="Verdana"/>
                <w:i/>
                <w:noProof/>
                <w:color w:val="000000"/>
                <w:sz w:val="18"/>
              </w:rPr>
            </w:pPr>
            <w:r>
              <w:rPr>
                <w:rFonts w:ascii="Verdana" w:hAnsi="Verdana"/>
                <w:i/>
                <w:noProof/>
                <w:color w:val="000000"/>
                <w:sz w:val="18"/>
              </w:rPr>
              <w:t xml:space="preserve"> 24</w:t>
            </w:r>
          </w:p>
        </w:tc>
        <w:tc>
          <w:tcPr>
            <w:tcW w:w="1618" w:type="dxa"/>
            <w:tcBorders>
              <w:top w:val="nil"/>
              <w:left w:val="nil"/>
              <w:bottom w:val="single" w:sz="4" w:space="0" w:color="016794"/>
              <w:right w:val="nil"/>
              <w:tl2br w:val="nil"/>
              <w:tr2bl w:val="nil"/>
            </w:tcBorders>
            <w:tcMar>
              <w:left w:w="60" w:type="dxa"/>
              <w:right w:w="60" w:type="dxa"/>
            </w:tcMar>
            <w:vAlign w:val="center"/>
          </w:tcPr>
          <w:p>
            <w:pPr>
              <w:pStyle w:val="DMETW36755BIPCDTRCY"/>
              <w:jc w:val="right"/>
              <w:rPr>
                <w:rFonts w:ascii="Verdana" w:eastAsia="Verdana" w:hAnsi="Verdana" w:cs="Verdana"/>
                <w:i/>
                <w:noProof/>
                <w:color w:val="000000"/>
                <w:sz w:val="18"/>
              </w:rPr>
            </w:pPr>
            <w:r>
              <w:rPr>
                <w:rFonts w:ascii="Verdana" w:hAnsi="Verdana"/>
                <w:i/>
                <w:noProof/>
                <w:color w:val="000000"/>
                <w:sz w:val="18"/>
              </w:rPr>
              <w:t>18 193</w:t>
            </w:r>
          </w:p>
        </w:tc>
      </w:tr>
      <w:tr>
        <w:trPr>
          <w:trHeight w:hRule="exact" w:val="350"/>
        </w:trPr>
        <w:tc>
          <w:tcPr>
            <w:tcW w:w="6297"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5BIPCDTRCY"/>
              <w:rPr>
                <w:rFonts w:ascii="Verdana" w:eastAsia="Verdana" w:hAnsi="Verdana" w:cs="Verdana"/>
                <w:b/>
                <w:noProof/>
                <w:color w:val="000000"/>
                <w:sz w:val="18"/>
              </w:rPr>
            </w:pPr>
            <w:r>
              <w:rPr>
                <w:rFonts w:ascii="Verdana" w:hAnsi="Verdana"/>
                <w:b/>
                <w:noProof/>
                <w:color w:val="000000"/>
                <w:sz w:val="18"/>
              </w:rPr>
              <w:t>Total</w:t>
            </w:r>
          </w:p>
        </w:tc>
        <w:tc>
          <w:tcPr>
            <w:tcW w:w="184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5BIPCDTRCY"/>
              <w:jc w:val="right"/>
              <w:rPr>
                <w:rFonts w:ascii="Verdana" w:eastAsia="Verdana" w:hAnsi="Verdana" w:cs="Verdana"/>
                <w:b/>
                <w:noProof/>
                <w:color w:val="000000"/>
                <w:sz w:val="18"/>
              </w:rPr>
            </w:pPr>
            <w:r>
              <w:rPr>
                <w:rFonts w:ascii="Verdana" w:hAnsi="Verdana"/>
                <w:b/>
                <w:noProof/>
                <w:color w:val="000000"/>
                <w:sz w:val="18"/>
              </w:rPr>
              <w:t>547 771</w:t>
            </w:r>
          </w:p>
        </w:tc>
        <w:tc>
          <w:tcPr>
            <w:tcW w:w="161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5BIPCDTRCY"/>
              <w:jc w:val="right"/>
              <w:rPr>
                <w:rFonts w:ascii="Verdana" w:eastAsia="Verdana" w:hAnsi="Verdana" w:cs="Verdana"/>
                <w:b/>
                <w:noProof/>
                <w:color w:val="000000"/>
                <w:sz w:val="18"/>
              </w:rPr>
            </w:pPr>
            <w:r>
              <w:rPr>
                <w:rFonts w:ascii="Verdana" w:hAnsi="Verdana"/>
                <w:b/>
                <w:noProof/>
                <w:color w:val="000000"/>
                <w:sz w:val="18"/>
              </w:rPr>
              <w:t>464 607</w:t>
            </w:r>
          </w:p>
        </w:tc>
      </w:tr>
    </w:tbl>
    <w:p>
      <w:pPr>
        <w:pStyle w:val="Textstand-alone"/>
        <w:spacing w:before="60"/>
        <w:rPr>
          <w:i/>
          <w:sz w:val="14"/>
          <w:szCs w:val="14"/>
        </w:rPr>
      </w:pPr>
      <w:r>
        <w:rPr>
          <w:i/>
          <w:sz w:val="14"/>
          <w:vertAlign w:val="superscript"/>
        </w:rPr>
        <w:t>*</w:t>
      </w:r>
      <w:r>
        <w:rPr>
          <w:i/>
          <w:sz w:val="14"/>
        </w:rPr>
        <w:t>Hors charges à reporter.</w:t>
      </w:r>
    </w:p>
    <w:p>
      <w:pPr>
        <w:pStyle w:val="DGTextstand-alone"/>
      </w:pPr>
      <w:r>
        <w:lastRenderedPageBreak/>
        <w:t>En outre, l’UE est indirectement exposée au risque de crédit par ses investissements dans des fonds du marché monétaire (FMM), des FNB d’entreprises et des portefeuilles de titres de créance mis en commun (voir note </w:t>
      </w:r>
      <w:r>
        <w:rPr>
          <w:b/>
        </w:rPr>
        <w:t>2.4.2.1</w:t>
      </w:r>
      <w:r>
        <w:t xml:space="preserve">), ce qui peut avoir une incidence sur leurs prix (voir note </w:t>
      </w:r>
      <w:r>
        <w:rPr>
          <w:b/>
        </w:rPr>
        <w:t>6.5</w:t>
      </w:r>
      <w:r>
        <w:t>).</w:t>
      </w:r>
    </w:p>
    <w:p>
      <w:pPr>
        <w:pStyle w:val="HEADER5"/>
        <w:rPr>
          <w:noProof/>
        </w:rPr>
      </w:pPr>
      <w:r>
        <w:rPr>
          <w:noProof/>
        </w:rPr>
        <w:t xml:space="preserve">Prêts: qualité de crédit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09"/>
        <w:gridCol w:w="1696"/>
        <w:gridCol w:w="1134"/>
        <w:gridCol w:w="1134"/>
        <w:gridCol w:w="1134"/>
        <w:gridCol w:w="1051"/>
      </w:tblGrid>
      <w:tr>
        <w:trPr>
          <w:trHeight w:hRule="exact" w:val="255"/>
        </w:trPr>
        <w:tc>
          <w:tcPr>
            <w:tcW w:w="3609" w:type="dxa"/>
            <w:tcBorders>
              <w:top w:val="nil"/>
              <w:left w:val="nil"/>
              <w:bottom w:val="nil"/>
              <w:right w:val="nil"/>
              <w:tl2br w:val="nil"/>
              <w:tr2bl w:val="nil"/>
            </w:tcBorders>
            <w:tcMar>
              <w:left w:w="60" w:type="dxa"/>
              <w:right w:w="60" w:type="dxa"/>
            </w:tcMar>
            <w:vAlign w:val="center"/>
          </w:tcPr>
          <w:p>
            <w:pPr>
              <w:pStyle w:val="DMETW36755BIPLOCDQ"/>
              <w:rPr>
                <w:rFonts w:ascii="Verdana" w:eastAsia="Verdana" w:hAnsi="Verdana" w:cs="Verdana"/>
                <w:b/>
                <w:noProof/>
                <w:color w:val="000000"/>
                <w:sz w:val="18"/>
              </w:rPr>
            </w:pPr>
            <w:bookmarkStart w:id="227" w:name="DOC_TBL00095_1_1"/>
            <w:bookmarkEnd w:id="227"/>
          </w:p>
        </w:tc>
        <w:tc>
          <w:tcPr>
            <w:tcW w:w="1696" w:type="dxa"/>
            <w:tcBorders>
              <w:top w:val="nil"/>
              <w:left w:val="nil"/>
              <w:bottom w:val="nil"/>
              <w:right w:val="nil"/>
              <w:tl2br w:val="nil"/>
              <w:tr2bl w:val="nil"/>
            </w:tcBorders>
            <w:tcMar>
              <w:left w:w="60" w:type="dxa"/>
              <w:right w:w="60" w:type="dxa"/>
            </w:tcMar>
            <w:vAlign w:val="center"/>
          </w:tcPr>
          <w:p>
            <w:pPr>
              <w:pStyle w:val="DMETW36755BIPLOCDQ"/>
              <w:jc w:val="right"/>
              <w:rPr>
                <w:rFonts w:ascii="Verdana" w:eastAsia="Verdana" w:hAnsi="Verdana" w:cs="Verdana"/>
                <w:noProof/>
                <w:color w:val="A8A8A8"/>
              </w:rPr>
            </w:pPr>
          </w:p>
        </w:tc>
        <w:tc>
          <w:tcPr>
            <w:tcW w:w="1134" w:type="dxa"/>
            <w:tcBorders>
              <w:top w:val="nil"/>
              <w:left w:val="nil"/>
              <w:bottom w:val="nil"/>
              <w:right w:val="nil"/>
              <w:tl2br w:val="nil"/>
              <w:tr2bl w:val="nil"/>
            </w:tcBorders>
            <w:tcMar>
              <w:left w:w="60" w:type="dxa"/>
              <w:right w:w="60" w:type="dxa"/>
            </w:tcMar>
            <w:vAlign w:val="center"/>
          </w:tcPr>
          <w:p>
            <w:pPr>
              <w:pStyle w:val="DMETW36755BIPLOCDQ"/>
              <w:rPr>
                <w:rFonts w:ascii="Verdana" w:eastAsia="Verdana" w:hAnsi="Verdana" w:cs="Verdana"/>
                <w:noProof/>
                <w:color w:val="000000"/>
              </w:rPr>
            </w:pPr>
          </w:p>
        </w:tc>
        <w:tc>
          <w:tcPr>
            <w:tcW w:w="1134" w:type="dxa"/>
            <w:tcBorders>
              <w:top w:val="nil"/>
              <w:left w:val="nil"/>
              <w:bottom w:val="nil"/>
              <w:right w:val="nil"/>
              <w:tl2br w:val="nil"/>
              <w:tr2bl w:val="nil"/>
            </w:tcBorders>
            <w:tcMar>
              <w:left w:w="60" w:type="dxa"/>
              <w:right w:w="60" w:type="dxa"/>
            </w:tcMar>
            <w:vAlign w:val="center"/>
          </w:tcPr>
          <w:p>
            <w:pPr>
              <w:pStyle w:val="DMETW36755BIPLOCDQ"/>
              <w:rPr>
                <w:rFonts w:ascii="Verdana" w:eastAsia="Verdana" w:hAnsi="Verdana" w:cs="Verdana"/>
                <w:noProof/>
                <w:color w:val="000000"/>
              </w:rPr>
            </w:pPr>
          </w:p>
        </w:tc>
        <w:tc>
          <w:tcPr>
            <w:tcW w:w="1134" w:type="dxa"/>
            <w:tcBorders>
              <w:top w:val="nil"/>
              <w:left w:val="nil"/>
              <w:bottom w:val="nil"/>
              <w:right w:val="nil"/>
              <w:tl2br w:val="nil"/>
              <w:tr2bl w:val="nil"/>
            </w:tcBorders>
            <w:tcMar>
              <w:left w:w="60" w:type="dxa"/>
              <w:right w:w="60" w:type="dxa"/>
            </w:tcMar>
            <w:vAlign w:val="center"/>
          </w:tcPr>
          <w:p>
            <w:pPr>
              <w:pStyle w:val="DMETW36755BIPLOCDQ"/>
              <w:rPr>
                <w:rFonts w:ascii="Verdana" w:eastAsia="Verdana" w:hAnsi="Verdana" w:cs="Verdana"/>
                <w:noProof/>
                <w:color w:val="000000"/>
              </w:rPr>
            </w:pPr>
          </w:p>
        </w:tc>
        <w:tc>
          <w:tcPr>
            <w:tcW w:w="1051" w:type="dxa"/>
            <w:tcBorders>
              <w:top w:val="nil"/>
              <w:left w:val="nil"/>
              <w:bottom w:val="nil"/>
              <w:right w:val="nil"/>
              <w:tl2br w:val="nil"/>
              <w:tr2bl w:val="nil"/>
            </w:tcBorders>
            <w:tcMar>
              <w:left w:w="60" w:type="dxa"/>
              <w:right w:w="60" w:type="dxa"/>
            </w:tcMar>
            <w:vAlign w:val="bottom"/>
          </w:tcPr>
          <w:p>
            <w:pPr>
              <w:pStyle w:val="DMETW36755BIPLOCDQ"/>
              <w:jc w:val="right"/>
              <w:rPr>
                <w:rFonts w:ascii="Verdana" w:eastAsia="Verdana" w:hAnsi="Verdana" w:cs="Verdana"/>
                <w:i/>
                <w:noProof/>
                <w:color w:val="000000"/>
                <w:sz w:val="16"/>
              </w:rPr>
            </w:pPr>
            <w:r>
              <w:rPr>
                <w:rFonts w:ascii="Verdana" w:hAnsi="Verdana"/>
                <w:i/>
                <w:noProof/>
                <w:color w:val="000000"/>
                <w:sz w:val="16"/>
              </w:rPr>
              <w:t>en Mio EUR</w:t>
            </w:r>
          </w:p>
        </w:tc>
      </w:tr>
      <w:tr>
        <w:trPr>
          <w:trHeight w:hRule="exact" w:val="255"/>
        </w:trPr>
        <w:tc>
          <w:tcPr>
            <w:tcW w:w="3609" w:type="dxa"/>
            <w:gridSpan w:val="6"/>
            <w:tcBorders>
              <w:top w:val="nil"/>
              <w:left w:val="nil"/>
              <w:bottom w:val="nil"/>
              <w:right w:val="nil"/>
              <w:tl2br w:val="nil"/>
              <w:tr2bl w:val="nil"/>
            </w:tcBorders>
            <w:shd w:val="solid" w:color="016794" w:fill="FFFFFF"/>
            <w:tcMar>
              <w:left w:w="60" w:type="dxa"/>
              <w:right w:w="60" w:type="dxa"/>
            </w:tcMar>
            <w:vAlign w:val="center"/>
          </w:tcPr>
          <w:p>
            <w:pPr>
              <w:pStyle w:val="DMETW36755BIPLOCDQ"/>
              <w:jc w:val="center"/>
              <w:rPr>
                <w:rFonts w:ascii="Verdana" w:eastAsia="Verdana" w:hAnsi="Verdana" w:cs="Verdana"/>
                <w:noProof/>
                <w:color w:val="FFFFFF"/>
              </w:rPr>
            </w:pPr>
            <w:r>
              <w:rPr>
                <w:rFonts w:ascii="Verdana" w:hAnsi="Verdana"/>
                <w:noProof/>
                <w:color w:val="FFFFFF"/>
              </w:rPr>
              <w:t>31.12.2025</w:t>
            </w:r>
          </w:p>
        </w:tc>
      </w:tr>
      <w:tr>
        <w:trPr>
          <w:trHeight w:hRule="exact" w:val="360"/>
        </w:trPr>
        <w:tc>
          <w:tcPr>
            <w:tcW w:w="3609"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755BIPLOCDQ"/>
              <w:jc w:val="center"/>
              <w:rPr>
                <w:rFonts w:ascii="Verdana" w:eastAsia="Verdana" w:hAnsi="Verdana" w:cs="Verdana"/>
                <w:noProof/>
                <w:color w:val="FFFFFF"/>
              </w:rPr>
            </w:pPr>
          </w:p>
        </w:tc>
        <w:tc>
          <w:tcPr>
            <w:tcW w:w="1696"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755BIPLOCDQ"/>
              <w:jc w:val="right"/>
              <w:rPr>
                <w:rFonts w:ascii="Verdana" w:eastAsia="Verdana" w:hAnsi="Verdana" w:cs="Verdana"/>
                <w:noProof/>
                <w:color w:val="FFFFFF"/>
              </w:rPr>
            </w:pPr>
            <w:r>
              <w:rPr>
                <w:rFonts w:ascii="Verdana" w:hAnsi="Verdana"/>
                <w:noProof/>
                <w:color w:val="FFFFFF"/>
              </w:rPr>
              <w:t xml:space="preserve">Stade 1 </w:t>
            </w:r>
          </w:p>
        </w:tc>
        <w:tc>
          <w:tcPr>
            <w:tcW w:w="1134"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755BIPLOCDQ"/>
              <w:jc w:val="right"/>
              <w:rPr>
                <w:rFonts w:ascii="Verdana" w:eastAsia="Verdana" w:hAnsi="Verdana" w:cs="Verdana"/>
                <w:noProof/>
                <w:color w:val="FFFFFF"/>
              </w:rPr>
            </w:pPr>
            <w:r>
              <w:rPr>
                <w:rFonts w:ascii="Verdana" w:hAnsi="Verdana"/>
                <w:noProof/>
                <w:color w:val="FFFFFF"/>
              </w:rPr>
              <w:t>Stade 2</w:t>
            </w:r>
          </w:p>
        </w:tc>
        <w:tc>
          <w:tcPr>
            <w:tcW w:w="1134"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755BIPLOCDQ"/>
              <w:jc w:val="right"/>
              <w:rPr>
                <w:rFonts w:ascii="Verdana" w:eastAsia="Verdana" w:hAnsi="Verdana" w:cs="Verdana"/>
                <w:noProof/>
                <w:color w:val="FFFFFF"/>
              </w:rPr>
            </w:pPr>
            <w:r>
              <w:rPr>
                <w:rFonts w:ascii="Verdana" w:hAnsi="Verdana"/>
                <w:noProof/>
                <w:color w:val="FFFFFF"/>
              </w:rPr>
              <w:t>Stade 3</w:t>
            </w:r>
          </w:p>
        </w:tc>
        <w:tc>
          <w:tcPr>
            <w:tcW w:w="1134"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755BIPLOCDQ"/>
              <w:jc w:val="right"/>
              <w:rPr>
                <w:rFonts w:ascii="Verdana" w:eastAsia="Verdana" w:hAnsi="Verdana" w:cs="Verdana"/>
                <w:noProof/>
                <w:color w:val="FFFFFF"/>
              </w:rPr>
            </w:pPr>
            <w:r>
              <w:rPr>
                <w:rFonts w:ascii="Verdana" w:hAnsi="Verdana"/>
                <w:noProof/>
                <w:color w:val="FFFFFF"/>
              </w:rPr>
              <w:t>POCI</w:t>
            </w:r>
          </w:p>
        </w:tc>
        <w:tc>
          <w:tcPr>
            <w:tcW w:w="1051"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755BIPLOCDQ"/>
              <w:jc w:val="right"/>
              <w:rPr>
                <w:rFonts w:ascii="Verdana" w:eastAsia="Verdana" w:hAnsi="Verdana" w:cs="Verdana"/>
                <w:noProof/>
                <w:color w:val="FFFFFF"/>
              </w:rPr>
            </w:pPr>
            <w:r>
              <w:rPr>
                <w:rFonts w:ascii="Verdana" w:hAnsi="Verdana"/>
                <w:noProof/>
                <w:color w:val="FFFFFF"/>
              </w:rPr>
              <w:t xml:space="preserve">Total </w:t>
            </w:r>
          </w:p>
        </w:tc>
      </w:tr>
      <w:tr>
        <w:trPr>
          <w:trHeight w:hRule="exact" w:val="360"/>
        </w:trPr>
        <w:tc>
          <w:tcPr>
            <w:tcW w:w="4545" w:type="dxa"/>
            <w:vMerge/>
            <w:tcBorders>
              <w:top w:val="nil"/>
              <w:left w:val="nil"/>
              <w:bottom w:val="nil"/>
              <w:right w:val="nil"/>
              <w:tl2br w:val="nil"/>
              <w:tr2bl w:val="nil"/>
            </w:tcBorders>
            <w:shd w:val="solid" w:color="016794" w:fill="FFFFFF"/>
            <w:tcMar>
              <w:left w:w="60" w:type="dxa"/>
              <w:right w:w="60" w:type="dxa"/>
            </w:tcMar>
            <w:vAlign w:val="center"/>
          </w:tcPr>
          <w:p>
            <w:pPr>
              <w:pStyle w:val="DMETW36755BIPLOCDQ"/>
              <w:jc w:val="center"/>
              <w:rPr>
                <w:rFonts w:ascii="Verdana" w:eastAsia="Verdana" w:hAnsi="Verdana" w:cs="Verdana"/>
                <w:noProof/>
                <w:color w:val="FFFFFF"/>
              </w:rPr>
            </w:pPr>
          </w:p>
        </w:tc>
        <w:tc>
          <w:tcPr>
            <w:tcW w:w="1410" w:type="dxa"/>
            <w:vMerge/>
            <w:tcBorders>
              <w:top w:val="nil"/>
              <w:left w:val="nil"/>
              <w:bottom w:val="nil"/>
              <w:right w:val="nil"/>
              <w:tl2br w:val="nil"/>
              <w:tr2bl w:val="nil"/>
            </w:tcBorders>
            <w:shd w:val="solid" w:color="016794" w:fill="FFFFFF"/>
            <w:tcMar>
              <w:left w:w="60" w:type="dxa"/>
              <w:right w:w="60" w:type="dxa"/>
            </w:tcMar>
            <w:vAlign w:val="center"/>
          </w:tcPr>
          <w:p>
            <w:pPr>
              <w:pStyle w:val="DMETW36755BIPLOCDQ"/>
              <w:jc w:val="right"/>
              <w:rPr>
                <w:rFonts w:ascii="Verdana" w:eastAsia="Verdana" w:hAnsi="Verdana" w:cs="Verdana"/>
                <w:noProof/>
                <w:color w:val="FFFFFF"/>
              </w:rPr>
            </w:pPr>
          </w:p>
        </w:tc>
        <w:tc>
          <w:tcPr>
            <w:tcW w:w="1410" w:type="dxa"/>
            <w:vMerge/>
            <w:tcBorders>
              <w:top w:val="nil"/>
              <w:left w:val="nil"/>
              <w:bottom w:val="nil"/>
              <w:right w:val="nil"/>
              <w:tl2br w:val="nil"/>
              <w:tr2bl w:val="nil"/>
            </w:tcBorders>
            <w:shd w:val="solid" w:color="016794" w:fill="FFFFFF"/>
            <w:tcMar>
              <w:left w:w="60" w:type="dxa"/>
              <w:right w:w="60" w:type="dxa"/>
            </w:tcMar>
            <w:vAlign w:val="center"/>
          </w:tcPr>
          <w:p>
            <w:pPr>
              <w:pStyle w:val="DMETW36755BIPLOCDQ"/>
              <w:jc w:val="right"/>
              <w:rPr>
                <w:rFonts w:ascii="Verdana" w:eastAsia="Verdana" w:hAnsi="Verdana" w:cs="Verdana"/>
                <w:noProof/>
                <w:color w:val="FFFFFF"/>
              </w:rPr>
            </w:pPr>
          </w:p>
        </w:tc>
        <w:tc>
          <w:tcPr>
            <w:tcW w:w="1410" w:type="dxa"/>
            <w:vMerge/>
            <w:tcBorders>
              <w:top w:val="nil"/>
              <w:left w:val="nil"/>
              <w:bottom w:val="nil"/>
              <w:right w:val="nil"/>
              <w:tl2br w:val="nil"/>
              <w:tr2bl w:val="nil"/>
            </w:tcBorders>
            <w:shd w:val="solid" w:color="016794" w:fill="FFFFFF"/>
            <w:tcMar>
              <w:left w:w="60" w:type="dxa"/>
              <w:right w:w="60" w:type="dxa"/>
            </w:tcMar>
            <w:vAlign w:val="center"/>
          </w:tcPr>
          <w:p>
            <w:pPr>
              <w:pStyle w:val="DMETW36755BIPLOCDQ"/>
              <w:jc w:val="right"/>
              <w:rPr>
                <w:rFonts w:ascii="Verdana" w:eastAsia="Verdana" w:hAnsi="Verdana" w:cs="Verdana"/>
                <w:noProof/>
                <w:color w:val="FFFFFF"/>
              </w:rPr>
            </w:pPr>
          </w:p>
        </w:tc>
        <w:tc>
          <w:tcPr>
            <w:tcW w:w="1980" w:type="dxa"/>
            <w:vMerge/>
            <w:tcBorders>
              <w:top w:val="nil"/>
              <w:left w:val="nil"/>
              <w:bottom w:val="nil"/>
              <w:right w:val="nil"/>
              <w:tl2br w:val="nil"/>
              <w:tr2bl w:val="nil"/>
            </w:tcBorders>
            <w:shd w:val="solid" w:color="016794" w:fill="FFFFFF"/>
            <w:tcMar>
              <w:left w:w="60" w:type="dxa"/>
              <w:right w:w="60" w:type="dxa"/>
            </w:tcMar>
            <w:vAlign w:val="center"/>
          </w:tcPr>
          <w:p>
            <w:pPr>
              <w:pStyle w:val="DMETW36755BIPLOCDQ"/>
              <w:jc w:val="right"/>
              <w:rPr>
                <w:rFonts w:ascii="Verdana" w:eastAsia="Verdana" w:hAnsi="Verdana" w:cs="Verdana"/>
                <w:noProof/>
                <w:color w:val="FFFFFF"/>
              </w:rPr>
            </w:pPr>
          </w:p>
        </w:tc>
        <w:tc>
          <w:tcPr>
            <w:tcW w:w="1410" w:type="dxa"/>
            <w:vMerge/>
            <w:tcBorders>
              <w:top w:val="nil"/>
              <w:left w:val="nil"/>
              <w:bottom w:val="nil"/>
              <w:right w:val="nil"/>
              <w:tl2br w:val="nil"/>
              <w:tr2bl w:val="nil"/>
            </w:tcBorders>
            <w:shd w:val="solid" w:color="016794" w:fill="FFFFFF"/>
            <w:tcMar>
              <w:left w:w="60" w:type="dxa"/>
              <w:right w:w="60" w:type="dxa"/>
            </w:tcMar>
            <w:vAlign w:val="center"/>
          </w:tcPr>
          <w:p>
            <w:pPr>
              <w:pStyle w:val="DMETW36755BIPLOCDQ"/>
              <w:jc w:val="right"/>
              <w:rPr>
                <w:rFonts w:ascii="Verdana" w:eastAsia="Verdana" w:hAnsi="Verdana" w:cs="Verdana"/>
                <w:noProof/>
                <w:color w:val="FFFFFF"/>
              </w:rPr>
            </w:pPr>
          </w:p>
        </w:tc>
      </w:tr>
      <w:tr>
        <w:trPr>
          <w:trHeight w:hRule="exact" w:val="255"/>
        </w:trPr>
        <w:tc>
          <w:tcPr>
            <w:tcW w:w="3609" w:type="dxa"/>
            <w:tcBorders>
              <w:top w:val="nil"/>
              <w:left w:val="nil"/>
              <w:bottom w:val="nil"/>
              <w:right w:val="nil"/>
              <w:tl2br w:val="nil"/>
              <w:tr2bl w:val="nil"/>
            </w:tcBorders>
            <w:tcMar>
              <w:left w:w="60" w:type="dxa"/>
              <w:right w:w="60" w:type="dxa"/>
            </w:tcMar>
            <w:vAlign w:val="center"/>
          </w:tcPr>
          <w:p>
            <w:pPr>
              <w:pStyle w:val="DMETW36755BIPLOCDQ"/>
              <w:rPr>
                <w:rFonts w:ascii="Verdana" w:eastAsia="Verdana" w:hAnsi="Verdana" w:cs="Verdana"/>
                <w:b/>
                <w:noProof/>
                <w:color w:val="000000"/>
                <w:sz w:val="18"/>
              </w:rPr>
            </w:pPr>
            <w:r>
              <w:rPr>
                <w:rFonts w:ascii="Verdana" w:hAnsi="Verdana"/>
                <w:b/>
                <w:noProof/>
                <w:color w:val="000000"/>
                <w:sz w:val="18"/>
              </w:rPr>
              <w:t>Notation de crédit</w:t>
            </w:r>
          </w:p>
        </w:tc>
        <w:tc>
          <w:tcPr>
            <w:tcW w:w="1696" w:type="dxa"/>
            <w:tcBorders>
              <w:top w:val="nil"/>
              <w:left w:val="nil"/>
              <w:bottom w:val="nil"/>
              <w:right w:val="nil"/>
              <w:tl2br w:val="nil"/>
              <w:tr2bl w:val="nil"/>
            </w:tcBorders>
            <w:tcMar>
              <w:left w:w="60" w:type="dxa"/>
              <w:right w:w="60" w:type="dxa"/>
            </w:tcMar>
            <w:vAlign w:val="center"/>
          </w:tcPr>
          <w:p>
            <w:pPr>
              <w:pStyle w:val="DMETW36755BIPLOCDQ"/>
              <w:jc w:val="right"/>
              <w:rPr>
                <w:rFonts w:ascii="Verdana" w:eastAsia="Verdana" w:hAnsi="Verdana" w:cs="Verdana"/>
                <w:noProof/>
                <w:color w:val="A8A8A8"/>
              </w:rPr>
            </w:pPr>
          </w:p>
        </w:tc>
        <w:tc>
          <w:tcPr>
            <w:tcW w:w="1134" w:type="dxa"/>
            <w:tcBorders>
              <w:top w:val="nil"/>
              <w:left w:val="nil"/>
              <w:bottom w:val="nil"/>
              <w:right w:val="nil"/>
              <w:tl2br w:val="nil"/>
              <w:tr2bl w:val="nil"/>
            </w:tcBorders>
            <w:tcMar>
              <w:left w:w="60" w:type="dxa"/>
              <w:right w:w="60" w:type="dxa"/>
            </w:tcMar>
            <w:vAlign w:val="center"/>
          </w:tcPr>
          <w:p>
            <w:pPr>
              <w:pStyle w:val="DMETW36755BIPLOCDQ"/>
              <w:rPr>
                <w:rFonts w:ascii="Verdana" w:eastAsia="Verdana" w:hAnsi="Verdana" w:cs="Verdana"/>
                <w:noProof/>
                <w:color w:val="000000"/>
              </w:rPr>
            </w:pPr>
          </w:p>
        </w:tc>
        <w:tc>
          <w:tcPr>
            <w:tcW w:w="1134" w:type="dxa"/>
            <w:tcBorders>
              <w:top w:val="nil"/>
              <w:left w:val="nil"/>
              <w:bottom w:val="nil"/>
              <w:right w:val="nil"/>
              <w:tl2br w:val="nil"/>
              <w:tr2bl w:val="nil"/>
            </w:tcBorders>
            <w:tcMar>
              <w:left w:w="60" w:type="dxa"/>
              <w:right w:w="60" w:type="dxa"/>
            </w:tcMar>
            <w:vAlign w:val="center"/>
          </w:tcPr>
          <w:p>
            <w:pPr>
              <w:pStyle w:val="DMETW36755BIPLOCDQ"/>
              <w:rPr>
                <w:rFonts w:ascii="Verdana" w:eastAsia="Verdana" w:hAnsi="Verdana" w:cs="Verdana"/>
                <w:noProof/>
                <w:color w:val="000000"/>
              </w:rPr>
            </w:pPr>
          </w:p>
        </w:tc>
        <w:tc>
          <w:tcPr>
            <w:tcW w:w="1134" w:type="dxa"/>
            <w:tcBorders>
              <w:top w:val="nil"/>
              <w:left w:val="nil"/>
              <w:bottom w:val="nil"/>
              <w:right w:val="nil"/>
              <w:tl2br w:val="nil"/>
              <w:tr2bl w:val="nil"/>
            </w:tcBorders>
            <w:tcMar>
              <w:left w:w="60" w:type="dxa"/>
              <w:right w:w="60" w:type="dxa"/>
            </w:tcMar>
            <w:vAlign w:val="center"/>
          </w:tcPr>
          <w:p>
            <w:pPr>
              <w:pStyle w:val="DMETW36755BIPLOCDQ"/>
              <w:rPr>
                <w:rFonts w:ascii="Verdana" w:eastAsia="Verdana" w:hAnsi="Verdana" w:cs="Verdana"/>
                <w:noProof/>
                <w:color w:val="000000"/>
              </w:rPr>
            </w:pPr>
          </w:p>
        </w:tc>
        <w:tc>
          <w:tcPr>
            <w:tcW w:w="1051" w:type="dxa"/>
            <w:tcBorders>
              <w:top w:val="nil"/>
              <w:left w:val="nil"/>
              <w:bottom w:val="nil"/>
              <w:right w:val="nil"/>
              <w:tl2br w:val="nil"/>
              <w:tr2bl w:val="nil"/>
            </w:tcBorders>
            <w:tcMar>
              <w:left w:w="60" w:type="dxa"/>
              <w:right w:w="60" w:type="dxa"/>
            </w:tcMar>
            <w:vAlign w:val="center"/>
          </w:tcPr>
          <w:p>
            <w:pPr>
              <w:pStyle w:val="DMETW36755BIPLOCDQ"/>
              <w:rPr>
                <w:rFonts w:ascii="Verdana" w:eastAsia="Verdana" w:hAnsi="Verdana" w:cs="Verdana"/>
                <w:noProof/>
                <w:color w:val="000000"/>
                <w:lang w:bidi="en-GB"/>
              </w:rPr>
            </w:pPr>
          </w:p>
        </w:tc>
      </w:tr>
      <w:tr>
        <w:trPr>
          <w:trHeight w:hRule="exact" w:val="255"/>
        </w:trPr>
        <w:tc>
          <w:tcPr>
            <w:tcW w:w="3609" w:type="dxa"/>
            <w:tcBorders>
              <w:top w:val="nil"/>
              <w:left w:val="nil"/>
              <w:bottom w:val="nil"/>
              <w:right w:val="nil"/>
              <w:tl2br w:val="nil"/>
              <w:tr2bl w:val="nil"/>
            </w:tcBorders>
            <w:tcMar>
              <w:left w:w="60" w:type="dxa"/>
              <w:right w:w="60" w:type="dxa"/>
            </w:tcMar>
            <w:vAlign w:val="center"/>
          </w:tcPr>
          <w:p>
            <w:pPr>
              <w:pStyle w:val="DMETW36755BIPLOCDQ"/>
              <w:rPr>
                <w:rFonts w:ascii="Verdana" w:eastAsia="Verdana" w:hAnsi="Verdana" w:cs="Verdana"/>
                <w:i/>
                <w:noProof/>
                <w:color w:val="000000"/>
                <w:sz w:val="18"/>
              </w:rPr>
            </w:pPr>
            <w:r>
              <w:rPr>
                <w:rFonts w:ascii="Verdana" w:hAnsi="Verdana"/>
                <w:i/>
                <w:noProof/>
                <w:color w:val="000000"/>
                <w:sz w:val="18"/>
              </w:rPr>
              <w:t>Première qualité et haute qualité</w:t>
            </w:r>
          </w:p>
        </w:tc>
        <w:tc>
          <w:tcPr>
            <w:tcW w:w="1696" w:type="dxa"/>
            <w:tcBorders>
              <w:top w:val="nil"/>
              <w:left w:val="nil"/>
              <w:bottom w:val="nil"/>
              <w:right w:val="nil"/>
              <w:tl2br w:val="nil"/>
              <w:tr2bl w:val="nil"/>
            </w:tcBorders>
            <w:tcMar>
              <w:left w:w="60" w:type="dxa"/>
              <w:right w:w="60" w:type="dxa"/>
            </w:tcMar>
            <w:vAlign w:val="center"/>
          </w:tcPr>
          <w:p>
            <w:pPr>
              <w:pStyle w:val="DMETW36755BIPLOCDQ"/>
              <w:jc w:val="right"/>
              <w:rPr>
                <w:rFonts w:ascii="Verdana" w:eastAsia="Verdana" w:hAnsi="Verdana" w:cs="Verdana"/>
                <w:i/>
                <w:noProof/>
                <w:color w:val="000000"/>
                <w:sz w:val="18"/>
              </w:rPr>
            </w:pPr>
            <w:r>
              <w:rPr>
                <w:rFonts w:ascii="Verdana" w:hAnsi="Verdana"/>
                <w:i/>
                <w:noProof/>
                <w:color w:val="000000"/>
                <w:sz w:val="18"/>
              </w:rPr>
              <w:t>33 176</w:t>
            </w:r>
          </w:p>
        </w:tc>
        <w:tc>
          <w:tcPr>
            <w:tcW w:w="1134" w:type="dxa"/>
            <w:tcBorders>
              <w:top w:val="nil"/>
              <w:left w:val="nil"/>
              <w:bottom w:val="nil"/>
              <w:right w:val="nil"/>
              <w:tl2br w:val="nil"/>
              <w:tr2bl w:val="nil"/>
            </w:tcBorders>
            <w:tcMar>
              <w:left w:w="60" w:type="dxa"/>
              <w:right w:w="60" w:type="dxa"/>
            </w:tcMar>
            <w:vAlign w:val="center"/>
          </w:tcPr>
          <w:p>
            <w:pPr>
              <w:pStyle w:val="DMETW36755BIPLOCDQ"/>
              <w:jc w:val="right"/>
              <w:rPr>
                <w:rFonts w:ascii="Verdana" w:eastAsia="Verdana" w:hAnsi="Verdana" w:cs="Verdana"/>
                <w:i/>
                <w:noProof/>
                <w:color w:val="000000"/>
                <w:sz w:val="18"/>
              </w:rPr>
            </w:pPr>
            <w:r>
              <w:rPr>
                <w:rFonts w:ascii="Verdana" w:hAnsi="Verdana"/>
                <w:i/>
                <w:noProof/>
                <w:color w:val="000000"/>
                <w:sz w:val="18"/>
              </w:rPr>
              <w:t>–</w:t>
            </w:r>
          </w:p>
        </w:tc>
        <w:tc>
          <w:tcPr>
            <w:tcW w:w="1134" w:type="dxa"/>
            <w:tcBorders>
              <w:top w:val="nil"/>
              <w:left w:val="nil"/>
              <w:bottom w:val="nil"/>
              <w:right w:val="nil"/>
              <w:tl2br w:val="nil"/>
              <w:tr2bl w:val="nil"/>
            </w:tcBorders>
            <w:tcMar>
              <w:left w:w="60" w:type="dxa"/>
              <w:right w:w="60" w:type="dxa"/>
            </w:tcMar>
            <w:vAlign w:val="center"/>
          </w:tcPr>
          <w:p>
            <w:pPr>
              <w:pStyle w:val="DMETW36755BIPLOCDQ"/>
              <w:jc w:val="right"/>
              <w:rPr>
                <w:rFonts w:ascii="Verdana" w:eastAsia="Verdana" w:hAnsi="Verdana" w:cs="Verdana"/>
                <w:i/>
                <w:noProof/>
                <w:color w:val="000000"/>
                <w:sz w:val="18"/>
              </w:rPr>
            </w:pPr>
            <w:r>
              <w:rPr>
                <w:rFonts w:ascii="Verdana" w:hAnsi="Verdana"/>
                <w:i/>
                <w:noProof/>
                <w:color w:val="000000"/>
                <w:sz w:val="18"/>
              </w:rPr>
              <w:t>–</w:t>
            </w:r>
          </w:p>
        </w:tc>
        <w:tc>
          <w:tcPr>
            <w:tcW w:w="1134" w:type="dxa"/>
            <w:tcBorders>
              <w:top w:val="nil"/>
              <w:left w:val="nil"/>
              <w:bottom w:val="nil"/>
              <w:right w:val="nil"/>
              <w:tl2br w:val="nil"/>
              <w:tr2bl w:val="nil"/>
            </w:tcBorders>
            <w:tcMar>
              <w:left w:w="60" w:type="dxa"/>
              <w:right w:w="60" w:type="dxa"/>
            </w:tcMar>
            <w:vAlign w:val="center"/>
          </w:tcPr>
          <w:p>
            <w:pPr>
              <w:pStyle w:val="DMETW36755BIPLOCDQ"/>
              <w:jc w:val="right"/>
              <w:rPr>
                <w:rFonts w:ascii="Verdana" w:eastAsia="Verdana" w:hAnsi="Verdana" w:cs="Verdana"/>
                <w:i/>
                <w:noProof/>
                <w:color w:val="000000"/>
                <w:sz w:val="18"/>
              </w:rPr>
            </w:pPr>
            <w:r>
              <w:rPr>
                <w:rFonts w:ascii="Verdana" w:hAnsi="Verdana"/>
                <w:i/>
                <w:noProof/>
                <w:color w:val="000000"/>
                <w:sz w:val="18"/>
              </w:rPr>
              <w:t>–</w:t>
            </w:r>
          </w:p>
        </w:tc>
        <w:tc>
          <w:tcPr>
            <w:tcW w:w="1051" w:type="dxa"/>
            <w:tcBorders>
              <w:top w:val="nil"/>
              <w:left w:val="nil"/>
              <w:bottom w:val="nil"/>
              <w:right w:val="nil"/>
              <w:tl2br w:val="nil"/>
              <w:tr2bl w:val="nil"/>
            </w:tcBorders>
            <w:tcMar>
              <w:left w:w="60" w:type="dxa"/>
              <w:right w:w="60" w:type="dxa"/>
            </w:tcMar>
            <w:vAlign w:val="center"/>
          </w:tcPr>
          <w:p>
            <w:pPr>
              <w:pStyle w:val="DMETW36755BIPLOCDQ"/>
              <w:jc w:val="right"/>
              <w:rPr>
                <w:rFonts w:ascii="Verdana" w:eastAsia="Verdana" w:hAnsi="Verdana" w:cs="Verdana"/>
                <w:i/>
                <w:noProof/>
                <w:color w:val="000000"/>
                <w:sz w:val="18"/>
              </w:rPr>
            </w:pPr>
            <w:r>
              <w:rPr>
                <w:rFonts w:ascii="Verdana" w:hAnsi="Verdana"/>
                <w:i/>
                <w:noProof/>
                <w:color w:val="000000"/>
                <w:sz w:val="18"/>
              </w:rPr>
              <w:t>33 176</w:t>
            </w:r>
          </w:p>
        </w:tc>
      </w:tr>
      <w:tr>
        <w:trPr>
          <w:trHeight w:hRule="exact" w:val="255"/>
        </w:trPr>
        <w:tc>
          <w:tcPr>
            <w:tcW w:w="3609" w:type="dxa"/>
            <w:tcBorders>
              <w:top w:val="nil"/>
              <w:left w:val="nil"/>
              <w:bottom w:val="nil"/>
              <w:right w:val="nil"/>
              <w:tl2br w:val="nil"/>
              <w:tr2bl w:val="nil"/>
            </w:tcBorders>
            <w:tcMar>
              <w:left w:w="60" w:type="dxa"/>
              <w:right w:w="60" w:type="dxa"/>
            </w:tcMar>
            <w:vAlign w:val="center"/>
          </w:tcPr>
          <w:p>
            <w:pPr>
              <w:pStyle w:val="DMETW36755BIPLOCDQ"/>
              <w:rPr>
                <w:rFonts w:ascii="Verdana" w:eastAsia="Verdana" w:hAnsi="Verdana" w:cs="Verdana"/>
                <w:i/>
                <w:noProof/>
                <w:color w:val="000000"/>
                <w:sz w:val="18"/>
              </w:rPr>
            </w:pPr>
            <w:r>
              <w:rPr>
                <w:rFonts w:ascii="Verdana" w:hAnsi="Verdana"/>
                <w:i/>
                <w:noProof/>
                <w:color w:val="000000"/>
                <w:sz w:val="18"/>
              </w:rPr>
              <w:t>Qualité moyenne supérieure</w:t>
            </w:r>
          </w:p>
        </w:tc>
        <w:tc>
          <w:tcPr>
            <w:tcW w:w="1696" w:type="dxa"/>
            <w:tcBorders>
              <w:top w:val="nil"/>
              <w:left w:val="nil"/>
              <w:bottom w:val="nil"/>
              <w:right w:val="nil"/>
              <w:tl2br w:val="nil"/>
              <w:tr2bl w:val="nil"/>
            </w:tcBorders>
            <w:tcMar>
              <w:left w:w="60" w:type="dxa"/>
              <w:right w:w="60" w:type="dxa"/>
            </w:tcMar>
            <w:vAlign w:val="center"/>
          </w:tcPr>
          <w:p>
            <w:pPr>
              <w:pStyle w:val="DMETW36755BIPLOCDQ"/>
              <w:jc w:val="right"/>
              <w:rPr>
                <w:rFonts w:ascii="Verdana" w:eastAsia="Verdana" w:hAnsi="Verdana" w:cs="Verdana"/>
                <w:i/>
                <w:noProof/>
                <w:color w:val="000000"/>
                <w:sz w:val="18"/>
              </w:rPr>
            </w:pPr>
            <w:r>
              <w:rPr>
                <w:rFonts w:ascii="Verdana" w:hAnsi="Verdana"/>
                <w:i/>
                <w:noProof/>
                <w:color w:val="000000"/>
                <w:sz w:val="18"/>
              </w:rPr>
              <w:t>102 243</w:t>
            </w:r>
          </w:p>
        </w:tc>
        <w:tc>
          <w:tcPr>
            <w:tcW w:w="1134" w:type="dxa"/>
            <w:tcBorders>
              <w:top w:val="nil"/>
              <w:left w:val="nil"/>
              <w:bottom w:val="nil"/>
              <w:right w:val="nil"/>
              <w:tl2br w:val="nil"/>
              <w:tr2bl w:val="nil"/>
            </w:tcBorders>
            <w:tcMar>
              <w:left w:w="60" w:type="dxa"/>
              <w:right w:w="60" w:type="dxa"/>
            </w:tcMar>
            <w:vAlign w:val="center"/>
          </w:tcPr>
          <w:p>
            <w:pPr>
              <w:pStyle w:val="DMETW36755BIPLOCDQ"/>
              <w:jc w:val="right"/>
              <w:rPr>
                <w:rFonts w:ascii="Verdana" w:eastAsia="Verdana" w:hAnsi="Verdana" w:cs="Verdana"/>
                <w:i/>
                <w:noProof/>
                <w:color w:val="000000"/>
                <w:sz w:val="18"/>
              </w:rPr>
            </w:pPr>
            <w:r>
              <w:rPr>
                <w:rFonts w:ascii="Verdana" w:hAnsi="Verdana"/>
                <w:i/>
                <w:noProof/>
                <w:color w:val="000000"/>
                <w:sz w:val="18"/>
              </w:rPr>
              <w:t>–</w:t>
            </w:r>
          </w:p>
        </w:tc>
        <w:tc>
          <w:tcPr>
            <w:tcW w:w="1134" w:type="dxa"/>
            <w:tcBorders>
              <w:top w:val="nil"/>
              <w:left w:val="nil"/>
              <w:bottom w:val="nil"/>
              <w:right w:val="nil"/>
              <w:tl2br w:val="nil"/>
              <w:tr2bl w:val="nil"/>
            </w:tcBorders>
            <w:tcMar>
              <w:left w:w="60" w:type="dxa"/>
              <w:right w:w="60" w:type="dxa"/>
            </w:tcMar>
            <w:vAlign w:val="center"/>
          </w:tcPr>
          <w:p>
            <w:pPr>
              <w:pStyle w:val="DMETW36755BIPLOCDQ"/>
              <w:jc w:val="right"/>
              <w:rPr>
                <w:rFonts w:ascii="Verdana" w:eastAsia="Verdana" w:hAnsi="Verdana" w:cs="Verdana"/>
                <w:i/>
                <w:noProof/>
                <w:color w:val="000000"/>
                <w:sz w:val="18"/>
              </w:rPr>
            </w:pPr>
            <w:r>
              <w:rPr>
                <w:rFonts w:ascii="Verdana" w:hAnsi="Verdana"/>
                <w:i/>
                <w:noProof/>
                <w:color w:val="000000"/>
                <w:sz w:val="18"/>
              </w:rPr>
              <w:t>–</w:t>
            </w:r>
          </w:p>
        </w:tc>
        <w:tc>
          <w:tcPr>
            <w:tcW w:w="1134" w:type="dxa"/>
            <w:tcBorders>
              <w:top w:val="nil"/>
              <w:left w:val="nil"/>
              <w:bottom w:val="nil"/>
              <w:right w:val="nil"/>
              <w:tl2br w:val="nil"/>
              <w:tr2bl w:val="nil"/>
            </w:tcBorders>
            <w:tcMar>
              <w:left w:w="60" w:type="dxa"/>
              <w:right w:w="60" w:type="dxa"/>
            </w:tcMar>
            <w:vAlign w:val="center"/>
          </w:tcPr>
          <w:p>
            <w:pPr>
              <w:pStyle w:val="DMETW36755BIPLOCDQ"/>
              <w:jc w:val="right"/>
              <w:rPr>
                <w:rFonts w:ascii="Verdana" w:eastAsia="Verdana" w:hAnsi="Verdana" w:cs="Verdana"/>
                <w:i/>
                <w:noProof/>
                <w:color w:val="000000"/>
                <w:sz w:val="18"/>
              </w:rPr>
            </w:pPr>
            <w:r>
              <w:rPr>
                <w:rFonts w:ascii="Verdana" w:hAnsi="Verdana"/>
                <w:i/>
                <w:noProof/>
                <w:color w:val="000000"/>
                <w:sz w:val="18"/>
              </w:rPr>
              <w:t>–</w:t>
            </w:r>
          </w:p>
        </w:tc>
        <w:tc>
          <w:tcPr>
            <w:tcW w:w="1051" w:type="dxa"/>
            <w:tcBorders>
              <w:top w:val="nil"/>
              <w:left w:val="nil"/>
              <w:bottom w:val="nil"/>
              <w:right w:val="nil"/>
              <w:tl2br w:val="nil"/>
              <w:tr2bl w:val="nil"/>
            </w:tcBorders>
            <w:tcMar>
              <w:left w:w="60" w:type="dxa"/>
              <w:right w:w="60" w:type="dxa"/>
            </w:tcMar>
            <w:vAlign w:val="center"/>
          </w:tcPr>
          <w:p>
            <w:pPr>
              <w:pStyle w:val="DMETW36755BIPLOCDQ"/>
              <w:jc w:val="right"/>
              <w:rPr>
                <w:rFonts w:ascii="Verdana" w:eastAsia="Verdana" w:hAnsi="Verdana" w:cs="Verdana"/>
                <w:i/>
                <w:noProof/>
                <w:color w:val="000000"/>
                <w:sz w:val="18"/>
              </w:rPr>
            </w:pPr>
            <w:r>
              <w:rPr>
                <w:rFonts w:ascii="Verdana" w:hAnsi="Verdana"/>
                <w:i/>
                <w:noProof/>
                <w:color w:val="000000"/>
                <w:sz w:val="18"/>
              </w:rPr>
              <w:t>102 243</w:t>
            </w:r>
          </w:p>
        </w:tc>
      </w:tr>
      <w:tr>
        <w:trPr>
          <w:trHeight w:hRule="exact" w:val="255"/>
        </w:trPr>
        <w:tc>
          <w:tcPr>
            <w:tcW w:w="3609" w:type="dxa"/>
            <w:tcBorders>
              <w:top w:val="nil"/>
              <w:left w:val="nil"/>
              <w:bottom w:val="nil"/>
              <w:right w:val="nil"/>
              <w:tl2br w:val="nil"/>
              <w:tr2bl w:val="nil"/>
            </w:tcBorders>
            <w:tcMar>
              <w:left w:w="60" w:type="dxa"/>
              <w:right w:w="60" w:type="dxa"/>
            </w:tcMar>
            <w:vAlign w:val="center"/>
          </w:tcPr>
          <w:p>
            <w:pPr>
              <w:pStyle w:val="DMETW36755BIPLOCDQ"/>
              <w:rPr>
                <w:rFonts w:ascii="Verdana" w:eastAsia="Verdana" w:hAnsi="Verdana" w:cs="Verdana"/>
                <w:i/>
                <w:noProof/>
                <w:color w:val="000000"/>
                <w:sz w:val="18"/>
              </w:rPr>
            </w:pPr>
            <w:r>
              <w:rPr>
                <w:rFonts w:ascii="Verdana" w:hAnsi="Verdana"/>
                <w:i/>
                <w:noProof/>
                <w:color w:val="000000"/>
                <w:sz w:val="18"/>
              </w:rPr>
              <w:t>Qualité moyenne inférieure</w:t>
            </w:r>
          </w:p>
        </w:tc>
        <w:tc>
          <w:tcPr>
            <w:tcW w:w="1696" w:type="dxa"/>
            <w:tcBorders>
              <w:top w:val="nil"/>
              <w:left w:val="nil"/>
              <w:bottom w:val="nil"/>
              <w:right w:val="nil"/>
              <w:tl2br w:val="nil"/>
              <w:tr2bl w:val="nil"/>
            </w:tcBorders>
            <w:tcMar>
              <w:left w:w="60" w:type="dxa"/>
              <w:right w:w="60" w:type="dxa"/>
            </w:tcMar>
            <w:vAlign w:val="center"/>
          </w:tcPr>
          <w:p>
            <w:pPr>
              <w:pStyle w:val="DMETW36755BIPLOCDQ"/>
              <w:jc w:val="right"/>
              <w:rPr>
                <w:rFonts w:ascii="Verdana" w:eastAsia="Verdana" w:hAnsi="Verdana" w:cs="Verdana"/>
                <w:i/>
                <w:noProof/>
                <w:color w:val="000000"/>
                <w:sz w:val="18"/>
              </w:rPr>
            </w:pPr>
            <w:r>
              <w:rPr>
                <w:rFonts w:ascii="Verdana" w:hAnsi="Verdana"/>
                <w:i/>
                <w:noProof/>
                <w:color w:val="000000"/>
                <w:sz w:val="18"/>
              </w:rPr>
              <w:t>151 363</w:t>
            </w:r>
          </w:p>
        </w:tc>
        <w:tc>
          <w:tcPr>
            <w:tcW w:w="1134" w:type="dxa"/>
            <w:tcBorders>
              <w:top w:val="nil"/>
              <w:left w:val="nil"/>
              <w:bottom w:val="nil"/>
              <w:right w:val="nil"/>
              <w:tl2br w:val="nil"/>
              <w:tr2bl w:val="nil"/>
            </w:tcBorders>
            <w:tcMar>
              <w:left w:w="60" w:type="dxa"/>
              <w:right w:w="60" w:type="dxa"/>
            </w:tcMar>
            <w:vAlign w:val="center"/>
          </w:tcPr>
          <w:p>
            <w:pPr>
              <w:pStyle w:val="DMETW36755BIPLOCDQ"/>
              <w:jc w:val="right"/>
              <w:rPr>
                <w:rFonts w:ascii="Verdana" w:eastAsia="Verdana" w:hAnsi="Verdana" w:cs="Verdana"/>
                <w:i/>
                <w:noProof/>
                <w:color w:val="000000"/>
                <w:sz w:val="18"/>
              </w:rPr>
            </w:pPr>
            <w:r>
              <w:rPr>
                <w:rFonts w:ascii="Verdana" w:hAnsi="Verdana"/>
                <w:i/>
                <w:noProof/>
                <w:color w:val="000000"/>
                <w:sz w:val="18"/>
              </w:rPr>
              <w:t>–</w:t>
            </w:r>
          </w:p>
        </w:tc>
        <w:tc>
          <w:tcPr>
            <w:tcW w:w="1134" w:type="dxa"/>
            <w:tcBorders>
              <w:top w:val="nil"/>
              <w:left w:val="nil"/>
              <w:bottom w:val="nil"/>
              <w:right w:val="nil"/>
              <w:tl2br w:val="nil"/>
              <w:tr2bl w:val="nil"/>
            </w:tcBorders>
            <w:tcMar>
              <w:left w:w="60" w:type="dxa"/>
              <w:right w:w="60" w:type="dxa"/>
            </w:tcMar>
            <w:vAlign w:val="center"/>
          </w:tcPr>
          <w:p>
            <w:pPr>
              <w:pStyle w:val="DMETW36755BIPLOCDQ"/>
              <w:jc w:val="right"/>
              <w:rPr>
                <w:rFonts w:ascii="Verdana" w:eastAsia="Verdana" w:hAnsi="Verdana" w:cs="Verdana"/>
                <w:i/>
                <w:noProof/>
                <w:color w:val="000000"/>
                <w:sz w:val="18"/>
              </w:rPr>
            </w:pPr>
            <w:r>
              <w:rPr>
                <w:rFonts w:ascii="Verdana" w:hAnsi="Verdana"/>
                <w:i/>
                <w:noProof/>
                <w:color w:val="000000"/>
                <w:sz w:val="18"/>
              </w:rPr>
              <w:t>–</w:t>
            </w:r>
          </w:p>
        </w:tc>
        <w:tc>
          <w:tcPr>
            <w:tcW w:w="1134" w:type="dxa"/>
            <w:tcBorders>
              <w:top w:val="nil"/>
              <w:left w:val="nil"/>
              <w:bottom w:val="nil"/>
              <w:right w:val="nil"/>
              <w:tl2br w:val="nil"/>
              <w:tr2bl w:val="nil"/>
            </w:tcBorders>
            <w:tcMar>
              <w:left w:w="60" w:type="dxa"/>
              <w:right w:w="60" w:type="dxa"/>
            </w:tcMar>
            <w:vAlign w:val="center"/>
          </w:tcPr>
          <w:p>
            <w:pPr>
              <w:pStyle w:val="DMETW36755BIPLOCDQ"/>
              <w:jc w:val="right"/>
              <w:rPr>
                <w:rFonts w:ascii="Verdana" w:eastAsia="Verdana" w:hAnsi="Verdana" w:cs="Verdana"/>
                <w:i/>
                <w:noProof/>
                <w:color w:val="000000"/>
                <w:sz w:val="18"/>
              </w:rPr>
            </w:pPr>
            <w:r>
              <w:rPr>
                <w:rFonts w:ascii="Verdana" w:hAnsi="Verdana"/>
                <w:i/>
                <w:noProof/>
                <w:color w:val="000000"/>
                <w:sz w:val="18"/>
              </w:rPr>
              <w:t>–</w:t>
            </w:r>
          </w:p>
        </w:tc>
        <w:tc>
          <w:tcPr>
            <w:tcW w:w="1051" w:type="dxa"/>
            <w:tcBorders>
              <w:top w:val="nil"/>
              <w:left w:val="nil"/>
              <w:bottom w:val="nil"/>
              <w:right w:val="nil"/>
              <w:tl2br w:val="nil"/>
              <w:tr2bl w:val="nil"/>
            </w:tcBorders>
            <w:tcMar>
              <w:left w:w="60" w:type="dxa"/>
              <w:right w:w="60" w:type="dxa"/>
            </w:tcMar>
            <w:vAlign w:val="center"/>
          </w:tcPr>
          <w:p>
            <w:pPr>
              <w:pStyle w:val="DMETW36755BIPLOCDQ"/>
              <w:jc w:val="right"/>
              <w:rPr>
                <w:rFonts w:ascii="Verdana" w:eastAsia="Verdana" w:hAnsi="Verdana" w:cs="Verdana"/>
                <w:i/>
                <w:noProof/>
                <w:color w:val="000000"/>
                <w:sz w:val="18"/>
              </w:rPr>
            </w:pPr>
            <w:r>
              <w:rPr>
                <w:rFonts w:ascii="Verdana" w:hAnsi="Verdana"/>
                <w:i/>
                <w:noProof/>
                <w:color w:val="000000"/>
                <w:sz w:val="18"/>
              </w:rPr>
              <w:t>151 363</w:t>
            </w:r>
          </w:p>
        </w:tc>
      </w:tr>
      <w:tr>
        <w:trPr>
          <w:trHeight w:hRule="exact" w:val="457"/>
        </w:trPr>
        <w:tc>
          <w:tcPr>
            <w:tcW w:w="3609" w:type="dxa"/>
            <w:tcBorders>
              <w:top w:val="nil"/>
              <w:left w:val="nil"/>
              <w:bottom w:val="single" w:sz="4" w:space="0" w:color="016794"/>
              <w:right w:val="nil"/>
              <w:tl2br w:val="nil"/>
              <w:tr2bl w:val="nil"/>
            </w:tcBorders>
            <w:tcMar>
              <w:left w:w="60" w:type="dxa"/>
              <w:right w:w="60" w:type="dxa"/>
            </w:tcMar>
            <w:vAlign w:val="center"/>
          </w:tcPr>
          <w:p>
            <w:pPr>
              <w:pStyle w:val="DMETW36755BIPLOCDQ"/>
              <w:rPr>
                <w:rFonts w:ascii="Verdana" w:eastAsia="Verdana" w:hAnsi="Verdana" w:cs="Verdana"/>
                <w:i/>
                <w:noProof/>
                <w:color w:val="000000"/>
                <w:sz w:val="18"/>
              </w:rPr>
            </w:pPr>
            <w:r>
              <w:rPr>
                <w:rFonts w:ascii="Verdana" w:hAnsi="Verdana"/>
                <w:i/>
                <w:noProof/>
                <w:color w:val="000000"/>
                <w:sz w:val="18"/>
              </w:rPr>
              <w:t>Catégorie spéculative (y compris en défaut)</w:t>
            </w:r>
          </w:p>
        </w:tc>
        <w:tc>
          <w:tcPr>
            <w:tcW w:w="1696" w:type="dxa"/>
            <w:tcBorders>
              <w:top w:val="nil"/>
              <w:left w:val="nil"/>
              <w:bottom w:val="single" w:sz="4" w:space="0" w:color="016794"/>
              <w:right w:val="nil"/>
              <w:tl2br w:val="nil"/>
              <w:tr2bl w:val="nil"/>
            </w:tcBorders>
            <w:tcMar>
              <w:left w:w="60" w:type="dxa"/>
              <w:right w:w="60" w:type="dxa"/>
            </w:tcMar>
            <w:vAlign w:val="center"/>
          </w:tcPr>
          <w:p>
            <w:pPr>
              <w:pStyle w:val="DMETW36755BIPLOCDQ"/>
              <w:jc w:val="right"/>
              <w:rPr>
                <w:rFonts w:ascii="Verdana" w:eastAsia="Verdana" w:hAnsi="Verdana" w:cs="Verdana"/>
                <w:i/>
                <w:noProof/>
                <w:color w:val="000000"/>
                <w:sz w:val="18"/>
              </w:rPr>
            </w:pPr>
            <w:r>
              <w:rPr>
                <w:rFonts w:ascii="Verdana" w:hAnsi="Verdana"/>
                <w:i/>
                <w:noProof/>
                <w:color w:val="000000"/>
                <w:sz w:val="18"/>
              </w:rPr>
              <w:t>4 340</w:t>
            </w:r>
          </w:p>
        </w:tc>
        <w:tc>
          <w:tcPr>
            <w:tcW w:w="1134" w:type="dxa"/>
            <w:tcBorders>
              <w:top w:val="nil"/>
              <w:left w:val="nil"/>
              <w:bottom w:val="single" w:sz="4" w:space="0" w:color="016794"/>
              <w:right w:val="nil"/>
              <w:tl2br w:val="nil"/>
              <w:tr2bl w:val="nil"/>
            </w:tcBorders>
            <w:tcMar>
              <w:left w:w="60" w:type="dxa"/>
              <w:right w:w="60" w:type="dxa"/>
            </w:tcMar>
            <w:vAlign w:val="center"/>
          </w:tcPr>
          <w:p>
            <w:pPr>
              <w:pStyle w:val="DMETW36755BIPLOCDQ"/>
              <w:jc w:val="right"/>
              <w:rPr>
                <w:rFonts w:ascii="Verdana" w:eastAsia="Verdana" w:hAnsi="Verdana" w:cs="Verdana"/>
                <w:i/>
                <w:noProof/>
                <w:color w:val="000000"/>
                <w:sz w:val="18"/>
              </w:rPr>
            </w:pPr>
            <w:r>
              <w:rPr>
                <w:rFonts w:ascii="Verdana" w:hAnsi="Verdana"/>
                <w:i/>
                <w:noProof/>
                <w:color w:val="000000"/>
                <w:sz w:val="18"/>
              </w:rPr>
              <w:t>72 630</w:t>
            </w:r>
          </w:p>
        </w:tc>
        <w:tc>
          <w:tcPr>
            <w:tcW w:w="1134" w:type="dxa"/>
            <w:tcBorders>
              <w:top w:val="nil"/>
              <w:left w:val="nil"/>
              <w:bottom w:val="single" w:sz="4" w:space="0" w:color="016794"/>
              <w:right w:val="nil"/>
              <w:tl2br w:val="nil"/>
              <w:tr2bl w:val="nil"/>
            </w:tcBorders>
            <w:tcMar>
              <w:left w:w="60" w:type="dxa"/>
              <w:right w:w="60" w:type="dxa"/>
            </w:tcMar>
            <w:vAlign w:val="center"/>
          </w:tcPr>
          <w:p>
            <w:pPr>
              <w:pStyle w:val="DMETW36755BIPLOCDQ"/>
              <w:jc w:val="right"/>
              <w:rPr>
                <w:rFonts w:ascii="Verdana" w:eastAsia="Verdana" w:hAnsi="Verdana" w:cs="Verdana"/>
                <w:i/>
                <w:noProof/>
                <w:color w:val="000000"/>
                <w:sz w:val="18"/>
              </w:rPr>
            </w:pPr>
            <w:r>
              <w:rPr>
                <w:rFonts w:ascii="Verdana" w:hAnsi="Verdana"/>
                <w:i/>
                <w:noProof/>
                <w:color w:val="000000"/>
                <w:sz w:val="18"/>
              </w:rPr>
              <w:t xml:space="preserve"> 28</w:t>
            </w:r>
          </w:p>
        </w:tc>
        <w:tc>
          <w:tcPr>
            <w:tcW w:w="1134" w:type="dxa"/>
            <w:tcBorders>
              <w:top w:val="nil"/>
              <w:left w:val="nil"/>
              <w:bottom w:val="single" w:sz="4" w:space="0" w:color="016794"/>
              <w:right w:val="nil"/>
              <w:tl2br w:val="nil"/>
              <w:tr2bl w:val="nil"/>
            </w:tcBorders>
            <w:tcMar>
              <w:left w:w="60" w:type="dxa"/>
              <w:right w:w="60" w:type="dxa"/>
            </w:tcMar>
            <w:vAlign w:val="center"/>
          </w:tcPr>
          <w:p>
            <w:pPr>
              <w:pStyle w:val="DMETW36755BIPLOCDQ"/>
              <w:jc w:val="right"/>
              <w:rPr>
                <w:rFonts w:ascii="Verdana" w:eastAsia="Verdana" w:hAnsi="Verdana" w:cs="Verdana"/>
                <w:i/>
                <w:noProof/>
                <w:color w:val="000000"/>
                <w:sz w:val="18"/>
              </w:rPr>
            </w:pPr>
            <w:r>
              <w:rPr>
                <w:rFonts w:ascii="Verdana" w:hAnsi="Verdana"/>
                <w:i/>
                <w:noProof/>
                <w:color w:val="000000"/>
                <w:sz w:val="18"/>
              </w:rPr>
              <w:t xml:space="preserve"> 21</w:t>
            </w:r>
          </w:p>
        </w:tc>
        <w:tc>
          <w:tcPr>
            <w:tcW w:w="1051" w:type="dxa"/>
            <w:tcBorders>
              <w:top w:val="nil"/>
              <w:left w:val="nil"/>
              <w:bottom w:val="single" w:sz="4" w:space="0" w:color="016794"/>
              <w:right w:val="nil"/>
              <w:tl2br w:val="nil"/>
              <w:tr2bl w:val="nil"/>
            </w:tcBorders>
            <w:tcMar>
              <w:left w:w="60" w:type="dxa"/>
              <w:right w:w="60" w:type="dxa"/>
            </w:tcMar>
            <w:vAlign w:val="center"/>
          </w:tcPr>
          <w:p>
            <w:pPr>
              <w:pStyle w:val="DMETW36755BIPLOCDQ"/>
              <w:jc w:val="right"/>
              <w:rPr>
                <w:rFonts w:ascii="Verdana" w:eastAsia="Verdana" w:hAnsi="Verdana" w:cs="Verdana"/>
                <w:i/>
                <w:noProof/>
                <w:color w:val="000000"/>
                <w:sz w:val="18"/>
              </w:rPr>
            </w:pPr>
            <w:r>
              <w:rPr>
                <w:rFonts w:ascii="Verdana" w:hAnsi="Verdana"/>
                <w:i/>
                <w:noProof/>
                <w:color w:val="000000"/>
                <w:sz w:val="18"/>
              </w:rPr>
              <w:t>77 019</w:t>
            </w:r>
          </w:p>
        </w:tc>
      </w:tr>
      <w:tr>
        <w:trPr>
          <w:trHeight w:hRule="exact" w:val="360"/>
        </w:trPr>
        <w:tc>
          <w:tcPr>
            <w:tcW w:w="3609" w:type="dxa"/>
            <w:tcBorders>
              <w:top w:val="single" w:sz="4" w:space="0" w:color="016794"/>
              <w:left w:val="nil"/>
              <w:bottom w:val="nil"/>
              <w:right w:val="nil"/>
              <w:tl2br w:val="nil"/>
              <w:tr2bl w:val="nil"/>
            </w:tcBorders>
            <w:tcMar>
              <w:left w:w="60" w:type="dxa"/>
              <w:right w:w="60" w:type="dxa"/>
            </w:tcMar>
            <w:vAlign w:val="center"/>
          </w:tcPr>
          <w:p>
            <w:pPr>
              <w:pStyle w:val="DMETW36755BIPLOCDQ"/>
              <w:rPr>
                <w:rFonts w:ascii="Verdana" w:eastAsia="Verdana" w:hAnsi="Verdana" w:cs="Verdana"/>
                <w:b/>
                <w:noProof/>
                <w:color w:val="000000"/>
                <w:sz w:val="18"/>
              </w:rPr>
            </w:pPr>
            <w:r>
              <w:rPr>
                <w:rFonts w:ascii="Verdana" w:hAnsi="Verdana"/>
                <w:b/>
                <w:noProof/>
                <w:color w:val="000000"/>
                <w:sz w:val="18"/>
              </w:rPr>
              <w:t>Valeur comptable brute</w:t>
            </w:r>
          </w:p>
        </w:tc>
        <w:tc>
          <w:tcPr>
            <w:tcW w:w="1696" w:type="dxa"/>
            <w:tcBorders>
              <w:top w:val="single" w:sz="4" w:space="0" w:color="016794"/>
              <w:left w:val="nil"/>
              <w:bottom w:val="nil"/>
              <w:right w:val="nil"/>
              <w:tl2br w:val="nil"/>
              <w:tr2bl w:val="nil"/>
            </w:tcBorders>
            <w:tcMar>
              <w:left w:w="60" w:type="dxa"/>
              <w:right w:w="60" w:type="dxa"/>
            </w:tcMar>
            <w:vAlign w:val="center"/>
          </w:tcPr>
          <w:p>
            <w:pPr>
              <w:pStyle w:val="DMETW36755BIPLOCDQ"/>
              <w:jc w:val="right"/>
              <w:rPr>
                <w:rFonts w:ascii="Verdana" w:eastAsia="Verdana" w:hAnsi="Verdana" w:cs="Verdana"/>
                <w:b/>
                <w:noProof/>
                <w:color w:val="000000"/>
                <w:sz w:val="18"/>
              </w:rPr>
            </w:pPr>
            <w:r>
              <w:rPr>
                <w:rFonts w:ascii="Verdana" w:hAnsi="Verdana"/>
                <w:b/>
                <w:noProof/>
                <w:color w:val="000000"/>
                <w:sz w:val="18"/>
              </w:rPr>
              <w:t>291 122</w:t>
            </w:r>
          </w:p>
        </w:tc>
        <w:tc>
          <w:tcPr>
            <w:tcW w:w="1134" w:type="dxa"/>
            <w:tcBorders>
              <w:top w:val="single" w:sz="4" w:space="0" w:color="016794"/>
              <w:left w:val="nil"/>
              <w:bottom w:val="nil"/>
              <w:right w:val="nil"/>
              <w:tl2br w:val="nil"/>
              <w:tr2bl w:val="nil"/>
            </w:tcBorders>
            <w:tcMar>
              <w:left w:w="60" w:type="dxa"/>
              <w:right w:w="60" w:type="dxa"/>
            </w:tcMar>
            <w:vAlign w:val="center"/>
          </w:tcPr>
          <w:p>
            <w:pPr>
              <w:pStyle w:val="DMETW36755BIPLOCDQ"/>
              <w:jc w:val="right"/>
              <w:rPr>
                <w:rFonts w:ascii="Verdana" w:eastAsia="Verdana" w:hAnsi="Verdana" w:cs="Verdana"/>
                <w:b/>
                <w:noProof/>
                <w:color w:val="000000"/>
                <w:sz w:val="18"/>
              </w:rPr>
            </w:pPr>
            <w:r>
              <w:rPr>
                <w:rFonts w:ascii="Verdana" w:hAnsi="Verdana"/>
                <w:b/>
                <w:noProof/>
                <w:color w:val="000000"/>
                <w:sz w:val="18"/>
              </w:rPr>
              <w:t>72 630</w:t>
            </w:r>
          </w:p>
        </w:tc>
        <w:tc>
          <w:tcPr>
            <w:tcW w:w="1134" w:type="dxa"/>
            <w:tcBorders>
              <w:top w:val="single" w:sz="4" w:space="0" w:color="016794"/>
              <w:left w:val="nil"/>
              <w:bottom w:val="nil"/>
              <w:right w:val="nil"/>
              <w:tl2br w:val="nil"/>
              <w:tr2bl w:val="nil"/>
            </w:tcBorders>
            <w:tcMar>
              <w:left w:w="60" w:type="dxa"/>
              <w:right w:w="60" w:type="dxa"/>
            </w:tcMar>
            <w:vAlign w:val="center"/>
          </w:tcPr>
          <w:p>
            <w:pPr>
              <w:pStyle w:val="DMETW36755BIPLOCDQ"/>
              <w:jc w:val="right"/>
              <w:rPr>
                <w:rFonts w:ascii="Verdana" w:eastAsia="Verdana" w:hAnsi="Verdana" w:cs="Verdana"/>
                <w:b/>
                <w:noProof/>
                <w:color w:val="000000"/>
                <w:sz w:val="18"/>
              </w:rPr>
            </w:pPr>
            <w:r>
              <w:rPr>
                <w:rFonts w:ascii="Verdana" w:hAnsi="Verdana"/>
                <w:b/>
                <w:noProof/>
                <w:color w:val="000000"/>
                <w:sz w:val="18"/>
              </w:rPr>
              <w:t xml:space="preserve"> 28</w:t>
            </w:r>
          </w:p>
        </w:tc>
        <w:tc>
          <w:tcPr>
            <w:tcW w:w="1134" w:type="dxa"/>
            <w:tcBorders>
              <w:top w:val="single" w:sz="4" w:space="0" w:color="016794"/>
              <w:left w:val="nil"/>
              <w:bottom w:val="nil"/>
              <w:right w:val="nil"/>
              <w:tl2br w:val="nil"/>
              <w:tr2bl w:val="nil"/>
            </w:tcBorders>
            <w:tcMar>
              <w:left w:w="60" w:type="dxa"/>
              <w:right w:w="60" w:type="dxa"/>
            </w:tcMar>
            <w:vAlign w:val="center"/>
          </w:tcPr>
          <w:p>
            <w:pPr>
              <w:pStyle w:val="DMETW36755BIPLOCDQ"/>
              <w:jc w:val="right"/>
              <w:rPr>
                <w:rFonts w:ascii="Verdana" w:eastAsia="Verdana" w:hAnsi="Verdana" w:cs="Verdana"/>
                <w:b/>
                <w:noProof/>
                <w:color w:val="000000"/>
                <w:sz w:val="18"/>
              </w:rPr>
            </w:pPr>
            <w:r>
              <w:rPr>
                <w:rFonts w:ascii="Verdana" w:hAnsi="Verdana"/>
                <w:b/>
                <w:noProof/>
                <w:color w:val="000000"/>
                <w:sz w:val="18"/>
              </w:rPr>
              <w:t xml:space="preserve"> 21</w:t>
            </w:r>
          </w:p>
        </w:tc>
        <w:tc>
          <w:tcPr>
            <w:tcW w:w="1051" w:type="dxa"/>
            <w:tcBorders>
              <w:top w:val="single" w:sz="4" w:space="0" w:color="016794"/>
              <w:left w:val="nil"/>
              <w:bottom w:val="nil"/>
              <w:right w:val="nil"/>
              <w:tl2br w:val="nil"/>
              <w:tr2bl w:val="nil"/>
            </w:tcBorders>
            <w:tcMar>
              <w:left w:w="60" w:type="dxa"/>
              <w:right w:w="60" w:type="dxa"/>
            </w:tcMar>
            <w:vAlign w:val="center"/>
          </w:tcPr>
          <w:p>
            <w:pPr>
              <w:pStyle w:val="DMETW36755BIPLOCDQ"/>
              <w:jc w:val="right"/>
              <w:rPr>
                <w:rFonts w:ascii="Verdana" w:eastAsia="Verdana" w:hAnsi="Verdana" w:cs="Verdana"/>
                <w:b/>
                <w:noProof/>
                <w:color w:val="000000"/>
                <w:sz w:val="18"/>
              </w:rPr>
            </w:pPr>
            <w:r>
              <w:rPr>
                <w:rFonts w:ascii="Verdana" w:hAnsi="Verdana"/>
                <w:b/>
                <w:noProof/>
                <w:color w:val="000000"/>
                <w:sz w:val="18"/>
              </w:rPr>
              <w:t>363 801</w:t>
            </w:r>
          </w:p>
        </w:tc>
      </w:tr>
      <w:tr>
        <w:trPr>
          <w:trHeight w:hRule="exact" w:val="497"/>
        </w:trPr>
        <w:tc>
          <w:tcPr>
            <w:tcW w:w="3609" w:type="dxa"/>
            <w:tcBorders>
              <w:top w:val="nil"/>
              <w:left w:val="nil"/>
              <w:bottom w:val="single" w:sz="4" w:space="0" w:color="016794"/>
              <w:right w:val="nil"/>
              <w:tl2br w:val="nil"/>
              <w:tr2bl w:val="nil"/>
            </w:tcBorders>
            <w:tcMar>
              <w:left w:w="60" w:type="dxa"/>
              <w:right w:w="60" w:type="dxa"/>
            </w:tcMar>
            <w:vAlign w:val="center"/>
          </w:tcPr>
          <w:p>
            <w:pPr>
              <w:pStyle w:val="DMETW36755BIPLOCDQ"/>
              <w:rPr>
                <w:rFonts w:ascii="Verdana" w:eastAsia="Verdana" w:hAnsi="Verdana" w:cs="Verdana"/>
                <w:i/>
                <w:noProof/>
                <w:color w:val="000000"/>
                <w:sz w:val="18"/>
              </w:rPr>
            </w:pPr>
            <w:r>
              <w:rPr>
                <w:rFonts w:ascii="Verdana" w:hAnsi="Verdana"/>
                <w:i/>
                <w:noProof/>
                <w:color w:val="000000"/>
                <w:sz w:val="18"/>
              </w:rPr>
              <w:t>Déduction de la correction de valeur pour pertes</w:t>
            </w:r>
          </w:p>
        </w:tc>
        <w:tc>
          <w:tcPr>
            <w:tcW w:w="1696" w:type="dxa"/>
            <w:tcBorders>
              <w:top w:val="nil"/>
              <w:left w:val="nil"/>
              <w:bottom w:val="single" w:sz="4" w:space="0" w:color="016794"/>
              <w:right w:val="nil"/>
              <w:tl2br w:val="nil"/>
              <w:tr2bl w:val="nil"/>
            </w:tcBorders>
            <w:tcMar>
              <w:left w:w="60" w:type="dxa"/>
              <w:right w:w="60" w:type="dxa"/>
            </w:tcMar>
            <w:vAlign w:val="center"/>
          </w:tcPr>
          <w:p>
            <w:pPr>
              <w:pStyle w:val="DMETW36755BIPLOCDQ"/>
              <w:jc w:val="right"/>
              <w:rPr>
                <w:rFonts w:ascii="Verdana" w:eastAsia="Verdana" w:hAnsi="Verdana" w:cs="Verdana"/>
                <w:i/>
                <w:noProof/>
                <w:color w:val="000000"/>
                <w:sz w:val="18"/>
              </w:rPr>
            </w:pPr>
            <w:r>
              <w:rPr>
                <w:rFonts w:ascii="Verdana" w:hAnsi="Verdana"/>
                <w:i/>
                <w:noProof/>
                <w:color w:val="000000"/>
                <w:sz w:val="18"/>
              </w:rPr>
              <w:t xml:space="preserve"> (12)</w:t>
            </w:r>
          </w:p>
        </w:tc>
        <w:tc>
          <w:tcPr>
            <w:tcW w:w="1134" w:type="dxa"/>
            <w:tcBorders>
              <w:top w:val="nil"/>
              <w:left w:val="nil"/>
              <w:bottom w:val="single" w:sz="4" w:space="0" w:color="016794"/>
              <w:right w:val="nil"/>
              <w:tl2br w:val="nil"/>
              <w:tr2bl w:val="nil"/>
            </w:tcBorders>
            <w:tcMar>
              <w:left w:w="60" w:type="dxa"/>
              <w:right w:w="60" w:type="dxa"/>
            </w:tcMar>
            <w:vAlign w:val="center"/>
          </w:tcPr>
          <w:p>
            <w:pPr>
              <w:pStyle w:val="DMETW36755BIPLOCDQ"/>
              <w:jc w:val="right"/>
              <w:rPr>
                <w:rFonts w:ascii="Verdana" w:eastAsia="Verdana" w:hAnsi="Verdana" w:cs="Verdana"/>
                <w:i/>
                <w:noProof/>
                <w:color w:val="000000"/>
                <w:sz w:val="18"/>
              </w:rPr>
            </w:pPr>
            <w:r>
              <w:rPr>
                <w:rFonts w:ascii="Verdana" w:hAnsi="Verdana"/>
                <w:i/>
                <w:noProof/>
                <w:color w:val="000000"/>
                <w:sz w:val="18"/>
              </w:rPr>
              <w:t>(30 357)</w:t>
            </w:r>
          </w:p>
        </w:tc>
        <w:tc>
          <w:tcPr>
            <w:tcW w:w="1134" w:type="dxa"/>
            <w:tcBorders>
              <w:top w:val="nil"/>
              <w:left w:val="nil"/>
              <w:bottom w:val="single" w:sz="4" w:space="0" w:color="016794"/>
              <w:right w:val="nil"/>
              <w:tl2br w:val="nil"/>
              <w:tr2bl w:val="nil"/>
            </w:tcBorders>
            <w:tcMar>
              <w:left w:w="60" w:type="dxa"/>
              <w:right w:w="60" w:type="dxa"/>
            </w:tcMar>
            <w:vAlign w:val="center"/>
          </w:tcPr>
          <w:p>
            <w:pPr>
              <w:pStyle w:val="DMETW36755BIPLOCDQ"/>
              <w:jc w:val="right"/>
              <w:rPr>
                <w:rFonts w:ascii="Verdana" w:eastAsia="Verdana" w:hAnsi="Verdana" w:cs="Verdana"/>
                <w:i/>
                <w:noProof/>
                <w:color w:val="000000"/>
                <w:sz w:val="18"/>
              </w:rPr>
            </w:pPr>
            <w:r>
              <w:rPr>
                <w:rFonts w:ascii="Verdana" w:hAnsi="Verdana"/>
                <w:i/>
                <w:noProof/>
                <w:color w:val="000000"/>
                <w:sz w:val="18"/>
              </w:rPr>
              <w:t xml:space="preserve"> (24)</w:t>
            </w:r>
          </w:p>
        </w:tc>
        <w:tc>
          <w:tcPr>
            <w:tcW w:w="1134" w:type="dxa"/>
            <w:tcBorders>
              <w:top w:val="nil"/>
              <w:left w:val="nil"/>
              <w:bottom w:val="single" w:sz="4" w:space="0" w:color="016794"/>
              <w:right w:val="nil"/>
              <w:tl2br w:val="nil"/>
              <w:tr2bl w:val="nil"/>
            </w:tcBorders>
            <w:tcMar>
              <w:left w:w="60" w:type="dxa"/>
              <w:right w:w="60" w:type="dxa"/>
            </w:tcMar>
            <w:vAlign w:val="center"/>
          </w:tcPr>
          <w:p>
            <w:pPr>
              <w:pStyle w:val="DMETW36755BIPLOCDQ"/>
              <w:jc w:val="right"/>
              <w:rPr>
                <w:rFonts w:ascii="Verdana" w:eastAsia="Verdana" w:hAnsi="Verdana" w:cs="Verdana"/>
                <w:i/>
                <w:noProof/>
                <w:color w:val="000000"/>
                <w:sz w:val="18"/>
              </w:rPr>
            </w:pPr>
            <w:r>
              <w:rPr>
                <w:rFonts w:ascii="Verdana" w:hAnsi="Verdana"/>
                <w:i/>
                <w:noProof/>
                <w:color w:val="000000"/>
                <w:sz w:val="18"/>
              </w:rPr>
              <w:t xml:space="preserve"> 24</w:t>
            </w:r>
          </w:p>
        </w:tc>
        <w:tc>
          <w:tcPr>
            <w:tcW w:w="1051" w:type="dxa"/>
            <w:tcBorders>
              <w:top w:val="nil"/>
              <w:left w:val="nil"/>
              <w:bottom w:val="single" w:sz="4" w:space="0" w:color="016794"/>
              <w:right w:val="nil"/>
              <w:tl2br w:val="nil"/>
              <w:tr2bl w:val="nil"/>
            </w:tcBorders>
            <w:tcMar>
              <w:left w:w="60" w:type="dxa"/>
              <w:right w:w="60" w:type="dxa"/>
            </w:tcMar>
            <w:vAlign w:val="center"/>
          </w:tcPr>
          <w:p>
            <w:pPr>
              <w:pStyle w:val="DMETW36755BIPLOCDQ"/>
              <w:jc w:val="right"/>
              <w:rPr>
                <w:rFonts w:ascii="Verdana" w:eastAsia="Verdana" w:hAnsi="Verdana" w:cs="Verdana"/>
                <w:i/>
                <w:noProof/>
                <w:color w:val="000000"/>
                <w:sz w:val="18"/>
              </w:rPr>
            </w:pPr>
            <w:r>
              <w:rPr>
                <w:rFonts w:ascii="Verdana" w:hAnsi="Verdana"/>
                <w:i/>
                <w:noProof/>
                <w:color w:val="000000"/>
                <w:sz w:val="18"/>
              </w:rPr>
              <w:t>(30 369)</w:t>
            </w:r>
          </w:p>
        </w:tc>
      </w:tr>
      <w:tr>
        <w:trPr>
          <w:trHeight w:hRule="exact" w:val="360"/>
        </w:trPr>
        <w:tc>
          <w:tcPr>
            <w:tcW w:w="360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5BIPLOCDQ"/>
              <w:rPr>
                <w:rFonts w:ascii="Verdana" w:eastAsia="Verdana" w:hAnsi="Verdana" w:cs="Verdana"/>
                <w:b/>
                <w:noProof/>
                <w:color w:val="000000"/>
                <w:sz w:val="18"/>
              </w:rPr>
            </w:pPr>
            <w:r>
              <w:rPr>
                <w:rFonts w:ascii="Verdana" w:hAnsi="Verdana"/>
                <w:b/>
                <w:noProof/>
                <w:color w:val="000000"/>
                <w:sz w:val="18"/>
              </w:rPr>
              <w:t xml:space="preserve">Valeur nette comptable </w:t>
            </w:r>
          </w:p>
        </w:tc>
        <w:tc>
          <w:tcPr>
            <w:tcW w:w="169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5BIPLOCDQ"/>
              <w:jc w:val="right"/>
              <w:rPr>
                <w:rFonts w:ascii="Verdana" w:eastAsia="Verdana" w:hAnsi="Verdana" w:cs="Verdana"/>
                <w:b/>
                <w:noProof/>
                <w:color w:val="000000"/>
                <w:sz w:val="18"/>
              </w:rPr>
            </w:pPr>
            <w:r>
              <w:rPr>
                <w:rFonts w:ascii="Verdana" w:hAnsi="Verdana"/>
                <w:b/>
                <w:noProof/>
                <w:color w:val="000000"/>
                <w:sz w:val="18"/>
              </w:rPr>
              <w:t>291 110</w:t>
            </w:r>
          </w:p>
        </w:tc>
        <w:tc>
          <w:tcPr>
            <w:tcW w:w="113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5BIPLOCDQ"/>
              <w:jc w:val="right"/>
              <w:rPr>
                <w:rFonts w:ascii="Verdana" w:eastAsia="Verdana" w:hAnsi="Verdana" w:cs="Verdana"/>
                <w:b/>
                <w:noProof/>
                <w:color w:val="000000"/>
                <w:sz w:val="18"/>
              </w:rPr>
            </w:pPr>
            <w:r>
              <w:rPr>
                <w:rFonts w:ascii="Verdana" w:hAnsi="Verdana"/>
                <w:b/>
                <w:noProof/>
                <w:color w:val="000000"/>
                <w:sz w:val="18"/>
              </w:rPr>
              <w:t>42 273</w:t>
            </w:r>
          </w:p>
        </w:tc>
        <w:tc>
          <w:tcPr>
            <w:tcW w:w="113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5BIPLOCDQ"/>
              <w:jc w:val="right"/>
              <w:rPr>
                <w:rFonts w:ascii="Verdana" w:eastAsia="Verdana" w:hAnsi="Verdana" w:cs="Verdana"/>
                <w:b/>
                <w:noProof/>
                <w:color w:val="000000"/>
                <w:sz w:val="18"/>
              </w:rPr>
            </w:pPr>
            <w:r>
              <w:rPr>
                <w:rFonts w:ascii="Verdana" w:hAnsi="Verdana"/>
                <w:b/>
                <w:noProof/>
                <w:color w:val="000000"/>
                <w:sz w:val="18"/>
              </w:rPr>
              <w:t xml:space="preserve"> 4</w:t>
            </w:r>
          </w:p>
        </w:tc>
        <w:tc>
          <w:tcPr>
            <w:tcW w:w="113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5BIPLOCDQ"/>
              <w:jc w:val="right"/>
              <w:rPr>
                <w:rFonts w:ascii="Verdana" w:eastAsia="Verdana" w:hAnsi="Verdana" w:cs="Verdana"/>
                <w:b/>
                <w:noProof/>
                <w:color w:val="000000"/>
                <w:sz w:val="18"/>
              </w:rPr>
            </w:pPr>
            <w:r>
              <w:rPr>
                <w:rFonts w:ascii="Verdana" w:hAnsi="Verdana"/>
                <w:b/>
                <w:noProof/>
                <w:color w:val="000000"/>
                <w:sz w:val="18"/>
              </w:rPr>
              <w:t xml:space="preserve"> 45</w:t>
            </w:r>
          </w:p>
        </w:tc>
        <w:tc>
          <w:tcPr>
            <w:tcW w:w="105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5BIPLOCDQ"/>
              <w:jc w:val="right"/>
              <w:rPr>
                <w:rFonts w:ascii="Verdana" w:eastAsia="Verdana" w:hAnsi="Verdana" w:cs="Verdana"/>
                <w:b/>
                <w:noProof/>
                <w:color w:val="000000"/>
                <w:sz w:val="18"/>
              </w:rPr>
            </w:pPr>
            <w:r>
              <w:rPr>
                <w:rFonts w:ascii="Verdana" w:hAnsi="Verdana"/>
                <w:b/>
                <w:noProof/>
                <w:color w:val="000000"/>
                <w:sz w:val="18"/>
              </w:rPr>
              <w:t>333 432</w:t>
            </w:r>
          </w:p>
        </w:tc>
      </w:tr>
    </w:tbl>
    <w:p>
      <w:pPr>
        <w:spacing w:before="60" w:after="60"/>
        <w:rPr>
          <w:rFonts w:ascii="Verdana" w:hAnsi="Verdana"/>
          <w:noProof/>
          <w:sz w:val="12"/>
          <w:szCs w:val="12"/>
          <w:lang w:val="en-IE" w:eastAsia="en-IE"/>
        </w:rPr>
      </w:pP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09"/>
        <w:gridCol w:w="1140"/>
        <w:gridCol w:w="1140"/>
        <w:gridCol w:w="1140"/>
        <w:gridCol w:w="1589"/>
        <w:gridCol w:w="1140"/>
      </w:tblGrid>
      <w:tr>
        <w:trPr>
          <w:trHeight w:hRule="exact" w:val="255"/>
        </w:trPr>
        <w:tc>
          <w:tcPr>
            <w:tcW w:w="3609" w:type="dxa"/>
            <w:tcBorders>
              <w:top w:val="nil"/>
              <w:left w:val="nil"/>
              <w:bottom w:val="nil"/>
              <w:right w:val="nil"/>
              <w:tl2br w:val="nil"/>
              <w:tr2bl w:val="nil"/>
            </w:tcBorders>
            <w:tcMar>
              <w:left w:w="60" w:type="dxa"/>
              <w:right w:w="60" w:type="dxa"/>
            </w:tcMar>
            <w:vAlign w:val="center"/>
          </w:tcPr>
          <w:p>
            <w:pPr>
              <w:pStyle w:val="DMETW36755BIPLOCDQPY"/>
              <w:rPr>
                <w:rFonts w:ascii="Verdana" w:eastAsia="Verdana" w:hAnsi="Verdana" w:cs="Verdana"/>
                <w:b/>
                <w:noProof/>
                <w:color w:val="000000"/>
                <w:sz w:val="18"/>
              </w:rPr>
            </w:pPr>
            <w:bookmarkStart w:id="228" w:name="DOC_TBL00096_1_1"/>
            <w:bookmarkEnd w:id="228"/>
          </w:p>
        </w:tc>
        <w:tc>
          <w:tcPr>
            <w:tcW w:w="1140" w:type="dxa"/>
            <w:tcBorders>
              <w:top w:val="nil"/>
              <w:left w:val="nil"/>
              <w:bottom w:val="nil"/>
              <w:right w:val="nil"/>
              <w:tl2br w:val="nil"/>
              <w:tr2bl w:val="nil"/>
            </w:tcBorders>
            <w:tcMar>
              <w:left w:w="60" w:type="dxa"/>
              <w:right w:w="60" w:type="dxa"/>
            </w:tcMar>
            <w:vAlign w:val="center"/>
          </w:tcPr>
          <w:p>
            <w:pPr>
              <w:pStyle w:val="DMETW36755BIPLOCDQPY"/>
              <w:jc w:val="right"/>
              <w:rPr>
                <w:rFonts w:ascii="Verdana" w:eastAsia="Verdana" w:hAnsi="Verdana" w:cs="Verdana"/>
                <w:noProof/>
                <w:color w:val="A8A8A8"/>
              </w:rPr>
            </w:pPr>
          </w:p>
        </w:tc>
        <w:tc>
          <w:tcPr>
            <w:tcW w:w="1140" w:type="dxa"/>
            <w:tcBorders>
              <w:top w:val="nil"/>
              <w:left w:val="nil"/>
              <w:bottom w:val="nil"/>
              <w:right w:val="nil"/>
              <w:tl2br w:val="nil"/>
              <w:tr2bl w:val="nil"/>
            </w:tcBorders>
            <w:tcMar>
              <w:left w:w="60" w:type="dxa"/>
              <w:right w:w="60" w:type="dxa"/>
            </w:tcMar>
            <w:vAlign w:val="center"/>
          </w:tcPr>
          <w:p>
            <w:pPr>
              <w:pStyle w:val="DMETW36755BIPLOCDQPY"/>
              <w:rPr>
                <w:rFonts w:ascii="Verdana" w:eastAsia="Verdana" w:hAnsi="Verdana" w:cs="Verdana"/>
                <w:noProof/>
                <w:color w:val="000000"/>
              </w:rPr>
            </w:pPr>
          </w:p>
        </w:tc>
        <w:tc>
          <w:tcPr>
            <w:tcW w:w="1140" w:type="dxa"/>
            <w:tcBorders>
              <w:top w:val="nil"/>
              <w:left w:val="nil"/>
              <w:bottom w:val="nil"/>
              <w:right w:val="nil"/>
              <w:tl2br w:val="nil"/>
              <w:tr2bl w:val="nil"/>
            </w:tcBorders>
            <w:tcMar>
              <w:left w:w="60" w:type="dxa"/>
              <w:right w:w="60" w:type="dxa"/>
            </w:tcMar>
            <w:vAlign w:val="center"/>
          </w:tcPr>
          <w:p>
            <w:pPr>
              <w:pStyle w:val="DMETW36755BIPLOCDQPY"/>
              <w:rPr>
                <w:rFonts w:ascii="Verdana" w:eastAsia="Verdana" w:hAnsi="Verdana" w:cs="Verdana"/>
                <w:noProof/>
                <w:color w:val="000000"/>
              </w:rPr>
            </w:pPr>
          </w:p>
        </w:tc>
        <w:tc>
          <w:tcPr>
            <w:tcW w:w="1589" w:type="dxa"/>
            <w:tcBorders>
              <w:top w:val="nil"/>
              <w:left w:val="nil"/>
              <w:bottom w:val="nil"/>
              <w:right w:val="nil"/>
              <w:tl2br w:val="nil"/>
              <w:tr2bl w:val="nil"/>
            </w:tcBorders>
            <w:tcMar>
              <w:left w:w="60" w:type="dxa"/>
              <w:right w:w="60" w:type="dxa"/>
            </w:tcMar>
            <w:vAlign w:val="center"/>
          </w:tcPr>
          <w:p>
            <w:pPr>
              <w:pStyle w:val="DMETW36755BIPLOCDQPY"/>
              <w:rPr>
                <w:rFonts w:ascii="Verdana" w:eastAsia="Verdana" w:hAnsi="Verdana" w:cs="Verdana"/>
                <w:noProof/>
                <w:color w:val="000000"/>
              </w:rPr>
            </w:pPr>
          </w:p>
        </w:tc>
        <w:tc>
          <w:tcPr>
            <w:tcW w:w="1140" w:type="dxa"/>
            <w:tcBorders>
              <w:top w:val="nil"/>
              <w:left w:val="nil"/>
              <w:bottom w:val="nil"/>
              <w:right w:val="nil"/>
              <w:tl2br w:val="nil"/>
              <w:tr2bl w:val="nil"/>
            </w:tcBorders>
            <w:tcMar>
              <w:left w:w="60" w:type="dxa"/>
              <w:right w:w="60" w:type="dxa"/>
            </w:tcMar>
            <w:vAlign w:val="bottom"/>
          </w:tcPr>
          <w:p>
            <w:pPr>
              <w:pStyle w:val="DMETW36755BIPLOCDQPY"/>
              <w:jc w:val="right"/>
              <w:rPr>
                <w:rFonts w:ascii="Verdana" w:eastAsia="Verdana" w:hAnsi="Verdana" w:cs="Verdana"/>
                <w:i/>
                <w:noProof/>
                <w:color w:val="000000"/>
                <w:sz w:val="16"/>
              </w:rPr>
            </w:pPr>
            <w:r>
              <w:rPr>
                <w:rFonts w:ascii="Verdana" w:hAnsi="Verdana"/>
                <w:i/>
                <w:noProof/>
                <w:color w:val="000000"/>
                <w:sz w:val="16"/>
              </w:rPr>
              <w:t>en Mio EUR</w:t>
            </w:r>
          </w:p>
        </w:tc>
      </w:tr>
      <w:tr>
        <w:trPr>
          <w:trHeight w:hRule="exact" w:val="255"/>
        </w:trPr>
        <w:tc>
          <w:tcPr>
            <w:tcW w:w="3609" w:type="dxa"/>
            <w:gridSpan w:val="6"/>
            <w:tcBorders>
              <w:top w:val="nil"/>
              <w:left w:val="nil"/>
              <w:bottom w:val="nil"/>
              <w:right w:val="nil"/>
              <w:tl2br w:val="nil"/>
              <w:tr2bl w:val="nil"/>
            </w:tcBorders>
            <w:shd w:val="solid" w:color="016794" w:fill="FFFFFF"/>
            <w:tcMar>
              <w:left w:w="60" w:type="dxa"/>
              <w:right w:w="60" w:type="dxa"/>
            </w:tcMar>
            <w:vAlign w:val="center"/>
          </w:tcPr>
          <w:p>
            <w:pPr>
              <w:pStyle w:val="DMETW36755BIPLOCDQPY"/>
              <w:jc w:val="center"/>
              <w:rPr>
                <w:rFonts w:ascii="Verdana" w:eastAsia="Verdana" w:hAnsi="Verdana" w:cs="Verdana"/>
                <w:noProof/>
                <w:color w:val="FFFFFF"/>
              </w:rPr>
            </w:pPr>
            <w:r>
              <w:rPr>
                <w:rFonts w:ascii="Verdana" w:hAnsi="Verdana"/>
                <w:noProof/>
                <w:color w:val="FFFFFF"/>
              </w:rPr>
              <w:t>31.12.2024</w:t>
            </w:r>
          </w:p>
        </w:tc>
      </w:tr>
      <w:tr>
        <w:trPr>
          <w:trHeight w:hRule="exact" w:val="360"/>
        </w:trPr>
        <w:tc>
          <w:tcPr>
            <w:tcW w:w="3609"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755BIPLOCDQPY"/>
              <w:jc w:val="center"/>
              <w:rPr>
                <w:rFonts w:ascii="Verdana" w:eastAsia="Verdana" w:hAnsi="Verdana" w:cs="Verdana"/>
                <w:noProof/>
                <w:color w:val="FFFFFF"/>
              </w:rPr>
            </w:pPr>
          </w:p>
        </w:tc>
        <w:tc>
          <w:tcPr>
            <w:tcW w:w="1140"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755BIPLOCDQPY"/>
              <w:jc w:val="right"/>
              <w:rPr>
                <w:rFonts w:ascii="Verdana" w:eastAsia="Verdana" w:hAnsi="Verdana" w:cs="Verdana"/>
                <w:noProof/>
                <w:color w:val="FFFFFF"/>
              </w:rPr>
            </w:pPr>
            <w:r>
              <w:rPr>
                <w:rFonts w:ascii="Verdana" w:hAnsi="Verdana"/>
                <w:noProof/>
                <w:color w:val="FFFFFF"/>
              </w:rPr>
              <w:t xml:space="preserve">Stade 1 </w:t>
            </w:r>
          </w:p>
        </w:tc>
        <w:tc>
          <w:tcPr>
            <w:tcW w:w="1140"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755BIPLOCDQPY"/>
              <w:jc w:val="right"/>
              <w:rPr>
                <w:rFonts w:ascii="Verdana" w:eastAsia="Verdana" w:hAnsi="Verdana" w:cs="Verdana"/>
                <w:noProof/>
                <w:color w:val="FFFFFF"/>
              </w:rPr>
            </w:pPr>
            <w:r>
              <w:rPr>
                <w:rFonts w:ascii="Verdana" w:hAnsi="Verdana"/>
                <w:noProof/>
                <w:color w:val="FFFFFF"/>
              </w:rPr>
              <w:t>Stade 2</w:t>
            </w:r>
          </w:p>
        </w:tc>
        <w:tc>
          <w:tcPr>
            <w:tcW w:w="1140"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755BIPLOCDQPY"/>
              <w:jc w:val="right"/>
              <w:rPr>
                <w:rFonts w:ascii="Verdana" w:eastAsia="Verdana" w:hAnsi="Verdana" w:cs="Verdana"/>
                <w:noProof/>
                <w:color w:val="FFFFFF"/>
              </w:rPr>
            </w:pPr>
            <w:r>
              <w:rPr>
                <w:rFonts w:ascii="Verdana" w:hAnsi="Verdana"/>
                <w:noProof/>
                <w:color w:val="FFFFFF"/>
              </w:rPr>
              <w:t>Stade 3</w:t>
            </w:r>
          </w:p>
        </w:tc>
        <w:tc>
          <w:tcPr>
            <w:tcW w:w="1589"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755BIPLOCDQPY"/>
              <w:jc w:val="right"/>
              <w:rPr>
                <w:rFonts w:ascii="Verdana" w:eastAsia="Verdana" w:hAnsi="Verdana" w:cs="Verdana"/>
                <w:noProof/>
                <w:color w:val="FFFFFF"/>
              </w:rPr>
            </w:pPr>
            <w:r>
              <w:rPr>
                <w:rFonts w:ascii="Verdana" w:hAnsi="Verdana"/>
                <w:noProof/>
                <w:color w:val="FFFFFF"/>
              </w:rPr>
              <w:t>POCI</w:t>
            </w:r>
          </w:p>
        </w:tc>
        <w:tc>
          <w:tcPr>
            <w:tcW w:w="1140"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755BIPLOCDQPY"/>
              <w:jc w:val="right"/>
              <w:rPr>
                <w:rFonts w:ascii="Verdana" w:eastAsia="Verdana" w:hAnsi="Verdana" w:cs="Verdana"/>
                <w:noProof/>
                <w:color w:val="FFFFFF"/>
              </w:rPr>
            </w:pPr>
            <w:r>
              <w:rPr>
                <w:rFonts w:ascii="Verdana" w:hAnsi="Verdana"/>
                <w:noProof/>
                <w:color w:val="FFFFFF"/>
              </w:rPr>
              <w:t xml:space="preserve">Total </w:t>
            </w:r>
          </w:p>
        </w:tc>
      </w:tr>
      <w:tr>
        <w:trPr>
          <w:trHeight w:hRule="exact" w:val="360"/>
        </w:trPr>
        <w:tc>
          <w:tcPr>
            <w:tcW w:w="4545" w:type="dxa"/>
            <w:vMerge/>
            <w:tcBorders>
              <w:top w:val="nil"/>
              <w:left w:val="nil"/>
              <w:bottom w:val="nil"/>
              <w:right w:val="nil"/>
              <w:tl2br w:val="nil"/>
              <w:tr2bl w:val="nil"/>
            </w:tcBorders>
            <w:shd w:val="solid" w:color="016794" w:fill="FFFFFF"/>
            <w:tcMar>
              <w:left w:w="60" w:type="dxa"/>
              <w:right w:w="60" w:type="dxa"/>
            </w:tcMar>
            <w:vAlign w:val="center"/>
          </w:tcPr>
          <w:p>
            <w:pPr>
              <w:pStyle w:val="DMETW36755BIPLOCDQPY"/>
              <w:jc w:val="center"/>
              <w:rPr>
                <w:rFonts w:ascii="Verdana" w:eastAsia="Verdana" w:hAnsi="Verdana" w:cs="Verdana"/>
                <w:noProof/>
                <w:color w:val="FFFFFF"/>
              </w:rPr>
            </w:pPr>
          </w:p>
        </w:tc>
        <w:tc>
          <w:tcPr>
            <w:tcW w:w="1410" w:type="dxa"/>
            <w:vMerge/>
            <w:tcBorders>
              <w:top w:val="nil"/>
              <w:left w:val="nil"/>
              <w:bottom w:val="nil"/>
              <w:right w:val="nil"/>
              <w:tl2br w:val="nil"/>
              <w:tr2bl w:val="nil"/>
            </w:tcBorders>
            <w:shd w:val="solid" w:color="016794" w:fill="FFFFFF"/>
            <w:tcMar>
              <w:left w:w="60" w:type="dxa"/>
              <w:right w:w="60" w:type="dxa"/>
            </w:tcMar>
            <w:vAlign w:val="center"/>
          </w:tcPr>
          <w:p>
            <w:pPr>
              <w:pStyle w:val="DMETW36755BIPLOCDQPY"/>
              <w:jc w:val="right"/>
              <w:rPr>
                <w:rFonts w:ascii="Verdana" w:eastAsia="Verdana" w:hAnsi="Verdana" w:cs="Verdana"/>
                <w:noProof/>
                <w:color w:val="FFFFFF"/>
              </w:rPr>
            </w:pPr>
          </w:p>
        </w:tc>
        <w:tc>
          <w:tcPr>
            <w:tcW w:w="1410" w:type="dxa"/>
            <w:vMerge/>
            <w:tcBorders>
              <w:top w:val="nil"/>
              <w:left w:val="nil"/>
              <w:bottom w:val="nil"/>
              <w:right w:val="nil"/>
              <w:tl2br w:val="nil"/>
              <w:tr2bl w:val="nil"/>
            </w:tcBorders>
            <w:shd w:val="solid" w:color="016794" w:fill="FFFFFF"/>
            <w:tcMar>
              <w:left w:w="60" w:type="dxa"/>
              <w:right w:w="60" w:type="dxa"/>
            </w:tcMar>
            <w:vAlign w:val="center"/>
          </w:tcPr>
          <w:p>
            <w:pPr>
              <w:pStyle w:val="DMETW36755BIPLOCDQPY"/>
              <w:jc w:val="right"/>
              <w:rPr>
                <w:rFonts w:ascii="Verdana" w:eastAsia="Verdana" w:hAnsi="Verdana" w:cs="Verdana"/>
                <w:noProof/>
                <w:color w:val="FFFFFF"/>
              </w:rPr>
            </w:pPr>
          </w:p>
        </w:tc>
        <w:tc>
          <w:tcPr>
            <w:tcW w:w="1410" w:type="dxa"/>
            <w:vMerge/>
            <w:tcBorders>
              <w:top w:val="nil"/>
              <w:left w:val="nil"/>
              <w:bottom w:val="nil"/>
              <w:right w:val="nil"/>
              <w:tl2br w:val="nil"/>
              <w:tr2bl w:val="nil"/>
            </w:tcBorders>
            <w:shd w:val="solid" w:color="016794" w:fill="FFFFFF"/>
            <w:tcMar>
              <w:left w:w="60" w:type="dxa"/>
              <w:right w:w="60" w:type="dxa"/>
            </w:tcMar>
            <w:vAlign w:val="center"/>
          </w:tcPr>
          <w:p>
            <w:pPr>
              <w:pStyle w:val="DMETW36755BIPLOCDQPY"/>
              <w:jc w:val="right"/>
              <w:rPr>
                <w:rFonts w:ascii="Verdana" w:eastAsia="Verdana" w:hAnsi="Verdana" w:cs="Verdana"/>
                <w:noProof/>
                <w:color w:val="FFFFFF"/>
              </w:rPr>
            </w:pPr>
          </w:p>
        </w:tc>
        <w:tc>
          <w:tcPr>
            <w:tcW w:w="1980" w:type="dxa"/>
            <w:vMerge/>
            <w:tcBorders>
              <w:top w:val="nil"/>
              <w:left w:val="nil"/>
              <w:bottom w:val="nil"/>
              <w:right w:val="nil"/>
              <w:tl2br w:val="nil"/>
              <w:tr2bl w:val="nil"/>
            </w:tcBorders>
            <w:shd w:val="solid" w:color="016794" w:fill="FFFFFF"/>
            <w:tcMar>
              <w:left w:w="60" w:type="dxa"/>
              <w:right w:w="60" w:type="dxa"/>
            </w:tcMar>
            <w:vAlign w:val="center"/>
          </w:tcPr>
          <w:p>
            <w:pPr>
              <w:pStyle w:val="DMETW36755BIPLOCDQPY"/>
              <w:jc w:val="right"/>
              <w:rPr>
                <w:rFonts w:ascii="Verdana" w:eastAsia="Verdana" w:hAnsi="Verdana" w:cs="Verdana"/>
                <w:noProof/>
                <w:color w:val="FFFFFF"/>
              </w:rPr>
            </w:pPr>
          </w:p>
        </w:tc>
        <w:tc>
          <w:tcPr>
            <w:tcW w:w="1410" w:type="dxa"/>
            <w:vMerge/>
            <w:tcBorders>
              <w:top w:val="nil"/>
              <w:left w:val="nil"/>
              <w:bottom w:val="nil"/>
              <w:right w:val="nil"/>
              <w:tl2br w:val="nil"/>
              <w:tr2bl w:val="nil"/>
            </w:tcBorders>
            <w:shd w:val="solid" w:color="016794" w:fill="FFFFFF"/>
            <w:tcMar>
              <w:left w:w="60" w:type="dxa"/>
              <w:right w:w="60" w:type="dxa"/>
            </w:tcMar>
            <w:vAlign w:val="center"/>
          </w:tcPr>
          <w:p>
            <w:pPr>
              <w:pStyle w:val="DMETW36755BIPLOCDQPY"/>
              <w:jc w:val="right"/>
              <w:rPr>
                <w:rFonts w:ascii="Verdana" w:eastAsia="Verdana" w:hAnsi="Verdana" w:cs="Verdana"/>
                <w:noProof/>
                <w:color w:val="FFFFFF"/>
              </w:rPr>
            </w:pPr>
          </w:p>
        </w:tc>
      </w:tr>
      <w:tr>
        <w:trPr>
          <w:trHeight w:hRule="exact" w:val="255"/>
        </w:trPr>
        <w:tc>
          <w:tcPr>
            <w:tcW w:w="3609" w:type="dxa"/>
            <w:tcBorders>
              <w:top w:val="nil"/>
              <w:left w:val="nil"/>
              <w:bottom w:val="nil"/>
              <w:right w:val="nil"/>
              <w:tl2br w:val="nil"/>
              <w:tr2bl w:val="nil"/>
            </w:tcBorders>
            <w:tcMar>
              <w:left w:w="60" w:type="dxa"/>
              <w:right w:w="60" w:type="dxa"/>
            </w:tcMar>
            <w:vAlign w:val="center"/>
          </w:tcPr>
          <w:p>
            <w:pPr>
              <w:pStyle w:val="DMETW36755BIPLOCDQPY"/>
              <w:rPr>
                <w:rFonts w:ascii="Verdana" w:eastAsia="Verdana" w:hAnsi="Verdana" w:cs="Verdana"/>
                <w:b/>
                <w:noProof/>
                <w:color w:val="000000"/>
                <w:sz w:val="18"/>
              </w:rPr>
            </w:pPr>
            <w:r>
              <w:rPr>
                <w:rFonts w:ascii="Verdana" w:hAnsi="Verdana"/>
                <w:b/>
                <w:noProof/>
                <w:color w:val="000000"/>
                <w:sz w:val="18"/>
              </w:rPr>
              <w:t>Notation de crédit</w:t>
            </w:r>
          </w:p>
        </w:tc>
        <w:tc>
          <w:tcPr>
            <w:tcW w:w="1140" w:type="dxa"/>
            <w:tcBorders>
              <w:top w:val="nil"/>
              <w:left w:val="nil"/>
              <w:bottom w:val="nil"/>
              <w:right w:val="nil"/>
              <w:tl2br w:val="nil"/>
              <w:tr2bl w:val="nil"/>
            </w:tcBorders>
            <w:tcMar>
              <w:left w:w="60" w:type="dxa"/>
              <w:right w:w="60" w:type="dxa"/>
            </w:tcMar>
            <w:vAlign w:val="center"/>
          </w:tcPr>
          <w:p>
            <w:pPr>
              <w:pStyle w:val="DMETW36755BIPLOCDQPY"/>
              <w:jc w:val="right"/>
              <w:rPr>
                <w:rFonts w:ascii="Verdana" w:eastAsia="Verdana" w:hAnsi="Verdana" w:cs="Verdana"/>
                <w:noProof/>
                <w:color w:val="A8A8A8"/>
              </w:rPr>
            </w:pPr>
          </w:p>
        </w:tc>
        <w:tc>
          <w:tcPr>
            <w:tcW w:w="1140" w:type="dxa"/>
            <w:tcBorders>
              <w:top w:val="nil"/>
              <w:left w:val="nil"/>
              <w:bottom w:val="nil"/>
              <w:right w:val="nil"/>
              <w:tl2br w:val="nil"/>
              <w:tr2bl w:val="nil"/>
            </w:tcBorders>
            <w:tcMar>
              <w:left w:w="60" w:type="dxa"/>
              <w:right w:w="60" w:type="dxa"/>
            </w:tcMar>
            <w:vAlign w:val="center"/>
          </w:tcPr>
          <w:p>
            <w:pPr>
              <w:pStyle w:val="DMETW36755BIPLOCDQPY"/>
              <w:rPr>
                <w:rFonts w:ascii="Verdana" w:eastAsia="Verdana" w:hAnsi="Verdana" w:cs="Verdana"/>
                <w:noProof/>
                <w:color w:val="000000"/>
              </w:rPr>
            </w:pPr>
          </w:p>
        </w:tc>
        <w:tc>
          <w:tcPr>
            <w:tcW w:w="1140" w:type="dxa"/>
            <w:tcBorders>
              <w:top w:val="nil"/>
              <w:left w:val="nil"/>
              <w:bottom w:val="nil"/>
              <w:right w:val="nil"/>
              <w:tl2br w:val="nil"/>
              <w:tr2bl w:val="nil"/>
            </w:tcBorders>
            <w:tcMar>
              <w:left w:w="60" w:type="dxa"/>
              <w:right w:w="60" w:type="dxa"/>
            </w:tcMar>
            <w:vAlign w:val="center"/>
          </w:tcPr>
          <w:p>
            <w:pPr>
              <w:pStyle w:val="DMETW36755BIPLOCDQPY"/>
              <w:rPr>
                <w:rFonts w:ascii="Verdana" w:eastAsia="Verdana" w:hAnsi="Verdana" w:cs="Verdana"/>
                <w:noProof/>
                <w:color w:val="000000"/>
              </w:rPr>
            </w:pPr>
          </w:p>
        </w:tc>
        <w:tc>
          <w:tcPr>
            <w:tcW w:w="1589" w:type="dxa"/>
            <w:tcBorders>
              <w:top w:val="nil"/>
              <w:left w:val="nil"/>
              <w:bottom w:val="nil"/>
              <w:right w:val="nil"/>
              <w:tl2br w:val="nil"/>
              <w:tr2bl w:val="nil"/>
            </w:tcBorders>
            <w:tcMar>
              <w:left w:w="60" w:type="dxa"/>
              <w:right w:w="60" w:type="dxa"/>
            </w:tcMar>
            <w:vAlign w:val="center"/>
          </w:tcPr>
          <w:p>
            <w:pPr>
              <w:pStyle w:val="DMETW36755BIPLOCDQPY"/>
              <w:rPr>
                <w:rFonts w:ascii="Verdana" w:eastAsia="Verdana" w:hAnsi="Verdana" w:cs="Verdana"/>
                <w:noProof/>
                <w:color w:val="000000"/>
              </w:rPr>
            </w:pPr>
          </w:p>
        </w:tc>
        <w:tc>
          <w:tcPr>
            <w:tcW w:w="1140" w:type="dxa"/>
            <w:tcBorders>
              <w:top w:val="nil"/>
              <w:left w:val="nil"/>
              <w:bottom w:val="nil"/>
              <w:right w:val="nil"/>
              <w:tl2br w:val="nil"/>
              <w:tr2bl w:val="nil"/>
            </w:tcBorders>
            <w:tcMar>
              <w:left w:w="60" w:type="dxa"/>
              <w:right w:w="60" w:type="dxa"/>
            </w:tcMar>
            <w:vAlign w:val="center"/>
          </w:tcPr>
          <w:p>
            <w:pPr>
              <w:pStyle w:val="DMETW36755BIPLOCDQPY"/>
              <w:rPr>
                <w:rFonts w:ascii="Verdana" w:eastAsia="Verdana" w:hAnsi="Verdana" w:cs="Verdana"/>
                <w:noProof/>
                <w:color w:val="000000"/>
                <w:lang w:bidi="en-GB"/>
              </w:rPr>
            </w:pPr>
          </w:p>
        </w:tc>
      </w:tr>
      <w:tr>
        <w:trPr>
          <w:trHeight w:hRule="exact" w:val="255"/>
        </w:trPr>
        <w:tc>
          <w:tcPr>
            <w:tcW w:w="3609" w:type="dxa"/>
            <w:tcBorders>
              <w:top w:val="nil"/>
              <w:left w:val="nil"/>
              <w:bottom w:val="nil"/>
              <w:right w:val="nil"/>
              <w:tl2br w:val="nil"/>
              <w:tr2bl w:val="nil"/>
            </w:tcBorders>
            <w:tcMar>
              <w:left w:w="60" w:type="dxa"/>
              <w:right w:w="60" w:type="dxa"/>
            </w:tcMar>
            <w:vAlign w:val="center"/>
          </w:tcPr>
          <w:p>
            <w:pPr>
              <w:pStyle w:val="DMETW36755BIPLOCDQPY"/>
              <w:rPr>
                <w:rFonts w:ascii="Verdana" w:eastAsia="Verdana" w:hAnsi="Verdana" w:cs="Verdana"/>
                <w:i/>
                <w:noProof/>
                <w:color w:val="000000"/>
                <w:sz w:val="18"/>
              </w:rPr>
            </w:pPr>
            <w:r>
              <w:rPr>
                <w:rFonts w:ascii="Verdana" w:hAnsi="Verdana"/>
                <w:i/>
                <w:noProof/>
                <w:color w:val="000000"/>
                <w:sz w:val="18"/>
              </w:rPr>
              <w:t>Première qualité et haute qualité</w:t>
            </w:r>
          </w:p>
        </w:tc>
        <w:tc>
          <w:tcPr>
            <w:tcW w:w="1140" w:type="dxa"/>
            <w:tcBorders>
              <w:top w:val="nil"/>
              <w:left w:val="nil"/>
              <w:bottom w:val="nil"/>
              <w:right w:val="nil"/>
              <w:tl2br w:val="nil"/>
              <w:tr2bl w:val="nil"/>
            </w:tcBorders>
            <w:tcMar>
              <w:left w:w="60" w:type="dxa"/>
              <w:right w:w="60" w:type="dxa"/>
            </w:tcMar>
            <w:vAlign w:val="center"/>
          </w:tcPr>
          <w:p>
            <w:pPr>
              <w:pStyle w:val="DMETW36755BIPLOCDQPY"/>
              <w:jc w:val="right"/>
              <w:rPr>
                <w:rFonts w:ascii="Verdana" w:eastAsia="Verdana" w:hAnsi="Verdana" w:cs="Verdana"/>
                <w:i/>
                <w:noProof/>
                <w:color w:val="000000"/>
                <w:sz w:val="18"/>
              </w:rPr>
            </w:pPr>
            <w:r>
              <w:rPr>
                <w:rFonts w:ascii="Verdana" w:hAnsi="Verdana"/>
                <w:i/>
                <w:noProof/>
                <w:color w:val="000000"/>
                <w:sz w:val="18"/>
              </w:rPr>
              <w:t>35 593</w:t>
            </w:r>
          </w:p>
        </w:tc>
        <w:tc>
          <w:tcPr>
            <w:tcW w:w="1140" w:type="dxa"/>
            <w:tcBorders>
              <w:top w:val="nil"/>
              <w:left w:val="nil"/>
              <w:bottom w:val="nil"/>
              <w:right w:val="nil"/>
              <w:tl2br w:val="nil"/>
              <w:tr2bl w:val="nil"/>
            </w:tcBorders>
            <w:tcMar>
              <w:left w:w="60" w:type="dxa"/>
              <w:right w:w="60" w:type="dxa"/>
            </w:tcMar>
            <w:vAlign w:val="center"/>
          </w:tcPr>
          <w:p>
            <w:pPr>
              <w:pStyle w:val="DMETW36755BIPLOCDQPY"/>
              <w:jc w:val="right"/>
              <w:rPr>
                <w:rFonts w:ascii="Verdana" w:eastAsia="Verdana" w:hAnsi="Verdana" w:cs="Verdana"/>
                <w:i/>
                <w:noProof/>
                <w:color w:val="000000"/>
                <w:sz w:val="18"/>
              </w:rPr>
            </w:pPr>
            <w:r>
              <w:rPr>
                <w:rFonts w:ascii="Verdana" w:hAnsi="Verdana"/>
                <w:i/>
                <w:noProof/>
                <w:color w:val="000000"/>
                <w:sz w:val="18"/>
              </w:rPr>
              <w:t>–</w:t>
            </w:r>
          </w:p>
        </w:tc>
        <w:tc>
          <w:tcPr>
            <w:tcW w:w="1140" w:type="dxa"/>
            <w:tcBorders>
              <w:top w:val="nil"/>
              <w:left w:val="nil"/>
              <w:bottom w:val="nil"/>
              <w:right w:val="nil"/>
              <w:tl2br w:val="nil"/>
              <w:tr2bl w:val="nil"/>
            </w:tcBorders>
            <w:tcMar>
              <w:left w:w="60" w:type="dxa"/>
              <w:right w:w="60" w:type="dxa"/>
            </w:tcMar>
            <w:vAlign w:val="center"/>
          </w:tcPr>
          <w:p>
            <w:pPr>
              <w:pStyle w:val="DMETW36755BIPLOCDQPY"/>
              <w:jc w:val="right"/>
              <w:rPr>
                <w:rFonts w:ascii="Verdana" w:eastAsia="Verdana" w:hAnsi="Verdana" w:cs="Verdana"/>
                <w:i/>
                <w:noProof/>
                <w:color w:val="000000"/>
                <w:sz w:val="18"/>
              </w:rPr>
            </w:pPr>
            <w:r>
              <w:rPr>
                <w:rFonts w:ascii="Verdana" w:hAnsi="Verdana"/>
                <w:i/>
                <w:noProof/>
                <w:color w:val="000000"/>
                <w:sz w:val="18"/>
              </w:rPr>
              <w:t>–</w:t>
            </w:r>
          </w:p>
        </w:tc>
        <w:tc>
          <w:tcPr>
            <w:tcW w:w="1589" w:type="dxa"/>
            <w:tcBorders>
              <w:top w:val="nil"/>
              <w:left w:val="nil"/>
              <w:bottom w:val="nil"/>
              <w:right w:val="nil"/>
              <w:tl2br w:val="nil"/>
              <w:tr2bl w:val="nil"/>
            </w:tcBorders>
            <w:tcMar>
              <w:left w:w="60" w:type="dxa"/>
              <w:right w:w="60" w:type="dxa"/>
            </w:tcMar>
            <w:vAlign w:val="center"/>
          </w:tcPr>
          <w:p>
            <w:pPr>
              <w:pStyle w:val="DMETW36755BIPLOCDQPY"/>
              <w:jc w:val="right"/>
              <w:rPr>
                <w:rFonts w:ascii="Verdana" w:eastAsia="Verdana" w:hAnsi="Verdana" w:cs="Verdana"/>
                <w:i/>
                <w:noProof/>
                <w:color w:val="000000"/>
                <w:sz w:val="18"/>
              </w:rPr>
            </w:pPr>
            <w:r>
              <w:rPr>
                <w:rFonts w:ascii="Verdana" w:hAnsi="Verdana"/>
                <w:i/>
                <w:noProof/>
                <w:color w:val="000000"/>
                <w:sz w:val="18"/>
              </w:rPr>
              <w:t>–</w:t>
            </w:r>
          </w:p>
        </w:tc>
        <w:tc>
          <w:tcPr>
            <w:tcW w:w="1140" w:type="dxa"/>
            <w:tcBorders>
              <w:top w:val="nil"/>
              <w:left w:val="nil"/>
              <w:bottom w:val="nil"/>
              <w:right w:val="nil"/>
              <w:tl2br w:val="nil"/>
              <w:tr2bl w:val="nil"/>
            </w:tcBorders>
            <w:tcMar>
              <w:left w:w="60" w:type="dxa"/>
              <w:right w:w="60" w:type="dxa"/>
            </w:tcMar>
            <w:vAlign w:val="center"/>
          </w:tcPr>
          <w:p>
            <w:pPr>
              <w:pStyle w:val="DMETW36755BIPLOCDQPY"/>
              <w:jc w:val="right"/>
              <w:rPr>
                <w:rFonts w:ascii="Verdana" w:eastAsia="Verdana" w:hAnsi="Verdana" w:cs="Verdana"/>
                <w:i/>
                <w:noProof/>
                <w:color w:val="000000"/>
                <w:sz w:val="18"/>
              </w:rPr>
            </w:pPr>
            <w:r>
              <w:rPr>
                <w:rFonts w:ascii="Verdana" w:hAnsi="Verdana"/>
                <w:i/>
                <w:noProof/>
                <w:color w:val="000000"/>
                <w:sz w:val="18"/>
              </w:rPr>
              <w:t>35 593</w:t>
            </w:r>
          </w:p>
        </w:tc>
      </w:tr>
      <w:tr>
        <w:trPr>
          <w:trHeight w:hRule="exact" w:val="255"/>
        </w:trPr>
        <w:tc>
          <w:tcPr>
            <w:tcW w:w="3609" w:type="dxa"/>
            <w:tcBorders>
              <w:top w:val="nil"/>
              <w:left w:val="nil"/>
              <w:bottom w:val="nil"/>
              <w:right w:val="nil"/>
              <w:tl2br w:val="nil"/>
              <w:tr2bl w:val="nil"/>
            </w:tcBorders>
            <w:tcMar>
              <w:left w:w="60" w:type="dxa"/>
              <w:right w:w="60" w:type="dxa"/>
            </w:tcMar>
            <w:vAlign w:val="center"/>
          </w:tcPr>
          <w:p>
            <w:pPr>
              <w:pStyle w:val="DMETW36755BIPLOCDQPY"/>
              <w:rPr>
                <w:rFonts w:ascii="Verdana" w:eastAsia="Verdana" w:hAnsi="Verdana" w:cs="Verdana"/>
                <w:i/>
                <w:noProof/>
                <w:color w:val="000000"/>
                <w:sz w:val="18"/>
              </w:rPr>
            </w:pPr>
            <w:r>
              <w:rPr>
                <w:rFonts w:ascii="Verdana" w:hAnsi="Verdana"/>
                <w:i/>
                <w:noProof/>
                <w:color w:val="000000"/>
                <w:sz w:val="18"/>
              </w:rPr>
              <w:t>Qualité moyenne supérieure</w:t>
            </w:r>
          </w:p>
        </w:tc>
        <w:tc>
          <w:tcPr>
            <w:tcW w:w="1140" w:type="dxa"/>
            <w:tcBorders>
              <w:top w:val="nil"/>
              <w:left w:val="nil"/>
              <w:bottom w:val="nil"/>
              <w:right w:val="nil"/>
              <w:tl2br w:val="nil"/>
              <w:tr2bl w:val="nil"/>
            </w:tcBorders>
            <w:tcMar>
              <w:left w:w="60" w:type="dxa"/>
              <w:right w:w="60" w:type="dxa"/>
            </w:tcMar>
            <w:vAlign w:val="center"/>
          </w:tcPr>
          <w:p>
            <w:pPr>
              <w:pStyle w:val="DMETW36755BIPLOCDQPY"/>
              <w:jc w:val="right"/>
              <w:rPr>
                <w:rFonts w:ascii="Verdana" w:eastAsia="Verdana" w:hAnsi="Verdana" w:cs="Verdana"/>
                <w:i/>
                <w:noProof/>
                <w:color w:val="000000"/>
                <w:sz w:val="18"/>
              </w:rPr>
            </w:pPr>
            <w:r>
              <w:rPr>
                <w:rFonts w:ascii="Verdana" w:hAnsi="Verdana"/>
                <w:i/>
                <w:noProof/>
                <w:color w:val="000000"/>
                <w:sz w:val="18"/>
              </w:rPr>
              <w:t>87 005</w:t>
            </w:r>
          </w:p>
        </w:tc>
        <w:tc>
          <w:tcPr>
            <w:tcW w:w="1140" w:type="dxa"/>
            <w:tcBorders>
              <w:top w:val="nil"/>
              <w:left w:val="nil"/>
              <w:bottom w:val="nil"/>
              <w:right w:val="nil"/>
              <w:tl2br w:val="nil"/>
              <w:tr2bl w:val="nil"/>
            </w:tcBorders>
            <w:tcMar>
              <w:left w:w="60" w:type="dxa"/>
              <w:right w:w="60" w:type="dxa"/>
            </w:tcMar>
            <w:vAlign w:val="center"/>
          </w:tcPr>
          <w:p>
            <w:pPr>
              <w:pStyle w:val="DMETW36755BIPLOCDQPY"/>
              <w:jc w:val="right"/>
              <w:rPr>
                <w:rFonts w:ascii="Verdana" w:eastAsia="Verdana" w:hAnsi="Verdana" w:cs="Verdana"/>
                <w:i/>
                <w:noProof/>
                <w:color w:val="000000"/>
                <w:sz w:val="18"/>
              </w:rPr>
            </w:pPr>
            <w:r>
              <w:rPr>
                <w:rFonts w:ascii="Verdana" w:hAnsi="Verdana"/>
                <w:i/>
                <w:noProof/>
                <w:color w:val="000000"/>
                <w:sz w:val="18"/>
              </w:rPr>
              <w:t>–</w:t>
            </w:r>
          </w:p>
        </w:tc>
        <w:tc>
          <w:tcPr>
            <w:tcW w:w="1140" w:type="dxa"/>
            <w:tcBorders>
              <w:top w:val="nil"/>
              <w:left w:val="nil"/>
              <w:bottom w:val="nil"/>
              <w:right w:val="nil"/>
              <w:tl2br w:val="nil"/>
              <w:tr2bl w:val="nil"/>
            </w:tcBorders>
            <w:tcMar>
              <w:left w:w="60" w:type="dxa"/>
              <w:right w:w="60" w:type="dxa"/>
            </w:tcMar>
            <w:vAlign w:val="center"/>
          </w:tcPr>
          <w:p>
            <w:pPr>
              <w:pStyle w:val="DMETW36755BIPLOCDQPY"/>
              <w:jc w:val="right"/>
              <w:rPr>
                <w:rFonts w:ascii="Verdana" w:eastAsia="Verdana" w:hAnsi="Verdana" w:cs="Verdana"/>
                <w:i/>
                <w:noProof/>
                <w:color w:val="000000"/>
                <w:sz w:val="18"/>
              </w:rPr>
            </w:pPr>
            <w:r>
              <w:rPr>
                <w:rFonts w:ascii="Verdana" w:hAnsi="Verdana"/>
                <w:i/>
                <w:noProof/>
                <w:color w:val="000000"/>
                <w:sz w:val="18"/>
              </w:rPr>
              <w:t>–</w:t>
            </w:r>
          </w:p>
        </w:tc>
        <w:tc>
          <w:tcPr>
            <w:tcW w:w="1589" w:type="dxa"/>
            <w:tcBorders>
              <w:top w:val="nil"/>
              <w:left w:val="nil"/>
              <w:bottom w:val="nil"/>
              <w:right w:val="nil"/>
              <w:tl2br w:val="nil"/>
              <w:tr2bl w:val="nil"/>
            </w:tcBorders>
            <w:tcMar>
              <w:left w:w="60" w:type="dxa"/>
              <w:right w:w="60" w:type="dxa"/>
            </w:tcMar>
            <w:vAlign w:val="center"/>
          </w:tcPr>
          <w:p>
            <w:pPr>
              <w:pStyle w:val="DMETW36755BIPLOCDQPY"/>
              <w:jc w:val="right"/>
              <w:rPr>
                <w:rFonts w:ascii="Verdana" w:eastAsia="Verdana" w:hAnsi="Verdana" w:cs="Verdana"/>
                <w:i/>
                <w:noProof/>
                <w:color w:val="000000"/>
                <w:sz w:val="18"/>
              </w:rPr>
            </w:pPr>
            <w:r>
              <w:rPr>
                <w:rFonts w:ascii="Verdana" w:hAnsi="Verdana"/>
                <w:i/>
                <w:noProof/>
                <w:color w:val="000000"/>
                <w:sz w:val="18"/>
              </w:rPr>
              <w:t>–</w:t>
            </w:r>
          </w:p>
        </w:tc>
        <w:tc>
          <w:tcPr>
            <w:tcW w:w="1140" w:type="dxa"/>
            <w:tcBorders>
              <w:top w:val="nil"/>
              <w:left w:val="nil"/>
              <w:bottom w:val="nil"/>
              <w:right w:val="nil"/>
              <w:tl2br w:val="nil"/>
              <w:tr2bl w:val="nil"/>
            </w:tcBorders>
            <w:tcMar>
              <w:left w:w="60" w:type="dxa"/>
              <w:right w:w="60" w:type="dxa"/>
            </w:tcMar>
            <w:vAlign w:val="center"/>
          </w:tcPr>
          <w:p>
            <w:pPr>
              <w:pStyle w:val="DMETW36755BIPLOCDQPY"/>
              <w:jc w:val="right"/>
              <w:rPr>
                <w:rFonts w:ascii="Verdana" w:eastAsia="Verdana" w:hAnsi="Verdana" w:cs="Verdana"/>
                <w:i/>
                <w:noProof/>
                <w:color w:val="000000"/>
                <w:sz w:val="18"/>
              </w:rPr>
            </w:pPr>
            <w:r>
              <w:rPr>
                <w:rFonts w:ascii="Verdana" w:hAnsi="Verdana"/>
                <w:i/>
                <w:noProof/>
                <w:color w:val="000000"/>
                <w:sz w:val="18"/>
              </w:rPr>
              <w:t>87 005</w:t>
            </w:r>
          </w:p>
        </w:tc>
      </w:tr>
      <w:tr>
        <w:trPr>
          <w:trHeight w:hRule="exact" w:val="255"/>
        </w:trPr>
        <w:tc>
          <w:tcPr>
            <w:tcW w:w="3609" w:type="dxa"/>
            <w:tcBorders>
              <w:top w:val="nil"/>
              <w:left w:val="nil"/>
              <w:bottom w:val="nil"/>
              <w:right w:val="nil"/>
              <w:tl2br w:val="nil"/>
              <w:tr2bl w:val="nil"/>
            </w:tcBorders>
            <w:tcMar>
              <w:left w:w="60" w:type="dxa"/>
              <w:right w:w="60" w:type="dxa"/>
            </w:tcMar>
            <w:vAlign w:val="center"/>
          </w:tcPr>
          <w:p>
            <w:pPr>
              <w:pStyle w:val="DMETW36755BIPLOCDQPY"/>
              <w:rPr>
                <w:rFonts w:ascii="Verdana" w:eastAsia="Verdana" w:hAnsi="Verdana" w:cs="Verdana"/>
                <w:i/>
                <w:noProof/>
                <w:color w:val="000000"/>
                <w:sz w:val="18"/>
              </w:rPr>
            </w:pPr>
            <w:r>
              <w:rPr>
                <w:rFonts w:ascii="Verdana" w:hAnsi="Verdana"/>
                <w:i/>
                <w:noProof/>
                <w:color w:val="000000"/>
                <w:sz w:val="18"/>
              </w:rPr>
              <w:t>Qualité moyenne inférieure</w:t>
            </w:r>
          </w:p>
        </w:tc>
        <w:tc>
          <w:tcPr>
            <w:tcW w:w="1140" w:type="dxa"/>
            <w:tcBorders>
              <w:top w:val="nil"/>
              <w:left w:val="nil"/>
              <w:bottom w:val="nil"/>
              <w:right w:val="nil"/>
              <w:tl2br w:val="nil"/>
              <w:tr2bl w:val="nil"/>
            </w:tcBorders>
            <w:tcMar>
              <w:left w:w="60" w:type="dxa"/>
              <w:right w:w="60" w:type="dxa"/>
            </w:tcMar>
            <w:vAlign w:val="center"/>
          </w:tcPr>
          <w:p>
            <w:pPr>
              <w:pStyle w:val="DMETW36755BIPLOCDQPY"/>
              <w:jc w:val="right"/>
              <w:rPr>
                <w:rFonts w:ascii="Verdana" w:eastAsia="Verdana" w:hAnsi="Verdana" w:cs="Verdana"/>
                <w:i/>
                <w:noProof/>
                <w:color w:val="000000"/>
                <w:sz w:val="18"/>
              </w:rPr>
            </w:pPr>
            <w:r>
              <w:rPr>
                <w:rFonts w:ascii="Verdana" w:hAnsi="Verdana"/>
                <w:i/>
                <w:noProof/>
                <w:color w:val="000000"/>
                <w:sz w:val="18"/>
              </w:rPr>
              <w:t>129 200</w:t>
            </w:r>
          </w:p>
        </w:tc>
        <w:tc>
          <w:tcPr>
            <w:tcW w:w="1140" w:type="dxa"/>
            <w:tcBorders>
              <w:top w:val="nil"/>
              <w:left w:val="nil"/>
              <w:bottom w:val="nil"/>
              <w:right w:val="nil"/>
              <w:tl2br w:val="nil"/>
              <w:tr2bl w:val="nil"/>
            </w:tcBorders>
            <w:tcMar>
              <w:left w:w="60" w:type="dxa"/>
              <w:right w:w="60" w:type="dxa"/>
            </w:tcMar>
            <w:vAlign w:val="center"/>
          </w:tcPr>
          <w:p>
            <w:pPr>
              <w:pStyle w:val="DMETW36755BIPLOCDQPY"/>
              <w:jc w:val="right"/>
              <w:rPr>
                <w:rFonts w:ascii="Verdana" w:eastAsia="Verdana" w:hAnsi="Verdana" w:cs="Verdana"/>
                <w:i/>
                <w:noProof/>
                <w:color w:val="000000"/>
                <w:sz w:val="18"/>
              </w:rPr>
            </w:pPr>
            <w:r>
              <w:rPr>
                <w:rFonts w:ascii="Verdana" w:hAnsi="Verdana"/>
                <w:i/>
                <w:noProof/>
                <w:color w:val="000000"/>
                <w:sz w:val="18"/>
              </w:rPr>
              <w:t>–</w:t>
            </w:r>
          </w:p>
        </w:tc>
        <w:tc>
          <w:tcPr>
            <w:tcW w:w="1140" w:type="dxa"/>
            <w:tcBorders>
              <w:top w:val="nil"/>
              <w:left w:val="nil"/>
              <w:bottom w:val="nil"/>
              <w:right w:val="nil"/>
              <w:tl2br w:val="nil"/>
              <w:tr2bl w:val="nil"/>
            </w:tcBorders>
            <w:tcMar>
              <w:left w:w="60" w:type="dxa"/>
              <w:right w:w="60" w:type="dxa"/>
            </w:tcMar>
            <w:vAlign w:val="center"/>
          </w:tcPr>
          <w:p>
            <w:pPr>
              <w:pStyle w:val="DMETW36755BIPLOCDQPY"/>
              <w:jc w:val="right"/>
              <w:rPr>
                <w:rFonts w:ascii="Verdana" w:eastAsia="Verdana" w:hAnsi="Verdana" w:cs="Verdana"/>
                <w:i/>
                <w:noProof/>
                <w:color w:val="000000"/>
                <w:sz w:val="18"/>
              </w:rPr>
            </w:pPr>
            <w:r>
              <w:rPr>
                <w:rFonts w:ascii="Verdana" w:hAnsi="Verdana"/>
                <w:i/>
                <w:noProof/>
                <w:color w:val="000000"/>
                <w:sz w:val="18"/>
              </w:rPr>
              <w:t>–</w:t>
            </w:r>
          </w:p>
        </w:tc>
        <w:tc>
          <w:tcPr>
            <w:tcW w:w="1589" w:type="dxa"/>
            <w:tcBorders>
              <w:top w:val="nil"/>
              <w:left w:val="nil"/>
              <w:bottom w:val="nil"/>
              <w:right w:val="nil"/>
              <w:tl2br w:val="nil"/>
              <w:tr2bl w:val="nil"/>
            </w:tcBorders>
            <w:tcMar>
              <w:left w:w="60" w:type="dxa"/>
              <w:right w:w="60" w:type="dxa"/>
            </w:tcMar>
            <w:vAlign w:val="center"/>
          </w:tcPr>
          <w:p>
            <w:pPr>
              <w:pStyle w:val="DMETW36755BIPLOCDQPY"/>
              <w:jc w:val="right"/>
              <w:rPr>
                <w:rFonts w:ascii="Verdana" w:eastAsia="Verdana" w:hAnsi="Verdana" w:cs="Verdana"/>
                <w:i/>
                <w:noProof/>
                <w:color w:val="000000"/>
                <w:sz w:val="18"/>
              </w:rPr>
            </w:pPr>
            <w:r>
              <w:rPr>
                <w:rFonts w:ascii="Verdana" w:hAnsi="Verdana"/>
                <w:i/>
                <w:noProof/>
                <w:color w:val="000000"/>
                <w:sz w:val="18"/>
              </w:rPr>
              <w:t>–</w:t>
            </w:r>
          </w:p>
        </w:tc>
        <w:tc>
          <w:tcPr>
            <w:tcW w:w="1140" w:type="dxa"/>
            <w:tcBorders>
              <w:top w:val="nil"/>
              <w:left w:val="nil"/>
              <w:bottom w:val="nil"/>
              <w:right w:val="nil"/>
              <w:tl2br w:val="nil"/>
              <w:tr2bl w:val="nil"/>
            </w:tcBorders>
            <w:tcMar>
              <w:left w:w="60" w:type="dxa"/>
              <w:right w:w="60" w:type="dxa"/>
            </w:tcMar>
            <w:vAlign w:val="center"/>
          </w:tcPr>
          <w:p>
            <w:pPr>
              <w:pStyle w:val="DMETW36755BIPLOCDQPY"/>
              <w:jc w:val="right"/>
              <w:rPr>
                <w:rFonts w:ascii="Verdana" w:eastAsia="Verdana" w:hAnsi="Verdana" w:cs="Verdana"/>
                <w:i/>
                <w:noProof/>
                <w:color w:val="000000"/>
                <w:sz w:val="18"/>
              </w:rPr>
            </w:pPr>
            <w:r>
              <w:rPr>
                <w:rFonts w:ascii="Verdana" w:hAnsi="Verdana"/>
                <w:i/>
                <w:noProof/>
                <w:color w:val="000000"/>
                <w:sz w:val="18"/>
              </w:rPr>
              <w:t>129 200</w:t>
            </w:r>
          </w:p>
        </w:tc>
      </w:tr>
      <w:tr>
        <w:trPr>
          <w:trHeight w:hRule="exact" w:val="471"/>
        </w:trPr>
        <w:tc>
          <w:tcPr>
            <w:tcW w:w="3609" w:type="dxa"/>
            <w:tcBorders>
              <w:top w:val="nil"/>
              <w:left w:val="nil"/>
              <w:bottom w:val="single" w:sz="4" w:space="0" w:color="016794"/>
              <w:right w:val="nil"/>
              <w:tl2br w:val="nil"/>
              <w:tr2bl w:val="nil"/>
            </w:tcBorders>
            <w:tcMar>
              <w:left w:w="60" w:type="dxa"/>
              <w:right w:w="60" w:type="dxa"/>
            </w:tcMar>
            <w:vAlign w:val="center"/>
          </w:tcPr>
          <w:p>
            <w:pPr>
              <w:pStyle w:val="DMETW36755BIPLOCDQPY"/>
              <w:rPr>
                <w:rFonts w:ascii="Verdana" w:eastAsia="Verdana" w:hAnsi="Verdana" w:cs="Verdana"/>
                <w:i/>
                <w:noProof/>
                <w:color w:val="000000"/>
                <w:sz w:val="18"/>
              </w:rPr>
            </w:pPr>
            <w:r>
              <w:rPr>
                <w:rFonts w:ascii="Verdana" w:hAnsi="Verdana"/>
                <w:i/>
                <w:noProof/>
                <w:color w:val="000000"/>
                <w:sz w:val="18"/>
              </w:rPr>
              <w:t>Catégorie spéculative (y compris en défaut)</w:t>
            </w:r>
          </w:p>
        </w:tc>
        <w:tc>
          <w:tcPr>
            <w:tcW w:w="1140" w:type="dxa"/>
            <w:tcBorders>
              <w:top w:val="nil"/>
              <w:left w:val="nil"/>
              <w:bottom w:val="single" w:sz="4" w:space="0" w:color="016794"/>
              <w:right w:val="nil"/>
              <w:tl2br w:val="nil"/>
              <w:tr2bl w:val="nil"/>
            </w:tcBorders>
            <w:tcMar>
              <w:left w:w="60" w:type="dxa"/>
              <w:right w:w="60" w:type="dxa"/>
            </w:tcMar>
            <w:vAlign w:val="center"/>
          </w:tcPr>
          <w:p>
            <w:pPr>
              <w:pStyle w:val="DMETW36755BIPLOCDQPY"/>
              <w:jc w:val="right"/>
              <w:rPr>
                <w:rFonts w:ascii="Verdana" w:eastAsia="Verdana" w:hAnsi="Verdana" w:cs="Verdana"/>
                <w:i/>
                <w:noProof/>
                <w:color w:val="000000"/>
                <w:sz w:val="18"/>
              </w:rPr>
            </w:pPr>
            <w:r>
              <w:rPr>
                <w:rFonts w:ascii="Verdana" w:hAnsi="Verdana"/>
                <w:i/>
                <w:noProof/>
                <w:color w:val="000000"/>
                <w:sz w:val="18"/>
              </w:rPr>
              <w:t>3 593</w:t>
            </w:r>
          </w:p>
        </w:tc>
        <w:tc>
          <w:tcPr>
            <w:tcW w:w="1140" w:type="dxa"/>
            <w:tcBorders>
              <w:top w:val="nil"/>
              <w:left w:val="nil"/>
              <w:bottom w:val="single" w:sz="4" w:space="0" w:color="016794"/>
              <w:right w:val="nil"/>
              <w:tl2br w:val="nil"/>
              <w:tr2bl w:val="nil"/>
            </w:tcBorders>
            <w:tcMar>
              <w:left w:w="60" w:type="dxa"/>
              <w:right w:w="60" w:type="dxa"/>
            </w:tcMar>
            <w:vAlign w:val="center"/>
          </w:tcPr>
          <w:p>
            <w:pPr>
              <w:pStyle w:val="DMETW36755BIPLOCDQPY"/>
              <w:jc w:val="right"/>
              <w:rPr>
                <w:rFonts w:ascii="Verdana" w:eastAsia="Verdana" w:hAnsi="Verdana" w:cs="Verdana"/>
                <w:i/>
                <w:noProof/>
                <w:color w:val="000000"/>
                <w:sz w:val="18"/>
              </w:rPr>
            </w:pPr>
            <w:r>
              <w:rPr>
                <w:rFonts w:ascii="Verdana" w:hAnsi="Verdana"/>
                <w:i/>
                <w:noProof/>
                <w:color w:val="000000"/>
                <w:sz w:val="18"/>
              </w:rPr>
              <w:t>44 139</w:t>
            </w:r>
          </w:p>
        </w:tc>
        <w:tc>
          <w:tcPr>
            <w:tcW w:w="1140" w:type="dxa"/>
            <w:tcBorders>
              <w:top w:val="nil"/>
              <w:left w:val="nil"/>
              <w:bottom w:val="single" w:sz="4" w:space="0" w:color="016794"/>
              <w:right w:val="nil"/>
              <w:tl2br w:val="nil"/>
              <w:tr2bl w:val="nil"/>
            </w:tcBorders>
            <w:tcMar>
              <w:left w:w="60" w:type="dxa"/>
              <w:right w:w="60" w:type="dxa"/>
            </w:tcMar>
            <w:vAlign w:val="center"/>
          </w:tcPr>
          <w:p>
            <w:pPr>
              <w:pStyle w:val="DMETW36755BIPLOCDQPY"/>
              <w:jc w:val="right"/>
              <w:rPr>
                <w:rFonts w:ascii="Verdana" w:eastAsia="Verdana" w:hAnsi="Verdana" w:cs="Verdana"/>
                <w:i/>
                <w:noProof/>
                <w:color w:val="000000"/>
                <w:sz w:val="18"/>
              </w:rPr>
            </w:pPr>
            <w:r>
              <w:rPr>
                <w:rFonts w:ascii="Verdana" w:hAnsi="Verdana"/>
                <w:i/>
                <w:noProof/>
                <w:color w:val="000000"/>
                <w:sz w:val="18"/>
              </w:rPr>
              <w:t xml:space="preserve"> 14</w:t>
            </w:r>
          </w:p>
        </w:tc>
        <w:tc>
          <w:tcPr>
            <w:tcW w:w="1589" w:type="dxa"/>
            <w:tcBorders>
              <w:top w:val="nil"/>
              <w:left w:val="nil"/>
              <w:bottom w:val="single" w:sz="4" w:space="0" w:color="016794"/>
              <w:right w:val="nil"/>
              <w:tl2br w:val="nil"/>
              <w:tr2bl w:val="nil"/>
            </w:tcBorders>
            <w:tcMar>
              <w:left w:w="60" w:type="dxa"/>
              <w:right w:w="60" w:type="dxa"/>
            </w:tcMar>
            <w:vAlign w:val="center"/>
          </w:tcPr>
          <w:p>
            <w:pPr>
              <w:pStyle w:val="DMETW36755BIPLOCDQPY"/>
              <w:jc w:val="right"/>
              <w:rPr>
                <w:rFonts w:ascii="Verdana" w:eastAsia="Verdana" w:hAnsi="Verdana" w:cs="Verdana"/>
                <w:i/>
                <w:noProof/>
                <w:color w:val="000000"/>
                <w:sz w:val="18"/>
              </w:rPr>
            </w:pPr>
            <w:r>
              <w:rPr>
                <w:rFonts w:ascii="Verdana" w:hAnsi="Verdana"/>
                <w:i/>
                <w:noProof/>
                <w:color w:val="000000"/>
                <w:sz w:val="18"/>
              </w:rPr>
              <w:t xml:space="preserve"> 27</w:t>
            </w:r>
          </w:p>
        </w:tc>
        <w:tc>
          <w:tcPr>
            <w:tcW w:w="1140" w:type="dxa"/>
            <w:tcBorders>
              <w:top w:val="nil"/>
              <w:left w:val="nil"/>
              <w:bottom w:val="single" w:sz="4" w:space="0" w:color="016794"/>
              <w:right w:val="nil"/>
              <w:tl2br w:val="nil"/>
              <w:tr2bl w:val="nil"/>
            </w:tcBorders>
            <w:tcMar>
              <w:left w:w="60" w:type="dxa"/>
              <w:right w:w="60" w:type="dxa"/>
            </w:tcMar>
            <w:vAlign w:val="center"/>
          </w:tcPr>
          <w:p>
            <w:pPr>
              <w:pStyle w:val="DMETW36755BIPLOCDQPY"/>
              <w:jc w:val="right"/>
              <w:rPr>
                <w:rFonts w:ascii="Verdana" w:eastAsia="Verdana" w:hAnsi="Verdana" w:cs="Verdana"/>
                <w:i/>
                <w:noProof/>
                <w:color w:val="000000"/>
                <w:sz w:val="18"/>
              </w:rPr>
            </w:pPr>
            <w:r>
              <w:rPr>
                <w:rFonts w:ascii="Verdana" w:hAnsi="Verdana"/>
                <w:i/>
                <w:noProof/>
                <w:color w:val="000000"/>
                <w:sz w:val="18"/>
              </w:rPr>
              <w:t>47 773</w:t>
            </w:r>
          </w:p>
        </w:tc>
      </w:tr>
      <w:tr>
        <w:trPr>
          <w:trHeight w:hRule="exact" w:val="360"/>
        </w:trPr>
        <w:tc>
          <w:tcPr>
            <w:tcW w:w="3609" w:type="dxa"/>
            <w:tcBorders>
              <w:top w:val="single" w:sz="4" w:space="0" w:color="016794"/>
              <w:left w:val="nil"/>
              <w:bottom w:val="nil"/>
              <w:right w:val="nil"/>
              <w:tl2br w:val="nil"/>
              <w:tr2bl w:val="nil"/>
            </w:tcBorders>
            <w:tcMar>
              <w:left w:w="60" w:type="dxa"/>
              <w:right w:w="60" w:type="dxa"/>
            </w:tcMar>
            <w:vAlign w:val="center"/>
          </w:tcPr>
          <w:p>
            <w:pPr>
              <w:pStyle w:val="DMETW36755BIPLOCDQPY"/>
              <w:rPr>
                <w:rFonts w:ascii="Verdana" w:eastAsia="Verdana" w:hAnsi="Verdana" w:cs="Verdana"/>
                <w:b/>
                <w:noProof/>
                <w:color w:val="000000"/>
                <w:sz w:val="18"/>
              </w:rPr>
            </w:pPr>
            <w:r>
              <w:rPr>
                <w:rFonts w:ascii="Verdana" w:hAnsi="Verdana"/>
                <w:b/>
                <w:noProof/>
                <w:color w:val="000000"/>
                <w:sz w:val="18"/>
              </w:rPr>
              <w:t>Valeur comptable brute</w:t>
            </w:r>
          </w:p>
        </w:tc>
        <w:tc>
          <w:tcPr>
            <w:tcW w:w="1140" w:type="dxa"/>
            <w:tcBorders>
              <w:top w:val="single" w:sz="4" w:space="0" w:color="016794"/>
              <w:left w:val="nil"/>
              <w:bottom w:val="nil"/>
              <w:right w:val="nil"/>
              <w:tl2br w:val="nil"/>
              <w:tr2bl w:val="nil"/>
            </w:tcBorders>
            <w:tcMar>
              <w:left w:w="60" w:type="dxa"/>
              <w:right w:w="60" w:type="dxa"/>
            </w:tcMar>
            <w:vAlign w:val="center"/>
          </w:tcPr>
          <w:p>
            <w:pPr>
              <w:pStyle w:val="DMETW36755BIPLOCDQPY"/>
              <w:jc w:val="right"/>
              <w:rPr>
                <w:rFonts w:ascii="Verdana" w:eastAsia="Verdana" w:hAnsi="Verdana" w:cs="Verdana"/>
                <w:b/>
                <w:noProof/>
                <w:color w:val="000000"/>
                <w:sz w:val="18"/>
              </w:rPr>
            </w:pPr>
            <w:r>
              <w:rPr>
                <w:rFonts w:ascii="Verdana" w:hAnsi="Verdana"/>
                <w:b/>
                <w:noProof/>
                <w:color w:val="000000"/>
                <w:sz w:val="18"/>
              </w:rPr>
              <w:t>255 391</w:t>
            </w:r>
          </w:p>
        </w:tc>
        <w:tc>
          <w:tcPr>
            <w:tcW w:w="1140" w:type="dxa"/>
            <w:tcBorders>
              <w:top w:val="single" w:sz="4" w:space="0" w:color="016794"/>
              <w:left w:val="nil"/>
              <w:bottom w:val="nil"/>
              <w:right w:val="nil"/>
              <w:tl2br w:val="nil"/>
              <w:tr2bl w:val="nil"/>
            </w:tcBorders>
            <w:tcMar>
              <w:left w:w="60" w:type="dxa"/>
              <w:right w:w="60" w:type="dxa"/>
            </w:tcMar>
            <w:vAlign w:val="center"/>
          </w:tcPr>
          <w:p>
            <w:pPr>
              <w:pStyle w:val="DMETW36755BIPLOCDQPY"/>
              <w:jc w:val="right"/>
              <w:rPr>
                <w:rFonts w:ascii="Verdana" w:eastAsia="Verdana" w:hAnsi="Verdana" w:cs="Verdana"/>
                <w:b/>
                <w:noProof/>
                <w:color w:val="000000"/>
                <w:sz w:val="18"/>
              </w:rPr>
            </w:pPr>
            <w:r>
              <w:rPr>
                <w:rFonts w:ascii="Verdana" w:hAnsi="Verdana"/>
                <w:b/>
                <w:noProof/>
                <w:color w:val="000000"/>
                <w:sz w:val="18"/>
              </w:rPr>
              <w:t>44 139</w:t>
            </w:r>
          </w:p>
        </w:tc>
        <w:tc>
          <w:tcPr>
            <w:tcW w:w="1140" w:type="dxa"/>
            <w:tcBorders>
              <w:top w:val="single" w:sz="4" w:space="0" w:color="016794"/>
              <w:left w:val="nil"/>
              <w:bottom w:val="nil"/>
              <w:right w:val="nil"/>
              <w:tl2br w:val="nil"/>
              <w:tr2bl w:val="nil"/>
            </w:tcBorders>
            <w:tcMar>
              <w:left w:w="60" w:type="dxa"/>
              <w:right w:w="60" w:type="dxa"/>
            </w:tcMar>
            <w:vAlign w:val="center"/>
          </w:tcPr>
          <w:p>
            <w:pPr>
              <w:pStyle w:val="DMETW36755BIPLOCDQPY"/>
              <w:jc w:val="right"/>
              <w:rPr>
                <w:rFonts w:ascii="Verdana" w:eastAsia="Verdana" w:hAnsi="Verdana" w:cs="Verdana"/>
                <w:b/>
                <w:noProof/>
                <w:color w:val="000000"/>
                <w:sz w:val="18"/>
              </w:rPr>
            </w:pPr>
            <w:r>
              <w:rPr>
                <w:rFonts w:ascii="Verdana" w:hAnsi="Verdana"/>
                <w:b/>
                <w:noProof/>
                <w:color w:val="000000"/>
                <w:sz w:val="18"/>
              </w:rPr>
              <w:t xml:space="preserve"> 14</w:t>
            </w:r>
          </w:p>
        </w:tc>
        <w:tc>
          <w:tcPr>
            <w:tcW w:w="1589" w:type="dxa"/>
            <w:tcBorders>
              <w:top w:val="single" w:sz="4" w:space="0" w:color="016794"/>
              <w:left w:val="nil"/>
              <w:bottom w:val="nil"/>
              <w:right w:val="nil"/>
              <w:tl2br w:val="nil"/>
              <w:tr2bl w:val="nil"/>
            </w:tcBorders>
            <w:tcMar>
              <w:left w:w="60" w:type="dxa"/>
              <w:right w:w="60" w:type="dxa"/>
            </w:tcMar>
            <w:vAlign w:val="center"/>
          </w:tcPr>
          <w:p>
            <w:pPr>
              <w:pStyle w:val="DMETW36755BIPLOCDQPY"/>
              <w:jc w:val="right"/>
              <w:rPr>
                <w:rFonts w:ascii="Verdana" w:eastAsia="Verdana" w:hAnsi="Verdana" w:cs="Verdana"/>
                <w:b/>
                <w:noProof/>
                <w:color w:val="000000"/>
                <w:sz w:val="18"/>
              </w:rPr>
            </w:pPr>
            <w:r>
              <w:rPr>
                <w:rFonts w:ascii="Verdana" w:hAnsi="Verdana"/>
                <w:b/>
                <w:noProof/>
                <w:color w:val="000000"/>
                <w:sz w:val="18"/>
              </w:rPr>
              <w:t xml:space="preserve"> 27</w:t>
            </w:r>
          </w:p>
        </w:tc>
        <w:tc>
          <w:tcPr>
            <w:tcW w:w="1140" w:type="dxa"/>
            <w:tcBorders>
              <w:top w:val="single" w:sz="4" w:space="0" w:color="016794"/>
              <w:left w:val="nil"/>
              <w:bottom w:val="nil"/>
              <w:right w:val="nil"/>
              <w:tl2br w:val="nil"/>
              <w:tr2bl w:val="nil"/>
            </w:tcBorders>
            <w:tcMar>
              <w:left w:w="60" w:type="dxa"/>
              <w:right w:w="60" w:type="dxa"/>
            </w:tcMar>
            <w:vAlign w:val="center"/>
          </w:tcPr>
          <w:p>
            <w:pPr>
              <w:pStyle w:val="DMETW36755BIPLOCDQPY"/>
              <w:jc w:val="right"/>
              <w:rPr>
                <w:rFonts w:ascii="Verdana" w:eastAsia="Verdana" w:hAnsi="Verdana" w:cs="Verdana"/>
                <w:b/>
                <w:noProof/>
                <w:color w:val="000000"/>
                <w:sz w:val="18"/>
              </w:rPr>
            </w:pPr>
            <w:r>
              <w:rPr>
                <w:rFonts w:ascii="Verdana" w:hAnsi="Verdana"/>
                <w:b/>
                <w:noProof/>
                <w:color w:val="000000"/>
                <w:sz w:val="18"/>
              </w:rPr>
              <w:t>299 571</w:t>
            </w:r>
          </w:p>
        </w:tc>
      </w:tr>
      <w:tr>
        <w:trPr>
          <w:trHeight w:hRule="exact" w:val="497"/>
        </w:trPr>
        <w:tc>
          <w:tcPr>
            <w:tcW w:w="3609" w:type="dxa"/>
            <w:tcBorders>
              <w:top w:val="nil"/>
              <w:left w:val="nil"/>
              <w:bottom w:val="single" w:sz="4" w:space="0" w:color="016794"/>
              <w:right w:val="nil"/>
              <w:tl2br w:val="nil"/>
              <w:tr2bl w:val="nil"/>
            </w:tcBorders>
            <w:tcMar>
              <w:left w:w="60" w:type="dxa"/>
              <w:right w:w="60" w:type="dxa"/>
            </w:tcMar>
            <w:vAlign w:val="center"/>
          </w:tcPr>
          <w:p>
            <w:pPr>
              <w:pStyle w:val="DMETW36755BIPLOCDQPY"/>
              <w:rPr>
                <w:rFonts w:ascii="Verdana" w:eastAsia="Verdana" w:hAnsi="Verdana" w:cs="Verdana"/>
                <w:i/>
                <w:noProof/>
                <w:color w:val="000000"/>
                <w:sz w:val="18"/>
              </w:rPr>
            </w:pPr>
            <w:r>
              <w:rPr>
                <w:rFonts w:ascii="Verdana" w:hAnsi="Verdana"/>
                <w:i/>
                <w:noProof/>
                <w:color w:val="000000"/>
                <w:sz w:val="18"/>
              </w:rPr>
              <w:t>Déduction de la correction de valeur pour pertes</w:t>
            </w:r>
          </w:p>
        </w:tc>
        <w:tc>
          <w:tcPr>
            <w:tcW w:w="1140" w:type="dxa"/>
            <w:tcBorders>
              <w:top w:val="nil"/>
              <w:left w:val="nil"/>
              <w:bottom w:val="single" w:sz="4" w:space="0" w:color="016794"/>
              <w:right w:val="nil"/>
              <w:tl2br w:val="nil"/>
              <w:tr2bl w:val="nil"/>
            </w:tcBorders>
            <w:tcMar>
              <w:left w:w="60" w:type="dxa"/>
              <w:right w:w="60" w:type="dxa"/>
            </w:tcMar>
            <w:vAlign w:val="center"/>
          </w:tcPr>
          <w:p>
            <w:pPr>
              <w:pStyle w:val="DMETW36755BIPLOCDQPY"/>
              <w:jc w:val="right"/>
              <w:rPr>
                <w:rFonts w:ascii="Verdana" w:eastAsia="Verdana" w:hAnsi="Verdana" w:cs="Verdana"/>
                <w:i/>
                <w:noProof/>
                <w:color w:val="000000"/>
                <w:sz w:val="18"/>
              </w:rPr>
            </w:pPr>
            <w:r>
              <w:rPr>
                <w:rFonts w:ascii="Verdana" w:hAnsi="Verdana"/>
                <w:i/>
                <w:noProof/>
                <w:color w:val="000000"/>
                <w:sz w:val="18"/>
              </w:rPr>
              <w:t xml:space="preserve"> (31)</w:t>
            </w:r>
          </w:p>
        </w:tc>
        <w:tc>
          <w:tcPr>
            <w:tcW w:w="1140" w:type="dxa"/>
            <w:tcBorders>
              <w:top w:val="nil"/>
              <w:left w:val="nil"/>
              <w:bottom w:val="single" w:sz="4" w:space="0" w:color="016794"/>
              <w:right w:val="nil"/>
              <w:tl2br w:val="nil"/>
              <w:tr2bl w:val="nil"/>
            </w:tcBorders>
            <w:tcMar>
              <w:left w:w="60" w:type="dxa"/>
              <w:right w:w="60" w:type="dxa"/>
            </w:tcMar>
            <w:vAlign w:val="center"/>
          </w:tcPr>
          <w:p>
            <w:pPr>
              <w:pStyle w:val="DMETW36755BIPLOCDQPY"/>
              <w:jc w:val="right"/>
              <w:rPr>
                <w:rFonts w:ascii="Verdana" w:eastAsia="Verdana" w:hAnsi="Verdana" w:cs="Verdana"/>
                <w:i/>
                <w:noProof/>
                <w:color w:val="000000"/>
                <w:sz w:val="18"/>
              </w:rPr>
            </w:pPr>
            <w:r>
              <w:rPr>
                <w:rFonts w:ascii="Verdana" w:hAnsi="Verdana"/>
                <w:i/>
                <w:noProof/>
                <w:color w:val="000000"/>
                <w:sz w:val="18"/>
              </w:rPr>
              <w:t>(15 969)</w:t>
            </w:r>
          </w:p>
        </w:tc>
        <w:tc>
          <w:tcPr>
            <w:tcW w:w="1140" w:type="dxa"/>
            <w:tcBorders>
              <w:top w:val="nil"/>
              <w:left w:val="nil"/>
              <w:bottom w:val="single" w:sz="4" w:space="0" w:color="016794"/>
              <w:right w:val="nil"/>
              <w:tl2br w:val="nil"/>
              <w:tr2bl w:val="nil"/>
            </w:tcBorders>
            <w:tcMar>
              <w:left w:w="60" w:type="dxa"/>
              <w:right w:w="60" w:type="dxa"/>
            </w:tcMar>
            <w:vAlign w:val="center"/>
          </w:tcPr>
          <w:p>
            <w:pPr>
              <w:pStyle w:val="DMETW36755BIPLOCDQPY"/>
              <w:jc w:val="right"/>
              <w:rPr>
                <w:rFonts w:ascii="Verdana" w:eastAsia="Verdana" w:hAnsi="Verdana" w:cs="Verdana"/>
                <w:i/>
                <w:noProof/>
                <w:color w:val="000000"/>
                <w:sz w:val="18"/>
              </w:rPr>
            </w:pPr>
            <w:r>
              <w:rPr>
                <w:rFonts w:ascii="Verdana" w:hAnsi="Verdana"/>
                <w:i/>
                <w:noProof/>
                <w:color w:val="000000"/>
                <w:sz w:val="18"/>
              </w:rPr>
              <w:t xml:space="preserve"> (14)</w:t>
            </w:r>
          </w:p>
        </w:tc>
        <w:tc>
          <w:tcPr>
            <w:tcW w:w="1589" w:type="dxa"/>
            <w:tcBorders>
              <w:top w:val="nil"/>
              <w:left w:val="nil"/>
              <w:bottom w:val="single" w:sz="4" w:space="0" w:color="016794"/>
              <w:right w:val="nil"/>
              <w:tl2br w:val="nil"/>
              <w:tr2bl w:val="nil"/>
            </w:tcBorders>
            <w:tcMar>
              <w:left w:w="60" w:type="dxa"/>
              <w:right w:w="60" w:type="dxa"/>
            </w:tcMar>
            <w:vAlign w:val="center"/>
          </w:tcPr>
          <w:p>
            <w:pPr>
              <w:pStyle w:val="DMETW36755BIPLOCDQPY"/>
              <w:jc w:val="right"/>
              <w:rPr>
                <w:rFonts w:ascii="Verdana" w:eastAsia="Verdana" w:hAnsi="Verdana" w:cs="Verdana"/>
                <w:i/>
                <w:noProof/>
                <w:color w:val="000000"/>
                <w:sz w:val="18"/>
              </w:rPr>
            </w:pPr>
            <w:r>
              <w:rPr>
                <w:rFonts w:ascii="Verdana" w:hAnsi="Verdana"/>
                <w:i/>
                <w:noProof/>
                <w:color w:val="000000"/>
                <w:sz w:val="18"/>
              </w:rPr>
              <w:t xml:space="preserve"> 24</w:t>
            </w:r>
          </w:p>
        </w:tc>
        <w:tc>
          <w:tcPr>
            <w:tcW w:w="1140" w:type="dxa"/>
            <w:tcBorders>
              <w:top w:val="nil"/>
              <w:left w:val="nil"/>
              <w:bottom w:val="single" w:sz="4" w:space="0" w:color="016794"/>
              <w:right w:val="nil"/>
              <w:tl2br w:val="nil"/>
              <w:tr2bl w:val="nil"/>
            </w:tcBorders>
            <w:tcMar>
              <w:left w:w="60" w:type="dxa"/>
              <w:right w:w="60" w:type="dxa"/>
            </w:tcMar>
            <w:vAlign w:val="center"/>
          </w:tcPr>
          <w:p>
            <w:pPr>
              <w:pStyle w:val="DMETW36755BIPLOCDQPY"/>
              <w:jc w:val="right"/>
              <w:rPr>
                <w:rFonts w:ascii="Verdana" w:eastAsia="Verdana" w:hAnsi="Verdana" w:cs="Verdana"/>
                <w:i/>
                <w:noProof/>
                <w:color w:val="000000"/>
                <w:sz w:val="18"/>
              </w:rPr>
            </w:pPr>
            <w:r>
              <w:rPr>
                <w:rFonts w:ascii="Verdana" w:hAnsi="Verdana"/>
                <w:i/>
                <w:noProof/>
                <w:color w:val="000000"/>
                <w:sz w:val="18"/>
              </w:rPr>
              <w:t>(15 991)</w:t>
            </w:r>
          </w:p>
        </w:tc>
      </w:tr>
      <w:tr>
        <w:trPr>
          <w:trHeight w:hRule="exact" w:val="360"/>
        </w:trPr>
        <w:tc>
          <w:tcPr>
            <w:tcW w:w="360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5BIPLOCDQPY"/>
              <w:rPr>
                <w:rFonts w:ascii="Verdana" w:eastAsia="Verdana" w:hAnsi="Verdana" w:cs="Verdana"/>
                <w:b/>
                <w:noProof/>
                <w:color w:val="000000"/>
                <w:sz w:val="18"/>
              </w:rPr>
            </w:pPr>
            <w:r>
              <w:rPr>
                <w:rFonts w:ascii="Verdana" w:hAnsi="Verdana"/>
                <w:b/>
                <w:noProof/>
                <w:color w:val="000000"/>
                <w:sz w:val="18"/>
              </w:rPr>
              <w:t xml:space="preserve">Valeur nette comptable </w:t>
            </w:r>
          </w:p>
        </w:tc>
        <w:tc>
          <w:tcPr>
            <w:tcW w:w="114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5BIPLOCDQPY"/>
              <w:jc w:val="right"/>
              <w:rPr>
                <w:rFonts w:ascii="Verdana" w:eastAsia="Verdana" w:hAnsi="Verdana" w:cs="Verdana"/>
                <w:b/>
                <w:noProof/>
                <w:color w:val="000000"/>
                <w:sz w:val="18"/>
              </w:rPr>
            </w:pPr>
            <w:r>
              <w:rPr>
                <w:rFonts w:ascii="Verdana" w:hAnsi="Verdana"/>
                <w:b/>
                <w:noProof/>
                <w:color w:val="000000"/>
                <w:sz w:val="18"/>
              </w:rPr>
              <w:t>255 360</w:t>
            </w:r>
          </w:p>
        </w:tc>
        <w:tc>
          <w:tcPr>
            <w:tcW w:w="114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5BIPLOCDQPY"/>
              <w:jc w:val="right"/>
              <w:rPr>
                <w:rFonts w:ascii="Verdana" w:eastAsia="Verdana" w:hAnsi="Verdana" w:cs="Verdana"/>
                <w:b/>
                <w:noProof/>
                <w:color w:val="000000"/>
                <w:sz w:val="18"/>
              </w:rPr>
            </w:pPr>
            <w:r>
              <w:rPr>
                <w:rFonts w:ascii="Verdana" w:hAnsi="Verdana"/>
                <w:b/>
                <w:noProof/>
                <w:color w:val="000000"/>
                <w:sz w:val="18"/>
              </w:rPr>
              <w:t>28 170</w:t>
            </w:r>
          </w:p>
        </w:tc>
        <w:tc>
          <w:tcPr>
            <w:tcW w:w="114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5BIPLOCDQPY"/>
              <w:jc w:val="right"/>
              <w:rPr>
                <w:rFonts w:ascii="Verdana" w:eastAsia="Verdana" w:hAnsi="Verdana" w:cs="Verdana"/>
                <w:b/>
                <w:noProof/>
                <w:color w:val="000000"/>
                <w:sz w:val="18"/>
              </w:rPr>
            </w:pPr>
            <w:r>
              <w:rPr>
                <w:rFonts w:ascii="Verdana" w:hAnsi="Verdana"/>
                <w:b/>
                <w:noProof/>
                <w:color w:val="000000"/>
                <w:sz w:val="18"/>
              </w:rPr>
              <w:t xml:space="preserve"> (1)</w:t>
            </w:r>
          </w:p>
        </w:tc>
        <w:tc>
          <w:tcPr>
            <w:tcW w:w="158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5BIPLOCDQPY"/>
              <w:jc w:val="right"/>
              <w:rPr>
                <w:rFonts w:ascii="Verdana" w:eastAsia="Verdana" w:hAnsi="Verdana" w:cs="Verdana"/>
                <w:b/>
                <w:noProof/>
                <w:color w:val="000000"/>
                <w:sz w:val="18"/>
              </w:rPr>
            </w:pPr>
            <w:r>
              <w:rPr>
                <w:rFonts w:ascii="Verdana" w:hAnsi="Verdana"/>
                <w:b/>
                <w:noProof/>
                <w:color w:val="000000"/>
                <w:sz w:val="18"/>
              </w:rPr>
              <w:t xml:space="preserve"> 51</w:t>
            </w:r>
          </w:p>
        </w:tc>
        <w:tc>
          <w:tcPr>
            <w:tcW w:w="114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5BIPLOCDQPY"/>
              <w:jc w:val="right"/>
              <w:rPr>
                <w:rFonts w:ascii="Verdana" w:eastAsia="Verdana" w:hAnsi="Verdana" w:cs="Verdana"/>
                <w:b/>
                <w:noProof/>
                <w:color w:val="000000"/>
                <w:sz w:val="18"/>
              </w:rPr>
            </w:pPr>
            <w:r>
              <w:rPr>
                <w:rFonts w:ascii="Verdana" w:hAnsi="Verdana"/>
                <w:b/>
                <w:noProof/>
                <w:color w:val="000000"/>
                <w:sz w:val="18"/>
              </w:rPr>
              <w:t>283 580</w:t>
            </w:r>
          </w:p>
        </w:tc>
      </w:tr>
    </w:tbl>
    <w:p>
      <w:pPr>
        <w:pStyle w:val="DGTextstand-alone"/>
      </w:pPr>
      <w:r>
        <w:t>Les catégories de risque susmentionnées reposent en principe sur les échelles de notation d’agences de notation externes. Ces catégories correspondent à:</w:t>
      </w:r>
    </w:p>
    <w:p>
      <w:pPr>
        <w:pStyle w:val="DGTextstand-alonedashesjustified"/>
        <w:numPr>
          <w:ilvl w:val="0"/>
          <w:numId w:val="22"/>
        </w:numPr>
      </w:pPr>
      <w:r>
        <w:t>première qualité et haute qualité: Moody’s P-1, Aaa – Aa3; S&amp;P A-1+, A-1, AAA – AA -; Fitch F1+, F1, AAA – AA- et équivalent;</w:t>
      </w:r>
    </w:p>
    <w:p>
      <w:pPr>
        <w:pStyle w:val="DGTextstand-alonedashesjustified"/>
        <w:numPr>
          <w:ilvl w:val="0"/>
          <w:numId w:val="22"/>
        </w:numPr>
      </w:pPr>
      <w:r>
        <w:t>qualité moyenne supérieure: Moody’s P-2, A1 – A3; S&amp;P A-2, A+ – A-; Fitch F2, A+ – A- et équivalent;</w:t>
      </w:r>
    </w:p>
    <w:p>
      <w:pPr>
        <w:pStyle w:val="DGTextstand-alonedashesjustified"/>
        <w:numPr>
          <w:ilvl w:val="0"/>
          <w:numId w:val="22"/>
        </w:numPr>
      </w:pPr>
      <w:r>
        <w:t>qualité moyenne inférieure: Moody’s P-3, Baa1 – Baa3, S&amp;P A-3, BBB+ – BBB-; Fitch F3, BBB+ – BBB- et équivalent;</w:t>
      </w:r>
    </w:p>
    <w:p>
      <w:pPr>
        <w:pStyle w:val="DGTextstand-alonedashesjustified"/>
        <w:numPr>
          <w:ilvl w:val="0"/>
          <w:numId w:val="22"/>
        </w:numPr>
      </w:pPr>
      <w:r>
        <w:t>catégorie spéculative: Moody’s non prime, Ba1 – C; S&amp;P B, C, D, BB+ – D; Fitch B, C, D, BB+ – D et équivalent.</w:t>
      </w:r>
    </w:p>
    <w:p>
      <w:pPr>
        <w:pStyle w:val="DGTextstand-alone"/>
      </w:pPr>
      <w:r>
        <w:t>L’UE utilise ces catégories de notation comme référence pour les instruments financiers et les banques commerciales. Toutefois, l’UE peut, s’appuyant sur sa propre analyse de cas individuels, conserver des montants dans une catégorie de risque particulière même si une agence de notation a revu à la baisse la note de la contrepartie.</w:t>
      </w:r>
    </w:p>
    <w:p>
      <w:pPr>
        <w:pStyle w:val="DGTextstand-alone"/>
      </w:pPr>
      <w:r>
        <w:t xml:space="preserve">Les prêts de la catégorie spéculative sont principalement des prêts d’assistance financière accordés à des pays tiers en difficulté financière. Les prêts accordés aux États membres se situent tous dans la catégorie «investissement» et au stade 1. Les prêts du stade 2 comprennent principalement l’AMF, l’AMF +, la </w:t>
      </w:r>
      <w:r>
        <w:lastRenderedPageBreak/>
        <w:t>facilité pour l’Ukraine, l’AMF MCPU et les prêts Euratom à l’Ukraine. Les prêts POCI sont des prêts subrogés provenant des programmes MPE.</w:t>
      </w:r>
    </w:p>
    <w:p>
      <w:pPr>
        <w:pStyle w:val="HEADER5"/>
        <w:spacing w:before="240"/>
        <w:rPr>
          <w:noProof/>
        </w:rPr>
      </w:pPr>
      <w:r>
        <w:rPr>
          <w:noProof/>
        </w:rPr>
        <w:t>Emprunts et prêts</w:t>
      </w:r>
    </w:p>
    <w:p>
      <w:pPr>
        <w:pStyle w:val="DGTextstand-alone"/>
      </w:pPr>
      <w:r>
        <w:t>En cas de défaillance des débiteurs, la Commission peut recourir aux actifs détenus dans le FCP afin d’honorer toute dette due au titre des prêts AMF (à l’exception des prêts AMF+ et des prêts AMF MCPU), des prêts Euratom à des pays tiers et des prêts à l'appui des réformes octroyés dans le cadre de la facilité pour les Balkans occidentaux et de la facilité pour la Moldavie.</w:t>
      </w:r>
    </w:p>
    <w:p>
      <w:pPr>
        <w:pStyle w:val="DGTextstand-alone"/>
      </w:pPr>
      <w:r>
        <w:t>Les prêts accordés à l’Ukraine dans le cadre du programme d’AMF exceptionnelle (6 milliards d’EUR décaissés en 2022) sont d’abord couverts par leur compartiment au sein du FCP, puis par des garanties supplémentaires (3,7 milliards d’EUR) des États membres, qui sont considérées comme un rehaussement de crédit pour ces prêts et réduisent ainsi le montant d’une provision pour dépréciation comptabilisée pour ces prêts.</w:t>
      </w:r>
    </w:p>
    <w:p>
      <w:pPr>
        <w:pStyle w:val="DGTextstand-alone"/>
      </w:pPr>
      <w:r>
        <w:t xml:space="preserve">Le prêt AMF MCPU en faveur de l’Ukraine devrait être remboursé par l’Ukraine à partir des flux de recettes exceptionnelles provenant des actifs souverains russes immobilisés et octroyées à l’Ukraine dans le cadre d’un soutien non remboursable au titre du mécanisme MCPU. En 2025, l’Union a perçu et octroyé 622 millions d’EUR à l’Ukraine. Ce montant est placé en fin d’exercice sur le compte bancaire ad hoc et sera uniquement utilisé pour honorer les prêts AMF, ce qui réduit les pertes de crédit attendues de ce prêt. </w:t>
      </w:r>
    </w:p>
    <w:p>
      <w:pPr>
        <w:pStyle w:val="DGTextstand-alone"/>
      </w:pPr>
      <w:r>
        <w:t>La Commission gère l’exposition au risque de crédit pour les prêts Euratom en obtenant des garanties d’État, pour un montant total de 300 millions d’EUR au 31 décembre 2025 (300 millions d’EUR en 2024).</w:t>
      </w:r>
    </w:p>
    <w:p>
      <w:pPr>
        <w:pStyle w:val="DGTextstand-alone"/>
      </w:pPr>
      <w:r>
        <w:t>Les prêts consentis aux États membres au titre de l’instrument SURE sont étayés par un système de garanties volontaires constituées par les États membres, qui s’élève à 25 % du montant maximal disponible pour l’assistance financière correspondante.</w:t>
      </w:r>
    </w:p>
    <w:p>
      <w:pPr>
        <w:pStyle w:val="DGTextstand-alone"/>
      </w:pPr>
      <w:r>
        <w:t>Pour toute perte de crédit sur les prêts accordés aux États membres, l’AMF+, l’AMF MCPU et la facilité pour l’Ukraine, la Commission peut faire appel aux États membres, tout en respectant les plafonds des ressources propres («marge de manœuvre budgétaire»; voir note </w:t>
      </w:r>
      <w:r>
        <w:rPr>
          <w:b/>
        </w:rPr>
        <w:t>6.7</w:t>
      </w:r>
      <w:r>
        <w:t>).</w:t>
      </w:r>
    </w:p>
    <w:p>
      <w:pPr>
        <w:pStyle w:val="HEADER5"/>
        <w:rPr>
          <w:noProof/>
        </w:rPr>
      </w:pPr>
      <w:r>
        <w:rPr>
          <w:noProof/>
        </w:rPr>
        <w:t>Prêts: variation de la correction de valeur pour pertes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63"/>
        <w:gridCol w:w="1189"/>
        <w:gridCol w:w="1188"/>
        <w:gridCol w:w="1188"/>
        <w:gridCol w:w="1242"/>
        <w:gridCol w:w="1188"/>
      </w:tblGrid>
      <w:tr>
        <w:trPr>
          <w:trHeight w:hRule="exact" w:val="255"/>
        </w:trPr>
        <w:tc>
          <w:tcPr>
            <w:tcW w:w="3763" w:type="dxa"/>
            <w:tcBorders>
              <w:top w:val="nil"/>
              <w:left w:val="nil"/>
              <w:bottom w:val="nil"/>
              <w:right w:val="nil"/>
              <w:tl2br w:val="nil"/>
              <w:tr2bl w:val="nil"/>
            </w:tcBorders>
            <w:tcMar>
              <w:left w:w="60" w:type="dxa"/>
              <w:right w:w="60" w:type="dxa"/>
            </w:tcMar>
            <w:vAlign w:val="center"/>
          </w:tcPr>
          <w:p>
            <w:pPr>
              <w:pStyle w:val="DMETW36755BIPLOIMPLOS"/>
              <w:rPr>
                <w:rFonts w:ascii="Verdana" w:eastAsia="Verdana" w:hAnsi="Verdana" w:cs="Verdana"/>
                <w:b/>
                <w:noProof/>
                <w:color w:val="FF0000"/>
                <w:sz w:val="18"/>
              </w:rPr>
            </w:pPr>
            <w:bookmarkStart w:id="229" w:name="DOC_TBL00097_1_1"/>
            <w:bookmarkEnd w:id="229"/>
          </w:p>
        </w:tc>
        <w:tc>
          <w:tcPr>
            <w:tcW w:w="1189"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noProof/>
                <w:color w:val="A8A8A8"/>
              </w:rPr>
            </w:pPr>
          </w:p>
        </w:tc>
        <w:tc>
          <w:tcPr>
            <w:tcW w:w="1188" w:type="dxa"/>
            <w:tcBorders>
              <w:top w:val="nil"/>
              <w:left w:val="nil"/>
              <w:bottom w:val="nil"/>
              <w:right w:val="nil"/>
              <w:tl2br w:val="nil"/>
              <w:tr2bl w:val="nil"/>
            </w:tcBorders>
            <w:tcMar>
              <w:left w:w="60" w:type="dxa"/>
              <w:right w:w="60" w:type="dxa"/>
            </w:tcMar>
            <w:vAlign w:val="center"/>
          </w:tcPr>
          <w:p>
            <w:pPr>
              <w:pStyle w:val="DMETW36755BIPLOIMPLOS"/>
              <w:rPr>
                <w:rFonts w:ascii="Verdana" w:eastAsia="Verdana" w:hAnsi="Verdana" w:cs="Verdana"/>
                <w:noProof/>
                <w:color w:val="000000"/>
              </w:rPr>
            </w:pPr>
          </w:p>
        </w:tc>
        <w:tc>
          <w:tcPr>
            <w:tcW w:w="1188" w:type="dxa"/>
            <w:tcBorders>
              <w:top w:val="nil"/>
              <w:left w:val="nil"/>
              <w:bottom w:val="nil"/>
              <w:right w:val="nil"/>
              <w:tl2br w:val="nil"/>
              <w:tr2bl w:val="nil"/>
            </w:tcBorders>
            <w:tcMar>
              <w:left w:w="60" w:type="dxa"/>
              <w:right w:w="60" w:type="dxa"/>
            </w:tcMar>
            <w:vAlign w:val="center"/>
          </w:tcPr>
          <w:p>
            <w:pPr>
              <w:pStyle w:val="DMETW36755BIPLOIMPLOS"/>
              <w:rPr>
                <w:rFonts w:ascii="Verdana" w:eastAsia="Verdana" w:hAnsi="Verdana" w:cs="Verdana"/>
                <w:noProof/>
                <w:color w:val="000000"/>
              </w:rPr>
            </w:pPr>
          </w:p>
        </w:tc>
        <w:tc>
          <w:tcPr>
            <w:tcW w:w="1242" w:type="dxa"/>
            <w:tcBorders>
              <w:top w:val="nil"/>
              <w:left w:val="nil"/>
              <w:bottom w:val="nil"/>
              <w:right w:val="nil"/>
              <w:tl2br w:val="nil"/>
              <w:tr2bl w:val="nil"/>
            </w:tcBorders>
            <w:tcMar>
              <w:left w:w="60" w:type="dxa"/>
              <w:right w:w="60" w:type="dxa"/>
            </w:tcMar>
            <w:vAlign w:val="center"/>
          </w:tcPr>
          <w:p>
            <w:pPr>
              <w:pStyle w:val="DMETW36755BIPLOIMPLOS"/>
              <w:rPr>
                <w:rFonts w:ascii="Verdana" w:eastAsia="Verdana" w:hAnsi="Verdana" w:cs="Verdana"/>
                <w:noProof/>
                <w:color w:val="000000"/>
              </w:rPr>
            </w:pPr>
          </w:p>
        </w:tc>
        <w:tc>
          <w:tcPr>
            <w:tcW w:w="1188" w:type="dxa"/>
            <w:tcBorders>
              <w:top w:val="nil"/>
              <w:left w:val="nil"/>
              <w:bottom w:val="nil"/>
              <w:right w:val="nil"/>
              <w:tl2br w:val="nil"/>
              <w:tr2bl w:val="nil"/>
            </w:tcBorders>
            <w:tcMar>
              <w:left w:w="60" w:type="dxa"/>
              <w:right w:w="60" w:type="dxa"/>
            </w:tcMar>
            <w:vAlign w:val="bottom"/>
          </w:tcPr>
          <w:p>
            <w:pPr>
              <w:pStyle w:val="DMETW36755BIPLOIMPLOS"/>
              <w:jc w:val="right"/>
              <w:rPr>
                <w:rFonts w:ascii="Verdana" w:eastAsia="Verdana" w:hAnsi="Verdana" w:cs="Verdana"/>
                <w:i/>
                <w:noProof/>
                <w:color w:val="000000"/>
                <w:sz w:val="16"/>
              </w:rPr>
            </w:pPr>
            <w:r>
              <w:rPr>
                <w:rFonts w:ascii="Verdana" w:hAnsi="Verdana"/>
                <w:i/>
                <w:noProof/>
                <w:color w:val="000000"/>
                <w:sz w:val="16"/>
              </w:rPr>
              <w:t>en Mio EUR</w:t>
            </w:r>
          </w:p>
        </w:tc>
      </w:tr>
      <w:tr>
        <w:trPr>
          <w:trHeight w:hRule="exact" w:val="360"/>
        </w:trPr>
        <w:tc>
          <w:tcPr>
            <w:tcW w:w="3763"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755BIPLOIMPLOS"/>
              <w:jc w:val="center"/>
              <w:rPr>
                <w:rFonts w:ascii="Verdana" w:eastAsia="Verdana" w:hAnsi="Verdana" w:cs="Verdana"/>
                <w:noProof/>
                <w:color w:val="FFFFFF"/>
              </w:rPr>
            </w:pPr>
          </w:p>
        </w:tc>
        <w:tc>
          <w:tcPr>
            <w:tcW w:w="1189"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755BIPLOIMPLOS"/>
              <w:jc w:val="right"/>
              <w:rPr>
                <w:rFonts w:ascii="Verdana" w:eastAsia="Verdana" w:hAnsi="Verdana" w:cs="Verdana"/>
                <w:noProof/>
                <w:color w:val="FFFFFF"/>
              </w:rPr>
            </w:pPr>
            <w:r>
              <w:rPr>
                <w:rFonts w:ascii="Verdana" w:hAnsi="Verdana"/>
                <w:noProof/>
                <w:color w:val="FFFFFF"/>
              </w:rPr>
              <w:t xml:space="preserve">Stade 1 </w:t>
            </w:r>
          </w:p>
        </w:tc>
        <w:tc>
          <w:tcPr>
            <w:tcW w:w="1188"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755BIPLOIMPLOS"/>
              <w:jc w:val="right"/>
              <w:rPr>
                <w:rFonts w:ascii="Verdana" w:eastAsia="Verdana" w:hAnsi="Verdana" w:cs="Verdana"/>
                <w:noProof/>
                <w:color w:val="FFFFFF"/>
              </w:rPr>
            </w:pPr>
            <w:r>
              <w:rPr>
                <w:rFonts w:ascii="Verdana" w:hAnsi="Verdana"/>
                <w:noProof/>
                <w:color w:val="FFFFFF"/>
              </w:rPr>
              <w:t>Stade 2</w:t>
            </w:r>
          </w:p>
        </w:tc>
        <w:tc>
          <w:tcPr>
            <w:tcW w:w="1188"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755BIPLOIMPLOS"/>
              <w:jc w:val="right"/>
              <w:rPr>
                <w:rFonts w:ascii="Verdana" w:eastAsia="Verdana" w:hAnsi="Verdana" w:cs="Verdana"/>
                <w:noProof/>
                <w:color w:val="FFFFFF"/>
              </w:rPr>
            </w:pPr>
            <w:r>
              <w:rPr>
                <w:rFonts w:ascii="Verdana" w:hAnsi="Verdana"/>
                <w:noProof/>
                <w:color w:val="FFFFFF"/>
              </w:rPr>
              <w:t>Stade 3</w:t>
            </w:r>
          </w:p>
        </w:tc>
        <w:tc>
          <w:tcPr>
            <w:tcW w:w="1242"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755BIPLOIMPLOS"/>
              <w:jc w:val="right"/>
              <w:rPr>
                <w:rFonts w:ascii="Verdana" w:eastAsia="Verdana" w:hAnsi="Verdana" w:cs="Verdana"/>
                <w:noProof/>
                <w:color w:val="FFFFFF"/>
              </w:rPr>
            </w:pPr>
            <w:r>
              <w:rPr>
                <w:rFonts w:ascii="Verdana" w:hAnsi="Verdana"/>
                <w:noProof/>
                <w:color w:val="FFFFFF"/>
              </w:rPr>
              <w:t>POCI</w:t>
            </w:r>
          </w:p>
        </w:tc>
        <w:tc>
          <w:tcPr>
            <w:tcW w:w="1188"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755BIPLOIMPLOS"/>
              <w:jc w:val="right"/>
              <w:rPr>
                <w:rFonts w:ascii="Verdana" w:eastAsia="Verdana" w:hAnsi="Verdana" w:cs="Verdana"/>
                <w:noProof/>
                <w:color w:val="FFFFFF"/>
              </w:rPr>
            </w:pPr>
            <w:r>
              <w:rPr>
                <w:rFonts w:ascii="Verdana" w:hAnsi="Verdana"/>
                <w:noProof/>
                <w:color w:val="FFFFFF"/>
              </w:rPr>
              <w:t xml:space="preserve">Total </w:t>
            </w:r>
          </w:p>
        </w:tc>
      </w:tr>
      <w:tr>
        <w:trPr>
          <w:trHeight w:hRule="exact" w:val="360"/>
        </w:trPr>
        <w:tc>
          <w:tcPr>
            <w:tcW w:w="4545" w:type="dxa"/>
            <w:vMerge/>
            <w:tcBorders>
              <w:top w:val="nil"/>
              <w:left w:val="nil"/>
              <w:bottom w:val="nil"/>
              <w:right w:val="nil"/>
              <w:tl2br w:val="nil"/>
              <w:tr2bl w:val="nil"/>
            </w:tcBorders>
            <w:shd w:val="solid" w:color="016794" w:fill="FFFFFF"/>
            <w:tcMar>
              <w:left w:w="60" w:type="dxa"/>
              <w:right w:w="60" w:type="dxa"/>
            </w:tcMar>
            <w:vAlign w:val="center"/>
          </w:tcPr>
          <w:p>
            <w:pPr>
              <w:pStyle w:val="DMETW36755BIPLOIMPLOS"/>
              <w:jc w:val="center"/>
              <w:rPr>
                <w:rFonts w:ascii="Verdana" w:eastAsia="Verdana" w:hAnsi="Verdana" w:cs="Verdana"/>
                <w:noProof/>
                <w:color w:val="FFFFFF"/>
              </w:rPr>
            </w:pPr>
          </w:p>
        </w:tc>
        <w:tc>
          <w:tcPr>
            <w:tcW w:w="1410" w:type="dxa"/>
            <w:vMerge/>
            <w:tcBorders>
              <w:top w:val="nil"/>
              <w:left w:val="nil"/>
              <w:bottom w:val="nil"/>
              <w:right w:val="nil"/>
              <w:tl2br w:val="nil"/>
              <w:tr2bl w:val="nil"/>
            </w:tcBorders>
            <w:shd w:val="solid" w:color="016794" w:fill="FFFFFF"/>
            <w:tcMar>
              <w:left w:w="60" w:type="dxa"/>
              <w:right w:w="60" w:type="dxa"/>
            </w:tcMar>
            <w:vAlign w:val="center"/>
          </w:tcPr>
          <w:p>
            <w:pPr>
              <w:pStyle w:val="DMETW36755BIPLOIMPLOS"/>
              <w:jc w:val="right"/>
              <w:rPr>
                <w:rFonts w:ascii="Verdana" w:eastAsia="Verdana" w:hAnsi="Verdana" w:cs="Verdana"/>
                <w:noProof/>
                <w:color w:val="FFFFFF"/>
              </w:rPr>
            </w:pPr>
          </w:p>
        </w:tc>
        <w:tc>
          <w:tcPr>
            <w:tcW w:w="1410" w:type="dxa"/>
            <w:vMerge/>
            <w:tcBorders>
              <w:top w:val="nil"/>
              <w:left w:val="nil"/>
              <w:bottom w:val="nil"/>
              <w:right w:val="nil"/>
              <w:tl2br w:val="nil"/>
              <w:tr2bl w:val="nil"/>
            </w:tcBorders>
            <w:shd w:val="solid" w:color="016794" w:fill="FFFFFF"/>
            <w:tcMar>
              <w:left w:w="60" w:type="dxa"/>
              <w:right w:w="60" w:type="dxa"/>
            </w:tcMar>
            <w:vAlign w:val="center"/>
          </w:tcPr>
          <w:p>
            <w:pPr>
              <w:pStyle w:val="DMETW36755BIPLOIMPLOS"/>
              <w:jc w:val="right"/>
              <w:rPr>
                <w:rFonts w:ascii="Verdana" w:eastAsia="Verdana" w:hAnsi="Verdana" w:cs="Verdana"/>
                <w:noProof/>
                <w:color w:val="FFFFFF"/>
              </w:rPr>
            </w:pPr>
          </w:p>
        </w:tc>
        <w:tc>
          <w:tcPr>
            <w:tcW w:w="1410" w:type="dxa"/>
            <w:vMerge/>
            <w:tcBorders>
              <w:top w:val="nil"/>
              <w:left w:val="nil"/>
              <w:bottom w:val="nil"/>
              <w:right w:val="nil"/>
              <w:tl2br w:val="nil"/>
              <w:tr2bl w:val="nil"/>
            </w:tcBorders>
            <w:shd w:val="solid" w:color="016794" w:fill="FFFFFF"/>
            <w:tcMar>
              <w:left w:w="60" w:type="dxa"/>
              <w:right w:w="60" w:type="dxa"/>
            </w:tcMar>
            <w:vAlign w:val="center"/>
          </w:tcPr>
          <w:p>
            <w:pPr>
              <w:pStyle w:val="DMETW36755BIPLOIMPLOS"/>
              <w:jc w:val="right"/>
              <w:rPr>
                <w:rFonts w:ascii="Verdana" w:eastAsia="Verdana" w:hAnsi="Verdana" w:cs="Verdana"/>
                <w:noProof/>
                <w:color w:val="FFFFFF"/>
              </w:rPr>
            </w:pPr>
          </w:p>
        </w:tc>
        <w:tc>
          <w:tcPr>
            <w:tcW w:w="1980" w:type="dxa"/>
            <w:vMerge/>
            <w:tcBorders>
              <w:top w:val="nil"/>
              <w:left w:val="nil"/>
              <w:bottom w:val="nil"/>
              <w:right w:val="nil"/>
              <w:tl2br w:val="nil"/>
              <w:tr2bl w:val="nil"/>
            </w:tcBorders>
            <w:shd w:val="solid" w:color="016794" w:fill="FFFFFF"/>
            <w:tcMar>
              <w:left w:w="60" w:type="dxa"/>
              <w:right w:w="60" w:type="dxa"/>
            </w:tcMar>
            <w:vAlign w:val="center"/>
          </w:tcPr>
          <w:p>
            <w:pPr>
              <w:pStyle w:val="DMETW36755BIPLOIMPLOS"/>
              <w:jc w:val="right"/>
              <w:rPr>
                <w:rFonts w:ascii="Verdana" w:eastAsia="Verdana" w:hAnsi="Verdana" w:cs="Verdana"/>
                <w:noProof/>
                <w:color w:val="FFFFFF"/>
              </w:rPr>
            </w:pPr>
          </w:p>
        </w:tc>
        <w:tc>
          <w:tcPr>
            <w:tcW w:w="1410" w:type="dxa"/>
            <w:vMerge/>
            <w:tcBorders>
              <w:top w:val="nil"/>
              <w:left w:val="nil"/>
              <w:bottom w:val="nil"/>
              <w:right w:val="nil"/>
              <w:tl2br w:val="nil"/>
              <w:tr2bl w:val="nil"/>
            </w:tcBorders>
            <w:shd w:val="solid" w:color="016794" w:fill="FFFFFF"/>
            <w:tcMar>
              <w:left w:w="60" w:type="dxa"/>
              <w:right w:w="60" w:type="dxa"/>
            </w:tcMar>
            <w:vAlign w:val="center"/>
          </w:tcPr>
          <w:p>
            <w:pPr>
              <w:pStyle w:val="DMETW36755BIPLOIMPLOS"/>
              <w:jc w:val="right"/>
              <w:rPr>
                <w:rFonts w:ascii="Verdana" w:eastAsia="Verdana" w:hAnsi="Verdana" w:cs="Verdana"/>
                <w:noProof/>
                <w:color w:val="FFFFFF"/>
              </w:rPr>
            </w:pPr>
          </w:p>
        </w:tc>
      </w:tr>
      <w:tr>
        <w:trPr>
          <w:trHeight w:hRule="exact" w:val="255"/>
        </w:trPr>
        <w:tc>
          <w:tcPr>
            <w:tcW w:w="3763" w:type="dxa"/>
            <w:tcBorders>
              <w:top w:val="nil"/>
              <w:left w:val="nil"/>
              <w:bottom w:val="nil"/>
              <w:right w:val="nil"/>
              <w:tl2br w:val="nil"/>
              <w:tr2bl w:val="nil"/>
            </w:tcBorders>
            <w:tcMar>
              <w:left w:w="60" w:type="dxa"/>
              <w:right w:w="60" w:type="dxa"/>
            </w:tcMar>
            <w:vAlign w:val="center"/>
          </w:tcPr>
          <w:p>
            <w:pPr>
              <w:pStyle w:val="DMETW36755BIPLOIMPLOS"/>
              <w:rPr>
                <w:rFonts w:ascii="Verdana" w:eastAsia="Verdana" w:hAnsi="Verdana" w:cs="Verdana"/>
                <w:b/>
                <w:noProof/>
                <w:color w:val="000000"/>
                <w:sz w:val="18"/>
              </w:rPr>
            </w:pPr>
            <w:r>
              <w:rPr>
                <w:rFonts w:ascii="Verdana" w:hAnsi="Verdana"/>
                <w:b/>
                <w:noProof/>
                <w:color w:val="000000"/>
                <w:sz w:val="18"/>
              </w:rPr>
              <w:t>Correction de valeur pour pertes au 1.1.2025</w:t>
            </w:r>
          </w:p>
        </w:tc>
        <w:tc>
          <w:tcPr>
            <w:tcW w:w="1189"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 xml:space="preserve"> 31</w:t>
            </w:r>
          </w:p>
        </w:tc>
        <w:tc>
          <w:tcPr>
            <w:tcW w:w="1188"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15 969</w:t>
            </w:r>
          </w:p>
        </w:tc>
        <w:tc>
          <w:tcPr>
            <w:tcW w:w="1188"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 xml:space="preserve"> 14</w:t>
            </w:r>
          </w:p>
        </w:tc>
        <w:tc>
          <w:tcPr>
            <w:tcW w:w="1242"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 xml:space="preserve"> (24)</w:t>
            </w:r>
          </w:p>
        </w:tc>
        <w:tc>
          <w:tcPr>
            <w:tcW w:w="1188"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15 991</w:t>
            </w:r>
          </w:p>
        </w:tc>
      </w:tr>
      <w:tr>
        <w:trPr>
          <w:trHeight w:hRule="exact" w:val="255"/>
        </w:trPr>
        <w:tc>
          <w:tcPr>
            <w:tcW w:w="3763" w:type="dxa"/>
            <w:tcBorders>
              <w:top w:val="nil"/>
              <w:left w:val="nil"/>
              <w:bottom w:val="nil"/>
              <w:right w:val="nil"/>
              <w:tl2br w:val="nil"/>
              <w:tr2bl w:val="nil"/>
            </w:tcBorders>
            <w:tcMar>
              <w:left w:w="60" w:type="dxa"/>
              <w:right w:w="60" w:type="dxa"/>
            </w:tcMar>
            <w:vAlign w:val="center"/>
          </w:tcPr>
          <w:p>
            <w:pPr>
              <w:pStyle w:val="DMETW36755BIPLOIMPLOS"/>
              <w:rPr>
                <w:rFonts w:ascii="Verdana" w:eastAsia="Verdana" w:hAnsi="Verdana" w:cs="Verdana"/>
                <w:i/>
                <w:noProof/>
                <w:color w:val="000000"/>
                <w:sz w:val="18"/>
              </w:rPr>
            </w:pPr>
            <w:r>
              <w:rPr>
                <w:rFonts w:ascii="Verdana" w:hAnsi="Verdana"/>
                <w:i/>
                <w:noProof/>
                <w:color w:val="000000"/>
                <w:sz w:val="18"/>
              </w:rPr>
              <w:t>Transfert vers le stade 1</w:t>
            </w:r>
          </w:p>
        </w:tc>
        <w:tc>
          <w:tcPr>
            <w:tcW w:w="1189"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 xml:space="preserve"> 1</w:t>
            </w:r>
          </w:p>
        </w:tc>
        <w:tc>
          <w:tcPr>
            <w:tcW w:w="1188"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 xml:space="preserve"> (1)</w:t>
            </w:r>
          </w:p>
        </w:tc>
        <w:tc>
          <w:tcPr>
            <w:tcW w:w="1188"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w:t>
            </w:r>
          </w:p>
        </w:tc>
        <w:tc>
          <w:tcPr>
            <w:tcW w:w="1242"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w:t>
            </w:r>
          </w:p>
        </w:tc>
        <w:tc>
          <w:tcPr>
            <w:tcW w:w="1188"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w:t>
            </w:r>
          </w:p>
        </w:tc>
      </w:tr>
      <w:tr>
        <w:trPr>
          <w:trHeight w:hRule="exact" w:val="255"/>
        </w:trPr>
        <w:tc>
          <w:tcPr>
            <w:tcW w:w="3763" w:type="dxa"/>
            <w:tcBorders>
              <w:top w:val="nil"/>
              <w:left w:val="nil"/>
              <w:bottom w:val="nil"/>
              <w:right w:val="nil"/>
              <w:tl2br w:val="nil"/>
              <w:tr2bl w:val="nil"/>
            </w:tcBorders>
            <w:tcMar>
              <w:left w:w="60" w:type="dxa"/>
              <w:right w:w="60" w:type="dxa"/>
            </w:tcMar>
            <w:vAlign w:val="center"/>
          </w:tcPr>
          <w:p>
            <w:pPr>
              <w:pStyle w:val="DMETW36755BIPLOIMPLOS"/>
              <w:rPr>
                <w:rFonts w:ascii="Verdana" w:eastAsia="Verdana" w:hAnsi="Verdana" w:cs="Verdana"/>
                <w:i/>
                <w:noProof/>
                <w:color w:val="000000"/>
                <w:sz w:val="18"/>
              </w:rPr>
            </w:pPr>
            <w:r>
              <w:rPr>
                <w:rFonts w:ascii="Verdana" w:hAnsi="Verdana"/>
                <w:i/>
                <w:noProof/>
                <w:color w:val="000000"/>
                <w:sz w:val="18"/>
              </w:rPr>
              <w:t>Transfert vers le stade 2</w:t>
            </w:r>
          </w:p>
        </w:tc>
        <w:tc>
          <w:tcPr>
            <w:tcW w:w="1189"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 xml:space="preserve"> (1)</w:t>
            </w:r>
          </w:p>
        </w:tc>
        <w:tc>
          <w:tcPr>
            <w:tcW w:w="1188"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 xml:space="preserve"> 1</w:t>
            </w:r>
          </w:p>
        </w:tc>
        <w:tc>
          <w:tcPr>
            <w:tcW w:w="1188"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w:t>
            </w:r>
          </w:p>
        </w:tc>
        <w:tc>
          <w:tcPr>
            <w:tcW w:w="1242"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w:t>
            </w:r>
          </w:p>
        </w:tc>
        <w:tc>
          <w:tcPr>
            <w:tcW w:w="1188"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w:t>
            </w:r>
          </w:p>
        </w:tc>
      </w:tr>
      <w:tr>
        <w:trPr>
          <w:trHeight w:hRule="exact" w:val="255"/>
        </w:trPr>
        <w:tc>
          <w:tcPr>
            <w:tcW w:w="3763" w:type="dxa"/>
            <w:tcBorders>
              <w:top w:val="nil"/>
              <w:left w:val="nil"/>
              <w:bottom w:val="nil"/>
              <w:right w:val="nil"/>
              <w:tl2br w:val="nil"/>
              <w:tr2bl w:val="nil"/>
            </w:tcBorders>
            <w:tcMar>
              <w:left w:w="60" w:type="dxa"/>
              <w:right w:w="60" w:type="dxa"/>
            </w:tcMar>
            <w:vAlign w:val="center"/>
          </w:tcPr>
          <w:p>
            <w:pPr>
              <w:pStyle w:val="DMETW36755BIPLOIMPLOS"/>
              <w:rPr>
                <w:rFonts w:ascii="Verdana" w:eastAsia="Verdana" w:hAnsi="Verdana" w:cs="Verdana"/>
                <w:i/>
                <w:noProof/>
                <w:color w:val="000000"/>
                <w:sz w:val="18"/>
              </w:rPr>
            </w:pPr>
            <w:r>
              <w:rPr>
                <w:rFonts w:ascii="Verdana" w:hAnsi="Verdana"/>
                <w:i/>
                <w:noProof/>
                <w:color w:val="000000"/>
                <w:sz w:val="18"/>
              </w:rPr>
              <w:t>Transfert vers le stade 3</w:t>
            </w:r>
          </w:p>
        </w:tc>
        <w:tc>
          <w:tcPr>
            <w:tcW w:w="1189"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w:t>
            </w:r>
          </w:p>
        </w:tc>
        <w:tc>
          <w:tcPr>
            <w:tcW w:w="1188"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 xml:space="preserve"> (1)</w:t>
            </w:r>
          </w:p>
        </w:tc>
        <w:tc>
          <w:tcPr>
            <w:tcW w:w="1188"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 xml:space="preserve"> 1</w:t>
            </w:r>
          </w:p>
        </w:tc>
        <w:tc>
          <w:tcPr>
            <w:tcW w:w="1242"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w:t>
            </w:r>
          </w:p>
        </w:tc>
        <w:tc>
          <w:tcPr>
            <w:tcW w:w="1188"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w:t>
            </w:r>
          </w:p>
        </w:tc>
      </w:tr>
      <w:tr>
        <w:trPr>
          <w:trHeight w:hRule="exact" w:val="255"/>
        </w:trPr>
        <w:tc>
          <w:tcPr>
            <w:tcW w:w="3763" w:type="dxa"/>
            <w:tcBorders>
              <w:top w:val="nil"/>
              <w:left w:val="nil"/>
              <w:bottom w:val="nil"/>
              <w:right w:val="nil"/>
              <w:tl2br w:val="nil"/>
              <w:tr2bl w:val="nil"/>
            </w:tcBorders>
            <w:tcMar>
              <w:left w:w="60" w:type="dxa"/>
              <w:right w:w="60" w:type="dxa"/>
            </w:tcMar>
            <w:vAlign w:val="center"/>
          </w:tcPr>
          <w:p>
            <w:pPr>
              <w:pStyle w:val="DMETW36755BIPLOIMPLOS"/>
              <w:rPr>
                <w:rFonts w:ascii="Verdana" w:eastAsia="Verdana" w:hAnsi="Verdana" w:cs="Verdana"/>
                <w:i/>
                <w:noProof/>
                <w:color w:val="000000"/>
                <w:sz w:val="18"/>
              </w:rPr>
            </w:pPr>
            <w:r>
              <w:rPr>
                <w:rFonts w:ascii="Verdana" w:hAnsi="Verdana"/>
                <w:i/>
                <w:noProof/>
                <w:color w:val="000000"/>
                <w:sz w:val="18"/>
              </w:rPr>
              <w:t xml:space="preserve">Nouveaux prêts </w:t>
            </w:r>
          </w:p>
        </w:tc>
        <w:tc>
          <w:tcPr>
            <w:tcW w:w="1189"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 xml:space="preserve"> 2</w:t>
            </w:r>
          </w:p>
        </w:tc>
        <w:tc>
          <w:tcPr>
            <w:tcW w:w="1188"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13 483</w:t>
            </w:r>
          </w:p>
        </w:tc>
        <w:tc>
          <w:tcPr>
            <w:tcW w:w="1188"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 xml:space="preserve"> 4</w:t>
            </w:r>
          </w:p>
        </w:tc>
        <w:tc>
          <w:tcPr>
            <w:tcW w:w="1242"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w:t>
            </w:r>
          </w:p>
        </w:tc>
        <w:tc>
          <w:tcPr>
            <w:tcW w:w="1188"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13 488</w:t>
            </w:r>
          </w:p>
        </w:tc>
      </w:tr>
      <w:tr>
        <w:trPr>
          <w:trHeight w:hRule="exact" w:val="255"/>
        </w:trPr>
        <w:tc>
          <w:tcPr>
            <w:tcW w:w="3763" w:type="dxa"/>
            <w:tcBorders>
              <w:top w:val="nil"/>
              <w:left w:val="nil"/>
              <w:bottom w:val="nil"/>
              <w:right w:val="nil"/>
              <w:tl2br w:val="nil"/>
              <w:tr2bl w:val="nil"/>
            </w:tcBorders>
            <w:tcMar>
              <w:left w:w="60" w:type="dxa"/>
              <w:right w:w="60" w:type="dxa"/>
            </w:tcMar>
            <w:vAlign w:val="center"/>
          </w:tcPr>
          <w:p>
            <w:pPr>
              <w:pStyle w:val="DMETW36755BIPLOIMPLOS"/>
              <w:rPr>
                <w:rFonts w:ascii="Verdana" w:eastAsia="Verdana" w:hAnsi="Verdana" w:cs="Verdana"/>
                <w:i/>
                <w:noProof/>
                <w:color w:val="000000"/>
                <w:sz w:val="18"/>
              </w:rPr>
            </w:pPr>
            <w:r>
              <w:rPr>
                <w:rFonts w:ascii="Verdana" w:hAnsi="Verdana"/>
                <w:i/>
                <w:noProof/>
                <w:color w:val="000000"/>
                <w:sz w:val="18"/>
              </w:rPr>
              <w:t>Décomptabilisations – remboursements</w:t>
            </w:r>
          </w:p>
        </w:tc>
        <w:tc>
          <w:tcPr>
            <w:tcW w:w="1189"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 xml:space="preserve"> (0)</w:t>
            </w:r>
          </w:p>
        </w:tc>
        <w:tc>
          <w:tcPr>
            <w:tcW w:w="1188"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 xml:space="preserve"> (1)</w:t>
            </w:r>
          </w:p>
        </w:tc>
        <w:tc>
          <w:tcPr>
            <w:tcW w:w="1188"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 xml:space="preserve"> (0)</w:t>
            </w:r>
          </w:p>
        </w:tc>
        <w:tc>
          <w:tcPr>
            <w:tcW w:w="1242"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w:t>
            </w:r>
          </w:p>
        </w:tc>
        <w:tc>
          <w:tcPr>
            <w:tcW w:w="1188"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 xml:space="preserve"> (2)</w:t>
            </w:r>
          </w:p>
        </w:tc>
      </w:tr>
      <w:tr>
        <w:trPr>
          <w:trHeight w:hRule="exact" w:val="255"/>
        </w:trPr>
        <w:tc>
          <w:tcPr>
            <w:tcW w:w="3763" w:type="dxa"/>
            <w:tcBorders>
              <w:top w:val="nil"/>
              <w:left w:val="nil"/>
              <w:bottom w:val="nil"/>
              <w:right w:val="nil"/>
              <w:tl2br w:val="nil"/>
              <w:tr2bl w:val="nil"/>
            </w:tcBorders>
            <w:tcMar>
              <w:left w:w="60" w:type="dxa"/>
              <w:right w:w="60" w:type="dxa"/>
            </w:tcMar>
            <w:vAlign w:val="center"/>
          </w:tcPr>
          <w:p>
            <w:pPr>
              <w:pStyle w:val="DMETW36755BIPLOIMPLOS"/>
              <w:rPr>
                <w:rFonts w:ascii="Verdana" w:eastAsia="Verdana" w:hAnsi="Verdana" w:cs="Verdana"/>
                <w:i/>
                <w:noProof/>
                <w:color w:val="000000"/>
                <w:sz w:val="18"/>
              </w:rPr>
            </w:pPr>
            <w:r>
              <w:rPr>
                <w:rFonts w:ascii="Verdana" w:hAnsi="Verdana"/>
                <w:i/>
                <w:noProof/>
                <w:color w:val="000000"/>
                <w:sz w:val="18"/>
              </w:rPr>
              <w:t>Décomptabilisations – dépréciations</w:t>
            </w:r>
          </w:p>
        </w:tc>
        <w:tc>
          <w:tcPr>
            <w:tcW w:w="1189"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w:t>
            </w:r>
          </w:p>
        </w:tc>
        <w:tc>
          <w:tcPr>
            <w:tcW w:w="1188"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w:t>
            </w:r>
          </w:p>
        </w:tc>
        <w:tc>
          <w:tcPr>
            <w:tcW w:w="1188"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 xml:space="preserve"> (3)</w:t>
            </w:r>
          </w:p>
        </w:tc>
        <w:tc>
          <w:tcPr>
            <w:tcW w:w="1242"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w:t>
            </w:r>
          </w:p>
        </w:tc>
        <w:tc>
          <w:tcPr>
            <w:tcW w:w="1188"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 xml:space="preserve"> (3)</w:t>
            </w:r>
          </w:p>
        </w:tc>
      </w:tr>
      <w:tr>
        <w:trPr>
          <w:trHeight w:hRule="exact" w:val="255"/>
        </w:trPr>
        <w:tc>
          <w:tcPr>
            <w:tcW w:w="3763" w:type="dxa"/>
            <w:tcBorders>
              <w:top w:val="nil"/>
              <w:left w:val="nil"/>
              <w:bottom w:val="nil"/>
              <w:right w:val="nil"/>
              <w:tl2br w:val="nil"/>
              <w:tr2bl w:val="nil"/>
            </w:tcBorders>
            <w:tcMar>
              <w:left w:w="60" w:type="dxa"/>
              <w:right w:w="60" w:type="dxa"/>
            </w:tcMar>
            <w:vAlign w:val="center"/>
          </w:tcPr>
          <w:p>
            <w:pPr>
              <w:pStyle w:val="DMETW36755BIPLOIMPLOS"/>
              <w:rPr>
                <w:rFonts w:ascii="Verdana" w:eastAsia="Verdana" w:hAnsi="Verdana" w:cs="Verdana"/>
                <w:i/>
                <w:noProof/>
                <w:color w:val="000000"/>
                <w:sz w:val="18"/>
              </w:rPr>
            </w:pPr>
            <w:r>
              <w:rPr>
                <w:rFonts w:ascii="Verdana" w:hAnsi="Verdana"/>
                <w:i/>
                <w:noProof/>
                <w:color w:val="000000"/>
                <w:sz w:val="18"/>
              </w:rPr>
              <w:t>Réévaluation de la correction de valeur pour pertes</w:t>
            </w:r>
          </w:p>
        </w:tc>
        <w:tc>
          <w:tcPr>
            <w:tcW w:w="1189"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 xml:space="preserve"> (22)</w:t>
            </w:r>
          </w:p>
        </w:tc>
        <w:tc>
          <w:tcPr>
            <w:tcW w:w="1188"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 xml:space="preserve"> 907</w:t>
            </w:r>
          </w:p>
        </w:tc>
        <w:tc>
          <w:tcPr>
            <w:tcW w:w="1188"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 xml:space="preserve"> (0)</w:t>
            </w:r>
          </w:p>
        </w:tc>
        <w:tc>
          <w:tcPr>
            <w:tcW w:w="1242"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w:t>
            </w:r>
          </w:p>
        </w:tc>
        <w:tc>
          <w:tcPr>
            <w:tcW w:w="1188"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 xml:space="preserve"> 885</w:t>
            </w:r>
          </w:p>
        </w:tc>
      </w:tr>
      <w:tr>
        <w:trPr>
          <w:trHeight w:hRule="exact" w:val="255"/>
        </w:trPr>
        <w:tc>
          <w:tcPr>
            <w:tcW w:w="3763" w:type="dxa"/>
            <w:tcBorders>
              <w:top w:val="nil"/>
              <w:left w:val="nil"/>
              <w:bottom w:val="single" w:sz="4" w:space="0" w:color="016794"/>
              <w:right w:val="nil"/>
              <w:tl2br w:val="nil"/>
              <w:tr2bl w:val="nil"/>
            </w:tcBorders>
            <w:tcMar>
              <w:left w:w="60" w:type="dxa"/>
              <w:right w:w="60" w:type="dxa"/>
            </w:tcMar>
            <w:vAlign w:val="center"/>
          </w:tcPr>
          <w:p>
            <w:pPr>
              <w:pStyle w:val="DMETW36755BIPLOIMPLOS"/>
              <w:rPr>
                <w:rFonts w:ascii="Verdana" w:eastAsia="Verdana" w:hAnsi="Verdana" w:cs="Verdana"/>
                <w:i/>
                <w:noProof/>
                <w:color w:val="000000"/>
                <w:sz w:val="18"/>
              </w:rPr>
            </w:pPr>
            <w:r>
              <w:rPr>
                <w:rFonts w:ascii="Verdana" w:hAnsi="Verdana"/>
                <w:i/>
                <w:noProof/>
                <w:color w:val="000000"/>
                <w:sz w:val="18"/>
              </w:rPr>
              <w:t>Autres</w:t>
            </w:r>
          </w:p>
        </w:tc>
        <w:tc>
          <w:tcPr>
            <w:tcW w:w="1189" w:type="dxa"/>
            <w:tcBorders>
              <w:top w:val="nil"/>
              <w:left w:val="nil"/>
              <w:bottom w:val="single" w:sz="4" w:space="0" w:color="016794"/>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 xml:space="preserve"> 2</w:t>
            </w:r>
          </w:p>
        </w:tc>
        <w:tc>
          <w:tcPr>
            <w:tcW w:w="1188" w:type="dxa"/>
            <w:tcBorders>
              <w:top w:val="nil"/>
              <w:left w:val="nil"/>
              <w:bottom w:val="single" w:sz="4" w:space="0" w:color="016794"/>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 xml:space="preserve"> 2</w:t>
            </w:r>
          </w:p>
        </w:tc>
        <w:tc>
          <w:tcPr>
            <w:tcW w:w="1188" w:type="dxa"/>
            <w:tcBorders>
              <w:top w:val="nil"/>
              <w:left w:val="nil"/>
              <w:bottom w:val="single" w:sz="4" w:space="0" w:color="016794"/>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 xml:space="preserve"> 8</w:t>
            </w:r>
          </w:p>
        </w:tc>
        <w:tc>
          <w:tcPr>
            <w:tcW w:w="1242" w:type="dxa"/>
            <w:tcBorders>
              <w:top w:val="nil"/>
              <w:left w:val="nil"/>
              <w:bottom w:val="single" w:sz="4" w:space="0" w:color="016794"/>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w:t>
            </w:r>
          </w:p>
        </w:tc>
        <w:tc>
          <w:tcPr>
            <w:tcW w:w="1188" w:type="dxa"/>
            <w:tcBorders>
              <w:top w:val="nil"/>
              <w:left w:val="nil"/>
              <w:bottom w:val="single" w:sz="4" w:space="0" w:color="016794"/>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 xml:space="preserve"> 11</w:t>
            </w:r>
          </w:p>
        </w:tc>
      </w:tr>
      <w:tr>
        <w:trPr>
          <w:trHeight w:hRule="exact" w:val="535"/>
        </w:trPr>
        <w:tc>
          <w:tcPr>
            <w:tcW w:w="376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5BIPLOIMPLOS"/>
              <w:rPr>
                <w:rFonts w:ascii="Verdana" w:eastAsia="Verdana" w:hAnsi="Verdana" w:cs="Verdana"/>
                <w:b/>
                <w:noProof/>
                <w:color w:val="000000"/>
                <w:sz w:val="18"/>
              </w:rPr>
            </w:pPr>
            <w:r>
              <w:rPr>
                <w:rFonts w:ascii="Verdana" w:hAnsi="Verdana"/>
                <w:b/>
                <w:noProof/>
                <w:color w:val="000000"/>
                <w:sz w:val="18"/>
              </w:rPr>
              <w:t>Correction de valeur pour pertes au 31.12.2025</w:t>
            </w:r>
          </w:p>
        </w:tc>
        <w:tc>
          <w:tcPr>
            <w:tcW w:w="118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5BIPLOIMPLOS"/>
              <w:jc w:val="right"/>
              <w:rPr>
                <w:rFonts w:ascii="Verdana" w:eastAsia="Verdana" w:hAnsi="Verdana" w:cs="Verdana"/>
                <w:b/>
                <w:noProof/>
                <w:color w:val="000000"/>
                <w:sz w:val="18"/>
              </w:rPr>
            </w:pPr>
            <w:r>
              <w:rPr>
                <w:rFonts w:ascii="Verdana" w:hAnsi="Verdana"/>
                <w:b/>
                <w:noProof/>
                <w:color w:val="000000"/>
                <w:sz w:val="18"/>
              </w:rPr>
              <w:t xml:space="preserve"> 12</w:t>
            </w:r>
          </w:p>
        </w:tc>
        <w:tc>
          <w:tcPr>
            <w:tcW w:w="118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5BIPLOIMPLOS"/>
              <w:jc w:val="right"/>
              <w:rPr>
                <w:rFonts w:ascii="Verdana" w:eastAsia="Verdana" w:hAnsi="Verdana" w:cs="Verdana"/>
                <w:b/>
                <w:noProof/>
                <w:color w:val="000000"/>
                <w:sz w:val="18"/>
              </w:rPr>
            </w:pPr>
            <w:r>
              <w:rPr>
                <w:rFonts w:ascii="Verdana" w:hAnsi="Verdana"/>
                <w:b/>
                <w:noProof/>
                <w:color w:val="000000"/>
                <w:sz w:val="18"/>
              </w:rPr>
              <w:t>30 357</w:t>
            </w:r>
          </w:p>
        </w:tc>
        <w:tc>
          <w:tcPr>
            <w:tcW w:w="118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5BIPLOIMPLOS"/>
              <w:jc w:val="right"/>
              <w:rPr>
                <w:rFonts w:ascii="Verdana" w:eastAsia="Verdana" w:hAnsi="Verdana" w:cs="Verdana"/>
                <w:b/>
                <w:noProof/>
                <w:color w:val="000000"/>
                <w:sz w:val="18"/>
              </w:rPr>
            </w:pPr>
            <w:r>
              <w:rPr>
                <w:rFonts w:ascii="Verdana" w:hAnsi="Verdana"/>
                <w:b/>
                <w:noProof/>
                <w:color w:val="000000"/>
                <w:sz w:val="18"/>
              </w:rPr>
              <w:t xml:space="preserve"> 24</w:t>
            </w:r>
          </w:p>
        </w:tc>
        <w:tc>
          <w:tcPr>
            <w:tcW w:w="124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5BIPLOIMPLOS"/>
              <w:jc w:val="right"/>
              <w:rPr>
                <w:rFonts w:ascii="Verdana" w:eastAsia="Verdana" w:hAnsi="Verdana" w:cs="Verdana"/>
                <w:b/>
                <w:noProof/>
                <w:color w:val="000000"/>
                <w:sz w:val="18"/>
              </w:rPr>
            </w:pPr>
            <w:r>
              <w:rPr>
                <w:rFonts w:ascii="Verdana" w:hAnsi="Verdana"/>
                <w:b/>
                <w:noProof/>
                <w:color w:val="000000"/>
                <w:sz w:val="18"/>
              </w:rPr>
              <w:t xml:space="preserve"> (24)</w:t>
            </w:r>
          </w:p>
        </w:tc>
        <w:tc>
          <w:tcPr>
            <w:tcW w:w="118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5BIPLOIMPLOS"/>
              <w:jc w:val="right"/>
              <w:rPr>
                <w:rFonts w:ascii="Verdana" w:eastAsia="Verdana" w:hAnsi="Verdana" w:cs="Verdana"/>
                <w:b/>
                <w:noProof/>
                <w:color w:val="000000"/>
                <w:sz w:val="18"/>
              </w:rPr>
            </w:pPr>
            <w:r>
              <w:rPr>
                <w:rFonts w:ascii="Verdana" w:hAnsi="Verdana"/>
                <w:b/>
                <w:noProof/>
                <w:color w:val="000000"/>
                <w:sz w:val="18"/>
              </w:rPr>
              <w:t>30 369</w:t>
            </w:r>
          </w:p>
        </w:tc>
      </w:tr>
    </w:tbl>
    <w:p>
      <w:pPr>
        <w:pStyle w:val="DGTextstand-alone"/>
      </w:pPr>
      <w:r>
        <w:t>La correction de valeur pour pertes supplémentaire pour les prêts de stade 2 s’explique principalement par les nouveaux prêts décaissés en faveur de l’Ukraine au titre de la facilité pour l’Ukraine et de l’AMF MCPU (voir note </w:t>
      </w:r>
      <w:r>
        <w:rPr>
          <w:b/>
        </w:rPr>
        <w:t>2.4.1.1</w:t>
      </w:r>
      <w:r>
        <w:t>) et par une mise à jour des paramètres de risque appliqués dans les estimations du risque de crédit.</w:t>
      </w:r>
    </w:p>
    <w:p>
      <w:pPr>
        <w:pStyle w:val="DGTextstand-alone"/>
      </w:pPr>
      <w:bookmarkStart w:id="230" w:name="_Hlk193661875"/>
      <w:r>
        <w:t>En 2025, l’UE a accordé 1,1 milliard d’EUR (contre 763 millions d’EUR en 2024) de bonifications d’intérêts à l’Ukraine pour les intérêts courus sur certains des prêts AMF+ et AMF exceptionnels ainsi que certains des prêts octroyés au titre de la facilité pour l’Ukraine. Le coût amorti avant modification s’élevait à 37,7 milliards d’EUR (contre 17,3 milliards d’EUR en 2024). Cette modification des conditions contractuelles a été comptabilisée en tant que perte sur modification dans le compte de résultat économique (voir note </w:t>
      </w:r>
      <w:r>
        <w:rPr>
          <w:b/>
        </w:rPr>
        <w:t>3.15</w:t>
      </w:r>
      <w:r>
        <w:t>). La bonification d’intérêts n’a pas eu d’incidence significative sur l’évaluation du risque de crédit, et les prêts sont restés classés au stade 2 au 31 décembre 2025.</w:t>
      </w:r>
    </w:p>
    <w:bookmarkEnd w:id="230"/>
    <w:p>
      <w:pPr>
        <w:pStyle w:val="DGTextstand-alone"/>
      </w:pPr>
      <w:r>
        <w:lastRenderedPageBreak/>
        <w:t xml:space="preserve">Veuillez vous référer à la note </w:t>
      </w:r>
      <w:r>
        <w:rPr>
          <w:b/>
        </w:rPr>
        <w:t>1.5.5</w:t>
      </w:r>
      <w:r>
        <w:t xml:space="preserve"> pour les principes des stades de l’UE relatifs aux prêts.</w:t>
      </w:r>
    </w:p>
    <w:p>
      <w:pPr>
        <w:pStyle w:val="HEADER5"/>
        <w:spacing w:before="240"/>
        <w:rPr>
          <w:noProof/>
        </w:rPr>
      </w:pPr>
      <w:r>
        <w:rPr>
          <w:noProof/>
        </w:rPr>
        <w:t>Prêts: évaluation des PCA</w:t>
      </w:r>
    </w:p>
    <w:p>
      <w:pPr>
        <w:pStyle w:val="DGTextstand-alone"/>
      </w:pPr>
      <w:r>
        <w:t>L’UE utilise une estimation pondérée en fonction de la probabilité pour mesurer les pertes de crédit attendues. Il s’agit d’estimer la différence entre les flux de trésorerie contractuels et les flux de trésorerie attendus.</w:t>
      </w:r>
    </w:p>
    <w:p>
      <w:pPr>
        <w:pStyle w:val="DGTextstand-alone"/>
      </w:pPr>
      <w:r>
        <w:t>Pour cette estimation, l’UE utilise trois paramètres de risque de crédit:</w:t>
      </w:r>
    </w:p>
    <w:p>
      <w:pPr>
        <w:pStyle w:val="DGTextstand-alonedashesjustified"/>
        <w:numPr>
          <w:ilvl w:val="0"/>
          <w:numId w:val="22"/>
        </w:numPr>
      </w:pPr>
      <w:r>
        <w:t>la probabilité de défaut (PD): il s’agit d’un pourcentage qui représente la probabilité de défaut d’une contrepartie vis-à-vis de son obligation financière, soit au cours des 12 mois à venir, soit sur la durée de vie restante de l’obligation;</w:t>
      </w:r>
    </w:p>
    <w:p>
      <w:pPr>
        <w:pStyle w:val="DGTextstand-alonedashesjustified"/>
        <w:numPr>
          <w:ilvl w:val="0"/>
          <w:numId w:val="22"/>
        </w:numPr>
      </w:pPr>
      <w:r>
        <w:t>la perte en cas de défaut (PCD): il s’agit d’un pourcentage qui montre le déficit de trésorerie attendu, compte tenu des recouvrements et des instruments de garantie;</w:t>
      </w:r>
    </w:p>
    <w:p>
      <w:pPr>
        <w:pStyle w:val="DGTextstand-alonedashesjustified"/>
        <w:numPr>
          <w:ilvl w:val="0"/>
          <w:numId w:val="22"/>
        </w:numPr>
      </w:pPr>
      <w:r>
        <w:t>l’exposition en cas de défaut (ECD): il s’agit de l’encours (montant) de l’exposition au moment du défaut.</w:t>
      </w:r>
    </w:p>
    <w:p>
      <w:pPr>
        <w:pStyle w:val="DGTextstand-alone"/>
      </w:pPr>
      <w:r>
        <w:t>L’UE tient compte de son statut de créancier privilégié de facto lorsqu’elle estime les pertes en cas de défaut sur les expositions souveraines.</w:t>
      </w:r>
    </w:p>
    <w:p>
      <w:pPr>
        <w:pStyle w:val="DGTextstand-alone"/>
      </w:pPr>
      <w:r>
        <w:t>Les flux de trésorerie estimés sur la durée de vie attendue de l’actif financier sont actualisés au taux d’intérêt effectif.</w:t>
      </w:r>
    </w:p>
    <w:p>
      <w:pPr>
        <w:pStyle w:val="DGTextstand-alone"/>
      </w:pPr>
      <w:r>
        <w:t>L’UE prend en considération des informations prospectives raisonnables et justifiées, disponibles sans coûts ni efforts excessifs, et adapte au besoin les paramètres du modèle.</w:t>
      </w:r>
    </w:p>
    <w:p>
      <w:pPr>
        <w:pStyle w:val="HEADER5"/>
        <w:rPr>
          <w:noProof/>
        </w:rPr>
      </w:pPr>
      <w:r>
        <w:rPr>
          <w:noProof/>
        </w:rPr>
        <w:t xml:space="preserve">Trésorerie et équivalents de trésorerie: qualité de crédit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90"/>
        <w:gridCol w:w="1650"/>
        <w:gridCol w:w="1618"/>
      </w:tblGrid>
      <w:tr>
        <w:trPr>
          <w:trHeight w:hRule="exact" w:val="255"/>
        </w:trPr>
        <w:tc>
          <w:tcPr>
            <w:tcW w:w="6490" w:type="dxa"/>
            <w:tcBorders>
              <w:top w:val="nil"/>
              <w:left w:val="nil"/>
              <w:bottom w:val="nil"/>
              <w:right w:val="nil"/>
              <w:tl2br w:val="nil"/>
              <w:tr2bl w:val="nil"/>
            </w:tcBorders>
            <w:tcMar>
              <w:left w:w="60" w:type="dxa"/>
              <w:right w:w="60" w:type="dxa"/>
            </w:tcMar>
            <w:vAlign w:val="center"/>
          </w:tcPr>
          <w:p>
            <w:pPr>
              <w:pStyle w:val="DMETW36755BIPCECTQ"/>
              <w:rPr>
                <w:rFonts w:ascii="Verdana" w:eastAsia="Verdana" w:hAnsi="Verdana" w:cs="Verdana"/>
                <w:b/>
                <w:noProof/>
                <w:color w:val="000000"/>
                <w:sz w:val="18"/>
              </w:rPr>
            </w:pPr>
            <w:bookmarkStart w:id="231" w:name="DOC_TBL00098_1_1"/>
            <w:bookmarkEnd w:id="231"/>
          </w:p>
        </w:tc>
        <w:tc>
          <w:tcPr>
            <w:tcW w:w="1650" w:type="dxa"/>
            <w:tcBorders>
              <w:top w:val="nil"/>
              <w:left w:val="nil"/>
              <w:bottom w:val="nil"/>
              <w:right w:val="nil"/>
              <w:tl2br w:val="nil"/>
              <w:tr2bl w:val="nil"/>
            </w:tcBorders>
            <w:tcMar>
              <w:left w:w="60" w:type="dxa"/>
              <w:right w:w="60" w:type="dxa"/>
            </w:tcMar>
            <w:vAlign w:val="bottom"/>
          </w:tcPr>
          <w:p>
            <w:pPr>
              <w:pStyle w:val="DMETW36755BIPCECTQ"/>
              <w:jc w:val="right"/>
              <w:rPr>
                <w:rFonts w:ascii="Verdana" w:eastAsia="Verdana" w:hAnsi="Verdana" w:cs="Verdana"/>
                <w:i/>
                <w:noProof/>
                <w:color w:val="000000"/>
                <w:sz w:val="16"/>
              </w:rPr>
            </w:pPr>
          </w:p>
        </w:tc>
        <w:tc>
          <w:tcPr>
            <w:tcW w:w="1618" w:type="dxa"/>
            <w:tcBorders>
              <w:top w:val="nil"/>
              <w:left w:val="nil"/>
              <w:bottom w:val="nil"/>
              <w:right w:val="nil"/>
              <w:tl2br w:val="nil"/>
              <w:tr2bl w:val="nil"/>
            </w:tcBorders>
            <w:tcMar>
              <w:left w:w="60" w:type="dxa"/>
              <w:right w:w="60" w:type="dxa"/>
            </w:tcMar>
            <w:vAlign w:val="bottom"/>
          </w:tcPr>
          <w:p>
            <w:pPr>
              <w:pStyle w:val="DMETW36755BIPCECTQ"/>
              <w:jc w:val="right"/>
              <w:rPr>
                <w:rFonts w:ascii="Verdana" w:eastAsia="Verdana" w:hAnsi="Verdana" w:cs="Verdana"/>
                <w:i/>
                <w:noProof/>
                <w:color w:val="000000"/>
                <w:sz w:val="16"/>
              </w:rPr>
            </w:pPr>
            <w:r>
              <w:rPr>
                <w:rFonts w:ascii="Verdana" w:hAnsi="Verdana"/>
                <w:i/>
                <w:noProof/>
                <w:color w:val="000000"/>
                <w:sz w:val="16"/>
              </w:rPr>
              <w:t>en Mio EUR</w:t>
            </w:r>
          </w:p>
        </w:tc>
      </w:tr>
      <w:tr>
        <w:trPr>
          <w:trHeight w:hRule="exact" w:val="255"/>
        </w:trPr>
        <w:tc>
          <w:tcPr>
            <w:tcW w:w="6490"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755BIPCECTQ"/>
              <w:jc w:val="center"/>
              <w:rPr>
                <w:rFonts w:ascii="Verdana" w:eastAsia="Verdana" w:hAnsi="Verdana" w:cs="Verdana"/>
                <w:noProof/>
                <w:color w:val="FFFFFF"/>
              </w:rPr>
            </w:pPr>
          </w:p>
        </w:tc>
        <w:tc>
          <w:tcPr>
            <w:tcW w:w="1650"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755BIPCECTQ"/>
              <w:jc w:val="right"/>
              <w:rPr>
                <w:rFonts w:ascii="Verdana" w:eastAsia="Verdana" w:hAnsi="Verdana" w:cs="Verdana"/>
                <w:noProof/>
                <w:color w:val="FFFFFF"/>
              </w:rPr>
            </w:pPr>
            <w:r>
              <w:rPr>
                <w:rFonts w:ascii="Verdana" w:hAnsi="Verdana"/>
                <w:noProof/>
                <w:color w:val="FFFFFF"/>
              </w:rPr>
              <w:t>31.12.2025</w:t>
            </w:r>
          </w:p>
        </w:tc>
        <w:tc>
          <w:tcPr>
            <w:tcW w:w="1618"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755BIPCECTQ"/>
              <w:jc w:val="right"/>
              <w:rPr>
                <w:rFonts w:ascii="Verdana" w:eastAsia="Verdana" w:hAnsi="Verdana" w:cs="Verdana"/>
                <w:noProof/>
                <w:color w:val="FFFFFF"/>
              </w:rPr>
            </w:pPr>
            <w:r>
              <w:rPr>
                <w:rFonts w:ascii="Verdana" w:hAnsi="Verdana"/>
                <w:noProof/>
                <w:color w:val="FFFFFF"/>
              </w:rPr>
              <w:t>31.12.2024</w:t>
            </w:r>
          </w:p>
        </w:tc>
      </w:tr>
      <w:tr>
        <w:trPr>
          <w:trHeight w:hRule="exact" w:val="255"/>
        </w:trPr>
        <w:tc>
          <w:tcPr>
            <w:tcW w:w="4545" w:type="dxa"/>
            <w:vMerge/>
            <w:tcBorders>
              <w:top w:val="nil"/>
              <w:left w:val="nil"/>
              <w:bottom w:val="nil"/>
              <w:right w:val="nil"/>
              <w:tl2br w:val="nil"/>
              <w:tr2bl w:val="nil"/>
            </w:tcBorders>
            <w:shd w:val="solid" w:color="016794" w:fill="FFFFFF"/>
            <w:tcMar>
              <w:left w:w="60" w:type="dxa"/>
              <w:right w:w="60" w:type="dxa"/>
            </w:tcMar>
            <w:vAlign w:val="center"/>
          </w:tcPr>
          <w:p>
            <w:pPr>
              <w:pStyle w:val="DMETW36755BIPCECTQ"/>
              <w:jc w:val="center"/>
              <w:rPr>
                <w:rFonts w:ascii="Verdana" w:eastAsia="Verdana" w:hAnsi="Verdana" w:cs="Verdana"/>
                <w:noProof/>
                <w:color w:val="FFFFFF"/>
              </w:rPr>
            </w:pPr>
          </w:p>
        </w:tc>
        <w:tc>
          <w:tcPr>
            <w:tcW w:w="1410" w:type="dxa"/>
            <w:vMerge/>
            <w:tcBorders>
              <w:top w:val="nil"/>
              <w:left w:val="nil"/>
              <w:bottom w:val="nil"/>
              <w:right w:val="nil"/>
              <w:tl2br w:val="nil"/>
              <w:tr2bl w:val="nil"/>
            </w:tcBorders>
            <w:shd w:val="solid" w:color="016794" w:fill="FFFFFF"/>
            <w:tcMar>
              <w:left w:w="60" w:type="dxa"/>
              <w:right w:w="60" w:type="dxa"/>
            </w:tcMar>
            <w:vAlign w:val="center"/>
          </w:tcPr>
          <w:p>
            <w:pPr>
              <w:pStyle w:val="DMETW36755BIPCECTQ"/>
              <w:jc w:val="right"/>
              <w:rPr>
                <w:rFonts w:ascii="Verdana" w:eastAsia="Verdana" w:hAnsi="Verdana" w:cs="Verdana"/>
                <w:noProof/>
                <w:color w:val="FFFFFF"/>
              </w:rPr>
            </w:pPr>
          </w:p>
        </w:tc>
        <w:tc>
          <w:tcPr>
            <w:tcW w:w="1410" w:type="dxa"/>
            <w:vMerge/>
            <w:tcBorders>
              <w:top w:val="nil"/>
              <w:left w:val="nil"/>
              <w:bottom w:val="nil"/>
              <w:right w:val="nil"/>
              <w:tl2br w:val="nil"/>
              <w:tr2bl w:val="nil"/>
            </w:tcBorders>
            <w:shd w:val="solid" w:color="016794" w:fill="FFFFFF"/>
            <w:tcMar>
              <w:left w:w="60" w:type="dxa"/>
              <w:right w:w="60" w:type="dxa"/>
            </w:tcMar>
            <w:vAlign w:val="center"/>
          </w:tcPr>
          <w:p>
            <w:pPr>
              <w:pStyle w:val="DMETW36755BIPCECTQ"/>
              <w:jc w:val="right"/>
              <w:rPr>
                <w:rFonts w:ascii="Verdana" w:eastAsia="Verdana" w:hAnsi="Verdana" w:cs="Verdana"/>
                <w:noProof/>
                <w:color w:val="FFFFFF"/>
              </w:rPr>
            </w:pPr>
          </w:p>
        </w:tc>
      </w:tr>
      <w:tr>
        <w:trPr>
          <w:trHeight w:hRule="exact" w:val="255"/>
        </w:trPr>
        <w:tc>
          <w:tcPr>
            <w:tcW w:w="6490" w:type="dxa"/>
            <w:tcBorders>
              <w:top w:val="nil"/>
              <w:left w:val="nil"/>
              <w:bottom w:val="nil"/>
              <w:right w:val="nil"/>
              <w:tl2br w:val="nil"/>
              <w:tr2bl w:val="nil"/>
            </w:tcBorders>
            <w:tcMar>
              <w:left w:w="60" w:type="dxa"/>
              <w:right w:w="60" w:type="dxa"/>
            </w:tcMar>
            <w:vAlign w:val="center"/>
          </w:tcPr>
          <w:p>
            <w:pPr>
              <w:pStyle w:val="DMETW36755BIPCECTQ"/>
              <w:rPr>
                <w:rFonts w:ascii="Verdana" w:eastAsia="Verdana" w:hAnsi="Verdana" w:cs="Verdana"/>
                <w:b/>
                <w:noProof/>
                <w:color w:val="000000"/>
                <w:sz w:val="18"/>
              </w:rPr>
            </w:pPr>
            <w:r>
              <w:rPr>
                <w:rFonts w:ascii="Verdana" w:hAnsi="Verdana"/>
                <w:b/>
                <w:noProof/>
                <w:color w:val="000000"/>
                <w:sz w:val="18"/>
              </w:rPr>
              <w:t>Notation de crédit</w:t>
            </w:r>
          </w:p>
        </w:tc>
        <w:tc>
          <w:tcPr>
            <w:tcW w:w="1650" w:type="dxa"/>
            <w:tcBorders>
              <w:top w:val="nil"/>
              <w:left w:val="nil"/>
              <w:bottom w:val="nil"/>
              <w:right w:val="nil"/>
              <w:tl2br w:val="nil"/>
              <w:tr2bl w:val="nil"/>
            </w:tcBorders>
            <w:tcMar>
              <w:left w:w="60" w:type="dxa"/>
              <w:right w:w="60" w:type="dxa"/>
            </w:tcMar>
            <w:vAlign w:val="center"/>
          </w:tcPr>
          <w:p>
            <w:pPr>
              <w:pStyle w:val="DMETW36755BIPCECTQ"/>
              <w:jc w:val="right"/>
              <w:rPr>
                <w:rFonts w:ascii="Verdana" w:eastAsia="Verdana" w:hAnsi="Verdana" w:cs="Verdana"/>
                <w:noProof/>
                <w:color w:val="000000"/>
              </w:rPr>
            </w:pPr>
          </w:p>
        </w:tc>
        <w:tc>
          <w:tcPr>
            <w:tcW w:w="1618" w:type="dxa"/>
            <w:tcBorders>
              <w:top w:val="nil"/>
              <w:left w:val="nil"/>
              <w:bottom w:val="nil"/>
              <w:right w:val="nil"/>
              <w:tl2br w:val="nil"/>
              <w:tr2bl w:val="nil"/>
            </w:tcBorders>
            <w:tcMar>
              <w:left w:w="60" w:type="dxa"/>
              <w:right w:w="60" w:type="dxa"/>
            </w:tcMar>
            <w:vAlign w:val="center"/>
          </w:tcPr>
          <w:p>
            <w:pPr>
              <w:pStyle w:val="DMETW36755BIPCECTQ"/>
              <w:jc w:val="right"/>
              <w:rPr>
                <w:rFonts w:ascii="Verdana" w:eastAsia="Verdana" w:hAnsi="Verdana" w:cs="Verdana"/>
                <w:noProof/>
                <w:color w:val="000000"/>
                <w:lang w:bidi="en-GB"/>
              </w:rPr>
            </w:pPr>
          </w:p>
        </w:tc>
      </w:tr>
      <w:tr>
        <w:trPr>
          <w:trHeight w:hRule="exact" w:val="255"/>
        </w:trPr>
        <w:tc>
          <w:tcPr>
            <w:tcW w:w="6490" w:type="dxa"/>
            <w:tcBorders>
              <w:top w:val="nil"/>
              <w:left w:val="nil"/>
              <w:bottom w:val="nil"/>
              <w:right w:val="nil"/>
              <w:tl2br w:val="nil"/>
              <w:tr2bl w:val="nil"/>
            </w:tcBorders>
            <w:tcMar>
              <w:left w:w="60" w:type="dxa"/>
              <w:right w:w="60" w:type="dxa"/>
            </w:tcMar>
            <w:vAlign w:val="center"/>
          </w:tcPr>
          <w:p>
            <w:pPr>
              <w:pStyle w:val="DMETW36755BIPCECTQ"/>
              <w:rPr>
                <w:rFonts w:ascii="Verdana" w:eastAsia="Verdana" w:hAnsi="Verdana" w:cs="Verdana"/>
                <w:i/>
                <w:noProof/>
                <w:color w:val="000000"/>
                <w:sz w:val="18"/>
              </w:rPr>
            </w:pPr>
            <w:r>
              <w:rPr>
                <w:rFonts w:ascii="Verdana" w:hAnsi="Verdana"/>
                <w:i/>
                <w:noProof/>
                <w:color w:val="000000"/>
                <w:sz w:val="18"/>
              </w:rPr>
              <w:t>Première qualité et haute qualité</w:t>
            </w:r>
          </w:p>
        </w:tc>
        <w:tc>
          <w:tcPr>
            <w:tcW w:w="1650" w:type="dxa"/>
            <w:tcBorders>
              <w:top w:val="nil"/>
              <w:left w:val="nil"/>
              <w:bottom w:val="nil"/>
              <w:right w:val="nil"/>
              <w:tl2br w:val="nil"/>
              <w:tr2bl w:val="nil"/>
            </w:tcBorders>
            <w:tcMar>
              <w:left w:w="60" w:type="dxa"/>
              <w:right w:w="60" w:type="dxa"/>
            </w:tcMar>
            <w:vAlign w:val="center"/>
          </w:tcPr>
          <w:p>
            <w:pPr>
              <w:pStyle w:val="DMETW36755BIPCECTQ"/>
              <w:jc w:val="right"/>
              <w:rPr>
                <w:rFonts w:ascii="Verdana" w:eastAsia="Verdana" w:hAnsi="Verdana" w:cs="Verdana"/>
                <w:i/>
                <w:noProof/>
                <w:color w:val="000000"/>
                <w:sz w:val="18"/>
              </w:rPr>
            </w:pPr>
            <w:r>
              <w:rPr>
                <w:rFonts w:ascii="Verdana" w:hAnsi="Verdana"/>
                <w:i/>
                <w:noProof/>
                <w:color w:val="000000"/>
                <w:sz w:val="18"/>
              </w:rPr>
              <w:t>101 584</w:t>
            </w:r>
          </w:p>
        </w:tc>
        <w:tc>
          <w:tcPr>
            <w:tcW w:w="1618" w:type="dxa"/>
            <w:tcBorders>
              <w:top w:val="nil"/>
              <w:left w:val="nil"/>
              <w:bottom w:val="nil"/>
              <w:right w:val="nil"/>
              <w:tl2br w:val="nil"/>
              <w:tr2bl w:val="nil"/>
            </w:tcBorders>
            <w:tcMar>
              <w:left w:w="60" w:type="dxa"/>
              <w:right w:w="60" w:type="dxa"/>
            </w:tcMar>
            <w:vAlign w:val="center"/>
          </w:tcPr>
          <w:p>
            <w:pPr>
              <w:pStyle w:val="DMETW36755BIPCECTQ"/>
              <w:jc w:val="right"/>
              <w:rPr>
                <w:rFonts w:ascii="Verdana" w:eastAsia="Verdana" w:hAnsi="Verdana" w:cs="Verdana"/>
                <w:i/>
                <w:noProof/>
                <w:color w:val="000000"/>
                <w:sz w:val="18"/>
              </w:rPr>
            </w:pPr>
            <w:r>
              <w:rPr>
                <w:rFonts w:ascii="Verdana" w:hAnsi="Verdana"/>
                <w:i/>
                <w:noProof/>
                <w:color w:val="000000"/>
                <w:sz w:val="18"/>
              </w:rPr>
              <w:t>57 251</w:t>
            </w:r>
          </w:p>
        </w:tc>
      </w:tr>
      <w:tr>
        <w:trPr>
          <w:trHeight w:hRule="exact" w:val="255"/>
        </w:trPr>
        <w:tc>
          <w:tcPr>
            <w:tcW w:w="6490" w:type="dxa"/>
            <w:tcBorders>
              <w:top w:val="nil"/>
              <w:left w:val="nil"/>
              <w:bottom w:val="nil"/>
              <w:right w:val="nil"/>
              <w:tl2br w:val="nil"/>
              <w:tr2bl w:val="nil"/>
            </w:tcBorders>
            <w:tcMar>
              <w:left w:w="60" w:type="dxa"/>
              <w:right w:w="60" w:type="dxa"/>
            </w:tcMar>
            <w:vAlign w:val="center"/>
          </w:tcPr>
          <w:p>
            <w:pPr>
              <w:pStyle w:val="DMETW36755BIPCECTQ"/>
              <w:rPr>
                <w:rFonts w:ascii="Verdana" w:eastAsia="Verdana" w:hAnsi="Verdana" w:cs="Verdana"/>
                <w:i/>
                <w:noProof/>
                <w:color w:val="000000"/>
                <w:sz w:val="18"/>
              </w:rPr>
            </w:pPr>
            <w:r>
              <w:rPr>
                <w:rFonts w:ascii="Verdana" w:hAnsi="Verdana"/>
                <w:i/>
                <w:noProof/>
                <w:color w:val="000000"/>
                <w:sz w:val="18"/>
              </w:rPr>
              <w:t>Qualité moyenne supérieure</w:t>
            </w:r>
          </w:p>
        </w:tc>
        <w:tc>
          <w:tcPr>
            <w:tcW w:w="1650" w:type="dxa"/>
            <w:tcBorders>
              <w:top w:val="nil"/>
              <w:left w:val="nil"/>
              <w:bottom w:val="nil"/>
              <w:right w:val="nil"/>
              <w:tl2br w:val="nil"/>
              <w:tr2bl w:val="nil"/>
            </w:tcBorders>
            <w:tcMar>
              <w:left w:w="60" w:type="dxa"/>
              <w:right w:w="60" w:type="dxa"/>
            </w:tcMar>
            <w:vAlign w:val="center"/>
          </w:tcPr>
          <w:p>
            <w:pPr>
              <w:pStyle w:val="DMETW36755BIPCECTQ"/>
              <w:jc w:val="right"/>
              <w:rPr>
                <w:rFonts w:ascii="Verdana" w:eastAsia="Verdana" w:hAnsi="Verdana" w:cs="Verdana"/>
                <w:i/>
                <w:noProof/>
                <w:color w:val="000000"/>
                <w:sz w:val="18"/>
              </w:rPr>
            </w:pPr>
            <w:r>
              <w:rPr>
                <w:rFonts w:ascii="Verdana" w:hAnsi="Verdana"/>
                <w:i/>
                <w:noProof/>
                <w:color w:val="000000"/>
                <w:sz w:val="18"/>
              </w:rPr>
              <w:t xml:space="preserve"> 821</w:t>
            </w:r>
          </w:p>
        </w:tc>
        <w:tc>
          <w:tcPr>
            <w:tcW w:w="1618" w:type="dxa"/>
            <w:tcBorders>
              <w:top w:val="nil"/>
              <w:left w:val="nil"/>
              <w:bottom w:val="nil"/>
              <w:right w:val="nil"/>
              <w:tl2br w:val="nil"/>
              <w:tr2bl w:val="nil"/>
            </w:tcBorders>
            <w:tcMar>
              <w:left w:w="60" w:type="dxa"/>
              <w:right w:w="60" w:type="dxa"/>
            </w:tcMar>
            <w:vAlign w:val="center"/>
          </w:tcPr>
          <w:p>
            <w:pPr>
              <w:pStyle w:val="DMETW36755BIPCECTQ"/>
              <w:jc w:val="right"/>
              <w:rPr>
                <w:rFonts w:ascii="Verdana" w:eastAsia="Verdana" w:hAnsi="Verdana" w:cs="Verdana"/>
                <w:i/>
                <w:noProof/>
                <w:color w:val="000000"/>
                <w:sz w:val="18"/>
              </w:rPr>
            </w:pPr>
            <w:r>
              <w:rPr>
                <w:rFonts w:ascii="Verdana" w:hAnsi="Verdana"/>
                <w:i/>
                <w:noProof/>
                <w:color w:val="000000"/>
                <w:sz w:val="18"/>
              </w:rPr>
              <w:t>4 161</w:t>
            </w:r>
          </w:p>
        </w:tc>
      </w:tr>
      <w:tr>
        <w:trPr>
          <w:trHeight w:hRule="exact" w:val="255"/>
        </w:trPr>
        <w:tc>
          <w:tcPr>
            <w:tcW w:w="6490" w:type="dxa"/>
            <w:tcBorders>
              <w:top w:val="nil"/>
              <w:left w:val="nil"/>
              <w:bottom w:val="nil"/>
              <w:right w:val="nil"/>
              <w:tl2br w:val="nil"/>
              <w:tr2bl w:val="nil"/>
            </w:tcBorders>
            <w:tcMar>
              <w:left w:w="60" w:type="dxa"/>
              <w:right w:w="60" w:type="dxa"/>
            </w:tcMar>
            <w:vAlign w:val="center"/>
          </w:tcPr>
          <w:p>
            <w:pPr>
              <w:pStyle w:val="DMETW36755BIPCECTQ"/>
              <w:rPr>
                <w:rFonts w:ascii="Verdana" w:eastAsia="Verdana" w:hAnsi="Verdana" w:cs="Verdana"/>
                <w:i/>
                <w:noProof/>
                <w:color w:val="000000"/>
                <w:sz w:val="18"/>
              </w:rPr>
            </w:pPr>
            <w:r>
              <w:rPr>
                <w:rFonts w:ascii="Verdana" w:hAnsi="Verdana"/>
                <w:i/>
                <w:noProof/>
                <w:color w:val="000000"/>
                <w:sz w:val="18"/>
              </w:rPr>
              <w:t>Qualité moyenne inférieure</w:t>
            </w:r>
          </w:p>
        </w:tc>
        <w:tc>
          <w:tcPr>
            <w:tcW w:w="1650" w:type="dxa"/>
            <w:tcBorders>
              <w:top w:val="nil"/>
              <w:left w:val="nil"/>
              <w:bottom w:val="nil"/>
              <w:right w:val="nil"/>
              <w:tl2br w:val="nil"/>
              <w:tr2bl w:val="nil"/>
            </w:tcBorders>
            <w:tcMar>
              <w:left w:w="60" w:type="dxa"/>
              <w:right w:w="60" w:type="dxa"/>
            </w:tcMar>
            <w:vAlign w:val="center"/>
          </w:tcPr>
          <w:p>
            <w:pPr>
              <w:pStyle w:val="DMETW36755BIPCECTQ"/>
              <w:jc w:val="right"/>
              <w:rPr>
                <w:rFonts w:ascii="Verdana" w:eastAsia="Verdana" w:hAnsi="Verdana" w:cs="Verdana"/>
                <w:i/>
                <w:noProof/>
                <w:color w:val="000000"/>
                <w:sz w:val="18"/>
              </w:rPr>
            </w:pPr>
            <w:r>
              <w:rPr>
                <w:rFonts w:ascii="Verdana" w:hAnsi="Verdana"/>
                <w:i/>
                <w:noProof/>
                <w:color w:val="000000"/>
                <w:sz w:val="18"/>
              </w:rPr>
              <w:t xml:space="preserve"> 533</w:t>
            </w:r>
          </w:p>
        </w:tc>
        <w:tc>
          <w:tcPr>
            <w:tcW w:w="1618" w:type="dxa"/>
            <w:tcBorders>
              <w:top w:val="nil"/>
              <w:left w:val="nil"/>
              <w:bottom w:val="nil"/>
              <w:right w:val="nil"/>
              <w:tl2br w:val="nil"/>
              <w:tr2bl w:val="nil"/>
            </w:tcBorders>
            <w:tcMar>
              <w:left w:w="60" w:type="dxa"/>
              <w:right w:w="60" w:type="dxa"/>
            </w:tcMar>
            <w:vAlign w:val="center"/>
          </w:tcPr>
          <w:p>
            <w:pPr>
              <w:pStyle w:val="DMETW36755BIPCECTQ"/>
              <w:jc w:val="right"/>
              <w:rPr>
                <w:rFonts w:ascii="Verdana" w:eastAsia="Verdana" w:hAnsi="Verdana" w:cs="Verdana"/>
                <w:i/>
                <w:noProof/>
                <w:color w:val="000000"/>
                <w:sz w:val="18"/>
              </w:rPr>
            </w:pPr>
            <w:r>
              <w:rPr>
                <w:rFonts w:ascii="Verdana" w:hAnsi="Verdana"/>
                <w:i/>
                <w:noProof/>
                <w:color w:val="000000"/>
                <w:sz w:val="18"/>
              </w:rPr>
              <w:t>1 722</w:t>
            </w:r>
          </w:p>
        </w:tc>
      </w:tr>
      <w:tr>
        <w:trPr>
          <w:trHeight w:hRule="exact" w:val="255"/>
        </w:trPr>
        <w:tc>
          <w:tcPr>
            <w:tcW w:w="6490" w:type="dxa"/>
            <w:tcBorders>
              <w:top w:val="nil"/>
              <w:left w:val="nil"/>
              <w:bottom w:val="single" w:sz="4" w:space="0" w:color="016794"/>
              <w:right w:val="nil"/>
              <w:tl2br w:val="nil"/>
              <w:tr2bl w:val="nil"/>
            </w:tcBorders>
            <w:tcMar>
              <w:left w:w="60" w:type="dxa"/>
              <w:right w:w="60" w:type="dxa"/>
            </w:tcMar>
            <w:vAlign w:val="center"/>
          </w:tcPr>
          <w:p>
            <w:pPr>
              <w:pStyle w:val="DMETW36755BIPCECTQ"/>
              <w:rPr>
                <w:rFonts w:ascii="Verdana" w:eastAsia="Verdana" w:hAnsi="Verdana" w:cs="Verdana"/>
                <w:i/>
                <w:noProof/>
                <w:color w:val="000000"/>
                <w:sz w:val="18"/>
              </w:rPr>
            </w:pPr>
            <w:r>
              <w:rPr>
                <w:rFonts w:ascii="Verdana" w:hAnsi="Verdana"/>
                <w:i/>
                <w:noProof/>
                <w:color w:val="000000"/>
                <w:sz w:val="18"/>
              </w:rPr>
              <w:t xml:space="preserve">Catégorie spéculative </w:t>
            </w:r>
          </w:p>
        </w:tc>
        <w:tc>
          <w:tcPr>
            <w:tcW w:w="1650" w:type="dxa"/>
            <w:tcBorders>
              <w:top w:val="nil"/>
              <w:left w:val="nil"/>
              <w:bottom w:val="single" w:sz="4" w:space="0" w:color="016794"/>
              <w:right w:val="nil"/>
              <w:tl2br w:val="nil"/>
              <w:tr2bl w:val="nil"/>
            </w:tcBorders>
            <w:tcMar>
              <w:left w:w="60" w:type="dxa"/>
              <w:right w:w="60" w:type="dxa"/>
            </w:tcMar>
            <w:vAlign w:val="center"/>
          </w:tcPr>
          <w:p>
            <w:pPr>
              <w:pStyle w:val="DMETW36755BIPCECTQ"/>
              <w:jc w:val="right"/>
              <w:rPr>
                <w:rFonts w:ascii="Verdana" w:eastAsia="Verdana" w:hAnsi="Verdana" w:cs="Verdana"/>
                <w:i/>
                <w:noProof/>
                <w:color w:val="000000"/>
                <w:sz w:val="18"/>
              </w:rPr>
            </w:pPr>
            <w:r>
              <w:rPr>
                <w:rFonts w:ascii="Verdana" w:hAnsi="Verdana"/>
                <w:i/>
                <w:noProof/>
                <w:color w:val="000000"/>
                <w:sz w:val="18"/>
              </w:rPr>
              <w:t xml:space="preserve"> 104</w:t>
            </w:r>
          </w:p>
        </w:tc>
        <w:tc>
          <w:tcPr>
            <w:tcW w:w="1618" w:type="dxa"/>
            <w:tcBorders>
              <w:top w:val="nil"/>
              <w:left w:val="nil"/>
              <w:bottom w:val="single" w:sz="4" w:space="0" w:color="016794"/>
              <w:right w:val="nil"/>
              <w:tl2br w:val="nil"/>
              <w:tr2bl w:val="nil"/>
            </w:tcBorders>
            <w:tcMar>
              <w:left w:w="60" w:type="dxa"/>
              <w:right w:w="60" w:type="dxa"/>
            </w:tcMar>
            <w:vAlign w:val="center"/>
          </w:tcPr>
          <w:p>
            <w:pPr>
              <w:pStyle w:val="DMETW36755BIPCECTQ"/>
              <w:jc w:val="right"/>
              <w:rPr>
                <w:rFonts w:ascii="Verdana" w:eastAsia="Verdana" w:hAnsi="Verdana" w:cs="Verdana"/>
                <w:i/>
                <w:noProof/>
                <w:color w:val="000000"/>
                <w:sz w:val="18"/>
              </w:rPr>
            </w:pPr>
            <w:r>
              <w:rPr>
                <w:rFonts w:ascii="Verdana" w:hAnsi="Verdana"/>
                <w:i/>
                <w:noProof/>
                <w:color w:val="000000"/>
                <w:sz w:val="18"/>
              </w:rPr>
              <w:t xml:space="preserve"> 28</w:t>
            </w:r>
          </w:p>
        </w:tc>
      </w:tr>
      <w:tr>
        <w:trPr>
          <w:trHeight w:hRule="exact" w:val="255"/>
        </w:trPr>
        <w:tc>
          <w:tcPr>
            <w:tcW w:w="6490" w:type="dxa"/>
            <w:tcBorders>
              <w:top w:val="single" w:sz="4" w:space="0" w:color="016794"/>
              <w:left w:val="nil"/>
              <w:bottom w:val="nil"/>
              <w:right w:val="nil"/>
              <w:tl2br w:val="nil"/>
              <w:tr2bl w:val="nil"/>
            </w:tcBorders>
            <w:tcMar>
              <w:left w:w="60" w:type="dxa"/>
              <w:right w:w="60" w:type="dxa"/>
            </w:tcMar>
            <w:vAlign w:val="center"/>
          </w:tcPr>
          <w:p>
            <w:pPr>
              <w:pStyle w:val="DMETW36755BIPCECTQ"/>
              <w:rPr>
                <w:rFonts w:ascii="Verdana" w:eastAsia="Verdana" w:hAnsi="Verdana" w:cs="Verdana"/>
                <w:b/>
                <w:noProof/>
                <w:color w:val="000000"/>
                <w:sz w:val="18"/>
              </w:rPr>
            </w:pPr>
            <w:r>
              <w:rPr>
                <w:rFonts w:ascii="Verdana" w:hAnsi="Verdana"/>
                <w:b/>
                <w:noProof/>
                <w:color w:val="000000"/>
                <w:sz w:val="18"/>
              </w:rPr>
              <w:t>Valeur comptable brute</w:t>
            </w:r>
          </w:p>
        </w:tc>
        <w:tc>
          <w:tcPr>
            <w:tcW w:w="1650" w:type="dxa"/>
            <w:tcBorders>
              <w:top w:val="single" w:sz="4" w:space="0" w:color="016794"/>
              <w:left w:val="nil"/>
              <w:bottom w:val="nil"/>
              <w:right w:val="nil"/>
              <w:tl2br w:val="nil"/>
              <w:tr2bl w:val="nil"/>
            </w:tcBorders>
            <w:tcMar>
              <w:left w:w="60" w:type="dxa"/>
              <w:right w:w="60" w:type="dxa"/>
            </w:tcMar>
            <w:vAlign w:val="center"/>
          </w:tcPr>
          <w:p>
            <w:pPr>
              <w:pStyle w:val="DMETW36755BIPCECTQ"/>
              <w:jc w:val="right"/>
              <w:rPr>
                <w:rFonts w:ascii="Verdana" w:eastAsia="Verdana" w:hAnsi="Verdana" w:cs="Verdana"/>
                <w:b/>
                <w:noProof/>
                <w:color w:val="000000"/>
                <w:sz w:val="18"/>
              </w:rPr>
            </w:pPr>
            <w:r>
              <w:rPr>
                <w:rFonts w:ascii="Verdana" w:hAnsi="Verdana"/>
                <w:b/>
                <w:noProof/>
                <w:color w:val="000000"/>
                <w:sz w:val="18"/>
              </w:rPr>
              <w:t>103 041</w:t>
            </w:r>
          </w:p>
        </w:tc>
        <w:tc>
          <w:tcPr>
            <w:tcW w:w="1618" w:type="dxa"/>
            <w:tcBorders>
              <w:top w:val="single" w:sz="4" w:space="0" w:color="016794"/>
              <w:left w:val="nil"/>
              <w:bottom w:val="nil"/>
              <w:right w:val="nil"/>
              <w:tl2br w:val="nil"/>
              <w:tr2bl w:val="nil"/>
            </w:tcBorders>
            <w:tcMar>
              <w:left w:w="60" w:type="dxa"/>
              <w:right w:w="60" w:type="dxa"/>
            </w:tcMar>
            <w:vAlign w:val="center"/>
          </w:tcPr>
          <w:p>
            <w:pPr>
              <w:pStyle w:val="DMETW36755BIPCECTQ"/>
              <w:jc w:val="right"/>
              <w:rPr>
                <w:rFonts w:ascii="Verdana" w:eastAsia="Verdana" w:hAnsi="Verdana" w:cs="Verdana"/>
                <w:b/>
                <w:noProof/>
                <w:color w:val="000000"/>
                <w:sz w:val="18"/>
              </w:rPr>
            </w:pPr>
            <w:r>
              <w:rPr>
                <w:rFonts w:ascii="Verdana" w:hAnsi="Verdana"/>
                <w:b/>
                <w:noProof/>
                <w:color w:val="000000"/>
                <w:sz w:val="18"/>
              </w:rPr>
              <w:t>63 163</w:t>
            </w:r>
          </w:p>
        </w:tc>
      </w:tr>
      <w:tr>
        <w:trPr>
          <w:trHeight w:hRule="exact" w:val="255"/>
        </w:trPr>
        <w:tc>
          <w:tcPr>
            <w:tcW w:w="6490" w:type="dxa"/>
            <w:tcBorders>
              <w:top w:val="nil"/>
              <w:left w:val="nil"/>
              <w:bottom w:val="single" w:sz="4" w:space="0" w:color="016794"/>
              <w:right w:val="nil"/>
              <w:tl2br w:val="nil"/>
              <w:tr2bl w:val="nil"/>
            </w:tcBorders>
            <w:tcMar>
              <w:left w:w="60" w:type="dxa"/>
              <w:right w:w="60" w:type="dxa"/>
            </w:tcMar>
            <w:vAlign w:val="center"/>
          </w:tcPr>
          <w:p>
            <w:pPr>
              <w:pStyle w:val="DMETW36755BIPCECTQ"/>
              <w:rPr>
                <w:rFonts w:ascii="Verdana" w:eastAsia="Verdana" w:hAnsi="Verdana" w:cs="Verdana"/>
                <w:i/>
                <w:noProof/>
                <w:color w:val="000000"/>
                <w:sz w:val="18"/>
              </w:rPr>
            </w:pPr>
            <w:r>
              <w:rPr>
                <w:rFonts w:ascii="Verdana" w:hAnsi="Verdana"/>
                <w:i/>
                <w:noProof/>
                <w:color w:val="000000"/>
                <w:sz w:val="18"/>
              </w:rPr>
              <w:t>Déduction de la correction de valeur pour pertes</w:t>
            </w:r>
          </w:p>
        </w:tc>
        <w:tc>
          <w:tcPr>
            <w:tcW w:w="1650" w:type="dxa"/>
            <w:tcBorders>
              <w:top w:val="nil"/>
              <w:left w:val="nil"/>
              <w:bottom w:val="single" w:sz="4" w:space="0" w:color="016794"/>
              <w:right w:val="nil"/>
              <w:tl2br w:val="nil"/>
              <w:tr2bl w:val="nil"/>
            </w:tcBorders>
            <w:tcMar>
              <w:left w:w="60" w:type="dxa"/>
              <w:right w:w="60" w:type="dxa"/>
            </w:tcMar>
            <w:vAlign w:val="center"/>
          </w:tcPr>
          <w:p>
            <w:pPr>
              <w:pStyle w:val="DMETW36755BIPCECTQ"/>
              <w:jc w:val="right"/>
              <w:rPr>
                <w:rFonts w:ascii="Verdana" w:eastAsia="Verdana" w:hAnsi="Verdana" w:cs="Verdana"/>
                <w:noProof/>
                <w:color w:val="000000"/>
                <w:sz w:val="18"/>
              </w:rPr>
            </w:pPr>
            <w:r>
              <w:rPr>
                <w:rFonts w:ascii="Verdana" w:hAnsi="Verdana"/>
                <w:noProof/>
                <w:color w:val="000000"/>
                <w:sz w:val="18"/>
              </w:rPr>
              <w:t>-</w:t>
            </w:r>
          </w:p>
        </w:tc>
        <w:tc>
          <w:tcPr>
            <w:tcW w:w="1618" w:type="dxa"/>
            <w:tcBorders>
              <w:top w:val="nil"/>
              <w:left w:val="nil"/>
              <w:bottom w:val="single" w:sz="4" w:space="0" w:color="016794"/>
              <w:right w:val="nil"/>
              <w:tl2br w:val="nil"/>
              <w:tr2bl w:val="nil"/>
            </w:tcBorders>
            <w:tcMar>
              <w:left w:w="60" w:type="dxa"/>
              <w:right w:w="60" w:type="dxa"/>
            </w:tcMar>
            <w:vAlign w:val="center"/>
          </w:tcPr>
          <w:p>
            <w:pPr>
              <w:pStyle w:val="DMETW36755BIPCECTQ"/>
              <w:jc w:val="right"/>
              <w:rPr>
                <w:rFonts w:ascii="Verdana" w:eastAsia="Verdana" w:hAnsi="Verdana" w:cs="Verdana"/>
                <w:i/>
                <w:noProof/>
                <w:color w:val="000000"/>
                <w:sz w:val="18"/>
              </w:rPr>
            </w:pPr>
            <w:r>
              <w:rPr>
                <w:rFonts w:ascii="Verdana" w:hAnsi="Verdana"/>
                <w:i/>
                <w:noProof/>
                <w:color w:val="000000"/>
                <w:sz w:val="18"/>
              </w:rPr>
              <w:t>–</w:t>
            </w:r>
          </w:p>
        </w:tc>
      </w:tr>
      <w:tr>
        <w:trPr>
          <w:trHeight w:hRule="exact" w:val="255"/>
        </w:trPr>
        <w:tc>
          <w:tcPr>
            <w:tcW w:w="649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5BIPCECTQ"/>
              <w:rPr>
                <w:rFonts w:ascii="Verdana" w:eastAsia="Verdana" w:hAnsi="Verdana" w:cs="Verdana"/>
                <w:b/>
                <w:noProof/>
                <w:color w:val="000000"/>
                <w:sz w:val="18"/>
              </w:rPr>
            </w:pPr>
            <w:r>
              <w:rPr>
                <w:rFonts w:ascii="Verdana" w:hAnsi="Verdana"/>
                <w:b/>
                <w:noProof/>
                <w:color w:val="000000"/>
                <w:sz w:val="18"/>
              </w:rPr>
              <w:t xml:space="preserve">Valeur nette comptable </w:t>
            </w:r>
          </w:p>
        </w:tc>
        <w:tc>
          <w:tcPr>
            <w:tcW w:w="165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5BIPCECTQ"/>
              <w:jc w:val="right"/>
              <w:rPr>
                <w:rFonts w:ascii="Verdana" w:eastAsia="Verdana" w:hAnsi="Verdana" w:cs="Verdana"/>
                <w:b/>
                <w:noProof/>
                <w:color w:val="000000"/>
                <w:sz w:val="18"/>
              </w:rPr>
            </w:pPr>
            <w:r>
              <w:rPr>
                <w:rFonts w:ascii="Verdana" w:hAnsi="Verdana"/>
                <w:b/>
                <w:noProof/>
                <w:color w:val="000000"/>
                <w:sz w:val="18"/>
              </w:rPr>
              <w:t>103 041</w:t>
            </w:r>
          </w:p>
        </w:tc>
        <w:tc>
          <w:tcPr>
            <w:tcW w:w="161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5BIPCECTQ"/>
              <w:jc w:val="right"/>
              <w:rPr>
                <w:rFonts w:ascii="Verdana" w:eastAsia="Verdana" w:hAnsi="Verdana" w:cs="Verdana"/>
                <w:b/>
                <w:noProof/>
                <w:color w:val="000000"/>
                <w:sz w:val="18"/>
              </w:rPr>
            </w:pPr>
            <w:r>
              <w:rPr>
                <w:rFonts w:ascii="Verdana" w:hAnsi="Verdana"/>
                <w:b/>
                <w:noProof/>
                <w:color w:val="000000"/>
                <w:sz w:val="18"/>
              </w:rPr>
              <w:t>63 163</w:t>
            </w:r>
          </w:p>
        </w:tc>
      </w:tr>
    </w:tbl>
    <w:p>
      <w:pPr>
        <w:pStyle w:val="HEADER5"/>
        <w:rPr>
          <w:noProof/>
        </w:rPr>
      </w:pPr>
    </w:p>
    <w:p>
      <w:pPr>
        <w:pStyle w:val="HEADER5"/>
        <w:rPr>
          <w:noProof/>
        </w:rPr>
      </w:pPr>
      <w:r>
        <w:rPr>
          <w:noProof/>
        </w:rPr>
        <w:t>Trésorerie</w:t>
      </w:r>
    </w:p>
    <w:p>
      <w:pPr>
        <w:pStyle w:val="DGTextstand-alone"/>
      </w:pPr>
      <w:r>
        <w:t>La plupart des ressources en trésorerie de la Commission sont conservées sur des comptes de ressources propres ouverts par les États membres pour le paiement de leurs contributions au titre des ressources propres, principalement le RNB, la TVA et les RPT. Ces comptes sont détenus auprès du Trésor ou de la banque centrale nationale de chaque État membre, chacune de ces institutions présentant le niveau le plus bas de risque de crédit (ou de contrepartie) pour la Commission.</w:t>
      </w:r>
    </w:p>
    <w:p>
      <w:pPr>
        <w:pStyle w:val="DGTextstand-alone"/>
      </w:pPr>
      <w:r>
        <w:t>En ce qui concerne les ressources en trésorerie de la Commission détenues auprès de banques commerciales, les comptes sont réapprovisionnés selon le principe du «juste à temps» et sont gérés de façon automatique par le système de gestion de la trésorerie. Les niveaux de trésorerie de chaque compte commercial sont maintenus afin de garantir que le montant total de fin de journée reste systématiquement en deçà des limites respectives d’exposition de la contrepartie.</w:t>
      </w:r>
    </w:p>
    <w:p>
      <w:pPr>
        <w:pStyle w:val="DGTextstand-alone"/>
      </w:pPr>
      <w:r>
        <w:t>Des lignes directrices spécifiques sont appliquées pour la sélection des banques commerciales afin de réduire davantage le risque de contrepartie auquel la Commission est exposée: Ces lignes directrices comprennent:</w:t>
      </w:r>
    </w:p>
    <w:p>
      <w:pPr>
        <w:pStyle w:val="DGTextstand-alonedashesjustified"/>
        <w:numPr>
          <w:ilvl w:val="0"/>
          <w:numId w:val="22"/>
        </w:numPr>
      </w:pPr>
      <w:r>
        <w:t>la sélection des banques commerciales par appels d’offres, la notation de crédit à long terme la plus basse étant S&amp;P A- ou équivalent;</w:t>
      </w:r>
    </w:p>
    <w:p>
      <w:pPr>
        <w:pStyle w:val="DGTextstand-alonedashesjustified"/>
        <w:numPr>
          <w:ilvl w:val="0"/>
          <w:numId w:val="22"/>
        </w:numPr>
      </w:pPr>
      <w:r>
        <w:lastRenderedPageBreak/>
        <w:t>la surveillance des notations et la définition d’une exposition maximale pour chaque établissement financier, en tenant compte de la solvabilité et de la capitalisation de l’entité du secteur financier;</w:t>
      </w:r>
    </w:p>
    <w:p>
      <w:pPr>
        <w:pStyle w:val="DGTextstand-alonedashesjustified"/>
        <w:numPr>
          <w:ilvl w:val="0"/>
          <w:numId w:val="22"/>
        </w:numPr>
      </w:pPr>
      <w:r>
        <w:t>l’ouverture de régies d’avances auprès de banques locales sélectionnées par une procédure d’appel d’offres simplifiée dans les délégations hors UE, les exigences de notation dépendant de la situation locale. Afin de limiter l’exposition au risque, les soldes de ces régies d'avances sont maintenus au niveau le plus bas possible. Les comptes sont réapprovisionnés régulièrement et les plafonds appliqués sont révisés chaque année.</w:t>
      </w:r>
    </w:p>
    <w:p>
      <w:pPr>
        <w:pStyle w:val="HEADER5"/>
        <w:spacing w:before="240"/>
        <w:rPr>
          <w:noProof/>
        </w:rPr>
      </w:pPr>
      <w:r>
        <w:rPr>
          <w:noProof/>
        </w:rPr>
        <w:t>Liquidités détenues dans le cadre du financement unifié</w:t>
      </w:r>
    </w:p>
    <w:p>
      <w:pPr>
        <w:pStyle w:val="DGTextstand-alone"/>
        <w:rPr>
          <w:color w:val="000000" w:themeColor="text1"/>
        </w:rPr>
      </w:pPr>
      <w:r>
        <w:rPr>
          <w:color w:val="000000" w:themeColor="text1"/>
        </w:rPr>
        <w:t>Dans le cadre de l’approche unifiée en matière de financement, des liquidités suffisantes sont détenues afin de répondre à tous les besoins de décaissement à venir et de maintenir un coussin de sécurité déterminé, tout en évitant tout solde excédentaire. Les liquidités sont placées sur un compte bancaire auprès de la BCE, sur des dépôts à court terme du marché monétaire auprès de banques centrales nationales ou d’agences de financement publiques, ou sont investies dans des accords de prise en pension garantis par des obligations liquides. Le risque de crédit du coussin de liquidité est donc très faible</w:t>
      </w:r>
      <w:r>
        <w:t>.</w:t>
      </w:r>
    </w:p>
    <w:p>
      <w:pPr>
        <w:pStyle w:val="HEADER5"/>
        <w:rPr>
          <w:noProof/>
        </w:rPr>
      </w:pPr>
      <w:r>
        <w:rPr>
          <w:noProof/>
        </w:rPr>
        <w:t xml:space="preserve">Créances à recevoir: qualité de crédit </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3"/>
        <w:gridCol w:w="993"/>
        <w:gridCol w:w="1275"/>
        <w:gridCol w:w="1276"/>
        <w:gridCol w:w="1134"/>
        <w:gridCol w:w="1134"/>
        <w:gridCol w:w="1113"/>
      </w:tblGrid>
      <w:tr>
        <w:trPr>
          <w:trHeight w:val="255"/>
        </w:trPr>
        <w:tc>
          <w:tcPr>
            <w:tcW w:w="2833" w:type="dxa"/>
            <w:tcBorders>
              <w:top w:val="nil"/>
              <w:left w:val="nil"/>
              <w:bottom w:val="nil"/>
              <w:right w:val="nil"/>
              <w:tl2br w:val="nil"/>
              <w:tr2bl w:val="nil"/>
            </w:tcBorders>
            <w:tcMar>
              <w:left w:w="60" w:type="dxa"/>
              <w:right w:w="60" w:type="dxa"/>
            </w:tcMar>
            <w:vAlign w:val="center"/>
          </w:tcPr>
          <w:p>
            <w:pPr>
              <w:pStyle w:val="DMETW36755BIPEXRCTQ"/>
              <w:rPr>
                <w:rFonts w:ascii="Verdana" w:eastAsia="Verdana" w:hAnsi="Verdana" w:cs="Verdana"/>
                <w:b/>
                <w:noProof/>
                <w:color w:val="000000"/>
                <w:sz w:val="18"/>
              </w:rPr>
            </w:pPr>
            <w:bookmarkStart w:id="232" w:name="DOC_TBL00099_1_1"/>
            <w:bookmarkEnd w:id="232"/>
          </w:p>
        </w:tc>
        <w:tc>
          <w:tcPr>
            <w:tcW w:w="993" w:type="dxa"/>
            <w:tcBorders>
              <w:top w:val="nil"/>
              <w:left w:val="nil"/>
              <w:bottom w:val="nil"/>
              <w:right w:val="nil"/>
              <w:tl2br w:val="nil"/>
              <w:tr2bl w:val="nil"/>
            </w:tcBorders>
            <w:tcMar>
              <w:left w:w="60" w:type="dxa"/>
              <w:right w:w="60" w:type="dxa"/>
            </w:tcMar>
            <w:vAlign w:val="center"/>
          </w:tcPr>
          <w:p>
            <w:pPr>
              <w:pStyle w:val="DMETW36755BIPEXRCTQ"/>
              <w:rPr>
                <w:rFonts w:ascii="Verdana" w:eastAsia="Verdana" w:hAnsi="Verdana" w:cs="Verdana"/>
                <w:noProof/>
                <w:color w:val="000000"/>
              </w:rPr>
            </w:pPr>
          </w:p>
        </w:tc>
        <w:tc>
          <w:tcPr>
            <w:tcW w:w="1275" w:type="dxa"/>
            <w:tcBorders>
              <w:top w:val="nil"/>
              <w:left w:val="nil"/>
              <w:bottom w:val="nil"/>
              <w:right w:val="nil"/>
              <w:tl2br w:val="nil"/>
              <w:tr2bl w:val="nil"/>
            </w:tcBorders>
            <w:tcMar>
              <w:left w:w="60" w:type="dxa"/>
              <w:right w:w="60" w:type="dxa"/>
            </w:tcMar>
            <w:vAlign w:val="center"/>
          </w:tcPr>
          <w:p>
            <w:pPr>
              <w:pStyle w:val="DMETW36755BIPEXRCTQ"/>
              <w:rPr>
                <w:rFonts w:ascii="Verdana" w:eastAsia="Verdana" w:hAnsi="Verdana" w:cs="Verdana"/>
                <w:noProof/>
                <w:color w:val="000000"/>
              </w:rPr>
            </w:pPr>
          </w:p>
        </w:tc>
        <w:tc>
          <w:tcPr>
            <w:tcW w:w="1276" w:type="dxa"/>
            <w:tcBorders>
              <w:top w:val="nil"/>
              <w:left w:val="nil"/>
              <w:bottom w:val="nil"/>
              <w:right w:val="nil"/>
              <w:tl2br w:val="nil"/>
              <w:tr2bl w:val="nil"/>
            </w:tcBorders>
            <w:tcMar>
              <w:left w:w="60" w:type="dxa"/>
              <w:right w:w="60" w:type="dxa"/>
            </w:tcMar>
            <w:vAlign w:val="center"/>
          </w:tcPr>
          <w:p>
            <w:pPr>
              <w:pStyle w:val="DMETW36755BIPEXRCTQ"/>
              <w:rPr>
                <w:rFonts w:ascii="Verdana" w:eastAsia="Verdana" w:hAnsi="Verdana" w:cs="Verdana"/>
                <w:noProof/>
                <w:color w:val="000000"/>
              </w:rPr>
            </w:pPr>
          </w:p>
        </w:tc>
        <w:tc>
          <w:tcPr>
            <w:tcW w:w="1134" w:type="dxa"/>
            <w:tcBorders>
              <w:top w:val="nil"/>
              <w:left w:val="nil"/>
              <w:bottom w:val="nil"/>
              <w:right w:val="nil"/>
              <w:tl2br w:val="nil"/>
              <w:tr2bl w:val="nil"/>
            </w:tcBorders>
            <w:tcMar>
              <w:left w:w="60" w:type="dxa"/>
              <w:right w:w="60" w:type="dxa"/>
            </w:tcMar>
            <w:vAlign w:val="center"/>
          </w:tcPr>
          <w:p>
            <w:pPr>
              <w:pStyle w:val="DMETW36755BIPEXRCTQ"/>
              <w:rPr>
                <w:rFonts w:ascii="Verdana" w:eastAsia="Verdana" w:hAnsi="Verdana" w:cs="Verdana"/>
                <w:noProof/>
                <w:color w:val="000000"/>
              </w:rPr>
            </w:pPr>
          </w:p>
        </w:tc>
        <w:tc>
          <w:tcPr>
            <w:tcW w:w="1134" w:type="dxa"/>
            <w:tcBorders>
              <w:top w:val="nil"/>
              <w:left w:val="nil"/>
              <w:bottom w:val="nil"/>
              <w:right w:val="nil"/>
              <w:tl2br w:val="nil"/>
              <w:tr2bl w:val="nil"/>
            </w:tcBorders>
            <w:tcMar>
              <w:left w:w="60" w:type="dxa"/>
              <w:right w:w="60" w:type="dxa"/>
            </w:tcMar>
            <w:vAlign w:val="center"/>
          </w:tcPr>
          <w:p>
            <w:pPr>
              <w:pStyle w:val="DMETW36755BIPEXRCTQ"/>
              <w:rPr>
                <w:rFonts w:ascii="Verdana" w:eastAsia="Verdana" w:hAnsi="Verdana" w:cs="Verdana"/>
                <w:noProof/>
                <w:color w:val="000000"/>
              </w:rPr>
            </w:pPr>
          </w:p>
        </w:tc>
        <w:tc>
          <w:tcPr>
            <w:tcW w:w="1113" w:type="dxa"/>
            <w:tcBorders>
              <w:top w:val="nil"/>
              <w:left w:val="nil"/>
              <w:bottom w:val="nil"/>
              <w:right w:val="nil"/>
              <w:tl2br w:val="nil"/>
              <w:tr2bl w:val="nil"/>
            </w:tcBorders>
            <w:tcMar>
              <w:left w:w="60" w:type="dxa"/>
              <w:right w:w="60" w:type="dxa"/>
            </w:tcMar>
            <w:vAlign w:val="bottom"/>
          </w:tcPr>
          <w:p>
            <w:pPr>
              <w:pStyle w:val="DMETW36755BIPEXRCTQ"/>
              <w:jc w:val="right"/>
              <w:rPr>
                <w:rFonts w:ascii="Verdana" w:eastAsia="Verdana" w:hAnsi="Verdana" w:cs="Verdana"/>
                <w:i/>
                <w:noProof/>
                <w:color w:val="000000"/>
                <w:sz w:val="16"/>
              </w:rPr>
            </w:pPr>
            <w:r>
              <w:rPr>
                <w:rFonts w:ascii="Verdana" w:hAnsi="Verdana"/>
                <w:i/>
                <w:noProof/>
                <w:color w:val="000000"/>
                <w:sz w:val="16"/>
              </w:rPr>
              <w:t>en Mio EUR</w:t>
            </w:r>
          </w:p>
        </w:tc>
      </w:tr>
      <w:tr>
        <w:trPr>
          <w:trHeight w:val="255"/>
        </w:trPr>
        <w:tc>
          <w:tcPr>
            <w:tcW w:w="2833" w:type="dxa"/>
            <w:tcBorders>
              <w:top w:val="nil"/>
              <w:left w:val="nil"/>
              <w:bottom w:val="nil"/>
              <w:right w:val="nil"/>
              <w:tl2br w:val="nil"/>
              <w:tr2bl w:val="nil"/>
            </w:tcBorders>
            <w:shd w:val="solid" w:color="016794" w:fill="FFFFFF"/>
            <w:tcMar>
              <w:left w:w="60" w:type="dxa"/>
              <w:right w:w="60" w:type="dxa"/>
            </w:tcMar>
            <w:vAlign w:val="center"/>
          </w:tcPr>
          <w:p>
            <w:pPr>
              <w:pStyle w:val="DMETW36755BIPEXRCTQ"/>
              <w:rPr>
                <w:rFonts w:ascii="Verdana" w:eastAsia="Verdana" w:hAnsi="Verdana" w:cs="Verdana"/>
                <w:noProof/>
                <w:color w:val="FFFFFF"/>
              </w:rPr>
            </w:pPr>
          </w:p>
        </w:tc>
        <w:tc>
          <w:tcPr>
            <w:tcW w:w="993" w:type="dxa"/>
            <w:tcBorders>
              <w:top w:val="nil"/>
              <w:left w:val="nil"/>
              <w:bottom w:val="nil"/>
              <w:right w:val="nil"/>
              <w:tl2br w:val="nil"/>
              <w:tr2bl w:val="nil"/>
            </w:tcBorders>
            <w:shd w:val="solid" w:color="016794" w:fill="FFFFFF"/>
            <w:tcMar>
              <w:left w:w="60" w:type="dxa"/>
              <w:right w:w="60" w:type="dxa"/>
            </w:tcMar>
            <w:vAlign w:val="center"/>
          </w:tcPr>
          <w:p>
            <w:pPr>
              <w:pStyle w:val="DMETW36755BIPEXRCTQ"/>
              <w:jc w:val="right"/>
              <w:rPr>
                <w:rFonts w:ascii="Verdana" w:eastAsia="Verdana" w:hAnsi="Verdana" w:cs="Verdana"/>
                <w:noProof/>
                <w:color w:val="FFFFFF"/>
              </w:rPr>
            </w:pPr>
            <w:r>
              <w:rPr>
                <w:rFonts w:ascii="Verdana" w:hAnsi="Verdana"/>
                <w:noProof/>
                <w:color w:val="FFFFFF"/>
              </w:rPr>
              <w:t>Non échues</w:t>
            </w:r>
          </w:p>
        </w:tc>
        <w:tc>
          <w:tcPr>
            <w:tcW w:w="1275" w:type="dxa"/>
            <w:tcBorders>
              <w:top w:val="nil"/>
              <w:left w:val="nil"/>
              <w:bottom w:val="nil"/>
              <w:right w:val="nil"/>
              <w:tl2br w:val="nil"/>
              <w:tr2bl w:val="nil"/>
            </w:tcBorders>
            <w:shd w:val="solid" w:color="016794" w:fill="FFFFFF"/>
            <w:tcMar>
              <w:left w:w="60" w:type="dxa"/>
              <w:right w:w="60" w:type="dxa"/>
            </w:tcMar>
            <w:vAlign w:val="center"/>
          </w:tcPr>
          <w:p>
            <w:pPr>
              <w:pStyle w:val="DMETW36755BIPEXRCTQ"/>
              <w:jc w:val="right"/>
              <w:rPr>
                <w:rFonts w:ascii="Verdana" w:eastAsia="Verdana" w:hAnsi="Verdana" w:cs="Verdana"/>
                <w:noProof/>
                <w:color w:val="FFFFFF"/>
              </w:rPr>
            </w:pPr>
            <w:r>
              <w:rPr>
                <w:rFonts w:ascii="Verdana" w:hAnsi="Verdana"/>
                <w:noProof/>
                <w:color w:val="FFFFFF"/>
              </w:rPr>
              <w:t xml:space="preserve">Échues </w:t>
            </w:r>
          </w:p>
        </w:tc>
        <w:tc>
          <w:tcPr>
            <w:tcW w:w="1276" w:type="dxa"/>
            <w:tcBorders>
              <w:top w:val="nil"/>
              <w:left w:val="nil"/>
              <w:bottom w:val="nil"/>
              <w:right w:val="nil"/>
              <w:tl2br w:val="nil"/>
              <w:tr2bl w:val="nil"/>
            </w:tcBorders>
            <w:shd w:val="solid" w:color="016794" w:fill="FFFFFF"/>
            <w:tcMar>
              <w:left w:w="60" w:type="dxa"/>
              <w:right w:w="60" w:type="dxa"/>
            </w:tcMar>
            <w:vAlign w:val="center"/>
          </w:tcPr>
          <w:p>
            <w:pPr>
              <w:pStyle w:val="DMETW36755BIPEXRCTQ"/>
              <w:jc w:val="right"/>
              <w:rPr>
                <w:rFonts w:ascii="Verdana" w:eastAsia="Verdana" w:hAnsi="Verdana" w:cs="Verdana"/>
                <w:noProof/>
                <w:color w:val="FFFFFF"/>
              </w:rPr>
            </w:pPr>
            <w:r>
              <w:rPr>
                <w:rFonts w:ascii="Verdana" w:hAnsi="Verdana"/>
                <w:noProof/>
                <w:color w:val="FFFFFF"/>
              </w:rPr>
              <w:t xml:space="preserve">Échues </w:t>
            </w:r>
          </w:p>
        </w:tc>
        <w:tc>
          <w:tcPr>
            <w:tcW w:w="1134" w:type="dxa"/>
            <w:tcBorders>
              <w:top w:val="nil"/>
              <w:left w:val="nil"/>
              <w:bottom w:val="nil"/>
              <w:right w:val="nil"/>
              <w:tl2br w:val="nil"/>
              <w:tr2bl w:val="nil"/>
            </w:tcBorders>
            <w:shd w:val="solid" w:color="016794" w:fill="FFFFFF"/>
            <w:tcMar>
              <w:left w:w="60" w:type="dxa"/>
              <w:right w:w="60" w:type="dxa"/>
            </w:tcMar>
            <w:vAlign w:val="center"/>
          </w:tcPr>
          <w:p>
            <w:pPr>
              <w:pStyle w:val="DMETW36755BIPEXRCTQ"/>
              <w:jc w:val="right"/>
              <w:rPr>
                <w:rFonts w:ascii="Verdana" w:eastAsia="Verdana" w:hAnsi="Verdana" w:cs="Verdana"/>
                <w:noProof/>
                <w:color w:val="FFFFFF"/>
              </w:rPr>
            </w:pPr>
            <w:r>
              <w:rPr>
                <w:rFonts w:ascii="Verdana" w:hAnsi="Verdana"/>
                <w:noProof/>
                <w:color w:val="FFFFFF"/>
              </w:rPr>
              <w:t xml:space="preserve">Échues </w:t>
            </w:r>
          </w:p>
        </w:tc>
        <w:tc>
          <w:tcPr>
            <w:tcW w:w="1134" w:type="dxa"/>
            <w:tcBorders>
              <w:top w:val="nil"/>
              <w:left w:val="nil"/>
              <w:bottom w:val="nil"/>
              <w:right w:val="nil"/>
              <w:tl2br w:val="nil"/>
              <w:tr2bl w:val="nil"/>
            </w:tcBorders>
            <w:shd w:val="solid" w:color="016794" w:fill="FFFFFF"/>
            <w:tcMar>
              <w:left w:w="60" w:type="dxa"/>
              <w:right w:w="60" w:type="dxa"/>
            </w:tcMar>
            <w:vAlign w:val="center"/>
          </w:tcPr>
          <w:p>
            <w:pPr>
              <w:pStyle w:val="DMETW36755BIPEXRCTQ"/>
              <w:jc w:val="right"/>
              <w:rPr>
                <w:rFonts w:ascii="Verdana" w:eastAsia="Verdana" w:hAnsi="Verdana" w:cs="Verdana"/>
                <w:noProof/>
                <w:color w:val="FFFFFF"/>
              </w:rPr>
            </w:pPr>
            <w:r>
              <w:rPr>
                <w:rFonts w:ascii="Verdana" w:hAnsi="Verdana"/>
                <w:noProof/>
                <w:color w:val="FFFFFF"/>
              </w:rPr>
              <w:t xml:space="preserve">Échues </w:t>
            </w:r>
          </w:p>
        </w:tc>
        <w:tc>
          <w:tcPr>
            <w:tcW w:w="1113" w:type="dxa"/>
            <w:tcBorders>
              <w:top w:val="nil"/>
              <w:left w:val="nil"/>
              <w:bottom w:val="nil"/>
              <w:right w:val="nil"/>
              <w:tl2br w:val="nil"/>
              <w:tr2bl w:val="nil"/>
            </w:tcBorders>
            <w:shd w:val="solid" w:color="016794" w:fill="FFFFFF"/>
            <w:tcMar>
              <w:left w:w="60" w:type="dxa"/>
              <w:right w:w="60" w:type="dxa"/>
            </w:tcMar>
            <w:vAlign w:val="center"/>
          </w:tcPr>
          <w:p>
            <w:pPr>
              <w:pStyle w:val="DMETW36755BIPEXRCTQ"/>
              <w:jc w:val="right"/>
              <w:rPr>
                <w:rFonts w:ascii="Verdana" w:eastAsia="Verdana" w:hAnsi="Verdana" w:cs="Verdana"/>
                <w:noProof/>
                <w:color w:val="FFFFFF"/>
              </w:rPr>
            </w:pPr>
            <w:r>
              <w:rPr>
                <w:rFonts w:ascii="Verdana" w:hAnsi="Verdana"/>
                <w:noProof/>
                <w:color w:val="FFFFFF"/>
              </w:rPr>
              <w:t>Total</w:t>
            </w:r>
          </w:p>
        </w:tc>
      </w:tr>
      <w:tr>
        <w:trPr>
          <w:trHeight w:val="255"/>
        </w:trPr>
        <w:tc>
          <w:tcPr>
            <w:tcW w:w="2833" w:type="dxa"/>
            <w:tcBorders>
              <w:top w:val="nil"/>
              <w:left w:val="nil"/>
              <w:bottom w:val="nil"/>
              <w:right w:val="nil"/>
              <w:tl2br w:val="nil"/>
              <w:tr2bl w:val="nil"/>
            </w:tcBorders>
            <w:shd w:val="solid" w:color="016794" w:fill="FFFFFF"/>
            <w:tcMar>
              <w:left w:w="60" w:type="dxa"/>
              <w:right w:w="60" w:type="dxa"/>
            </w:tcMar>
            <w:vAlign w:val="center"/>
          </w:tcPr>
          <w:p>
            <w:pPr>
              <w:pStyle w:val="DMETW36755BIPEXRCTQ"/>
              <w:rPr>
                <w:rFonts w:ascii="Verdana" w:eastAsia="Verdana" w:hAnsi="Verdana" w:cs="Verdana"/>
                <w:noProof/>
                <w:color w:val="FFFFFF"/>
              </w:rPr>
            </w:pPr>
          </w:p>
        </w:tc>
        <w:tc>
          <w:tcPr>
            <w:tcW w:w="993" w:type="dxa"/>
            <w:tcBorders>
              <w:top w:val="nil"/>
              <w:left w:val="nil"/>
              <w:bottom w:val="nil"/>
              <w:right w:val="nil"/>
              <w:tl2br w:val="nil"/>
              <w:tr2bl w:val="nil"/>
            </w:tcBorders>
            <w:shd w:val="solid" w:color="016794" w:fill="FFFFFF"/>
            <w:tcMar>
              <w:left w:w="60" w:type="dxa"/>
              <w:right w:w="60" w:type="dxa"/>
            </w:tcMar>
            <w:vAlign w:val="center"/>
          </w:tcPr>
          <w:p>
            <w:pPr>
              <w:pStyle w:val="DMETW36755BIPEXRCTQ"/>
              <w:jc w:val="right"/>
              <w:rPr>
                <w:rFonts w:ascii="Verdana" w:eastAsia="Verdana" w:hAnsi="Verdana" w:cs="Verdana"/>
                <w:noProof/>
                <w:color w:val="FFFFFF"/>
              </w:rPr>
            </w:pPr>
          </w:p>
        </w:tc>
        <w:tc>
          <w:tcPr>
            <w:tcW w:w="1275" w:type="dxa"/>
            <w:tcBorders>
              <w:top w:val="nil"/>
              <w:left w:val="nil"/>
              <w:bottom w:val="nil"/>
              <w:right w:val="nil"/>
              <w:tl2br w:val="nil"/>
              <w:tr2bl w:val="nil"/>
            </w:tcBorders>
            <w:shd w:val="solid" w:color="016794" w:fill="FFFFFF"/>
            <w:tcMar>
              <w:left w:w="60" w:type="dxa"/>
              <w:right w:w="60" w:type="dxa"/>
            </w:tcMar>
            <w:vAlign w:val="center"/>
          </w:tcPr>
          <w:p>
            <w:pPr>
              <w:pStyle w:val="DMETW36755BIPEXRCTQ"/>
              <w:jc w:val="right"/>
              <w:rPr>
                <w:rFonts w:ascii="Verdana" w:eastAsia="Verdana" w:hAnsi="Verdana" w:cs="Verdana"/>
                <w:noProof/>
                <w:color w:val="FFFFFF"/>
              </w:rPr>
            </w:pPr>
            <w:r>
              <w:rPr>
                <w:rFonts w:ascii="Verdana" w:hAnsi="Verdana"/>
                <w:noProof/>
                <w:color w:val="FFFFFF"/>
              </w:rPr>
              <w:t xml:space="preserve"> 0-30 jours</w:t>
            </w:r>
          </w:p>
        </w:tc>
        <w:tc>
          <w:tcPr>
            <w:tcW w:w="1276" w:type="dxa"/>
            <w:tcBorders>
              <w:top w:val="nil"/>
              <w:left w:val="nil"/>
              <w:bottom w:val="nil"/>
              <w:right w:val="nil"/>
              <w:tl2br w:val="nil"/>
              <w:tr2bl w:val="nil"/>
            </w:tcBorders>
            <w:shd w:val="solid" w:color="016794" w:fill="FFFFFF"/>
            <w:tcMar>
              <w:left w:w="60" w:type="dxa"/>
              <w:right w:w="60" w:type="dxa"/>
            </w:tcMar>
            <w:vAlign w:val="center"/>
          </w:tcPr>
          <w:p>
            <w:pPr>
              <w:pStyle w:val="DMETW36755BIPEXRCTQ"/>
              <w:jc w:val="right"/>
              <w:rPr>
                <w:rFonts w:ascii="Verdana" w:eastAsia="Verdana" w:hAnsi="Verdana" w:cs="Verdana"/>
                <w:noProof/>
                <w:color w:val="FFFFFF"/>
              </w:rPr>
            </w:pPr>
            <w:r>
              <w:rPr>
                <w:rFonts w:ascii="Verdana" w:hAnsi="Verdana"/>
                <w:noProof/>
                <w:color w:val="FFFFFF"/>
              </w:rPr>
              <w:t>31-90 jours</w:t>
            </w:r>
          </w:p>
        </w:tc>
        <w:tc>
          <w:tcPr>
            <w:tcW w:w="1134" w:type="dxa"/>
            <w:tcBorders>
              <w:top w:val="nil"/>
              <w:left w:val="nil"/>
              <w:bottom w:val="nil"/>
              <w:right w:val="nil"/>
              <w:tl2br w:val="nil"/>
              <w:tr2bl w:val="nil"/>
            </w:tcBorders>
            <w:shd w:val="solid" w:color="016794" w:fill="FFFFFF"/>
            <w:tcMar>
              <w:left w:w="60" w:type="dxa"/>
              <w:right w:w="60" w:type="dxa"/>
            </w:tcMar>
            <w:vAlign w:val="center"/>
          </w:tcPr>
          <w:p>
            <w:pPr>
              <w:pStyle w:val="DMETW36755BIPEXRCTQ"/>
              <w:jc w:val="right"/>
              <w:rPr>
                <w:rFonts w:ascii="Verdana" w:eastAsia="Verdana" w:hAnsi="Verdana" w:cs="Verdana"/>
                <w:noProof/>
                <w:color w:val="FFFFFF"/>
              </w:rPr>
            </w:pPr>
            <w:r>
              <w:rPr>
                <w:rFonts w:ascii="Verdana" w:hAnsi="Verdana"/>
                <w:noProof/>
                <w:color w:val="FFFFFF"/>
              </w:rPr>
              <w:t>91 jours-1 an</w:t>
            </w:r>
          </w:p>
        </w:tc>
        <w:tc>
          <w:tcPr>
            <w:tcW w:w="1134" w:type="dxa"/>
            <w:tcBorders>
              <w:top w:val="nil"/>
              <w:left w:val="nil"/>
              <w:bottom w:val="nil"/>
              <w:right w:val="nil"/>
              <w:tl2br w:val="nil"/>
              <w:tr2bl w:val="nil"/>
            </w:tcBorders>
            <w:shd w:val="solid" w:color="016794" w:fill="FFFFFF"/>
            <w:tcMar>
              <w:left w:w="60" w:type="dxa"/>
              <w:right w:w="60" w:type="dxa"/>
            </w:tcMar>
            <w:vAlign w:val="center"/>
          </w:tcPr>
          <w:p>
            <w:pPr>
              <w:pStyle w:val="DMETW36755BIPEXRCTQ"/>
              <w:jc w:val="right"/>
              <w:rPr>
                <w:rFonts w:ascii="Verdana" w:eastAsia="Verdana" w:hAnsi="Verdana" w:cs="Verdana"/>
                <w:noProof/>
                <w:color w:val="FFFFFF"/>
              </w:rPr>
            </w:pPr>
            <w:r>
              <w:rPr>
                <w:rFonts w:ascii="Verdana" w:hAnsi="Verdana"/>
                <w:noProof/>
                <w:color w:val="FFFFFF"/>
              </w:rPr>
              <w:t>&gt; 1 an</w:t>
            </w:r>
          </w:p>
        </w:tc>
        <w:tc>
          <w:tcPr>
            <w:tcW w:w="1113" w:type="dxa"/>
            <w:tcBorders>
              <w:top w:val="nil"/>
              <w:left w:val="nil"/>
              <w:bottom w:val="nil"/>
              <w:right w:val="nil"/>
              <w:tl2br w:val="nil"/>
              <w:tr2bl w:val="nil"/>
            </w:tcBorders>
            <w:shd w:val="solid" w:color="016794" w:fill="FFFFFF"/>
            <w:tcMar>
              <w:left w:w="60" w:type="dxa"/>
              <w:right w:w="60" w:type="dxa"/>
            </w:tcMar>
            <w:vAlign w:val="center"/>
          </w:tcPr>
          <w:p>
            <w:pPr>
              <w:pStyle w:val="DMETW36755BIPEXRCTQ"/>
              <w:jc w:val="right"/>
              <w:rPr>
                <w:rFonts w:ascii="Verdana" w:eastAsia="Verdana" w:hAnsi="Verdana" w:cs="Verdana"/>
                <w:noProof/>
                <w:color w:val="FFFFFF"/>
                <w:lang w:bidi="en-GB"/>
              </w:rPr>
            </w:pPr>
          </w:p>
        </w:tc>
      </w:tr>
      <w:tr>
        <w:trPr>
          <w:trHeight w:val="255"/>
        </w:trPr>
        <w:tc>
          <w:tcPr>
            <w:tcW w:w="2833" w:type="dxa"/>
            <w:tcBorders>
              <w:top w:val="nil"/>
              <w:left w:val="nil"/>
              <w:bottom w:val="nil"/>
              <w:right w:val="nil"/>
              <w:tl2br w:val="nil"/>
              <w:tr2bl w:val="nil"/>
            </w:tcBorders>
            <w:tcMar>
              <w:left w:w="60" w:type="dxa"/>
              <w:right w:w="60" w:type="dxa"/>
            </w:tcMar>
            <w:vAlign w:val="center"/>
          </w:tcPr>
          <w:p>
            <w:pPr>
              <w:pStyle w:val="DMETW36755BIPEXRCTQ"/>
              <w:rPr>
                <w:rFonts w:ascii="Verdana" w:eastAsia="Verdana" w:hAnsi="Verdana" w:cs="Verdana"/>
                <w:noProof/>
                <w:color w:val="000000"/>
                <w:sz w:val="18"/>
              </w:rPr>
            </w:pPr>
            <w:r>
              <w:rPr>
                <w:rFonts w:ascii="Verdana" w:hAnsi="Verdana"/>
                <w:noProof/>
                <w:color w:val="000000"/>
                <w:sz w:val="18"/>
              </w:rPr>
              <w:t>Valeur comptable brute</w:t>
            </w:r>
          </w:p>
        </w:tc>
        <w:tc>
          <w:tcPr>
            <w:tcW w:w="993" w:type="dxa"/>
            <w:tcBorders>
              <w:top w:val="nil"/>
              <w:left w:val="nil"/>
              <w:bottom w:val="nil"/>
              <w:right w:val="nil"/>
              <w:tl2br w:val="nil"/>
              <w:tr2bl w:val="nil"/>
            </w:tcBorders>
            <w:tcMar>
              <w:left w:w="60" w:type="dxa"/>
              <w:right w:w="60" w:type="dxa"/>
            </w:tcMar>
            <w:vAlign w:val="center"/>
          </w:tcPr>
          <w:p>
            <w:pPr>
              <w:pStyle w:val="DMETW36755BIPEXRCTQ"/>
              <w:jc w:val="right"/>
              <w:rPr>
                <w:rFonts w:ascii="Verdana" w:eastAsia="Verdana" w:hAnsi="Verdana" w:cs="Verdana"/>
                <w:noProof/>
                <w:color w:val="000000"/>
                <w:sz w:val="18"/>
              </w:rPr>
            </w:pPr>
            <w:r>
              <w:rPr>
                <w:rFonts w:ascii="Verdana" w:hAnsi="Verdana"/>
                <w:noProof/>
                <w:color w:val="000000"/>
                <w:sz w:val="18"/>
              </w:rPr>
              <w:t>2 063</w:t>
            </w:r>
          </w:p>
        </w:tc>
        <w:tc>
          <w:tcPr>
            <w:tcW w:w="1275" w:type="dxa"/>
            <w:tcBorders>
              <w:top w:val="nil"/>
              <w:left w:val="nil"/>
              <w:bottom w:val="nil"/>
              <w:right w:val="nil"/>
              <w:tl2br w:val="nil"/>
              <w:tr2bl w:val="nil"/>
            </w:tcBorders>
            <w:tcMar>
              <w:left w:w="60" w:type="dxa"/>
              <w:right w:w="60" w:type="dxa"/>
            </w:tcMar>
            <w:vAlign w:val="center"/>
          </w:tcPr>
          <w:p>
            <w:pPr>
              <w:pStyle w:val="DMETW36755BIPEXRCTQ"/>
              <w:jc w:val="right"/>
              <w:rPr>
                <w:rFonts w:ascii="Verdana" w:eastAsia="Verdana" w:hAnsi="Verdana" w:cs="Verdana"/>
                <w:noProof/>
                <w:color w:val="000000"/>
                <w:sz w:val="18"/>
              </w:rPr>
            </w:pPr>
            <w:r>
              <w:rPr>
                <w:rFonts w:ascii="Verdana" w:hAnsi="Verdana"/>
                <w:noProof/>
                <w:color w:val="000000"/>
                <w:sz w:val="18"/>
              </w:rPr>
              <w:t xml:space="preserve"> 18</w:t>
            </w:r>
          </w:p>
        </w:tc>
        <w:tc>
          <w:tcPr>
            <w:tcW w:w="1276" w:type="dxa"/>
            <w:tcBorders>
              <w:top w:val="nil"/>
              <w:left w:val="nil"/>
              <w:bottom w:val="nil"/>
              <w:right w:val="nil"/>
              <w:tl2br w:val="nil"/>
              <w:tr2bl w:val="nil"/>
            </w:tcBorders>
            <w:tcMar>
              <w:left w:w="60" w:type="dxa"/>
              <w:right w:w="60" w:type="dxa"/>
            </w:tcMar>
            <w:vAlign w:val="center"/>
          </w:tcPr>
          <w:p>
            <w:pPr>
              <w:pStyle w:val="DMETW36755BIPEXRCTQ"/>
              <w:jc w:val="right"/>
              <w:rPr>
                <w:rFonts w:ascii="Verdana" w:eastAsia="Verdana" w:hAnsi="Verdana" w:cs="Verdana"/>
                <w:noProof/>
                <w:color w:val="000000"/>
                <w:sz w:val="18"/>
              </w:rPr>
            </w:pPr>
            <w:r>
              <w:rPr>
                <w:rFonts w:ascii="Verdana" w:hAnsi="Verdana"/>
                <w:noProof/>
                <w:color w:val="000000"/>
                <w:sz w:val="18"/>
              </w:rPr>
              <w:t xml:space="preserve"> 22</w:t>
            </w:r>
          </w:p>
        </w:tc>
        <w:tc>
          <w:tcPr>
            <w:tcW w:w="1134" w:type="dxa"/>
            <w:tcBorders>
              <w:top w:val="nil"/>
              <w:left w:val="nil"/>
              <w:bottom w:val="nil"/>
              <w:right w:val="nil"/>
              <w:tl2br w:val="nil"/>
              <w:tr2bl w:val="nil"/>
            </w:tcBorders>
            <w:tcMar>
              <w:left w:w="60" w:type="dxa"/>
              <w:right w:w="60" w:type="dxa"/>
            </w:tcMar>
            <w:vAlign w:val="center"/>
          </w:tcPr>
          <w:p>
            <w:pPr>
              <w:pStyle w:val="DMETW36755BIPEXRCTQ"/>
              <w:jc w:val="right"/>
              <w:rPr>
                <w:rFonts w:ascii="Verdana" w:eastAsia="Verdana" w:hAnsi="Verdana" w:cs="Verdana"/>
                <w:noProof/>
                <w:color w:val="000000"/>
                <w:sz w:val="18"/>
              </w:rPr>
            </w:pPr>
            <w:r>
              <w:rPr>
                <w:rFonts w:ascii="Verdana" w:hAnsi="Verdana"/>
                <w:noProof/>
                <w:color w:val="000000"/>
                <w:sz w:val="18"/>
              </w:rPr>
              <w:t xml:space="preserve"> 52</w:t>
            </w:r>
          </w:p>
        </w:tc>
        <w:tc>
          <w:tcPr>
            <w:tcW w:w="1134" w:type="dxa"/>
            <w:tcBorders>
              <w:top w:val="nil"/>
              <w:left w:val="nil"/>
              <w:bottom w:val="nil"/>
              <w:right w:val="nil"/>
              <w:tl2br w:val="nil"/>
              <w:tr2bl w:val="nil"/>
            </w:tcBorders>
            <w:tcMar>
              <w:left w:w="60" w:type="dxa"/>
              <w:right w:w="60" w:type="dxa"/>
            </w:tcMar>
            <w:vAlign w:val="center"/>
          </w:tcPr>
          <w:p>
            <w:pPr>
              <w:pStyle w:val="DMETW36755BIPEXRCTQ"/>
              <w:jc w:val="right"/>
              <w:rPr>
                <w:rFonts w:ascii="Verdana" w:eastAsia="Verdana" w:hAnsi="Verdana" w:cs="Verdana"/>
                <w:noProof/>
                <w:color w:val="000000"/>
                <w:sz w:val="18"/>
              </w:rPr>
            </w:pPr>
            <w:r>
              <w:rPr>
                <w:rFonts w:ascii="Verdana" w:hAnsi="Verdana"/>
                <w:noProof/>
                <w:color w:val="000000"/>
                <w:sz w:val="18"/>
              </w:rPr>
              <w:t xml:space="preserve"> 179</w:t>
            </w:r>
          </w:p>
        </w:tc>
        <w:tc>
          <w:tcPr>
            <w:tcW w:w="1113" w:type="dxa"/>
            <w:tcBorders>
              <w:top w:val="nil"/>
              <w:left w:val="nil"/>
              <w:bottom w:val="nil"/>
              <w:right w:val="nil"/>
              <w:tl2br w:val="nil"/>
              <w:tr2bl w:val="nil"/>
            </w:tcBorders>
            <w:tcMar>
              <w:left w:w="60" w:type="dxa"/>
              <w:right w:w="60" w:type="dxa"/>
            </w:tcMar>
            <w:vAlign w:val="center"/>
          </w:tcPr>
          <w:p>
            <w:pPr>
              <w:pStyle w:val="DMETW36755BIPEXRCTQ"/>
              <w:jc w:val="right"/>
              <w:rPr>
                <w:rFonts w:ascii="Verdana" w:eastAsia="Verdana" w:hAnsi="Verdana" w:cs="Verdana"/>
                <w:i/>
                <w:noProof/>
                <w:color w:val="000000"/>
                <w:sz w:val="18"/>
              </w:rPr>
            </w:pPr>
            <w:r>
              <w:rPr>
                <w:rFonts w:ascii="Verdana" w:hAnsi="Verdana"/>
                <w:i/>
                <w:noProof/>
                <w:color w:val="000000"/>
                <w:sz w:val="18"/>
              </w:rPr>
              <w:t>2 335</w:t>
            </w:r>
          </w:p>
        </w:tc>
      </w:tr>
      <w:tr>
        <w:trPr>
          <w:trHeight w:val="255"/>
        </w:trPr>
        <w:tc>
          <w:tcPr>
            <w:tcW w:w="2833" w:type="dxa"/>
            <w:tcBorders>
              <w:top w:val="nil"/>
              <w:left w:val="nil"/>
              <w:bottom w:val="single" w:sz="4" w:space="0" w:color="016794"/>
              <w:right w:val="nil"/>
              <w:tl2br w:val="nil"/>
              <w:tr2bl w:val="nil"/>
            </w:tcBorders>
            <w:tcMar>
              <w:left w:w="60" w:type="dxa"/>
              <w:right w:w="60" w:type="dxa"/>
            </w:tcMar>
            <w:vAlign w:val="center"/>
          </w:tcPr>
          <w:p>
            <w:pPr>
              <w:pStyle w:val="DMETW36755BIPEXRCTQ"/>
              <w:rPr>
                <w:rFonts w:ascii="Verdana" w:eastAsia="Verdana" w:hAnsi="Verdana" w:cs="Verdana"/>
                <w:i/>
                <w:noProof/>
                <w:color w:val="000000"/>
                <w:sz w:val="18"/>
              </w:rPr>
            </w:pPr>
            <w:r>
              <w:rPr>
                <w:rFonts w:ascii="Verdana" w:hAnsi="Verdana"/>
                <w:i/>
                <w:noProof/>
                <w:color w:val="000000"/>
                <w:sz w:val="18"/>
              </w:rPr>
              <w:t>Déduction de la correction de valeur pour pertes</w:t>
            </w:r>
          </w:p>
        </w:tc>
        <w:tc>
          <w:tcPr>
            <w:tcW w:w="993" w:type="dxa"/>
            <w:tcBorders>
              <w:top w:val="nil"/>
              <w:left w:val="nil"/>
              <w:bottom w:val="single" w:sz="4" w:space="0" w:color="016794"/>
              <w:right w:val="nil"/>
              <w:tl2br w:val="nil"/>
              <w:tr2bl w:val="nil"/>
            </w:tcBorders>
            <w:tcMar>
              <w:left w:w="60" w:type="dxa"/>
              <w:right w:w="60" w:type="dxa"/>
            </w:tcMar>
            <w:vAlign w:val="center"/>
          </w:tcPr>
          <w:p>
            <w:pPr>
              <w:pStyle w:val="DMETW36755BIPEXRCTQ"/>
              <w:jc w:val="right"/>
              <w:rPr>
                <w:rFonts w:ascii="Verdana" w:eastAsia="Verdana" w:hAnsi="Verdana" w:cs="Verdana"/>
                <w:noProof/>
                <w:color w:val="000000"/>
                <w:sz w:val="18"/>
              </w:rPr>
            </w:pPr>
            <w:r>
              <w:rPr>
                <w:rFonts w:ascii="Verdana" w:hAnsi="Verdana"/>
                <w:noProof/>
                <w:color w:val="000000"/>
                <w:sz w:val="18"/>
              </w:rPr>
              <w:t xml:space="preserve"> (5)</w:t>
            </w:r>
          </w:p>
        </w:tc>
        <w:tc>
          <w:tcPr>
            <w:tcW w:w="1275" w:type="dxa"/>
            <w:tcBorders>
              <w:top w:val="nil"/>
              <w:left w:val="nil"/>
              <w:bottom w:val="single" w:sz="4" w:space="0" w:color="016794"/>
              <w:right w:val="nil"/>
              <w:tl2br w:val="nil"/>
              <w:tr2bl w:val="nil"/>
            </w:tcBorders>
            <w:tcMar>
              <w:left w:w="60" w:type="dxa"/>
              <w:right w:w="60" w:type="dxa"/>
            </w:tcMar>
            <w:vAlign w:val="center"/>
          </w:tcPr>
          <w:p>
            <w:pPr>
              <w:pStyle w:val="DMETW36755BIPEXRCTQ"/>
              <w:jc w:val="right"/>
              <w:rPr>
                <w:rFonts w:ascii="Verdana" w:eastAsia="Verdana" w:hAnsi="Verdana" w:cs="Verdana"/>
                <w:noProof/>
                <w:color w:val="000000"/>
                <w:sz w:val="18"/>
              </w:rPr>
            </w:pPr>
            <w:r>
              <w:rPr>
                <w:rFonts w:ascii="Verdana" w:hAnsi="Verdana"/>
                <w:noProof/>
                <w:color w:val="000000"/>
                <w:sz w:val="18"/>
              </w:rPr>
              <w:t xml:space="preserve"> (3)</w:t>
            </w:r>
          </w:p>
        </w:tc>
        <w:tc>
          <w:tcPr>
            <w:tcW w:w="1276" w:type="dxa"/>
            <w:tcBorders>
              <w:top w:val="nil"/>
              <w:left w:val="nil"/>
              <w:bottom w:val="single" w:sz="4" w:space="0" w:color="016794"/>
              <w:right w:val="nil"/>
              <w:tl2br w:val="nil"/>
              <w:tr2bl w:val="nil"/>
            </w:tcBorders>
            <w:tcMar>
              <w:left w:w="60" w:type="dxa"/>
              <w:right w:w="60" w:type="dxa"/>
            </w:tcMar>
            <w:vAlign w:val="center"/>
          </w:tcPr>
          <w:p>
            <w:pPr>
              <w:pStyle w:val="DMETW36755BIPEXRCTQ"/>
              <w:jc w:val="right"/>
              <w:rPr>
                <w:rFonts w:ascii="Verdana" w:eastAsia="Verdana" w:hAnsi="Verdana" w:cs="Verdana"/>
                <w:noProof/>
                <w:color w:val="000000"/>
                <w:sz w:val="18"/>
              </w:rPr>
            </w:pPr>
            <w:r>
              <w:rPr>
                <w:rFonts w:ascii="Verdana" w:hAnsi="Verdana"/>
                <w:noProof/>
                <w:color w:val="000000"/>
                <w:sz w:val="18"/>
              </w:rPr>
              <w:t xml:space="preserve"> (9)</w:t>
            </w:r>
          </w:p>
        </w:tc>
        <w:tc>
          <w:tcPr>
            <w:tcW w:w="1134" w:type="dxa"/>
            <w:tcBorders>
              <w:top w:val="nil"/>
              <w:left w:val="nil"/>
              <w:bottom w:val="single" w:sz="4" w:space="0" w:color="016794"/>
              <w:right w:val="nil"/>
              <w:tl2br w:val="nil"/>
              <w:tr2bl w:val="nil"/>
            </w:tcBorders>
            <w:tcMar>
              <w:left w:w="60" w:type="dxa"/>
              <w:right w:w="60" w:type="dxa"/>
            </w:tcMar>
            <w:vAlign w:val="center"/>
          </w:tcPr>
          <w:p>
            <w:pPr>
              <w:pStyle w:val="DMETW36755BIPEXRCTQ"/>
              <w:jc w:val="right"/>
              <w:rPr>
                <w:rFonts w:ascii="Verdana" w:eastAsia="Verdana" w:hAnsi="Verdana" w:cs="Verdana"/>
                <w:noProof/>
                <w:color w:val="000000"/>
                <w:sz w:val="18"/>
              </w:rPr>
            </w:pPr>
            <w:r>
              <w:rPr>
                <w:rFonts w:ascii="Verdana" w:hAnsi="Verdana"/>
                <w:noProof/>
                <w:color w:val="000000"/>
                <w:sz w:val="18"/>
              </w:rPr>
              <w:t xml:space="preserve"> (24)</w:t>
            </w:r>
          </w:p>
        </w:tc>
        <w:tc>
          <w:tcPr>
            <w:tcW w:w="1134" w:type="dxa"/>
            <w:tcBorders>
              <w:top w:val="nil"/>
              <w:left w:val="nil"/>
              <w:bottom w:val="single" w:sz="4" w:space="0" w:color="016794"/>
              <w:right w:val="nil"/>
              <w:tl2br w:val="nil"/>
              <w:tr2bl w:val="nil"/>
            </w:tcBorders>
            <w:tcMar>
              <w:left w:w="60" w:type="dxa"/>
              <w:right w:w="60" w:type="dxa"/>
            </w:tcMar>
            <w:vAlign w:val="center"/>
          </w:tcPr>
          <w:p>
            <w:pPr>
              <w:pStyle w:val="DMETW36755BIPEXRCTQ"/>
              <w:jc w:val="right"/>
              <w:rPr>
                <w:rFonts w:ascii="Verdana" w:eastAsia="Verdana" w:hAnsi="Verdana" w:cs="Verdana"/>
                <w:noProof/>
                <w:color w:val="000000"/>
                <w:sz w:val="18"/>
              </w:rPr>
            </w:pPr>
            <w:r>
              <w:rPr>
                <w:rFonts w:ascii="Verdana" w:hAnsi="Verdana"/>
                <w:noProof/>
                <w:color w:val="000000"/>
                <w:sz w:val="18"/>
              </w:rPr>
              <w:t xml:space="preserve"> (115)</w:t>
            </w:r>
          </w:p>
        </w:tc>
        <w:tc>
          <w:tcPr>
            <w:tcW w:w="1113" w:type="dxa"/>
            <w:tcBorders>
              <w:top w:val="nil"/>
              <w:left w:val="nil"/>
              <w:bottom w:val="single" w:sz="4" w:space="0" w:color="000000"/>
              <w:right w:val="nil"/>
              <w:tl2br w:val="nil"/>
              <w:tr2bl w:val="nil"/>
            </w:tcBorders>
            <w:tcMar>
              <w:left w:w="60" w:type="dxa"/>
              <w:right w:w="60" w:type="dxa"/>
            </w:tcMar>
            <w:vAlign w:val="center"/>
          </w:tcPr>
          <w:p>
            <w:pPr>
              <w:pStyle w:val="DMETW36755BIPEXRCTQ"/>
              <w:jc w:val="right"/>
              <w:rPr>
                <w:rFonts w:ascii="Verdana" w:eastAsia="Verdana" w:hAnsi="Verdana" w:cs="Verdana"/>
                <w:i/>
                <w:noProof/>
                <w:color w:val="000000"/>
                <w:sz w:val="18"/>
              </w:rPr>
            </w:pPr>
            <w:r>
              <w:rPr>
                <w:rFonts w:ascii="Verdana" w:hAnsi="Verdana"/>
                <w:i/>
                <w:noProof/>
                <w:color w:val="000000"/>
                <w:sz w:val="18"/>
              </w:rPr>
              <w:t xml:space="preserve"> (156)</w:t>
            </w:r>
          </w:p>
        </w:tc>
      </w:tr>
      <w:tr>
        <w:trPr>
          <w:trHeight w:val="255"/>
        </w:trPr>
        <w:tc>
          <w:tcPr>
            <w:tcW w:w="283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5BIPEXRCTQ"/>
              <w:rPr>
                <w:rFonts w:ascii="Verdana" w:eastAsia="Verdana" w:hAnsi="Verdana" w:cs="Verdana"/>
                <w:b/>
                <w:noProof/>
                <w:color w:val="000000"/>
                <w:sz w:val="18"/>
              </w:rPr>
            </w:pPr>
            <w:r>
              <w:rPr>
                <w:rFonts w:ascii="Verdana" w:hAnsi="Verdana"/>
                <w:b/>
                <w:noProof/>
                <w:color w:val="000000"/>
                <w:sz w:val="18"/>
              </w:rPr>
              <w:t>Valeur nette comptable au 31.12.2025</w:t>
            </w:r>
          </w:p>
        </w:tc>
        <w:tc>
          <w:tcPr>
            <w:tcW w:w="99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5BIPEXRCTQ"/>
              <w:jc w:val="right"/>
              <w:rPr>
                <w:rFonts w:ascii="Verdana" w:eastAsia="Verdana" w:hAnsi="Verdana" w:cs="Verdana"/>
                <w:b/>
                <w:noProof/>
                <w:color w:val="000000"/>
                <w:sz w:val="18"/>
              </w:rPr>
            </w:pPr>
            <w:r>
              <w:rPr>
                <w:rFonts w:ascii="Verdana" w:hAnsi="Verdana"/>
                <w:b/>
                <w:noProof/>
                <w:color w:val="000000"/>
                <w:sz w:val="18"/>
              </w:rPr>
              <w:t>2 058</w:t>
            </w:r>
          </w:p>
        </w:tc>
        <w:tc>
          <w:tcPr>
            <w:tcW w:w="127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5BIPEXRCTQ"/>
              <w:jc w:val="right"/>
              <w:rPr>
                <w:rFonts w:ascii="Verdana" w:eastAsia="Verdana" w:hAnsi="Verdana" w:cs="Verdana"/>
                <w:b/>
                <w:noProof/>
                <w:color w:val="000000"/>
                <w:sz w:val="18"/>
              </w:rPr>
            </w:pPr>
            <w:r>
              <w:rPr>
                <w:rFonts w:ascii="Verdana" w:hAnsi="Verdana"/>
                <w:b/>
                <w:noProof/>
                <w:color w:val="000000"/>
                <w:sz w:val="18"/>
              </w:rPr>
              <w:t xml:space="preserve"> 15</w:t>
            </w:r>
          </w:p>
        </w:tc>
        <w:tc>
          <w:tcPr>
            <w:tcW w:w="127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5BIPEXRCTQ"/>
              <w:jc w:val="right"/>
              <w:rPr>
                <w:rFonts w:ascii="Verdana" w:eastAsia="Verdana" w:hAnsi="Verdana" w:cs="Verdana"/>
                <w:b/>
                <w:noProof/>
                <w:color w:val="000000"/>
                <w:sz w:val="18"/>
              </w:rPr>
            </w:pPr>
            <w:r>
              <w:rPr>
                <w:rFonts w:ascii="Verdana" w:hAnsi="Verdana"/>
                <w:b/>
                <w:noProof/>
                <w:color w:val="000000"/>
                <w:sz w:val="18"/>
              </w:rPr>
              <w:t xml:space="preserve"> 14</w:t>
            </w:r>
          </w:p>
        </w:tc>
        <w:tc>
          <w:tcPr>
            <w:tcW w:w="113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5BIPEXRCTQ"/>
              <w:jc w:val="right"/>
              <w:rPr>
                <w:rFonts w:ascii="Verdana" w:eastAsia="Verdana" w:hAnsi="Verdana" w:cs="Verdana"/>
                <w:b/>
                <w:noProof/>
                <w:color w:val="000000"/>
                <w:sz w:val="18"/>
              </w:rPr>
            </w:pPr>
            <w:r>
              <w:rPr>
                <w:rFonts w:ascii="Verdana" w:hAnsi="Verdana"/>
                <w:b/>
                <w:noProof/>
                <w:color w:val="000000"/>
                <w:sz w:val="18"/>
              </w:rPr>
              <w:t xml:space="preserve"> 28</w:t>
            </w:r>
          </w:p>
        </w:tc>
        <w:tc>
          <w:tcPr>
            <w:tcW w:w="113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5BIPEXRCTQ"/>
              <w:jc w:val="right"/>
              <w:rPr>
                <w:rFonts w:ascii="Verdana" w:eastAsia="Verdana" w:hAnsi="Verdana" w:cs="Verdana"/>
                <w:b/>
                <w:noProof/>
                <w:color w:val="000000"/>
                <w:sz w:val="18"/>
              </w:rPr>
            </w:pPr>
            <w:r>
              <w:rPr>
                <w:rFonts w:ascii="Verdana" w:hAnsi="Verdana"/>
                <w:b/>
                <w:noProof/>
                <w:color w:val="000000"/>
                <w:sz w:val="18"/>
              </w:rPr>
              <w:t xml:space="preserve"> 64</w:t>
            </w:r>
          </w:p>
        </w:tc>
        <w:tc>
          <w:tcPr>
            <w:tcW w:w="1113" w:type="dxa"/>
            <w:tcBorders>
              <w:top w:val="single" w:sz="4" w:space="0" w:color="000000"/>
              <w:left w:val="nil"/>
              <w:bottom w:val="single" w:sz="4" w:space="0" w:color="000000"/>
              <w:right w:val="nil"/>
              <w:tl2br w:val="nil"/>
              <w:tr2bl w:val="nil"/>
            </w:tcBorders>
            <w:tcMar>
              <w:left w:w="60" w:type="dxa"/>
              <w:right w:w="60" w:type="dxa"/>
            </w:tcMar>
            <w:vAlign w:val="center"/>
          </w:tcPr>
          <w:p>
            <w:pPr>
              <w:pStyle w:val="DMETW36755BIPEXRCTQ"/>
              <w:jc w:val="right"/>
              <w:rPr>
                <w:rFonts w:ascii="Verdana" w:eastAsia="Verdana" w:hAnsi="Verdana" w:cs="Verdana"/>
                <w:b/>
                <w:noProof/>
                <w:color w:val="000000"/>
                <w:sz w:val="18"/>
              </w:rPr>
            </w:pPr>
            <w:r>
              <w:rPr>
                <w:rFonts w:ascii="Verdana" w:hAnsi="Verdana"/>
                <w:b/>
                <w:noProof/>
                <w:color w:val="000000"/>
                <w:sz w:val="18"/>
              </w:rPr>
              <w:t>2 178</w:t>
            </w:r>
          </w:p>
        </w:tc>
      </w:tr>
      <w:tr>
        <w:trPr>
          <w:trHeight w:val="255"/>
        </w:trPr>
        <w:tc>
          <w:tcPr>
            <w:tcW w:w="2833" w:type="dxa"/>
            <w:tcBorders>
              <w:top w:val="single" w:sz="4" w:space="0" w:color="016794"/>
              <w:left w:val="nil"/>
              <w:bottom w:val="nil"/>
              <w:right w:val="nil"/>
              <w:tl2br w:val="nil"/>
              <w:tr2bl w:val="nil"/>
            </w:tcBorders>
            <w:tcMar>
              <w:left w:w="60" w:type="dxa"/>
              <w:right w:w="60" w:type="dxa"/>
            </w:tcMar>
            <w:vAlign w:val="center"/>
          </w:tcPr>
          <w:p>
            <w:pPr>
              <w:pStyle w:val="DMETW36755BIPEXRCTQ"/>
              <w:rPr>
                <w:rFonts w:ascii="Verdana" w:eastAsia="Verdana" w:hAnsi="Verdana" w:cs="Verdana"/>
                <w:noProof/>
                <w:color w:val="000000"/>
                <w:sz w:val="18"/>
              </w:rPr>
            </w:pPr>
            <w:r>
              <w:rPr>
                <w:rFonts w:ascii="Verdana" w:hAnsi="Verdana"/>
                <w:noProof/>
                <w:color w:val="000000"/>
                <w:sz w:val="18"/>
              </w:rPr>
              <w:t>Valeur comptable brute</w:t>
            </w:r>
          </w:p>
        </w:tc>
        <w:tc>
          <w:tcPr>
            <w:tcW w:w="993" w:type="dxa"/>
            <w:tcBorders>
              <w:top w:val="single" w:sz="4" w:space="0" w:color="016794"/>
              <w:left w:val="nil"/>
              <w:bottom w:val="nil"/>
              <w:right w:val="nil"/>
              <w:tl2br w:val="nil"/>
              <w:tr2bl w:val="nil"/>
            </w:tcBorders>
            <w:tcMar>
              <w:left w:w="60" w:type="dxa"/>
              <w:right w:w="60" w:type="dxa"/>
            </w:tcMar>
            <w:vAlign w:val="center"/>
          </w:tcPr>
          <w:p>
            <w:pPr>
              <w:pStyle w:val="DMETW36755BIPEXRCTQ"/>
              <w:jc w:val="right"/>
              <w:rPr>
                <w:rFonts w:ascii="Verdana" w:eastAsia="Verdana" w:hAnsi="Verdana" w:cs="Verdana"/>
                <w:noProof/>
                <w:color w:val="000000"/>
                <w:sz w:val="18"/>
              </w:rPr>
            </w:pPr>
            <w:r>
              <w:rPr>
                <w:rFonts w:ascii="Verdana" w:hAnsi="Verdana"/>
                <w:noProof/>
                <w:color w:val="000000"/>
                <w:sz w:val="18"/>
              </w:rPr>
              <w:t>1 508</w:t>
            </w:r>
          </w:p>
        </w:tc>
        <w:tc>
          <w:tcPr>
            <w:tcW w:w="1275" w:type="dxa"/>
            <w:tcBorders>
              <w:top w:val="single" w:sz="4" w:space="0" w:color="016794"/>
              <w:left w:val="nil"/>
              <w:bottom w:val="nil"/>
              <w:right w:val="nil"/>
              <w:tl2br w:val="nil"/>
              <w:tr2bl w:val="nil"/>
            </w:tcBorders>
            <w:tcMar>
              <w:left w:w="60" w:type="dxa"/>
              <w:right w:w="60" w:type="dxa"/>
            </w:tcMar>
            <w:vAlign w:val="center"/>
          </w:tcPr>
          <w:p>
            <w:pPr>
              <w:pStyle w:val="DMETW36755BIPEXRCTQ"/>
              <w:jc w:val="right"/>
              <w:rPr>
                <w:rFonts w:ascii="Verdana" w:eastAsia="Verdana" w:hAnsi="Verdana" w:cs="Verdana"/>
                <w:noProof/>
                <w:color w:val="000000"/>
                <w:sz w:val="18"/>
              </w:rPr>
            </w:pPr>
            <w:r>
              <w:rPr>
                <w:rFonts w:ascii="Verdana" w:hAnsi="Verdana"/>
                <w:noProof/>
                <w:color w:val="000000"/>
                <w:sz w:val="18"/>
              </w:rPr>
              <w:t xml:space="preserve"> 15</w:t>
            </w:r>
          </w:p>
        </w:tc>
        <w:tc>
          <w:tcPr>
            <w:tcW w:w="1276" w:type="dxa"/>
            <w:tcBorders>
              <w:top w:val="single" w:sz="4" w:space="0" w:color="016794"/>
              <w:left w:val="nil"/>
              <w:bottom w:val="nil"/>
              <w:right w:val="nil"/>
              <w:tl2br w:val="nil"/>
              <w:tr2bl w:val="nil"/>
            </w:tcBorders>
            <w:tcMar>
              <w:left w:w="60" w:type="dxa"/>
              <w:right w:w="60" w:type="dxa"/>
            </w:tcMar>
            <w:vAlign w:val="center"/>
          </w:tcPr>
          <w:p>
            <w:pPr>
              <w:pStyle w:val="DMETW36755BIPEXRCTQ"/>
              <w:jc w:val="right"/>
              <w:rPr>
                <w:rFonts w:ascii="Verdana" w:eastAsia="Verdana" w:hAnsi="Verdana" w:cs="Verdana"/>
                <w:noProof/>
                <w:color w:val="000000"/>
                <w:sz w:val="18"/>
              </w:rPr>
            </w:pPr>
            <w:r>
              <w:rPr>
                <w:rFonts w:ascii="Verdana" w:hAnsi="Verdana"/>
                <w:noProof/>
                <w:color w:val="000000"/>
                <w:sz w:val="18"/>
              </w:rPr>
              <w:t xml:space="preserve"> 33</w:t>
            </w:r>
          </w:p>
        </w:tc>
        <w:tc>
          <w:tcPr>
            <w:tcW w:w="1134" w:type="dxa"/>
            <w:tcBorders>
              <w:top w:val="single" w:sz="4" w:space="0" w:color="016794"/>
              <w:left w:val="nil"/>
              <w:bottom w:val="nil"/>
              <w:right w:val="nil"/>
              <w:tl2br w:val="nil"/>
              <w:tr2bl w:val="nil"/>
            </w:tcBorders>
            <w:tcMar>
              <w:left w:w="60" w:type="dxa"/>
              <w:right w:w="60" w:type="dxa"/>
            </w:tcMar>
            <w:vAlign w:val="center"/>
          </w:tcPr>
          <w:p>
            <w:pPr>
              <w:pStyle w:val="DMETW36755BIPEXRCTQ"/>
              <w:jc w:val="right"/>
              <w:rPr>
                <w:rFonts w:ascii="Verdana" w:eastAsia="Verdana" w:hAnsi="Verdana" w:cs="Verdana"/>
                <w:noProof/>
                <w:color w:val="000000"/>
                <w:sz w:val="18"/>
              </w:rPr>
            </w:pPr>
            <w:r>
              <w:rPr>
                <w:rFonts w:ascii="Verdana" w:hAnsi="Verdana"/>
                <w:noProof/>
                <w:color w:val="000000"/>
                <w:sz w:val="18"/>
              </w:rPr>
              <w:t xml:space="preserve"> 27</w:t>
            </w:r>
          </w:p>
        </w:tc>
        <w:tc>
          <w:tcPr>
            <w:tcW w:w="1134" w:type="dxa"/>
            <w:tcBorders>
              <w:top w:val="single" w:sz="4" w:space="0" w:color="016794"/>
              <w:left w:val="nil"/>
              <w:bottom w:val="nil"/>
              <w:right w:val="nil"/>
              <w:tl2br w:val="nil"/>
              <w:tr2bl w:val="nil"/>
            </w:tcBorders>
            <w:tcMar>
              <w:left w:w="60" w:type="dxa"/>
              <w:right w:w="60" w:type="dxa"/>
            </w:tcMar>
            <w:vAlign w:val="center"/>
          </w:tcPr>
          <w:p>
            <w:pPr>
              <w:pStyle w:val="DMETW36755BIPEXRCTQ"/>
              <w:jc w:val="right"/>
              <w:rPr>
                <w:rFonts w:ascii="Verdana" w:eastAsia="Verdana" w:hAnsi="Verdana" w:cs="Verdana"/>
                <w:noProof/>
                <w:color w:val="000000"/>
                <w:sz w:val="18"/>
              </w:rPr>
            </w:pPr>
            <w:r>
              <w:rPr>
                <w:rFonts w:ascii="Verdana" w:hAnsi="Verdana"/>
                <w:noProof/>
                <w:color w:val="000000"/>
                <w:sz w:val="18"/>
              </w:rPr>
              <w:t xml:space="preserve"> 207</w:t>
            </w:r>
          </w:p>
        </w:tc>
        <w:tc>
          <w:tcPr>
            <w:tcW w:w="1113" w:type="dxa"/>
            <w:tcBorders>
              <w:top w:val="single" w:sz="4" w:space="0" w:color="000000"/>
              <w:left w:val="nil"/>
              <w:bottom w:val="nil"/>
              <w:right w:val="nil"/>
              <w:tl2br w:val="nil"/>
              <w:tr2bl w:val="nil"/>
            </w:tcBorders>
            <w:tcMar>
              <w:left w:w="60" w:type="dxa"/>
              <w:right w:w="60" w:type="dxa"/>
            </w:tcMar>
            <w:vAlign w:val="center"/>
          </w:tcPr>
          <w:p>
            <w:pPr>
              <w:pStyle w:val="DMETW36755BIPEXRCTQ"/>
              <w:jc w:val="right"/>
              <w:rPr>
                <w:rFonts w:ascii="Verdana" w:eastAsia="Verdana" w:hAnsi="Verdana" w:cs="Verdana"/>
                <w:i/>
                <w:noProof/>
                <w:color w:val="000000"/>
                <w:sz w:val="18"/>
              </w:rPr>
            </w:pPr>
            <w:r>
              <w:rPr>
                <w:rFonts w:ascii="Verdana" w:hAnsi="Verdana"/>
                <w:i/>
                <w:noProof/>
                <w:color w:val="000000"/>
                <w:sz w:val="18"/>
              </w:rPr>
              <w:t>1 789</w:t>
            </w:r>
          </w:p>
        </w:tc>
      </w:tr>
      <w:tr>
        <w:trPr>
          <w:trHeight w:val="255"/>
        </w:trPr>
        <w:tc>
          <w:tcPr>
            <w:tcW w:w="2833" w:type="dxa"/>
            <w:tcBorders>
              <w:top w:val="nil"/>
              <w:left w:val="nil"/>
              <w:bottom w:val="single" w:sz="4" w:space="0" w:color="016794"/>
              <w:right w:val="nil"/>
              <w:tl2br w:val="nil"/>
              <w:tr2bl w:val="nil"/>
            </w:tcBorders>
            <w:tcMar>
              <w:left w:w="60" w:type="dxa"/>
              <w:right w:w="60" w:type="dxa"/>
            </w:tcMar>
            <w:vAlign w:val="center"/>
          </w:tcPr>
          <w:p>
            <w:pPr>
              <w:pStyle w:val="DMETW36755BIPEXRCTQ"/>
              <w:rPr>
                <w:rFonts w:ascii="Verdana" w:eastAsia="Verdana" w:hAnsi="Verdana" w:cs="Verdana"/>
                <w:i/>
                <w:noProof/>
                <w:color w:val="000000"/>
                <w:sz w:val="18"/>
              </w:rPr>
            </w:pPr>
            <w:r>
              <w:rPr>
                <w:rFonts w:ascii="Verdana" w:hAnsi="Verdana"/>
                <w:i/>
                <w:noProof/>
                <w:color w:val="000000"/>
                <w:sz w:val="18"/>
              </w:rPr>
              <w:t>Déduction de la correction de valeur pour pertes</w:t>
            </w:r>
          </w:p>
        </w:tc>
        <w:tc>
          <w:tcPr>
            <w:tcW w:w="993" w:type="dxa"/>
            <w:tcBorders>
              <w:top w:val="nil"/>
              <w:left w:val="nil"/>
              <w:bottom w:val="single" w:sz="4" w:space="0" w:color="016794"/>
              <w:right w:val="nil"/>
              <w:tl2br w:val="nil"/>
              <w:tr2bl w:val="nil"/>
            </w:tcBorders>
            <w:tcMar>
              <w:left w:w="60" w:type="dxa"/>
              <w:right w:w="60" w:type="dxa"/>
            </w:tcMar>
            <w:vAlign w:val="center"/>
          </w:tcPr>
          <w:p>
            <w:pPr>
              <w:pStyle w:val="DMETW36755BIPEXRCTQ"/>
              <w:jc w:val="right"/>
              <w:rPr>
                <w:rFonts w:ascii="Verdana" w:eastAsia="Verdana" w:hAnsi="Verdana" w:cs="Verdana"/>
                <w:noProof/>
                <w:color w:val="000000"/>
                <w:sz w:val="18"/>
              </w:rPr>
            </w:pPr>
            <w:r>
              <w:rPr>
                <w:rFonts w:ascii="Verdana" w:hAnsi="Verdana"/>
                <w:noProof/>
                <w:color w:val="000000"/>
                <w:sz w:val="18"/>
              </w:rPr>
              <w:t xml:space="preserve"> (5)</w:t>
            </w:r>
          </w:p>
        </w:tc>
        <w:tc>
          <w:tcPr>
            <w:tcW w:w="1275" w:type="dxa"/>
            <w:tcBorders>
              <w:top w:val="nil"/>
              <w:left w:val="nil"/>
              <w:bottom w:val="single" w:sz="4" w:space="0" w:color="016794"/>
              <w:right w:val="nil"/>
              <w:tl2br w:val="nil"/>
              <w:tr2bl w:val="nil"/>
            </w:tcBorders>
            <w:tcMar>
              <w:left w:w="60" w:type="dxa"/>
              <w:right w:w="60" w:type="dxa"/>
            </w:tcMar>
            <w:vAlign w:val="center"/>
          </w:tcPr>
          <w:p>
            <w:pPr>
              <w:pStyle w:val="DMETW36755BIPEXRCTQ"/>
              <w:jc w:val="right"/>
              <w:rPr>
                <w:rFonts w:ascii="Verdana" w:eastAsia="Verdana" w:hAnsi="Verdana" w:cs="Verdana"/>
                <w:noProof/>
                <w:color w:val="000000"/>
                <w:sz w:val="18"/>
              </w:rPr>
            </w:pPr>
            <w:r>
              <w:rPr>
                <w:rFonts w:ascii="Verdana" w:hAnsi="Verdana"/>
                <w:noProof/>
                <w:color w:val="000000"/>
                <w:sz w:val="18"/>
              </w:rPr>
              <w:t xml:space="preserve"> (2)</w:t>
            </w:r>
          </w:p>
        </w:tc>
        <w:tc>
          <w:tcPr>
            <w:tcW w:w="1276" w:type="dxa"/>
            <w:tcBorders>
              <w:top w:val="nil"/>
              <w:left w:val="nil"/>
              <w:bottom w:val="single" w:sz="4" w:space="0" w:color="016794"/>
              <w:right w:val="nil"/>
              <w:tl2br w:val="nil"/>
              <w:tr2bl w:val="nil"/>
            </w:tcBorders>
            <w:tcMar>
              <w:left w:w="60" w:type="dxa"/>
              <w:right w:w="60" w:type="dxa"/>
            </w:tcMar>
            <w:vAlign w:val="center"/>
          </w:tcPr>
          <w:p>
            <w:pPr>
              <w:pStyle w:val="DMETW36755BIPEXRCTQ"/>
              <w:jc w:val="right"/>
              <w:rPr>
                <w:rFonts w:ascii="Verdana" w:eastAsia="Verdana" w:hAnsi="Verdana" w:cs="Verdana"/>
                <w:noProof/>
                <w:color w:val="000000"/>
                <w:sz w:val="18"/>
              </w:rPr>
            </w:pPr>
            <w:r>
              <w:rPr>
                <w:rFonts w:ascii="Verdana" w:hAnsi="Verdana"/>
                <w:noProof/>
                <w:color w:val="000000"/>
                <w:sz w:val="18"/>
              </w:rPr>
              <w:t xml:space="preserve"> (3)</w:t>
            </w:r>
          </w:p>
        </w:tc>
        <w:tc>
          <w:tcPr>
            <w:tcW w:w="1134" w:type="dxa"/>
            <w:tcBorders>
              <w:top w:val="nil"/>
              <w:left w:val="nil"/>
              <w:bottom w:val="single" w:sz="4" w:space="0" w:color="016794"/>
              <w:right w:val="nil"/>
              <w:tl2br w:val="nil"/>
              <w:tr2bl w:val="nil"/>
            </w:tcBorders>
            <w:tcMar>
              <w:left w:w="60" w:type="dxa"/>
              <w:right w:w="60" w:type="dxa"/>
            </w:tcMar>
            <w:vAlign w:val="center"/>
          </w:tcPr>
          <w:p>
            <w:pPr>
              <w:pStyle w:val="DMETW36755BIPEXRCTQ"/>
              <w:jc w:val="right"/>
              <w:rPr>
                <w:rFonts w:ascii="Verdana" w:eastAsia="Verdana" w:hAnsi="Verdana" w:cs="Verdana"/>
                <w:noProof/>
                <w:color w:val="000000"/>
                <w:sz w:val="18"/>
              </w:rPr>
            </w:pPr>
            <w:r>
              <w:rPr>
                <w:rFonts w:ascii="Verdana" w:hAnsi="Verdana"/>
                <w:noProof/>
                <w:color w:val="000000"/>
                <w:sz w:val="18"/>
              </w:rPr>
              <w:t xml:space="preserve"> (13)</w:t>
            </w:r>
          </w:p>
        </w:tc>
        <w:tc>
          <w:tcPr>
            <w:tcW w:w="1134" w:type="dxa"/>
            <w:tcBorders>
              <w:top w:val="nil"/>
              <w:left w:val="nil"/>
              <w:bottom w:val="single" w:sz="4" w:space="0" w:color="016794"/>
              <w:right w:val="nil"/>
              <w:tl2br w:val="nil"/>
              <w:tr2bl w:val="nil"/>
            </w:tcBorders>
            <w:tcMar>
              <w:left w:w="60" w:type="dxa"/>
              <w:right w:w="60" w:type="dxa"/>
            </w:tcMar>
            <w:vAlign w:val="center"/>
          </w:tcPr>
          <w:p>
            <w:pPr>
              <w:pStyle w:val="DMETW36755BIPEXRCTQ"/>
              <w:jc w:val="right"/>
              <w:rPr>
                <w:rFonts w:ascii="Verdana" w:eastAsia="Verdana" w:hAnsi="Verdana" w:cs="Verdana"/>
                <w:noProof/>
                <w:color w:val="000000"/>
                <w:sz w:val="18"/>
              </w:rPr>
            </w:pPr>
            <w:r>
              <w:rPr>
                <w:rFonts w:ascii="Verdana" w:hAnsi="Verdana"/>
                <w:noProof/>
                <w:color w:val="000000"/>
                <w:sz w:val="18"/>
              </w:rPr>
              <w:t xml:space="preserve"> (115)</w:t>
            </w:r>
          </w:p>
        </w:tc>
        <w:tc>
          <w:tcPr>
            <w:tcW w:w="1113" w:type="dxa"/>
            <w:tcBorders>
              <w:top w:val="nil"/>
              <w:left w:val="nil"/>
              <w:bottom w:val="single" w:sz="4" w:space="0" w:color="000000"/>
              <w:right w:val="nil"/>
              <w:tl2br w:val="nil"/>
              <w:tr2bl w:val="nil"/>
            </w:tcBorders>
            <w:tcMar>
              <w:left w:w="60" w:type="dxa"/>
              <w:right w:w="60" w:type="dxa"/>
            </w:tcMar>
            <w:vAlign w:val="center"/>
          </w:tcPr>
          <w:p>
            <w:pPr>
              <w:pStyle w:val="DMETW36755BIPEXRCTQ"/>
              <w:jc w:val="right"/>
              <w:rPr>
                <w:rFonts w:ascii="Verdana" w:eastAsia="Verdana" w:hAnsi="Verdana" w:cs="Verdana"/>
                <w:i/>
                <w:noProof/>
                <w:color w:val="000000"/>
                <w:sz w:val="18"/>
              </w:rPr>
            </w:pPr>
            <w:r>
              <w:rPr>
                <w:rFonts w:ascii="Verdana" w:hAnsi="Verdana"/>
                <w:i/>
                <w:noProof/>
                <w:color w:val="000000"/>
                <w:sz w:val="18"/>
              </w:rPr>
              <w:t xml:space="preserve"> (138)</w:t>
            </w:r>
          </w:p>
        </w:tc>
      </w:tr>
      <w:tr>
        <w:trPr>
          <w:trHeight w:val="255"/>
        </w:trPr>
        <w:tc>
          <w:tcPr>
            <w:tcW w:w="283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5BIPEXRCTQ"/>
              <w:rPr>
                <w:rFonts w:ascii="Verdana" w:eastAsia="Verdana" w:hAnsi="Verdana" w:cs="Verdana"/>
                <w:b/>
                <w:noProof/>
                <w:color w:val="000000"/>
                <w:sz w:val="18"/>
              </w:rPr>
            </w:pPr>
            <w:r>
              <w:rPr>
                <w:rFonts w:ascii="Verdana" w:hAnsi="Verdana"/>
                <w:b/>
                <w:noProof/>
                <w:color w:val="000000"/>
                <w:sz w:val="18"/>
              </w:rPr>
              <w:t>Valeur nette comptable au 31.12.2024</w:t>
            </w:r>
          </w:p>
        </w:tc>
        <w:tc>
          <w:tcPr>
            <w:tcW w:w="99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5BIPEXRCTQ"/>
              <w:jc w:val="right"/>
              <w:rPr>
                <w:rFonts w:ascii="Verdana" w:eastAsia="Verdana" w:hAnsi="Verdana" w:cs="Verdana"/>
                <w:b/>
                <w:noProof/>
                <w:color w:val="000000"/>
                <w:sz w:val="18"/>
              </w:rPr>
            </w:pPr>
            <w:r>
              <w:rPr>
                <w:rFonts w:ascii="Verdana" w:hAnsi="Verdana"/>
                <w:b/>
                <w:noProof/>
                <w:color w:val="000000"/>
                <w:sz w:val="18"/>
              </w:rPr>
              <w:t>1 502</w:t>
            </w:r>
          </w:p>
        </w:tc>
        <w:tc>
          <w:tcPr>
            <w:tcW w:w="127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5BIPEXRCTQ"/>
              <w:jc w:val="right"/>
              <w:rPr>
                <w:rFonts w:ascii="Verdana" w:eastAsia="Verdana" w:hAnsi="Verdana" w:cs="Verdana"/>
                <w:b/>
                <w:noProof/>
                <w:color w:val="000000"/>
                <w:sz w:val="18"/>
              </w:rPr>
            </w:pPr>
            <w:r>
              <w:rPr>
                <w:rFonts w:ascii="Verdana" w:hAnsi="Verdana"/>
                <w:b/>
                <w:noProof/>
                <w:color w:val="000000"/>
                <w:sz w:val="18"/>
              </w:rPr>
              <w:t xml:space="preserve"> 13</w:t>
            </w:r>
          </w:p>
        </w:tc>
        <w:tc>
          <w:tcPr>
            <w:tcW w:w="127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5BIPEXRCTQ"/>
              <w:jc w:val="right"/>
              <w:rPr>
                <w:rFonts w:ascii="Verdana" w:eastAsia="Verdana" w:hAnsi="Verdana" w:cs="Verdana"/>
                <w:b/>
                <w:noProof/>
                <w:color w:val="000000"/>
                <w:sz w:val="18"/>
              </w:rPr>
            </w:pPr>
            <w:r>
              <w:rPr>
                <w:rFonts w:ascii="Verdana" w:hAnsi="Verdana"/>
                <w:b/>
                <w:noProof/>
                <w:color w:val="000000"/>
                <w:sz w:val="18"/>
              </w:rPr>
              <w:t xml:space="preserve"> 30</w:t>
            </w:r>
          </w:p>
        </w:tc>
        <w:tc>
          <w:tcPr>
            <w:tcW w:w="113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5BIPEXRCTQ"/>
              <w:jc w:val="right"/>
              <w:rPr>
                <w:rFonts w:ascii="Verdana" w:eastAsia="Verdana" w:hAnsi="Verdana" w:cs="Verdana"/>
                <w:b/>
                <w:noProof/>
                <w:color w:val="000000"/>
                <w:sz w:val="18"/>
              </w:rPr>
            </w:pPr>
            <w:r>
              <w:rPr>
                <w:rFonts w:ascii="Verdana" w:hAnsi="Verdana"/>
                <w:b/>
                <w:noProof/>
                <w:color w:val="000000"/>
                <w:sz w:val="18"/>
              </w:rPr>
              <w:t xml:space="preserve"> 14</w:t>
            </w:r>
          </w:p>
        </w:tc>
        <w:tc>
          <w:tcPr>
            <w:tcW w:w="113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5BIPEXRCTQ"/>
              <w:jc w:val="right"/>
              <w:rPr>
                <w:rFonts w:ascii="Verdana" w:eastAsia="Verdana" w:hAnsi="Verdana" w:cs="Verdana"/>
                <w:b/>
                <w:noProof/>
                <w:color w:val="000000"/>
                <w:sz w:val="18"/>
              </w:rPr>
            </w:pPr>
            <w:r>
              <w:rPr>
                <w:rFonts w:ascii="Verdana" w:hAnsi="Verdana"/>
                <w:b/>
                <w:noProof/>
                <w:color w:val="000000"/>
                <w:sz w:val="18"/>
              </w:rPr>
              <w:t xml:space="preserve"> 92</w:t>
            </w:r>
          </w:p>
        </w:tc>
        <w:tc>
          <w:tcPr>
            <w:tcW w:w="1113" w:type="dxa"/>
            <w:tcBorders>
              <w:top w:val="single" w:sz="4" w:space="0" w:color="000000"/>
              <w:left w:val="nil"/>
              <w:bottom w:val="single" w:sz="4" w:space="0" w:color="000000"/>
              <w:right w:val="nil"/>
              <w:tl2br w:val="nil"/>
              <w:tr2bl w:val="nil"/>
            </w:tcBorders>
            <w:tcMar>
              <w:left w:w="60" w:type="dxa"/>
              <w:right w:w="60" w:type="dxa"/>
            </w:tcMar>
            <w:vAlign w:val="center"/>
          </w:tcPr>
          <w:p>
            <w:pPr>
              <w:pStyle w:val="DMETW36755BIPEXRCTQ"/>
              <w:jc w:val="right"/>
              <w:rPr>
                <w:rFonts w:ascii="Verdana" w:eastAsia="Verdana" w:hAnsi="Verdana" w:cs="Verdana"/>
                <w:b/>
                <w:noProof/>
                <w:color w:val="000000"/>
                <w:sz w:val="18"/>
              </w:rPr>
            </w:pPr>
            <w:r>
              <w:rPr>
                <w:rFonts w:ascii="Verdana" w:hAnsi="Verdana"/>
                <w:b/>
                <w:noProof/>
                <w:color w:val="000000"/>
                <w:sz w:val="18"/>
              </w:rPr>
              <w:t>1 652</w:t>
            </w:r>
          </w:p>
        </w:tc>
      </w:tr>
    </w:tbl>
    <w:p>
      <w:pPr>
        <w:pStyle w:val="Textstand-alone"/>
        <w:spacing w:before="60"/>
        <w:rPr>
          <w:i/>
          <w:sz w:val="14"/>
          <w:szCs w:val="14"/>
        </w:rPr>
      </w:pPr>
      <w:r>
        <w:rPr>
          <w:i/>
          <w:sz w:val="14"/>
        </w:rPr>
        <w:t>Les montants figurant dans ce tableau n’incluent ni les charges à reporter ni la branche receveur du CGF évaluée à la JVCR (voir note 2.6.2), étant donné qu’elles ne sont pas soumises aux exigences en matière de dépréciation.</w:t>
      </w:r>
    </w:p>
    <w:p>
      <w:pPr>
        <w:pStyle w:val="HEADER5"/>
        <w:spacing w:before="240"/>
        <w:rPr>
          <w:noProof/>
        </w:rPr>
      </w:pPr>
      <w:r>
        <w:rPr>
          <w:noProof/>
        </w:rPr>
        <w:t>Actifs financiers à la JVCR – titres de créance: qualité de crédit</w:t>
      </w:r>
    </w:p>
    <w:p>
      <w:pPr>
        <w:pStyle w:val="DGTextstand-alone"/>
        <w:spacing w:after="120"/>
        <w:rPr>
          <w:i/>
        </w:rPr>
      </w:pPr>
      <w:r>
        <w:rPr>
          <w:i/>
        </w:rPr>
        <w:t>Fonds commun de provisionnement</w:t>
      </w:r>
    </w:p>
    <w:p>
      <w:pPr>
        <w:pStyle w:val="DGTextstand-alone"/>
      </w:pPr>
      <w:r>
        <w:t>La notation de crédit moyenne pondérée du portefeuille du FCP est A (S&amp;P ou équivalent).</w:t>
      </w:r>
    </w:p>
    <w:p>
      <w:pPr>
        <w:pStyle w:val="DGTextstand-alone"/>
        <w:spacing w:after="120"/>
        <w:rPr>
          <w:i/>
        </w:rPr>
      </w:pPr>
      <w:r>
        <w:rPr>
          <w:i/>
        </w:rPr>
        <w:t>Amendes encaissées à titre provisionnel: portefeuille BUFI</w:t>
      </w:r>
    </w:p>
    <w:p>
      <w:pPr>
        <w:pStyle w:val="DGTextstand-alone"/>
        <w:spacing w:before="0" w:after="120"/>
        <w:rPr>
          <w:iCs/>
        </w:rPr>
      </w:pPr>
      <w:r>
        <w:t>La notation de crédit moyenne pondérée du portefeuille est A (S&amp;P ou équivalent).</w:t>
      </w:r>
    </w:p>
    <w:p>
      <w:pPr>
        <w:pStyle w:val="DGTextstand-alone"/>
        <w:spacing w:after="120"/>
        <w:rPr>
          <w:i/>
        </w:rPr>
      </w:pPr>
      <w:r>
        <w:rPr>
          <w:i/>
        </w:rPr>
        <w:t>Garanties financières reçues</w:t>
      </w:r>
    </w:p>
    <w:p>
      <w:pPr>
        <w:pStyle w:val="DGTextstand-alone"/>
      </w:pPr>
      <w:r>
        <w:t>La politique de gestion des risques appliquée pour l’acceptation de garanties assure une grande qualité de crédit pour la Commission. Cette politique définit notamment</w:t>
      </w:r>
    </w:p>
    <w:p>
      <w:pPr>
        <w:pStyle w:val="DGTextstand-alonedashesjustified"/>
        <w:numPr>
          <w:ilvl w:val="0"/>
          <w:numId w:val="22"/>
        </w:numPr>
      </w:pPr>
      <w:r>
        <w:t>l’exposition maximale au risque de crédit sur la base de la notation de crédit et du niveau du capital d’une entité du secteur financier, tels qu’ils sont présentés dans ses états financiers IFRS;</w:t>
      </w:r>
    </w:p>
    <w:p>
      <w:pPr>
        <w:pStyle w:val="DGTextstand-alonedashesjustified"/>
        <w:numPr>
          <w:ilvl w:val="0"/>
          <w:numId w:val="22"/>
        </w:numPr>
      </w:pPr>
      <w:r>
        <w:t>l’évaluation régulière de la conformité des garanties en cours avec les exigences politiques.</w:t>
      </w:r>
    </w:p>
    <w:p>
      <w:pPr>
        <w:pStyle w:val="DGTextstand-alone"/>
        <w:spacing w:after="120"/>
        <w:rPr>
          <w:i/>
        </w:rPr>
      </w:pPr>
      <w:r>
        <w:rPr>
          <w:i/>
        </w:rPr>
        <w:t>CECA en liq.</w:t>
      </w:r>
    </w:p>
    <w:p>
      <w:pPr>
        <w:pStyle w:val="DGTextstand-alone"/>
      </w:pPr>
      <w:r>
        <w:t>La notation de crédit moyenne pondérée du portefeuille est A- (S&amp;P ou équivalent).</w:t>
      </w:r>
    </w:p>
    <w:p>
      <w:pPr>
        <w:pStyle w:val="HEADER5"/>
        <w:keepNext/>
        <w:spacing w:before="240"/>
        <w:rPr>
          <w:noProof/>
        </w:rPr>
      </w:pPr>
      <w:r>
        <w:rPr>
          <w:noProof/>
        </w:rPr>
        <w:lastRenderedPageBreak/>
        <w:t>Actifs financiers à la JVCR – dérivés: qualité de crédit</w:t>
      </w:r>
    </w:p>
    <w:p>
      <w:pPr>
        <w:pStyle w:val="DGTextstand-alone"/>
      </w:pPr>
      <w:r>
        <w:t>Les actifs dérivés de l’UE correspondent principalement aux garanties sur portefeuilles d’instruments de fonds propres. Le risque de crédit est limité au risque de contrepartie. La garantie sur portefeuilles d’instruments de fonds propres sera réglée principalement avec le groupe BEI, qui est noté AAA, réduisant ainsi le risque de crédit.</w:t>
      </w:r>
    </w:p>
    <w:p>
      <w:pPr>
        <w:pStyle w:val="DGTextstand-alone"/>
      </w:pPr>
      <w:r>
        <w:t>L’unique contrepartie pour tous les contrats de change à terme en cours au 31 décembre 2025 était la Banque des règlements internationaux. En conséquence, aucun rehaussement du crédit, tel que des instruments de garantie ou des garanties, n’est nécessaire.</w:t>
      </w:r>
    </w:p>
    <w:p>
      <w:pPr>
        <w:pStyle w:val="HEADER5"/>
        <w:rPr>
          <w:noProof/>
        </w:rPr>
      </w:pPr>
      <w:r>
        <w:rPr>
          <w:noProof/>
        </w:rPr>
        <w:t>Contrats de garantie financière: qualité de crédit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96"/>
        <w:gridCol w:w="1206"/>
        <w:gridCol w:w="1206"/>
        <w:gridCol w:w="1106"/>
        <w:gridCol w:w="1224"/>
        <w:gridCol w:w="1124"/>
        <w:gridCol w:w="1396"/>
      </w:tblGrid>
      <w:tr>
        <w:trPr>
          <w:trHeight w:val="255"/>
        </w:trPr>
        <w:tc>
          <w:tcPr>
            <w:tcW w:w="2496" w:type="dxa"/>
            <w:tcBorders>
              <w:top w:val="nil"/>
              <w:left w:val="nil"/>
              <w:bottom w:val="nil"/>
              <w:right w:val="nil"/>
              <w:tl2br w:val="nil"/>
              <w:tr2bl w:val="nil"/>
            </w:tcBorders>
            <w:shd w:val="solid" w:color="FFFFFF" w:fill="FFFFFF"/>
            <w:tcMar>
              <w:left w:w="60" w:type="dxa"/>
              <w:right w:w="60" w:type="dxa"/>
            </w:tcMar>
            <w:vAlign w:val="center"/>
          </w:tcPr>
          <w:p>
            <w:pPr>
              <w:pStyle w:val="DMETW36571BIPFGCTQ"/>
              <w:rPr>
                <w:rFonts w:ascii="Verdana" w:eastAsia="Verdana" w:hAnsi="Verdana" w:cs="Verdana"/>
                <w:b/>
                <w:noProof/>
                <w:color w:val="FF0000"/>
                <w:sz w:val="18"/>
              </w:rPr>
            </w:pPr>
            <w:bookmarkStart w:id="233" w:name="DOC_TBL00100_1_1"/>
            <w:bookmarkEnd w:id="233"/>
          </w:p>
        </w:tc>
        <w:tc>
          <w:tcPr>
            <w:tcW w:w="1206" w:type="dxa"/>
            <w:tcBorders>
              <w:top w:val="nil"/>
              <w:left w:val="nil"/>
              <w:bottom w:val="nil"/>
              <w:right w:val="nil"/>
              <w:tl2br w:val="nil"/>
              <w:tr2bl w:val="nil"/>
            </w:tcBorders>
            <w:tcMar>
              <w:left w:w="60" w:type="dxa"/>
              <w:right w:w="60" w:type="dxa"/>
            </w:tcMar>
            <w:vAlign w:val="center"/>
          </w:tcPr>
          <w:p>
            <w:pPr>
              <w:pStyle w:val="DMETW36571BIPFGCTQ"/>
              <w:rPr>
                <w:rFonts w:ascii="Verdana" w:eastAsia="Verdana" w:hAnsi="Verdana" w:cs="Verdana"/>
                <w:noProof/>
                <w:color w:val="000000"/>
                <w:sz w:val="18"/>
              </w:rPr>
            </w:pPr>
          </w:p>
        </w:tc>
        <w:tc>
          <w:tcPr>
            <w:tcW w:w="1206" w:type="dxa"/>
            <w:tcBorders>
              <w:top w:val="nil"/>
              <w:left w:val="nil"/>
              <w:bottom w:val="nil"/>
              <w:right w:val="nil"/>
              <w:tl2br w:val="nil"/>
              <w:tr2bl w:val="nil"/>
            </w:tcBorders>
            <w:tcMar>
              <w:left w:w="60" w:type="dxa"/>
              <w:right w:w="60" w:type="dxa"/>
            </w:tcMar>
            <w:vAlign w:val="center"/>
          </w:tcPr>
          <w:p>
            <w:pPr>
              <w:pStyle w:val="DMETW36571BIPFGCTQ"/>
              <w:rPr>
                <w:rFonts w:ascii="Verdana" w:eastAsia="Verdana" w:hAnsi="Verdana" w:cs="Verdana"/>
                <w:noProof/>
                <w:color w:val="000000"/>
                <w:sz w:val="18"/>
              </w:rPr>
            </w:pPr>
          </w:p>
        </w:tc>
        <w:tc>
          <w:tcPr>
            <w:tcW w:w="1106" w:type="dxa"/>
            <w:tcBorders>
              <w:top w:val="nil"/>
              <w:left w:val="nil"/>
              <w:bottom w:val="nil"/>
              <w:right w:val="nil"/>
              <w:tl2br w:val="nil"/>
              <w:tr2bl w:val="nil"/>
            </w:tcBorders>
            <w:tcMar>
              <w:left w:w="60" w:type="dxa"/>
              <w:right w:w="60" w:type="dxa"/>
            </w:tcMar>
            <w:vAlign w:val="bottom"/>
          </w:tcPr>
          <w:p>
            <w:pPr>
              <w:pStyle w:val="DMETW36571BIPFGCTQ"/>
              <w:jc w:val="right"/>
              <w:rPr>
                <w:rFonts w:ascii="Verdana" w:eastAsia="Verdana" w:hAnsi="Verdana" w:cs="Verdana"/>
                <w:i/>
                <w:noProof/>
                <w:color w:val="000000"/>
                <w:sz w:val="18"/>
              </w:rPr>
            </w:pPr>
          </w:p>
        </w:tc>
        <w:tc>
          <w:tcPr>
            <w:tcW w:w="1224" w:type="dxa"/>
            <w:tcBorders>
              <w:top w:val="nil"/>
              <w:left w:val="nil"/>
              <w:bottom w:val="nil"/>
              <w:right w:val="nil"/>
              <w:tl2br w:val="nil"/>
              <w:tr2bl w:val="nil"/>
            </w:tcBorders>
            <w:tcMar>
              <w:left w:w="60" w:type="dxa"/>
              <w:right w:w="60" w:type="dxa"/>
            </w:tcMar>
            <w:vAlign w:val="center"/>
          </w:tcPr>
          <w:p>
            <w:pPr>
              <w:pStyle w:val="DMETW36571BIPFGCTQ"/>
              <w:rPr>
                <w:rFonts w:ascii="Verdana" w:eastAsia="Verdana" w:hAnsi="Verdana" w:cs="Verdana"/>
                <w:noProof/>
                <w:color w:val="000000"/>
                <w:sz w:val="18"/>
              </w:rPr>
            </w:pPr>
          </w:p>
        </w:tc>
        <w:tc>
          <w:tcPr>
            <w:tcW w:w="1124" w:type="dxa"/>
            <w:tcBorders>
              <w:top w:val="nil"/>
              <w:left w:val="nil"/>
              <w:bottom w:val="nil"/>
              <w:right w:val="nil"/>
              <w:tl2br w:val="nil"/>
              <w:tr2bl w:val="nil"/>
            </w:tcBorders>
            <w:tcMar>
              <w:left w:w="60" w:type="dxa"/>
              <w:right w:w="60" w:type="dxa"/>
            </w:tcMar>
            <w:vAlign w:val="center"/>
          </w:tcPr>
          <w:p>
            <w:pPr>
              <w:pStyle w:val="DMETW36571BIPFGCTQ"/>
              <w:rPr>
                <w:rFonts w:ascii="Verdana" w:eastAsia="Verdana" w:hAnsi="Verdana" w:cs="Verdana"/>
                <w:noProof/>
                <w:color w:val="000000"/>
                <w:sz w:val="18"/>
              </w:rPr>
            </w:pPr>
          </w:p>
        </w:tc>
        <w:tc>
          <w:tcPr>
            <w:tcW w:w="1396" w:type="dxa"/>
            <w:tcBorders>
              <w:top w:val="nil"/>
              <w:left w:val="nil"/>
              <w:bottom w:val="nil"/>
              <w:right w:val="nil"/>
              <w:tl2br w:val="nil"/>
              <w:tr2bl w:val="nil"/>
            </w:tcBorders>
            <w:tcMar>
              <w:left w:w="60" w:type="dxa"/>
              <w:right w:w="60" w:type="dxa"/>
            </w:tcMar>
            <w:vAlign w:val="bottom"/>
          </w:tcPr>
          <w:p>
            <w:pPr>
              <w:pStyle w:val="DMETW36571BIPFGCTQ"/>
              <w:jc w:val="right"/>
              <w:rPr>
                <w:rFonts w:ascii="Verdana" w:eastAsia="Verdana" w:hAnsi="Verdana" w:cs="Verdana"/>
                <w:i/>
                <w:noProof/>
                <w:color w:val="000000"/>
                <w:sz w:val="18"/>
              </w:rPr>
            </w:pPr>
            <w:r>
              <w:rPr>
                <w:rFonts w:ascii="Verdana" w:hAnsi="Verdana"/>
                <w:i/>
                <w:noProof/>
                <w:color w:val="000000"/>
                <w:sz w:val="18"/>
              </w:rPr>
              <w:t>en Mio EUR</w:t>
            </w:r>
          </w:p>
        </w:tc>
      </w:tr>
      <w:tr>
        <w:trPr>
          <w:trHeight w:val="255"/>
        </w:trPr>
        <w:tc>
          <w:tcPr>
            <w:tcW w:w="2496" w:type="dxa"/>
            <w:tcBorders>
              <w:top w:val="nil"/>
              <w:left w:val="nil"/>
              <w:bottom w:val="nil"/>
              <w:right w:val="nil"/>
              <w:tl2br w:val="nil"/>
              <w:tr2bl w:val="nil"/>
            </w:tcBorders>
            <w:shd w:val="solid" w:color="016794" w:fill="FFFFFF"/>
            <w:tcMar>
              <w:left w:w="60" w:type="dxa"/>
              <w:right w:w="60" w:type="dxa"/>
            </w:tcMar>
            <w:vAlign w:val="center"/>
          </w:tcPr>
          <w:p>
            <w:pPr>
              <w:pStyle w:val="DMETW36571BIPFGCTQ"/>
              <w:rPr>
                <w:rFonts w:ascii="Verdana" w:eastAsia="Verdana" w:hAnsi="Verdana" w:cs="Verdana"/>
                <w:b/>
                <w:noProof/>
                <w:color w:val="FFFFFF"/>
                <w:sz w:val="18"/>
              </w:rPr>
            </w:pPr>
          </w:p>
        </w:tc>
        <w:tc>
          <w:tcPr>
            <w:tcW w:w="1206" w:type="dxa"/>
            <w:tcBorders>
              <w:top w:val="nil"/>
              <w:left w:val="nil"/>
              <w:bottom w:val="nil"/>
              <w:right w:val="nil"/>
              <w:tl2br w:val="nil"/>
              <w:tr2bl w:val="nil"/>
            </w:tcBorders>
            <w:shd w:val="solid" w:color="016794" w:fill="FFFFFF"/>
            <w:tcMar>
              <w:left w:w="60" w:type="dxa"/>
              <w:right w:w="60" w:type="dxa"/>
            </w:tcMar>
            <w:vAlign w:val="center"/>
          </w:tcPr>
          <w:p>
            <w:pPr>
              <w:pStyle w:val="DMETW36571BIPFGCTQ"/>
              <w:jc w:val="right"/>
              <w:rPr>
                <w:rFonts w:ascii="Verdana" w:eastAsia="Verdana" w:hAnsi="Verdana" w:cs="Verdana"/>
                <w:noProof/>
                <w:color w:val="FFFFFF"/>
                <w:sz w:val="18"/>
              </w:rPr>
            </w:pPr>
            <w:r>
              <w:rPr>
                <w:rFonts w:ascii="Verdana" w:hAnsi="Verdana"/>
                <w:noProof/>
                <w:color w:val="FFFFFF"/>
                <w:sz w:val="18"/>
              </w:rPr>
              <w:t>31.12.2025</w:t>
            </w:r>
          </w:p>
        </w:tc>
        <w:tc>
          <w:tcPr>
            <w:tcW w:w="1206" w:type="dxa"/>
            <w:tcBorders>
              <w:top w:val="nil"/>
              <w:left w:val="nil"/>
              <w:bottom w:val="nil"/>
              <w:right w:val="nil"/>
              <w:tl2br w:val="nil"/>
              <w:tr2bl w:val="nil"/>
            </w:tcBorders>
            <w:shd w:val="solid" w:color="016794" w:fill="FFFFFF"/>
            <w:tcMar>
              <w:left w:w="60" w:type="dxa"/>
              <w:right w:w="60" w:type="dxa"/>
            </w:tcMar>
            <w:vAlign w:val="center"/>
          </w:tcPr>
          <w:p>
            <w:pPr>
              <w:pStyle w:val="DMETW36571BIPFGCTQ"/>
              <w:rPr>
                <w:rFonts w:ascii="Verdana" w:eastAsia="Verdana" w:hAnsi="Verdana" w:cs="Verdana"/>
                <w:noProof/>
                <w:color w:val="FFFFFF"/>
                <w:sz w:val="18"/>
              </w:rPr>
            </w:pPr>
          </w:p>
        </w:tc>
        <w:tc>
          <w:tcPr>
            <w:tcW w:w="1106" w:type="dxa"/>
            <w:tcBorders>
              <w:top w:val="nil"/>
              <w:left w:val="nil"/>
              <w:bottom w:val="nil"/>
              <w:right w:val="nil"/>
              <w:tl2br w:val="nil"/>
              <w:tr2bl w:val="nil"/>
            </w:tcBorders>
            <w:shd w:val="solid" w:color="016794" w:fill="FFFFFF"/>
            <w:tcMar>
              <w:left w:w="60" w:type="dxa"/>
              <w:right w:w="60" w:type="dxa"/>
            </w:tcMar>
            <w:vAlign w:val="center"/>
          </w:tcPr>
          <w:p>
            <w:pPr>
              <w:pStyle w:val="DMETW36571BIPFGCTQ"/>
              <w:rPr>
                <w:rFonts w:ascii="Verdana" w:eastAsia="Verdana" w:hAnsi="Verdana" w:cs="Verdana"/>
                <w:noProof/>
                <w:color w:val="FFFFFF"/>
                <w:sz w:val="18"/>
              </w:rPr>
            </w:pPr>
          </w:p>
        </w:tc>
        <w:tc>
          <w:tcPr>
            <w:tcW w:w="1224" w:type="dxa"/>
            <w:tcBorders>
              <w:top w:val="nil"/>
              <w:left w:val="nil"/>
              <w:bottom w:val="nil"/>
              <w:right w:val="nil"/>
              <w:tl2br w:val="nil"/>
              <w:tr2bl w:val="nil"/>
            </w:tcBorders>
            <w:shd w:val="solid" w:color="016794" w:fill="FFFFFF"/>
            <w:tcMar>
              <w:left w:w="60" w:type="dxa"/>
              <w:right w:w="60" w:type="dxa"/>
            </w:tcMar>
            <w:vAlign w:val="center"/>
          </w:tcPr>
          <w:p>
            <w:pPr>
              <w:pStyle w:val="DMETW36571BIPFGCTQ"/>
              <w:jc w:val="right"/>
              <w:rPr>
                <w:rFonts w:ascii="Verdana" w:eastAsia="Verdana" w:hAnsi="Verdana" w:cs="Verdana"/>
                <w:noProof/>
                <w:color w:val="FFFFFF"/>
                <w:sz w:val="18"/>
              </w:rPr>
            </w:pPr>
            <w:r>
              <w:rPr>
                <w:rFonts w:ascii="Verdana" w:hAnsi="Verdana"/>
                <w:noProof/>
                <w:color w:val="FFFFFF"/>
                <w:sz w:val="18"/>
              </w:rPr>
              <w:t>31.12.2024</w:t>
            </w:r>
          </w:p>
        </w:tc>
        <w:tc>
          <w:tcPr>
            <w:tcW w:w="1124" w:type="dxa"/>
            <w:tcBorders>
              <w:top w:val="nil"/>
              <w:left w:val="nil"/>
              <w:bottom w:val="nil"/>
              <w:right w:val="nil"/>
              <w:tl2br w:val="nil"/>
              <w:tr2bl w:val="nil"/>
            </w:tcBorders>
            <w:shd w:val="solid" w:color="016794" w:fill="FFFFFF"/>
            <w:tcMar>
              <w:left w:w="60" w:type="dxa"/>
              <w:right w:w="60" w:type="dxa"/>
            </w:tcMar>
            <w:vAlign w:val="center"/>
          </w:tcPr>
          <w:p>
            <w:pPr>
              <w:pStyle w:val="DMETW36571BIPFGCTQ"/>
              <w:rPr>
                <w:rFonts w:ascii="Verdana" w:eastAsia="Verdana" w:hAnsi="Verdana" w:cs="Verdana"/>
                <w:noProof/>
                <w:color w:val="FFFFFF"/>
                <w:sz w:val="18"/>
              </w:rPr>
            </w:pPr>
          </w:p>
        </w:tc>
        <w:tc>
          <w:tcPr>
            <w:tcW w:w="1396" w:type="dxa"/>
            <w:tcBorders>
              <w:top w:val="nil"/>
              <w:left w:val="nil"/>
              <w:bottom w:val="nil"/>
              <w:right w:val="nil"/>
              <w:tl2br w:val="nil"/>
              <w:tr2bl w:val="nil"/>
            </w:tcBorders>
            <w:shd w:val="solid" w:color="016794" w:fill="FFFFFF"/>
            <w:tcMar>
              <w:left w:w="60" w:type="dxa"/>
              <w:right w:w="60" w:type="dxa"/>
            </w:tcMar>
            <w:vAlign w:val="center"/>
          </w:tcPr>
          <w:p>
            <w:pPr>
              <w:pStyle w:val="DMETW36571BIPFGCTQ"/>
              <w:rPr>
                <w:rFonts w:ascii="Verdana" w:eastAsia="Verdana" w:hAnsi="Verdana" w:cs="Verdana"/>
                <w:noProof/>
                <w:color w:val="FFFFFF"/>
                <w:sz w:val="18"/>
                <w:lang w:bidi="en-GB"/>
              </w:rPr>
            </w:pPr>
          </w:p>
        </w:tc>
      </w:tr>
      <w:tr>
        <w:trPr>
          <w:trHeight w:val="255"/>
        </w:trPr>
        <w:tc>
          <w:tcPr>
            <w:tcW w:w="2496" w:type="dxa"/>
            <w:tcBorders>
              <w:top w:val="nil"/>
              <w:left w:val="nil"/>
              <w:bottom w:val="nil"/>
              <w:right w:val="nil"/>
              <w:tl2br w:val="nil"/>
              <w:tr2bl w:val="nil"/>
            </w:tcBorders>
            <w:shd w:val="solid" w:color="016794" w:fill="FFFFFF"/>
            <w:tcMar>
              <w:left w:w="60" w:type="dxa"/>
              <w:right w:w="60" w:type="dxa"/>
            </w:tcMar>
            <w:vAlign w:val="center"/>
          </w:tcPr>
          <w:p>
            <w:pPr>
              <w:pStyle w:val="DMETW36571BIPFGCTQ"/>
              <w:jc w:val="center"/>
              <w:rPr>
                <w:rFonts w:ascii="Verdana" w:eastAsia="Verdana" w:hAnsi="Verdana" w:cs="Verdana"/>
                <w:noProof/>
                <w:color w:val="000000"/>
                <w:sz w:val="18"/>
              </w:rPr>
            </w:pPr>
          </w:p>
        </w:tc>
        <w:tc>
          <w:tcPr>
            <w:tcW w:w="1206" w:type="dxa"/>
            <w:tcBorders>
              <w:top w:val="nil"/>
              <w:left w:val="nil"/>
              <w:bottom w:val="nil"/>
              <w:right w:val="nil"/>
              <w:tl2br w:val="nil"/>
              <w:tr2bl w:val="nil"/>
            </w:tcBorders>
            <w:shd w:val="solid" w:color="016794" w:fill="FFFFFF"/>
            <w:tcMar>
              <w:left w:w="60" w:type="dxa"/>
              <w:right w:w="60" w:type="dxa"/>
            </w:tcMar>
          </w:tcPr>
          <w:p>
            <w:pPr>
              <w:pStyle w:val="DMETW36571BIPFGCTQ"/>
              <w:jc w:val="right"/>
              <w:rPr>
                <w:rFonts w:ascii="Verdana" w:eastAsia="Verdana" w:hAnsi="Verdana" w:cs="Verdana"/>
                <w:noProof/>
                <w:color w:val="FFFFFF"/>
                <w:sz w:val="18"/>
              </w:rPr>
            </w:pPr>
            <w:r>
              <w:rPr>
                <w:rFonts w:ascii="Verdana" w:hAnsi="Verdana"/>
                <w:noProof/>
                <w:color w:val="FFFFFF"/>
                <w:sz w:val="18"/>
              </w:rPr>
              <w:t>Stade 1</w:t>
            </w:r>
          </w:p>
        </w:tc>
        <w:tc>
          <w:tcPr>
            <w:tcW w:w="1206" w:type="dxa"/>
            <w:tcBorders>
              <w:top w:val="nil"/>
              <w:left w:val="nil"/>
              <w:bottom w:val="nil"/>
              <w:right w:val="nil"/>
              <w:tl2br w:val="nil"/>
              <w:tr2bl w:val="nil"/>
            </w:tcBorders>
            <w:shd w:val="solid" w:color="016794" w:fill="FFFFFF"/>
            <w:tcMar>
              <w:left w:w="60" w:type="dxa"/>
              <w:right w:w="60" w:type="dxa"/>
            </w:tcMar>
          </w:tcPr>
          <w:p>
            <w:pPr>
              <w:pStyle w:val="DMETW36571BIPFGCTQ"/>
              <w:jc w:val="right"/>
              <w:rPr>
                <w:rFonts w:ascii="Verdana" w:eastAsia="Verdana" w:hAnsi="Verdana" w:cs="Verdana"/>
                <w:noProof/>
                <w:color w:val="FFFFFF"/>
                <w:sz w:val="18"/>
              </w:rPr>
            </w:pPr>
            <w:r>
              <w:rPr>
                <w:rFonts w:ascii="Verdana" w:hAnsi="Verdana"/>
                <w:noProof/>
                <w:color w:val="FFFFFF"/>
                <w:sz w:val="18"/>
              </w:rPr>
              <w:t>Stade 2</w:t>
            </w:r>
          </w:p>
        </w:tc>
        <w:tc>
          <w:tcPr>
            <w:tcW w:w="1106" w:type="dxa"/>
            <w:tcBorders>
              <w:top w:val="nil"/>
              <w:left w:val="nil"/>
              <w:bottom w:val="nil"/>
              <w:right w:val="nil"/>
              <w:tl2br w:val="nil"/>
              <w:tr2bl w:val="nil"/>
            </w:tcBorders>
            <w:shd w:val="solid" w:color="016794" w:fill="FFFFFF"/>
            <w:tcMar>
              <w:left w:w="60" w:type="dxa"/>
              <w:right w:w="60" w:type="dxa"/>
            </w:tcMar>
          </w:tcPr>
          <w:p>
            <w:pPr>
              <w:pStyle w:val="DMETW36571BIPFGCTQ"/>
              <w:jc w:val="right"/>
              <w:rPr>
                <w:rFonts w:ascii="Verdana" w:eastAsia="Verdana" w:hAnsi="Verdana" w:cs="Verdana"/>
                <w:noProof/>
                <w:color w:val="FFFFFF"/>
                <w:sz w:val="18"/>
              </w:rPr>
            </w:pPr>
            <w:r>
              <w:rPr>
                <w:rFonts w:ascii="Verdana" w:hAnsi="Verdana"/>
                <w:noProof/>
                <w:color w:val="FFFFFF"/>
                <w:sz w:val="18"/>
              </w:rPr>
              <w:t>Total</w:t>
            </w:r>
          </w:p>
        </w:tc>
        <w:tc>
          <w:tcPr>
            <w:tcW w:w="1224" w:type="dxa"/>
            <w:tcBorders>
              <w:top w:val="nil"/>
              <w:left w:val="nil"/>
              <w:bottom w:val="nil"/>
              <w:right w:val="nil"/>
              <w:tl2br w:val="nil"/>
              <w:tr2bl w:val="nil"/>
            </w:tcBorders>
            <w:shd w:val="solid" w:color="016794" w:fill="FFFFFF"/>
            <w:tcMar>
              <w:left w:w="60" w:type="dxa"/>
              <w:right w:w="60" w:type="dxa"/>
            </w:tcMar>
          </w:tcPr>
          <w:p>
            <w:pPr>
              <w:pStyle w:val="DMETW36571BIPFGCTQ"/>
              <w:jc w:val="right"/>
              <w:rPr>
                <w:rFonts w:ascii="Verdana" w:eastAsia="Verdana" w:hAnsi="Verdana" w:cs="Verdana"/>
                <w:noProof/>
                <w:color w:val="FFFFFF"/>
                <w:sz w:val="18"/>
              </w:rPr>
            </w:pPr>
            <w:r>
              <w:rPr>
                <w:rFonts w:ascii="Verdana" w:hAnsi="Verdana"/>
                <w:noProof/>
                <w:color w:val="FFFFFF"/>
                <w:sz w:val="18"/>
              </w:rPr>
              <w:t>Stade 1</w:t>
            </w:r>
          </w:p>
        </w:tc>
        <w:tc>
          <w:tcPr>
            <w:tcW w:w="1124" w:type="dxa"/>
            <w:tcBorders>
              <w:top w:val="nil"/>
              <w:left w:val="nil"/>
              <w:bottom w:val="nil"/>
              <w:right w:val="nil"/>
              <w:tl2br w:val="nil"/>
              <w:tr2bl w:val="nil"/>
            </w:tcBorders>
            <w:shd w:val="solid" w:color="016794" w:fill="FFFFFF"/>
            <w:tcMar>
              <w:left w:w="60" w:type="dxa"/>
              <w:right w:w="60" w:type="dxa"/>
            </w:tcMar>
          </w:tcPr>
          <w:p>
            <w:pPr>
              <w:pStyle w:val="DMETW36571BIPFGCTQ"/>
              <w:jc w:val="right"/>
              <w:rPr>
                <w:rFonts w:ascii="Verdana" w:eastAsia="Verdana" w:hAnsi="Verdana" w:cs="Verdana"/>
                <w:noProof/>
                <w:color w:val="FFFFFF"/>
                <w:sz w:val="18"/>
              </w:rPr>
            </w:pPr>
            <w:r>
              <w:rPr>
                <w:rFonts w:ascii="Verdana" w:hAnsi="Verdana"/>
                <w:noProof/>
                <w:color w:val="FFFFFF"/>
                <w:sz w:val="18"/>
              </w:rPr>
              <w:t>Stade 2</w:t>
            </w:r>
          </w:p>
        </w:tc>
        <w:tc>
          <w:tcPr>
            <w:tcW w:w="1396" w:type="dxa"/>
            <w:tcBorders>
              <w:top w:val="nil"/>
              <w:left w:val="nil"/>
              <w:bottom w:val="nil"/>
              <w:right w:val="nil"/>
              <w:tl2br w:val="nil"/>
              <w:tr2bl w:val="nil"/>
            </w:tcBorders>
            <w:shd w:val="solid" w:color="016794" w:fill="FFFFFF"/>
            <w:tcMar>
              <w:left w:w="60" w:type="dxa"/>
              <w:right w:w="60" w:type="dxa"/>
            </w:tcMar>
          </w:tcPr>
          <w:p>
            <w:pPr>
              <w:pStyle w:val="DMETW36571BIPFGCTQ"/>
              <w:jc w:val="right"/>
              <w:rPr>
                <w:rFonts w:ascii="Verdana" w:eastAsia="Verdana" w:hAnsi="Verdana" w:cs="Verdana"/>
                <w:noProof/>
                <w:color w:val="FFFFFF"/>
                <w:sz w:val="18"/>
              </w:rPr>
            </w:pPr>
            <w:r>
              <w:rPr>
                <w:rFonts w:ascii="Verdana" w:hAnsi="Verdana"/>
                <w:noProof/>
                <w:color w:val="FFFFFF"/>
                <w:sz w:val="18"/>
              </w:rPr>
              <w:t>Total</w:t>
            </w:r>
          </w:p>
        </w:tc>
      </w:tr>
      <w:tr>
        <w:trPr>
          <w:trHeight w:val="255"/>
        </w:trPr>
        <w:tc>
          <w:tcPr>
            <w:tcW w:w="2496" w:type="dxa"/>
            <w:tcBorders>
              <w:top w:val="nil"/>
              <w:left w:val="nil"/>
              <w:bottom w:val="nil"/>
              <w:right w:val="nil"/>
              <w:tl2br w:val="nil"/>
              <w:tr2bl w:val="nil"/>
            </w:tcBorders>
            <w:tcMar>
              <w:left w:w="60" w:type="dxa"/>
              <w:right w:w="60" w:type="dxa"/>
            </w:tcMar>
            <w:vAlign w:val="center"/>
          </w:tcPr>
          <w:p>
            <w:pPr>
              <w:pStyle w:val="DMETW36571BIPFGCTQ"/>
              <w:rPr>
                <w:rFonts w:ascii="Verdana" w:eastAsia="Verdana" w:hAnsi="Verdana" w:cs="Verdana"/>
                <w:b/>
                <w:noProof/>
                <w:color w:val="000000"/>
                <w:sz w:val="18"/>
              </w:rPr>
            </w:pPr>
            <w:r>
              <w:rPr>
                <w:rFonts w:ascii="Verdana" w:hAnsi="Verdana"/>
                <w:b/>
                <w:noProof/>
                <w:color w:val="000000"/>
                <w:sz w:val="18"/>
              </w:rPr>
              <w:t>Notation à long terme</w:t>
            </w:r>
          </w:p>
        </w:tc>
        <w:tc>
          <w:tcPr>
            <w:tcW w:w="1206" w:type="dxa"/>
            <w:tcBorders>
              <w:top w:val="nil"/>
              <w:left w:val="nil"/>
              <w:bottom w:val="nil"/>
              <w:right w:val="nil"/>
              <w:tl2br w:val="nil"/>
              <w:tr2bl w:val="nil"/>
            </w:tcBorders>
            <w:tcMar>
              <w:left w:w="60" w:type="dxa"/>
              <w:right w:w="60" w:type="dxa"/>
            </w:tcMar>
            <w:vAlign w:val="center"/>
          </w:tcPr>
          <w:p>
            <w:pPr>
              <w:pStyle w:val="DMETW36571BIPFGCTQ"/>
              <w:jc w:val="right"/>
              <w:rPr>
                <w:rFonts w:ascii="Verdana" w:eastAsia="Verdana" w:hAnsi="Verdana" w:cs="Verdana"/>
                <w:b/>
                <w:i/>
                <w:noProof/>
                <w:color w:val="000000"/>
                <w:sz w:val="18"/>
              </w:rPr>
            </w:pPr>
          </w:p>
        </w:tc>
        <w:tc>
          <w:tcPr>
            <w:tcW w:w="1206" w:type="dxa"/>
            <w:tcBorders>
              <w:top w:val="nil"/>
              <w:left w:val="nil"/>
              <w:bottom w:val="nil"/>
              <w:right w:val="nil"/>
              <w:tl2br w:val="nil"/>
              <w:tr2bl w:val="nil"/>
            </w:tcBorders>
            <w:tcMar>
              <w:left w:w="60" w:type="dxa"/>
              <w:right w:w="60" w:type="dxa"/>
            </w:tcMar>
            <w:vAlign w:val="center"/>
          </w:tcPr>
          <w:p>
            <w:pPr>
              <w:pStyle w:val="DMETW36571BIPFGCTQ"/>
              <w:jc w:val="right"/>
              <w:rPr>
                <w:rFonts w:ascii="Verdana" w:eastAsia="Verdana" w:hAnsi="Verdana" w:cs="Verdana"/>
                <w:b/>
                <w:i/>
                <w:noProof/>
                <w:color w:val="000000"/>
                <w:sz w:val="18"/>
              </w:rPr>
            </w:pPr>
          </w:p>
        </w:tc>
        <w:tc>
          <w:tcPr>
            <w:tcW w:w="1106" w:type="dxa"/>
            <w:tcBorders>
              <w:top w:val="nil"/>
              <w:left w:val="nil"/>
              <w:bottom w:val="nil"/>
              <w:right w:val="nil"/>
              <w:tl2br w:val="nil"/>
              <w:tr2bl w:val="nil"/>
            </w:tcBorders>
            <w:tcMar>
              <w:left w:w="60" w:type="dxa"/>
              <w:right w:w="60" w:type="dxa"/>
            </w:tcMar>
            <w:vAlign w:val="center"/>
          </w:tcPr>
          <w:p>
            <w:pPr>
              <w:pStyle w:val="DMETW36571BIPFGCTQ"/>
              <w:jc w:val="right"/>
              <w:rPr>
                <w:rFonts w:ascii="Verdana" w:eastAsia="Verdana" w:hAnsi="Verdana" w:cs="Verdana"/>
                <w:b/>
                <w:i/>
                <w:noProof/>
                <w:color w:val="000000"/>
                <w:sz w:val="18"/>
              </w:rPr>
            </w:pPr>
          </w:p>
        </w:tc>
        <w:tc>
          <w:tcPr>
            <w:tcW w:w="1224" w:type="dxa"/>
            <w:tcBorders>
              <w:top w:val="nil"/>
              <w:left w:val="nil"/>
              <w:bottom w:val="nil"/>
              <w:right w:val="nil"/>
              <w:tl2br w:val="nil"/>
              <w:tr2bl w:val="nil"/>
            </w:tcBorders>
            <w:tcMar>
              <w:left w:w="60" w:type="dxa"/>
              <w:right w:w="60" w:type="dxa"/>
            </w:tcMar>
            <w:vAlign w:val="center"/>
          </w:tcPr>
          <w:p>
            <w:pPr>
              <w:pStyle w:val="DMETW36571BIPFGCTQ"/>
              <w:jc w:val="right"/>
              <w:rPr>
                <w:rFonts w:ascii="Verdana" w:eastAsia="Verdana" w:hAnsi="Verdana" w:cs="Verdana"/>
                <w:b/>
                <w:i/>
                <w:noProof/>
                <w:color w:val="000000"/>
                <w:sz w:val="18"/>
              </w:rPr>
            </w:pPr>
          </w:p>
        </w:tc>
        <w:tc>
          <w:tcPr>
            <w:tcW w:w="1124" w:type="dxa"/>
            <w:tcBorders>
              <w:top w:val="nil"/>
              <w:left w:val="nil"/>
              <w:bottom w:val="nil"/>
              <w:right w:val="nil"/>
              <w:tl2br w:val="nil"/>
              <w:tr2bl w:val="nil"/>
            </w:tcBorders>
            <w:tcMar>
              <w:left w:w="60" w:type="dxa"/>
              <w:right w:w="60" w:type="dxa"/>
            </w:tcMar>
            <w:vAlign w:val="center"/>
          </w:tcPr>
          <w:p>
            <w:pPr>
              <w:pStyle w:val="DMETW36571BIPFGCTQ"/>
              <w:jc w:val="right"/>
              <w:rPr>
                <w:rFonts w:ascii="Verdana" w:eastAsia="Verdana" w:hAnsi="Verdana" w:cs="Verdana"/>
                <w:b/>
                <w:i/>
                <w:noProof/>
                <w:color w:val="000000"/>
                <w:sz w:val="18"/>
              </w:rPr>
            </w:pPr>
          </w:p>
        </w:tc>
        <w:tc>
          <w:tcPr>
            <w:tcW w:w="1396" w:type="dxa"/>
            <w:tcBorders>
              <w:top w:val="nil"/>
              <w:left w:val="nil"/>
              <w:bottom w:val="nil"/>
              <w:right w:val="nil"/>
              <w:tl2br w:val="nil"/>
              <w:tr2bl w:val="nil"/>
            </w:tcBorders>
            <w:tcMar>
              <w:left w:w="60" w:type="dxa"/>
              <w:right w:w="60" w:type="dxa"/>
            </w:tcMar>
            <w:vAlign w:val="center"/>
          </w:tcPr>
          <w:p>
            <w:pPr>
              <w:pStyle w:val="DMETW36571BIPFGCTQ"/>
              <w:jc w:val="right"/>
              <w:rPr>
                <w:rFonts w:ascii="Verdana" w:eastAsia="Verdana" w:hAnsi="Verdana" w:cs="Verdana"/>
                <w:i/>
                <w:noProof/>
                <w:color w:val="000000"/>
                <w:sz w:val="18"/>
                <w:lang w:bidi="en-GB"/>
              </w:rPr>
            </w:pPr>
          </w:p>
        </w:tc>
      </w:tr>
      <w:tr>
        <w:trPr>
          <w:trHeight w:val="255"/>
        </w:trPr>
        <w:tc>
          <w:tcPr>
            <w:tcW w:w="2496" w:type="dxa"/>
            <w:tcBorders>
              <w:top w:val="nil"/>
              <w:left w:val="nil"/>
              <w:bottom w:val="nil"/>
              <w:right w:val="nil"/>
              <w:tl2br w:val="nil"/>
              <w:tr2bl w:val="nil"/>
            </w:tcBorders>
            <w:tcMar>
              <w:left w:w="60" w:type="dxa"/>
              <w:right w:w="60" w:type="dxa"/>
            </w:tcMar>
            <w:vAlign w:val="center"/>
          </w:tcPr>
          <w:p>
            <w:pPr>
              <w:pStyle w:val="DMETW36571BIPFGCTQ"/>
              <w:rPr>
                <w:rFonts w:ascii="Verdana" w:eastAsia="Verdana" w:hAnsi="Verdana" w:cs="Verdana"/>
                <w:i/>
                <w:noProof/>
                <w:color w:val="000000"/>
                <w:sz w:val="18"/>
              </w:rPr>
            </w:pPr>
            <w:r>
              <w:rPr>
                <w:rFonts w:ascii="Verdana" w:hAnsi="Verdana"/>
                <w:i/>
                <w:noProof/>
                <w:color w:val="000000"/>
                <w:sz w:val="18"/>
              </w:rPr>
              <w:t>Première qualité et haute qualité</w:t>
            </w:r>
          </w:p>
        </w:tc>
        <w:tc>
          <w:tcPr>
            <w:tcW w:w="1206" w:type="dxa"/>
            <w:tcBorders>
              <w:top w:val="nil"/>
              <w:left w:val="nil"/>
              <w:bottom w:val="nil"/>
              <w:right w:val="nil"/>
              <w:tl2br w:val="nil"/>
              <w:tr2bl w:val="nil"/>
            </w:tcBorders>
            <w:tcMar>
              <w:left w:w="60" w:type="dxa"/>
              <w:right w:w="60" w:type="dxa"/>
            </w:tcMar>
            <w:vAlign w:val="center"/>
          </w:tcPr>
          <w:p>
            <w:pPr>
              <w:pStyle w:val="DMETW36571BIPFGCTQ"/>
              <w:jc w:val="right"/>
              <w:rPr>
                <w:rFonts w:ascii="Verdana" w:eastAsia="Verdana" w:hAnsi="Verdana" w:cs="Verdana"/>
                <w:i/>
                <w:noProof/>
                <w:color w:val="000000"/>
                <w:sz w:val="18"/>
              </w:rPr>
            </w:pPr>
            <w:r>
              <w:rPr>
                <w:rFonts w:ascii="Verdana" w:hAnsi="Verdana"/>
                <w:i/>
                <w:noProof/>
                <w:color w:val="000000"/>
                <w:sz w:val="18"/>
              </w:rPr>
              <w:t xml:space="preserve"> 19</w:t>
            </w:r>
          </w:p>
        </w:tc>
        <w:tc>
          <w:tcPr>
            <w:tcW w:w="1206" w:type="dxa"/>
            <w:tcBorders>
              <w:top w:val="nil"/>
              <w:left w:val="nil"/>
              <w:bottom w:val="nil"/>
              <w:right w:val="nil"/>
              <w:tl2br w:val="nil"/>
              <w:tr2bl w:val="nil"/>
            </w:tcBorders>
            <w:tcMar>
              <w:left w:w="60" w:type="dxa"/>
              <w:right w:w="60" w:type="dxa"/>
            </w:tcMar>
            <w:vAlign w:val="center"/>
          </w:tcPr>
          <w:p>
            <w:pPr>
              <w:pStyle w:val="DMETW36571BIPFGCTQ"/>
              <w:jc w:val="right"/>
              <w:rPr>
                <w:rFonts w:ascii="Verdana" w:eastAsia="Verdana" w:hAnsi="Verdana" w:cs="Verdana"/>
                <w:i/>
                <w:noProof/>
                <w:color w:val="000000"/>
                <w:sz w:val="18"/>
              </w:rPr>
            </w:pPr>
            <w:r>
              <w:rPr>
                <w:rFonts w:ascii="Verdana" w:hAnsi="Verdana"/>
                <w:i/>
                <w:noProof/>
                <w:color w:val="000000"/>
                <w:sz w:val="18"/>
              </w:rPr>
              <w:t xml:space="preserve"> 1</w:t>
            </w:r>
          </w:p>
        </w:tc>
        <w:tc>
          <w:tcPr>
            <w:tcW w:w="1106" w:type="dxa"/>
            <w:tcBorders>
              <w:top w:val="nil"/>
              <w:left w:val="nil"/>
              <w:bottom w:val="nil"/>
              <w:right w:val="nil"/>
              <w:tl2br w:val="nil"/>
              <w:tr2bl w:val="nil"/>
            </w:tcBorders>
            <w:tcMar>
              <w:left w:w="60" w:type="dxa"/>
              <w:right w:w="60" w:type="dxa"/>
            </w:tcMar>
            <w:vAlign w:val="center"/>
          </w:tcPr>
          <w:p>
            <w:pPr>
              <w:pStyle w:val="DMETW36571BIPFGCTQ"/>
              <w:jc w:val="right"/>
              <w:rPr>
                <w:rFonts w:ascii="Verdana" w:eastAsia="Verdana" w:hAnsi="Verdana" w:cs="Verdana"/>
                <w:i/>
                <w:noProof/>
                <w:color w:val="000000"/>
                <w:sz w:val="18"/>
              </w:rPr>
            </w:pPr>
            <w:r>
              <w:rPr>
                <w:rFonts w:ascii="Verdana" w:hAnsi="Verdana"/>
                <w:i/>
                <w:noProof/>
                <w:color w:val="000000"/>
                <w:sz w:val="18"/>
              </w:rPr>
              <w:t xml:space="preserve"> 20</w:t>
            </w:r>
          </w:p>
        </w:tc>
        <w:tc>
          <w:tcPr>
            <w:tcW w:w="1224" w:type="dxa"/>
            <w:tcBorders>
              <w:top w:val="nil"/>
              <w:left w:val="nil"/>
              <w:bottom w:val="nil"/>
              <w:right w:val="nil"/>
              <w:tl2br w:val="nil"/>
              <w:tr2bl w:val="nil"/>
            </w:tcBorders>
            <w:tcMar>
              <w:left w:w="60" w:type="dxa"/>
              <w:right w:w="60" w:type="dxa"/>
            </w:tcMar>
            <w:vAlign w:val="center"/>
          </w:tcPr>
          <w:p>
            <w:pPr>
              <w:pStyle w:val="DMETW36571BIPFGCTQ"/>
              <w:jc w:val="right"/>
              <w:rPr>
                <w:rFonts w:ascii="Verdana" w:eastAsia="Verdana" w:hAnsi="Verdana" w:cs="Verdana"/>
                <w:i/>
                <w:noProof/>
                <w:color w:val="000000"/>
                <w:sz w:val="18"/>
              </w:rPr>
            </w:pPr>
            <w:r>
              <w:rPr>
                <w:rFonts w:ascii="Verdana" w:hAnsi="Verdana"/>
                <w:i/>
                <w:noProof/>
                <w:color w:val="000000"/>
                <w:sz w:val="18"/>
              </w:rPr>
              <w:t xml:space="preserve"> 1</w:t>
            </w:r>
          </w:p>
        </w:tc>
        <w:tc>
          <w:tcPr>
            <w:tcW w:w="1124" w:type="dxa"/>
            <w:tcBorders>
              <w:top w:val="nil"/>
              <w:left w:val="nil"/>
              <w:bottom w:val="nil"/>
              <w:right w:val="nil"/>
              <w:tl2br w:val="nil"/>
              <w:tr2bl w:val="nil"/>
            </w:tcBorders>
            <w:tcMar>
              <w:left w:w="60" w:type="dxa"/>
              <w:right w:w="60" w:type="dxa"/>
            </w:tcMar>
            <w:vAlign w:val="center"/>
          </w:tcPr>
          <w:p>
            <w:pPr>
              <w:pStyle w:val="DMETW36571BIPFGCTQ"/>
              <w:jc w:val="right"/>
              <w:rPr>
                <w:rFonts w:ascii="Verdana" w:eastAsia="Verdana" w:hAnsi="Verdana" w:cs="Verdana"/>
                <w:i/>
                <w:noProof/>
                <w:color w:val="000000"/>
                <w:sz w:val="18"/>
              </w:rPr>
            </w:pPr>
            <w:r>
              <w:rPr>
                <w:rFonts w:ascii="Verdana" w:hAnsi="Verdana"/>
                <w:i/>
                <w:noProof/>
                <w:color w:val="000000"/>
                <w:sz w:val="18"/>
              </w:rPr>
              <w:t>–</w:t>
            </w:r>
          </w:p>
        </w:tc>
        <w:tc>
          <w:tcPr>
            <w:tcW w:w="1396" w:type="dxa"/>
            <w:tcBorders>
              <w:top w:val="nil"/>
              <w:left w:val="nil"/>
              <w:bottom w:val="nil"/>
              <w:right w:val="nil"/>
              <w:tl2br w:val="nil"/>
              <w:tr2bl w:val="nil"/>
            </w:tcBorders>
            <w:tcMar>
              <w:left w:w="60" w:type="dxa"/>
              <w:right w:w="60" w:type="dxa"/>
            </w:tcMar>
            <w:vAlign w:val="center"/>
          </w:tcPr>
          <w:p>
            <w:pPr>
              <w:pStyle w:val="DMETW36571BIPFGCTQ"/>
              <w:jc w:val="right"/>
              <w:rPr>
                <w:rFonts w:ascii="Verdana" w:eastAsia="Verdana" w:hAnsi="Verdana" w:cs="Verdana"/>
                <w:i/>
                <w:noProof/>
                <w:color w:val="000000"/>
                <w:sz w:val="18"/>
              </w:rPr>
            </w:pPr>
            <w:r>
              <w:rPr>
                <w:rFonts w:ascii="Verdana" w:hAnsi="Verdana"/>
                <w:i/>
                <w:noProof/>
                <w:color w:val="000000"/>
                <w:sz w:val="18"/>
              </w:rPr>
              <w:t xml:space="preserve"> 1</w:t>
            </w:r>
          </w:p>
        </w:tc>
      </w:tr>
      <w:tr>
        <w:trPr>
          <w:trHeight w:val="255"/>
        </w:trPr>
        <w:tc>
          <w:tcPr>
            <w:tcW w:w="2496" w:type="dxa"/>
            <w:tcBorders>
              <w:top w:val="nil"/>
              <w:left w:val="nil"/>
              <w:bottom w:val="nil"/>
              <w:right w:val="nil"/>
              <w:tl2br w:val="nil"/>
              <w:tr2bl w:val="nil"/>
            </w:tcBorders>
            <w:tcMar>
              <w:left w:w="60" w:type="dxa"/>
              <w:right w:w="60" w:type="dxa"/>
            </w:tcMar>
            <w:vAlign w:val="center"/>
          </w:tcPr>
          <w:p>
            <w:pPr>
              <w:pStyle w:val="DMETW36571BIPFGCTQ"/>
              <w:rPr>
                <w:rFonts w:ascii="Verdana" w:eastAsia="Verdana" w:hAnsi="Verdana" w:cs="Verdana"/>
                <w:i/>
                <w:noProof/>
                <w:color w:val="000000"/>
                <w:sz w:val="18"/>
              </w:rPr>
            </w:pPr>
            <w:r>
              <w:rPr>
                <w:rFonts w:ascii="Verdana" w:hAnsi="Verdana"/>
                <w:i/>
                <w:noProof/>
                <w:color w:val="000000"/>
                <w:sz w:val="18"/>
              </w:rPr>
              <w:t>Qualité moyenne supérieure</w:t>
            </w:r>
          </w:p>
        </w:tc>
        <w:tc>
          <w:tcPr>
            <w:tcW w:w="1206" w:type="dxa"/>
            <w:tcBorders>
              <w:top w:val="nil"/>
              <w:left w:val="nil"/>
              <w:bottom w:val="nil"/>
              <w:right w:val="nil"/>
              <w:tl2br w:val="nil"/>
              <w:tr2bl w:val="nil"/>
            </w:tcBorders>
            <w:tcMar>
              <w:left w:w="60" w:type="dxa"/>
              <w:right w:w="60" w:type="dxa"/>
            </w:tcMar>
            <w:vAlign w:val="center"/>
          </w:tcPr>
          <w:p>
            <w:pPr>
              <w:pStyle w:val="DMETW36571BIPFGCTQ"/>
              <w:jc w:val="right"/>
              <w:rPr>
                <w:rFonts w:ascii="Verdana" w:eastAsia="Verdana" w:hAnsi="Verdana" w:cs="Verdana"/>
                <w:i/>
                <w:noProof/>
                <w:color w:val="000000"/>
                <w:sz w:val="18"/>
              </w:rPr>
            </w:pPr>
            <w:r>
              <w:rPr>
                <w:rFonts w:ascii="Verdana" w:hAnsi="Verdana"/>
                <w:i/>
                <w:noProof/>
                <w:color w:val="000000"/>
                <w:sz w:val="18"/>
              </w:rPr>
              <w:t xml:space="preserve"> 69</w:t>
            </w:r>
          </w:p>
        </w:tc>
        <w:tc>
          <w:tcPr>
            <w:tcW w:w="1206" w:type="dxa"/>
            <w:tcBorders>
              <w:top w:val="nil"/>
              <w:left w:val="nil"/>
              <w:bottom w:val="nil"/>
              <w:right w:val="nil"/>
              <w:tl2br w:val="nil"/>
              <w:tr2bl w:val="nil"/>
            </w:tcBorders>
            <w:tcMar>
              <w:left w:w="60" w:type="dxa"/>
              <w:right w:w="60" w:type="dxa"/>
            </w:tcMar>
            <w:vAlign w:val="center"/>
          </w:tcPr>
          <w:p>
            <w:pPr>
              <w:pStyle w:val="DMETW36571BIPFGCTQ"/>
              <w:jc w:val="right"/>
              <w:rPr>
                <w:rFonts w:ascii="Verdana" w:eastAsia="Verdana" w:hAnsi="Verdana" w:cs="Verdana"/>
                <w:i/>
                <w:noProof/>
                <w:color w:val="000000"/>
                <w:sz w:val="18"/>
              </w:rPr>
            </w:pPr>
            <w:r>
              <w:rPr>
                <w:rFonts w:ascii="Verdana" w:hAnsi="Verdana"/>
                <w:i/>
                <w:noProof/>
                <w:color w:val="000000"/>
                <w:sz w:val="18"/>
              </w:rPr>
              <w:t xml:space="preserve"> 12</w:t>
            </w:r>
          </w:p>
        </w:tc>
        <w:tc>
          <w:tcPr>
            <w:tcW w:w="1106" w:type="dxa"/>
            <w:tcBorders>
              <w:top w:val="nil"/>
              <w:left w:val="nil"/>
              <w:bottom w:val="nil"/>
              <w:right w:val="nil"/>
              <w:tl2br w:val="nil"/>
              <w:tr2bl w:val="nil"/>
            </w:tcBorders>
            <w:tcMar>
              <w:left w:w="60" w:type="dxa"/>
              <w:right w:w="60" w:type="dxa"/>
            </w:tcMar>
            <w:vAlign w:val="center"/>
          </w:tcPr>
          <w:p>
            <w:pPr>
              <w:pStyle w:val="DMETW36571BIPFGCTQ"/>
              <w:jc w:val="right"/>
              <w:rPr>
                <w:rFonts w:ascii="Verdana" w:eastAsia="Verdana" w:hAnsi="Verdana" w:cs="Verdana"/>
                <w:i/>
                <w:noProof/>
                <w:color w:val="000000"/>
                <w:sz w:val="18"/>
              </w:rPr>
            </w:pPr>
            <w:r>
              <w:rPr>
                <w:rFonts w:ascii="Verdana" w:hAnsi="Verdana"/>
                <w:i/>
                <w:noProof/>
                <w:color w:val="000000"/>
                <w:sz w:val="18"/>
              </w:rPr>
              <w:t xml:space="preserve"> 81</w:t>
            </w:r>
          </w:p>
        </w:tc>
        <w:tc>
          <w:tcPr>
            <w:tcW w:w="1224" w:type="dxa"/>
            <w:tcBorders>
              <w:top w:val="nil"/>
              <w:left w:val="nil"/>
              <w:bottom w:val="nil"/>
              <w:right w:val="nil"/>
              <w:tl2br w:val="nil"/>
              <w:tr2bl w:val="nil"/>
            </w:tcBorders>
            <w:tcMar>
              <w:left w:w="60" w:type="dxa"/>
              <w:right w:w="60" w:type="dxa"/>
            </w:tcMar>
            <w:vAlign w:val="center"/>
          </w:tcPr>
          <w:p>
            <w:pPr>
              <w:pStyle w:val="DMETW36571BIPFGCTQ"/>
              <w:jc w:val="right"/>
              <w:rPr>
                <w:rFonts w:ascii="Verdana" w:eastAsia="Verdana" w:hAnsi="Verdana" w:cs="Verdana"/>
                <w:i/>
                <w:noProof/>
                <w:color w:val="000000"/>
                <w:sz w:val="18"/>
              </w:rPr>
            </w:pPr>
            <w:r>
              <w:rPr>
                <w:rFonts w:ascii="Verdana" w:hAnsi="Verdana"/>
                <w:i/>
                <w:noProof/>
                <w:color w:val="000000"/>
                <w:sz w:val="18"/>
              </w:rPr>
              <w:t xml:space="preserve"> 5</w:t>
            </w:r>
          </w:p>
        </w:tc>
        <w:tc>
          <w:tcPr>
            <w:tcW w:w="1124" w:type="dxa"/>
            <w:tcBorders>
              <w:top w:val="nil"/>
              <w:left w:val="nil"/>
              <w:bottom w:val="nil"/>
              <w:right w:val="nil"/>
              <w:tl2br w:val="nil"/>
              <w:tr2bl w:val="nil"/>
            </w:tcBorders>
            <w:tcMar>
              <w:left w:w="60" w:type="dxa"/>
              <w:right w:w="60" w:type="dxa"/>
            </w:tcMar>
            <w:vAlign w:val="center"/>
          </w:tcPr>
          <w:p>
            <w:pPr>
              <w:pStyle w:val="DMETW36571BIPFGCTQ"/>
              <w:jc w:val="right"/>
              <w:rPr>
                <w:rFonts w:ascii="Verdana" w:eastAsia="Verdana" w:hAnsi="Verdana" w:cs="Verdana"/>
                <w:i/>
                <w:noProof/>
                <w:color w:val="000000"/>
                <w:sz w:val="18"/>
              </w:rPr>
            </w:pPr>
            <w:r>
              <w:rPr>
                <w:rFonts w:ascii="Verdana" w:hAnsi="Verdana"/>
                <w:i/>
                <w:noProof/>
                <w:color w:val="000000"/>
                <w:sz w:val="18"/>
              </w:rPr>
              <w:t>–</w:t>
            </w:r>
          </w:p>
        </w:tc>
        <w:tc>
          <w:tcPr>
            <w:tcW w:w="1396" w:type="dxa"/>
            <w:tcBorders>
              <w:top w:val="nil"/>
              <w:left w:val="nil"/>
              <w:bottom w:val="nil"/>
              <w:right w:val="nil"/>
              <w:tl2br w:val="nil"/>
              <w:tr2bl w:val="nil"/>
            </w:tcBorders>
            <w:tcMar>
              <w:left w:w="60" w:type="dxa"/>
              <w:right w:w="60" w:type="dxa"/>
            </w:tcMar>
            <w:vAlign w:val="center"/>
          </w:tcPr>
          <w:p>
            <w:pPr>
              <w:pStyle w:val="DMETW36571BIPFGCTQ"/>
              <w:jc w:val="right"/>
              <w:rPr>
                <w:rFonts w:ascii="Verdana" w:eastAsia="Verdana" w:hAnsi="Verdana" w:cs="Verdana"/>
                <w:i/>
                <w:noProof/>
                <w:color w:val="000000"/>
                <w:sz w:val="18"/>
              </w:rPr>
            </w:pPr>
            <w:r>
              <w:rPr>
                <w:rFonts w:ascii="Verdana" w:hAnsi="Verdana"/>
                <w:i/>
                <w:noProof/>
                <w:color w:val="000000"/>
                <w:sz w:val="18"/>
              </w:rPr>
              <w:t xml:space="preserve"> 5</w:t>
            </w:r>
          </w:p>
        </w:tc>
      </w:tr>
      <w:tr>
        <w:trPr>
          <w:trHeight w:val="255"/>
        </w:trPr>
        <w:tc>
          <w:tcPr>
            <w:tcW w:w="2496" w:type="dxa"/>
            <w:tcBorders>
              <w:top w:val="nil"/>
              <w:left w:val="nil"/>
              <w:bottom w:val="nil"/>
              <w:right w:val="nil"/>
              <w:tl2br w:val="nil"/>
              <w:tr2bl w:val="nil"/>
            </w:tcBorders>
            <w:tcMar>
              <w:left w:w="60" w:type="dxa"/>
              <w:right w:w="60" w:type="dxa"/>
            </w:tcMar>
            <w:vAlign w:val="center"/>
          </w:tcPr>
          <w:p>
            <w:pPr>
              <w:pStyle w:val="DMETW36571BIPFGCTQ"/>
              <w:rPr>
                <w:rFonts w:ascii="Verdana" w:eastAsia="Verdana" w:hAnsi="Verdana" w:cs="Verdana"/>
                <w:i/>
                <w:noProof/>
                <w:color w:val="000000"/>
                <w:sz w:val="18"/>
              </w:rPr>
            </w:pPr>
            <w:r>
              <w:rPr>
                <w:rFonts w:ascii="Verdana" w:hAnsi="Verdana"/>
                <w:i/>
                <w:noProof/>
                <w:color w:val="000000"/>
                <w:sz w:val="18"/>
              </w:rPr>
              <w:t>Qualité moyenne inférieure</w:t>
            </w:r>
          </w:p>
        </w:tc>
        <w:tc>
          <w:tcPr>
            <w:tcW w:w="1206" w:type="dxa"/>
            <w:tcBorders>
              <w:top w:val="nil"/>
              <w:left w:val="nil"/>
              <w:bottom w:val="nil"/>
              <w:right w:val="nil"/>
              <w:tl2br w:val="nil"/>
              <w:tr2bl w:val="nil"/>
            </w:tcBorders>
            <w:tcMar>
              <w:left w:w="60" w:type="dxa"/>
              <w:right w:w="60" w:type="dxa"/>
            </w:tcMar>
            <w:vAlign w:val="center"/>
          </w:tcPr>
          <w:p>
            <w:pPr>
              <w:pStyle w:val="DMETW36571BIPFGCTQ"/>
              <w:jc w:val="right"/>
              <w:rPr>
                <w:rFonts w:ascii="Verdana" w:eastAsia="Verdana" w:hAnsi="Verdana" w:cs="Verdana"/>
                <w:i/>
                <w:noProof/>
                <w:color w:val="000000"/>
                <w:sz w:val="18"/>
              </w:rPr>
            </w:pPr>
            <w:r>
              <w:rPr>
                <w:rFonts w:ascii="Verdana" w:hAnsi="Verdana"/>
                <w:i/>
                <w:noProof/>
                <w:color w:val="000000"/>
                <w:sz w:val="18"/>
              </w:rPr>
              <w:t xml:space="preserve"> 108</w:t>
            </w:r>
          </w:p>
        </w:tc>
        <w:tc>
          <w:tcPr>
            <w:tcW w:w="1206" w:type="dxa"/>
            <w:tcBorders>
              <w:top w:val="nil"/>
              <w:left w:val="nil"/>
              <w:bottom w:val="nil"/>
              <w:right w:val="nil"/>
              <w:tl2br w:val="nil"/>
              <w:tr2bl w:val="nil"/>
            </w:tcBorders>
            <w:tcMar>
              <w:left w:w="60" w:type="dxa"/>
              <w:right w:w="60" w:type="dxa"/>
            </w:tcMar>
            <w:vAlign w:val="center"/>
          </w:tcPr>
          <w:p>
            <w:pPr>
              <w:pStyle w:val="DMETW36571BIPFGCTQ"/>
              <w:jc w:val="right"/>
              <w:rPr>
                <w:rFonts w:ascii="Verdana" w:eastAsia="Verdana" w:hAnsi="Verdana" w:cs="Verdana"/>
                <w:i/>
                <w:noProof/>
                <w:color w:val="000000"/>
                <w:sz w:val="18"/>
              </w:rPr>
            </w:pPr>
            <w:r>
              <w:rPr>
                <w:rFonts w:ascii="Verdana" w:hAnsi="Verdana"/>
                <w:i/>
                <w:noProof/>
                <w:color w:val="000000"/>
                <w:sz w:val="18"/>
              </w:rPr>
              <w:t xml:space="preserve"> 2</w:t>
            </w:r>
          </w:p>
        </w:tc>
        <w:tc>
          <w:tcPr>
            <w:tcW w:w="1106" w:type="dxa"/>
            <w:tcBorders>
              <w:top w:val="nil"/>
              <w:left w:val="nil"/>
              <w:bottom w:val="nil"/>
              <w:right w:val="nil"/>
              <w:tl2br w:val="nil"/>
              <w:tr2bl w:val="nil"/>
            </w:tcBorders>
            <w:tcMar>
              <w:left w:w="60" w:type="dxa"/>
              <w:right w:w="60" w:type="dxa"/>
            </w:tcMar>
            <w:vAlign w:val="center"/>
          </w:tcPr>
          <w:p>
            <w:pPr>
              <w:pStyle w:val="DMETW36571BIPFGCTQ"/>
              <w:jc w:val="right"/>
              <w:rPr>
                <w:rFonts w:ascii="Verdana" w:eastAsia="Verdana" w:hAnsi="Verdana" w:cs="Verdana"/>
                <w:i/>
                <w:noProof/>
                <w:color w:val="000000"/>
                <w:sz w:val="18"/>
              </w:rPr>
            </w:pPr>
            <w:r>
              <w:rPr>
                <w:rFonts w:ascii="Verdana" w:hAnsi="Verdana"/>
                <w:i/>
                <w:noProof/>
                <w:color w:val="000000"/>
                <w:sz w:val="18"/>
              </w:rPr>
              <w:t xml:space="preserve"> 109</w:t>
            </w:r>
          </w:p>
        </w:tc>
        <w:tc>
          <w:tcPr>
            <w:tcW w:w="1224" w:type="dxa"/>
            <w:tcBorders>
              <w:top w:val="nil"/>
              <w:left w:val="nil"/>
              <w:bottom w:val="nil"/>
              <w:right w:val="nil"/>
              <w:tl2br w:val="nil"/>
              <w:tr2bl w:val="nil"/>
            </w:tcBorders>
            <w:tcMar>
              <w:left w:w="60" w:type="dxa"/>
              <w:right w:w="60" w:type="dxa"/>
            </w:tcMar>
            <w:vAlign w:val="center"/>
          </w:tcPr>
          <w:p>
            <w:pPr>
              <w:pStyle w:val="DMETW36571BIPFGCTQ"/>
              <w:jc w:val="right"/>
              <w:rPr>
                <w:rFonts w:ascii="Verdana" w:eastAsia="Verdana" w:hAnsi="Verdana" w:cs="Verdana"/>
                <w:i/>
                <w:noProof/>
                <w:color w:val="000000"/>
                <w:sz w:val="18"/>
              </w:rPr>
            </w:pPr>
            <w:r>
              <w:rPr>
                <w:rFonts w:ascii="Verdana" w:hAnsi="Verdana"/>
                <w:i/>
                <w:noProof/>
                <w:color w:val="000000"/>
                <w:sz w:val="18"/>
              </w:rPr>
              <w:t xml:space="preserve"> 137</w:t>
            </w:r>
          </w:p>
        </w:tc>
        <w:tc>
          <w:tcPr>
            <w:tcW w:w="1124" w:type="dxa"/>
            <w:tcBorders>
              <w:top w:val="nil"/>
              <w:left w:val="nil"/>
              <w:bottom w:val="nil"/>
              <w:right w:val="nil"/>
              <w:tl2br w:val="nil"/>
              <w:tr2bl w:val="nil"/>
            </w:tcBorders>
            <w:tcMar>
              <w:left w:w="60" w:type="dxa"/>
              <w:right w:w="60" w:type="dxa"/>
            </w:tcMar>
            <w:vAlign w:val="center"/>
          </w:tcPr>
          <w:p>
            <w:pPr>
              <w:pStyle w:val="DMETW36571BIPFGCTQ"/>
              <w:jc w:val="right"/>
              <w:rPr>
                <w:rFonts w:ascii="Verdana" w:eastAsia="Verdana" w:hAnsi="Verdana" w:cs="Verdana"/>
                <w:i/>
                <w:noProof/>
                <w:color w:val="000000"/>
                <w:sz w:val="18"/>
              </w:rPr>
            </w:pPr>
            <w:r>
              <w:rPr>
                <w:rFonts w:ascii="Verdana" w:hAnsi="Verdana"/>
                <w:i/>
                <w:noProof/>
                <w:color w:val="000000"/>
                <w:sz w:val="18"/>
              </w:rPr>
              <w:t>–</w:t>
            </w:r>
          </w:p>
        </w:tc>
        <w:tc>
          <w:tcPr>
            <w:tcW w:w="1396" w:type="dxa"/>
            <w:tcBorders>
              <w:top w:val="nil"/>
              <w:left w:val="nil"/>
              <w:bottom w:val="nil"/>
              <w:right w:val="nil"/>
              <w:tl2br w:val="nil"/>
              <w:tr2bl w:val="nil"/>
            </w:tcBorders>
            <w:tcMar>
              <w:left w:w="60" w:type="dxa"/>
              <w:right w:w="60" w:type="dxa"/>
            </w:tcMar>
            <w:vAlign w:val="center"/>
          </w:tcPr>
          <w:p>
            <w:pPr>
              <w:pStyle w:val="DMETW36571BIPFGCTQ"/>
              <w:jc w:val="right"/>
              <w:rPr>
                <w:rFonts w:ascii="Verdana" w:eastAsia="Verdana" w:hAnsi="Verdana" w:cs="Verdana"/>
                <w:i/>
                <w:noProof/>
                <w:color w:val="000000"/>
                <w:sz w:val="18"/>
              </w:rPr>
            </w:pPr>
            <w:r>
              <w:rPr>
                <w:rFonts w:ascii="Verdana" w:hAnsi="Verdana"/>
                <w:i/>
                <w:noProof/>
                <w:color w:val="000000"/>
                <w:sz w:val="18"/>
              </w:rPr>
              <w:t xml:space="preserve"> 137</w:t>
            </w:r>
          </w:p>
        </w:tc>
      </w:tr>
      <w:tr>
        <w:trPr>
          <w:trHeight w:val="255"/>
        </w:trPr>
        <w:tc>
          <w:tcPr>
            <w:tcW w:w="2496" w:type="dxa"/>
            <w:tcBorders>
              <w:top w:val="nil"/>
              <w:left w:val="nil"/>
              <w:bottom w:val="nil"/>
              <w:right w:val="nil"/>
              <w:tl2br w:val="nil"/>
              <w:tr2bl w:val="nil"/>
            </w:tcBorders>
            <w:tcMar>
              <w:left w:w="60" w:type="dxa"/>
              <w:right w:w="60" w:type="dxa"/>
            </w:tcMar>
            <w:vAlign w:val="center"/>
          </w:tcPr>
          <w:p>
            <w:pPr>
              <w:pStyle w:val="DMETW36571BIPFGCTQ"/>
              <w:rPr>
                <w:rFonts w:ascii="Verdana" w:eastAsia="Verdana" w:hAnsi="Verdana" w:cs="Verdana"/>
                <w:i/>
                <w:noProof/>
                <w:color w:val="000000"/>
                <w:sz w:val="18"/>
              </w:rPr>
            </w:pPr>
            <w:r>
              <w:rPr>
                <w:rFonts w:ascii="Verdana" w:hAnsi="Verdana"/>
                <w:i/>
                <w:noProof/>
                <w:color w:val="000000"/>
                <w:sz w:val="18"/>
              </w:rPr>
              <w:t>Catégorie spéculative</w:t>
            </w:r>
          </w:p>
        </w:tc>
        <w:tc>
          <w:tcPr>
            <w:tcW w:w="1206" w:type="dxa"/>
            <w:tcBorders>
              <w:top w:val="nil"/>
              <w:left w:val="nil"/>
              <w:bottom w:val="nil"/>
              <w:right w:val="nil"/>
              <w:tl2br w:val="nil"/>
              <w:tr2bl w:val="nil"/>
            </w:tcBorders>
            <w:tcMar>
              <w:left w:w="60" w:type="dxa"/>
              <w:right w:w="60" w:type="dxa"/>
            </w:tcMar>
            <w:vAlign w:val="center"/>
          </w:tcPr>
          <w:p>
            <w:pPr>
              <w:pStyle w:val="DMETW36571BIPFGCTQ"/>
              <w:jc w:val="right"/>
              <w:rPr>
                <w:rFonts w:ascii="Verdana" w:eastAsia="Verdana" w:hAnsi="Verdana" w:cs="Verdana"/>
                <w:i/>
                <w:noProof/>
                <w:color w:val="000000"/>
                <w:sz w:val="18"/>
              </w:rPr>
            </w:pPr>
            <w:r>
              <w:rPr>
                <w:rFonts w:ascii="Verdana" w:hAnsi="Verdana"/>
                <w:i/>
                <w:noProof/>
                <w:color w:val="000000"/>
                <w:sz w:val="18"/>
              </w:rPr>
              <w:t>39 396</w:t>
            </w:r>
          </w:p>
        </w:tc>
        <w:tc>
          <w:tcPr>
            <w:tcW w:w="1206" w:type="dxa"/>
            <w:tcBorders>
              <w:top w:val="nil"/>
              <w:left w:val="nil"/>
              <w:bottom w:val="nil"/>
              <w:right w:val="nil"/>
              <w:tl2br w:val="nil"/>
              <w:tr2bl w:val="nil"/>
            </w:tcBorders>
            <w:tcMar>
              <w:left w:w="60" w:type="dxa"/>
              <w:right w:w="60" w:type="dxa"/>
            </w:tcMar>
            <w:vAlign w:val="center"/>
          </w:tcPr>
          <w:p>
            <w:pPr>
              <w:pStyle w:val="DMETW36571BIPFGCTQ"/>
              <w:jc w:val="right"/>
              <w:rPr>
                <w:rFonts w:ascii="Verdana" w:eastAsia="Verdana" w:hAnsi="Verdana" w:cs="Verdana"/>
                <w:i/>
                <w:noProof/>
                <w:color w:val="000000"/>
                <w:sz w:val="18"/>
              </w:rPr>
            </w:pPr>
            <w:r>
              <w:rPr>
                <w:rFonts w:ascii="Verdana" w:hAnsi="Verdana"/>
                <w:i/>
                <w:noProof/>
                <w:color w:val="000000"/>
                <w:sz w:val="18"/>
              </w:rPr>
              <w:t>25 813</w:t>
            </w:r>
          </w:p>
        </w:tc>
        <w:tc>
          <w:tcPr>
            <w:tcW w:w="1106" w:type="dxa"/>
            <w:tcBorders>
              <w:top w:val="nil"/>
              <w:left w:val="nil"/>
              <w:bottom w:val="nil"/>
              <w:right w:val="nil"/>
              <w:tl2br w:val="nil"/>
              <w:tr2bl w:val="nil"/>
            </w:tcBorders>
            <w:tcMar>
              <w:left w:w="60" w:type="dxa"/>
              <w:right w:w="60" w:type="dxa"/>
            </w:tcMar>
            <w:vAlign w:val="center"/>
          </w:tcPr>
          <w:p>
            <w:pPr>
              <w:pStyle w:val="DMETW36571BIPFGCTQ"/>
              <w:jc w:val="right"/>
              <w:rPr>
                <w:rFonts w:ascii="Verdana" w:eastAsia="Verdana" w:hAnsi="Verdana" w:cs="Verdana"/>
                <w:i/>
                <w:noProof/>
                <w:color w:val="000000"/>
                <w:sz w:val="18"/>
              </w:rPr>
            </w:pPr>
            <w:r>
              <w:rPr>
                <w:rFonts w:ascii="Verdana" w:hAnsi="Verdana"/>
                <w:i/>
                <w:noProof/>
                <w:color w:val="000000"/>
                <w:sz w:val="18"/>
              </w:rPr>
              <w:t>65 209</w:t>
            </w:r>
          </w:p>
        </w:tc>
        <w:tc>
          <w:tcPr>
            <w:tcW w:w="1224" w:type="dxa"/>
            <w:tcBorders>
              <w:top w:val="nil"/>
              <w:left w:val="nil"/>
              <w:bottom w:val="nil"/>
              <w:right w:val="nil"/>
              <w:tl2br w:val="nil"/>
              <w:tr2bl w:val="nil"/>
            </w:tcBorders>
            <w:tcMar>
              <w:left w:w="60" w:type="dxa"/>
              <w:right w:w="60" w:type="dxa"/>
            </w:tcMar>
            <w:vAlign w:val="center"/>
          </w:tcPr>
          <w:p>
            <w:pPr>
              <w:pStyle w:val="DMETW36571BIPFGCTQ"/>
              <w:jc w:val="right"/>
              <w:rPr>
                <w:rFonts w:ascii="Verdana" w:eastAsia="Verdana" w:hAnsi="Verdana" w:cs="Verdana"/>
                <w:i/>
                <w:noProof/>
                <w:color w:val="000000"/>
                <w:sz w:val="18"/>
              </w:rPr>
            </w:pPr>
            <w:r>
              <w:rPr>
                <w:rFonts w:ascii="Verdana" w:hAnsi="Verdana"/>
                <w:i/>
                <w:noProof/>
                <w:color w:val="000000"/>
                <w:sz w:val="18"/>
              </w:rPr>
              <w:t>34 912</w:t>
            </w:r>
          </w:p>
        </w:tc>
        <w:tc>
          <w:tcPr>
            <w:tcW w:w="1124" w:type="dxa"/>
            <w:tcBorders>
              <w:top w:val="nil"/>
              <w:left w:val="nil"/>
              <w:bottom w:val="nil"/>
              <w:right w:val="nil"/>
              <w:tl2br w:val="nil"/>
              <w:tr2bl w:val="nil"/>
            </w:tcBorders>
            <w:tcMar>
              <w:left w:w="60" w:type="dxa"/>
              <w:right w:w="60" w:type="dxa"/>
            </w:tcMar>
            <w:vAlign w:val="center"/>
          </w:tcPr>
          <w:p>
            <w:pPr>
              <w:pStyle w:val="DMETW36571BIPFGCTQ"/>
              <w:jc w:val="right"/>
              <w:rPr>
                <w:rFonts w:ascii="Verdana" w:eastAsia="Verdana" w:hAnsi="Verdana" w:cs="Verdana"/>
                <w:i/>
                <w:noProof/>
                <w:color w:val="000000"/>
                <w:sz w:val="18"/>
              </w:rPr>
            </w:pPr>
            <w:r>
              <w:rPr>
                <w:rFonts w:ascii="Verdana" w:hAnsi="Verdana"/>
                <w:i/>
                <w:noProof/>
                <w:color w:val="000000"/>
                <w:sz w:val="18"/>
              </w:rPr>
              <w:t>25 746</w:t>
            </w:r>
          </w:p>
        </w:tc>
        <w:tc>
          <w:tcPr>
            <w:tcW w:w="1396" w:type="dxa"/>
            <w:tcBorders>
              <w:top w:val="nil"/>
              <w:left w:val="nil"/>
              <w:bottom w:val="nil"/>
              <w:right w:val="nil"/>
              <w:tl2br w:val="nil"/>
              <w:tr2bl w:val="nil"/>
            </w:tcBorders>
            <w:tcMar>
              <w:left w:w="60" w:type="dxa"/>
              <w:right w:w="60" w:type="dxa"/>
            </w:tcMar>
            <w:vAlign w:val="center"/>
          </w:tcPr>
          <w:p>
            <w:pPr>
              <w:pStyle w:val="DMETW36571BIPFGCTQ"/>
              <w:jc w:val="right"/>
              <w:rPr>
                <w:rFonts w:ascii="Verdana" w:eastAsia="Verdana" w:hAnsi="Verdana" w:cs="Verdana"/>
                <w:i/>
                <w:noProof/>
                <w:color w:val="000000"/>
                <w:sz w:val="18"/>
              </w:rPr>
            </w:pPr>
            <w:r>
              <w:rPr>
                <w:rFonts w:ascii="Verdana" w:hAnsi="Verdana"/>
                <w:i/>
                <w:noProof/>
                <w:color w:val="000000"/>
                <w:sz w:val="18"/>
              </w:rPr>
              <w:t>60 658</w:t>
            </w:r>
          </w:p>
        </w:tc>
      </w:tr>
      <w:tr>
        <w:trPr>
          <w:trHeight w:val="255"/>
        </w:trPr>
        <w:tc>
          <w:tcPr>
            <w:tcW w:w="2496" w:type="dxa"/>
            <w:tcBorders>
              <w:top w:val="nil"/>
              <w:left w:val="nil"/>
              <w:bottom w:val="single" w:sz="4" w:space="0" w:color="016794"/>
              <w:right w:val="nil"/>
              <w:tl2br w:val="nil"/>
              <w:tr2bl w:val="nil"/>
            </w:tcBorders>
            <w:tcMar>
              <w:left w:w="60" w:type="dxa"/>
              <w:right w:w="60" w:type="dxa"/>
            </w:tcMar>
            <w:vAlign w:val="center"/>
          </w:tcPr>
          <w:p>
            <w:pPr>
              <w:pStyle w:val="DMETW36571BIPFGCTQ"/>
              <w:rPr>
                <w:rFonts w:ascii="Verdana" w:eastAsia="Verdana" w:hAnsi="Verdana" w:cs="Verdana"/>
                <w:i/>
                <w:noProof/>
                <w:color w:val="000000"/>
                <w:sz w:val="18"/>
              </w:rPr>
            </w:pPr>
            <w:r>
              <w:rPr>
                <w:rFonts w:ascii="Verdana" w:hAnsi="Verdana"/>
                <w:i/>
                <w:noProof/>
                <w:color w:val="000000"/>
                <w:sz w:val="18"/>
              </w:rPr>
              <w:t>Gérés sur une base collective/non notés</w:t>
            </w:r>
          </w:p>
        </w:tc>
        <w:tc>
          <w:tcPr>
            <w:tcW w:w="1206" w:type="dxa"/>
            <w:tcBorders>
              <w:top w:val="nil"/>
              <w:left w:val="nil"/>
              <w:bottom w:val="single" w:sz="4" w:space="0" w:color="016794"/>
              <w:right w:val="nil"/>
              <w:tl2br w:val="nil"/>
              <w:tr2bl w:val="nil"/>
            </w:tcBorders>
            <w:tcMar>
              <w:left w:w="60" w:type="dxa"/>
              <w:right w:w="60" w:type="dxa"/>
            </w:tcMar>
            <w:vAlign w:val="center"/>
          </w:tcPr>
          <w:p>
            <w:pPr>
              <w:pStyle w:val="DMETW36571BIPFGCTQ"/>
              <w:jc w:val="right"/>
              <w:rPr>
                <w:rFonts w:ascii="Verdana" w:eastAsia="Verdana" w:hAnsi="Verdana" w:cs="Verdana"/>
                <w:i/>
                <w:noProof/>
                <w:color w:val="000000"/>
                <w:sz w:val="18"/>
              </w:rPr>
            </w:pPr>
            <w:r>
              <w:rPr>
                <w:rFonts w:ascii="Verdana" w:hAnsi="Verdana"/>
                <w:i/>
                <w:noProof/>
                <w:color w:val="000000"/>
                <w:sz w:val="18"/>
              </w:rPr>
              <w:t xml:space="preserve"> 10</w:t>
            </w:r>
          </w:p>
        </w:tc>
        <w:tc>
          <w:tcPr>
            <w:tcW w:w="1206" w:type="dxa"/>
            <w:tcBorders>
              <w:top w:val="nil"/>
              <w:left w:val="nil"/>
              <w:bottom w:val="single" w:sz="4" w:space="0" w:color="016794"/>
              <w:right w:val="nil"/>
              <w:tl2br w:val="nil"/>
              <w:tr2bl w:val="nil"/>
            </w:tcBorders>
            <w:tcMar>
              <w:left w:w="60" w:type="dxa"/>
              <w:right w:w="60" w:type="dxa"/>
            </w:tcMar>
            <w:vAlign w:val="center"/>
          </w:tcPr>
          <w:p>
            <w:pPr>
              <w:pStyle w:val="DMETW36571BIPFGCTQ"/>
              <w:jc w:val="right"/>
              <w:rPr>
                <w:rFonts w:ascii="Verdana" w:eastAsia="Verdana" w:hAnsi="Verdana" w:cs="Verdana"/>
                <w:i/>
                <w:noProof/>
                <w:color w:val="000000"/>
                <w:sz w:val="18"/>
              </w:rPr>
            </w:pPr>
            <w:r>
              <w:rPr>
                <w:rFonts w:ascii="Verdana" w:hAnsi="Verdana"/>
                <w:i/>
                <w:noProof/>
                <w:color w:val="000000"/>
                <w:sz w:val="18"/>
              </w:rPr>
              <w:t xml:space="preserve"> 45</w:t>
            </w:r>
          </w:p>
        </w:tc>
        <w:tc>
          <w:tcPr>
            <w:tcW w:w="1106" w:type="dxa"/>
            <w:tcBorders>
              <w:top w:val="nil"/>
              <w:left w:val="nil"/>
              <w:bottom w:val="single" w:sz="4" w:space="0" w:color="016794"/>
              <w:right w:val="nil"/>
              <w:tl2br w:val="nil"/>
              <w:tr2bl w:val="nil"/>
            </w:tcBorders>
            <w:tcMar>
              <w:left w:w="60" w:type="dxa"/>
              <w:right w:w="60" w:type="dxa"/>
            </w:tcMar>
            <w:vAlign w:val="center"/>
          </w:tcPr>
          <w:p>
            <w:pPr>
              <w:pStyle w:val="DMETW36571BIPFGCTQ"/>
              <w:jc w:val="right"/>
              <w:rPr>
                <w:rFonts w:ascii="Verdana" w:eastAsia="Verdana" w:hAnsi="Verdana" w:cs="Verdana"/>
                <w:i/>
                <w:noProof/>
                <w:color w:val="000000"/>
                <w:sz w:val="18"/>
              </w:rPr>
            </w:pPr>
            <w:r>
              <w:rPr>
                <w:rFonts w:ascii="Verdana" w:hAnsi="Verdana"/>
                <w:i/>
                <w:noProof/>
                <w:color w:val="000000"/>
                <w:sz w:val="18"/>
              </w:rPr>
              <w:t xml:space="preserve"> 55</w:t>
            </w:r>
          </w:p>
        </w:tc>
        <w:tc>
          <w:tcPr>
            <w:tcW w:w="1224" w:type="dxa"/>
            <w:tcBorders>
              <w:top w:val="nil"/>
              <w:left w:val="nil"/>
              <w:bottom w:val="single" w:sz="4" w:space="0" w:color="016794"/>
              <w:right w:val="nil"/>
              <w:tl2br w:val="nil"/>
              <w:tr2bl w:val="nil"/>
            </w:tcBorders>
            <w:tcMar>
              <w:left w:w="60" w:type="dxa"/>
              <w:right w:w="60" w:type="dxa"/>
            </w:tcMar>
            <w:vAlign w:val="center"/>
          </w:tcPr>
          <w:p>
            <w:pPr>
              <w:pStyle w:val="DMETW36571BIPFGCTQ"/>
              <w:jc w:val="right"/>
              <w:rPr>
                <w:rFonts w:ascii="Verdana" w:eastAsia="Verdana" w:hAnsi="Verdana" w:cs="Verdana"/>
                <w:i/>
                <w:noProof/>
                <w:color w:val="000000"/>
                <w:sz w:val="18"/>
              </w:rPr>
            </w:pPr>
            <w:r>
              <w:rPr>
                <w:rFonts w:ascii="Verdana" w:hAnsi="Verdana"/>
                <w:i/>
                <w:noProof/>
                <w:color w:val="000000"/>
                <w:sz w:val="18"/>
              </w:rPr>
              <w:t xml:space="preserve"> 10</w:t>
            </w:r>
          </w:p>
        </w:tc>
        <w:tc>
          <w:tcPr>
            <w:tcW w:w="1124" w:type="dxa"/>
            <w:tcBorders>
              <w:top w:val="nil"/>
              <w:left w:val="nil"/>
              <w:bottom w:val="single" w:sz="4" w:space="0" w:color="016794"/>
              <w:right w:val="nil"/>
              <w:tl2br w:val="nil"/>
              <w:tr2bl w:val="nil"/>
            </w:tcBorders>
            <w:tcMar>
              <w:left w:w="60" w:type="dxa"/>
              <w:right w:w="60" w:type="dxa"/>
            </w:tcMar>
            <w:vAlign w:val="center"/>
          </w:tcPr>
          <w:p>
            <w:pPr>
              <w:pStyle w:val="DMETW36571BIPFGCTQ"/>
              <w:jc w:val="right"/>
              <w:rPr>
                <w:rFonts w:ascii="Verdana" w:eastAsia="Verdana" w:hAnsi="Verdana" w:cs="Verdana"/>
                <w:i/>
                <w:noProof/>
                <w:color w:val="000000"/>
                <w:sz w:val="18"/>
              </w:rPr>
            </w:pPr>
            <w:r>
              <w:rPr>
                <w:rFonts w:ascii="Verdana" w:hAnsi="Verdana"/>
                <w:i/>
                <w:noProof/>
                <w:color w:val="000000"/>
                <w:sz w:val="18"/>
              </w:rPr>
              <w:t xml:space="preserve"> 47</w:t>
            </w:r>
          </w:p>
        </w:tc>
        <w:tc>
          <w:tcPr>
            <w:tcW w:w="1396" w:type="dxa"/>
            <w:tcBorders>
              <w:top w:val="nil"/>
              <w:left w:val="nil"/>
              <w:bottom w:val="single" w:sz="4" w:space="0" w:color="016794"/>
              <w:right w:val="nil"/>
              <w:tl2br w:val="nil"/>
              <w:tr2bl w:val="nil"/>
            </w:tcBorders>
            <w:tcMar>
              <w:left w:w="60" w:type="dxa"/>
              <w:right w:w="60" w:type="dxa"/>
            </w:tcMar>
            <w:vAlign w:val="center"/>
          </w:tcPr>
          <w:p>
            <w:pPr>
              <w:pStyle w:val="DMETW36571BIPFGCTQ"/>
              <w:jc w:val="right"/>
              <w:rPr>
                <w:rFonts w:ascii="Verdana" w:eastAsia="Verdana" w:hAnsi="Verdana" w:cs="Verdana"/>
                <w:i/>
                <w:noProof/>
                <w:color w:val="000000"/>
                <w:sz w:val="18"/>
              </w:rPr>
            </w:pPr>
            <w:r>
              <w:rPr>
                <w:rFonts w:ascii="Verdana" w:hAnsi="Verdana"/>
                <w:i/>
                <w:noProof/>
                <w:color w:val="000000"/>
                <w:sz w:val="18"/>
              </w:rPr>
              <w:t xml:space="preserve"> 56</w:t>
            </w:r>
          </w:p>
        </w:tc>
      </w:tr>
      <w:tr>
        <w:trPr>
          <w:trHeight w:val="255"/>
        </w:trPr>
        <w:tc>
          <w:tcPr>
            <w:tcW w:w="249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571BIPFGCTQ"/>
              <w:rPr>
                <w:rFonts w:ascii="Verdana" w:eastAsia="Verdana" w:hAnsi="Verdana" w:cs="Verdana"/>
                <w:b/>
                <w:noProof/>
                <w:color w:val="000000"/>
                <w:sz w:val="18"/>
              </w:rPr>
            </w:pPr>
            <w:r>
              <w:rPr>
                <w:rFonts w:ascii="Verdana" w:hAnsi="Verdana"/>
                <w:b/>
                <w:noProof/>
                <w:color w:val="000000"/>
                <w:sz w:val="18"/>
              </w:rPr>
              <w:t>Total</w:t>
            </w:r>
          </w:p>
        </w:tc>
        <w:tc>
          <w:tcPr>
            <w:tcW w:w="120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571BIPFGCTQ"/>
              <w:jc w:val="right"/>
              <w:rPr>
                <w:rFonts w:ascii="Verdana" w:eastAsia="Verdana" w:hAnsi="Verdana" w:cs="Verdana"/>
                <w:b/>
                <w:noProof/>
                <w:color w:val="000000"/>
                <w:sz w:val="18"/>
              </w:rPr>
            </w:pPr>
            <w:r>
              <w:rPr>
                <w:rFonts w:ascii="Verdana" w:hAnsi="Verdana"/>
                <w:b/>
                <w:noProof/>
                <w:color w:val="000000"/>
                <w:sz w:val="18"/>
              </w:rPr>
              <w:t>39 602</w:t>
            </w:r>
          </w:p>
        </w:tc>
        <w:tc>
          <w:tcPr>
            <w:tcW w:w="120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571BIPFGCTQ"/>
              <w:jc w:val="right"/>
              <w:rPr>
                <w:rFonts w:ascii="Verdana" w:eastAsia="Verdana" w:hAnsi="Verdana" w:cs="Verdana"/>
                <w:b/>
                <w:noProof/>
                <w:color w:val="000000"/>
                <w:sz w:val="18"/>
              </w:rPr>
            </w:pPr>
            <w:r>
              <w:rPr>
                <w:rFonts w:ascii="Verdana" w:hAnsi="Verdana"/>
                <w:b/>
                <w:noProof/>
                <w:color w:val="000000"/>
                <w:sz w:val="18"/>
              </w:rPr>
              <w:t>25 872</w:t>
            </w:r>
          </w:p>
        </w:tc>
        <w:tc>
          <w:tcPr>
            <w:tcW w:w="110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571BIPFGCTQ"/>
              <w:jc w:val="right"/>
              <w:rPr>
                <w:rFonts w:ascii="Verdana" w:eastAsia="Verdana" w:hAnsi="Verdana" w:cs="Verdana"/>
                <w:b/>
                <w:noProof/>
                <w:color w:val="000000"/>
                <w:sz w:val="18"/>
              </w:rPr>
            </w:pPr>
            <w:r>
              <w:rPr>
                <w:rFonts w:ascii="Verdana" w:hAnsi="Verdana"/>
                <w:b/>
                <w:noProof/>
                <w:color w:val="000000"/>
                <w:sz w:val="18"/>
              </w:rPr>
              <w:t>65 474</w:t>
            </w:r>
          </w:p>
        </w:tc>
        <w:tc>
          <w:tcPr>
            <w:tcW w:w="122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571BIPFGCTQ"/>
              <w:jc w:val="right"/>
              <w:rPr>
                <w:rFonts w:ascii="Verdana" w:eastAsia="Verdana" w:hAnsi="Verdana" w:cs="Verdana"/>
                <w:b/>
                <w:noProof/>
                <w:color w:val="000000"/>
                <w:sz w:val="18"/>
              </w:rPr>
            </w:pPr>
            <w:r>
              <w:rPr>
                <w:rFonts w:ascii="Verdana" w:hAnsi="Verdana"/>
                <w:b/>
                <w:noProof/>
                <w:color w:val="000000"/>
                <w:sz w:val="18"/>
              </w:rPr>
              <w:t>35 064</w:t>
            </w:r>
          </w:p>
        </w:tc>
        <w:tc>
          <w:tcPr>
            <w:tcW w:w="112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571BIPFGCTQ"/>
              <w:jc w:val="right"/>
              <w:rPr>
                <w:rFonts w:ascii="Verdana" w:eastAsia="Verdana" w:hAnsi="Verdana" w:cs="Verdana"/>
                <w:b/>
                <w:noProof/>
                <w:color w:val="000000"/>
                <w:sz w:val="18"/>
              </w:rPr>
            </w:pPr>
            <w:r>
              <w:rPr>
                <w:rFonts w:ascii="Verdana" w:hAnsi="Verdana"/>
                <w:b/>
                <w:noProof/>
                <w:color w:val="000000"/>
                <w:sz w:val="18"/>
              </w:rPr>
              <w:t>25 793</w:t>
            </w:r>
          </w:p>
        </w:tc>
        <w:tc>
          <w:tcPr>
            <w:tcW w:w="139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571BIPFGCTQ"/>
              <w:jc w:val="right"/>
              <w:rPr>
                <w:rFonts w:ascii="Verdana" w:eastAsia="Verdana" w:hAnsi="Verdana" w:cs="Verdana"/>
                <w:b/>
                <w:noProof/>
                <w:color w:val="000000"/>
                <w:sz w:val="18"/>
              </w:rPr>
            </w:pPr>
            <w:r>
              <w:rPr>
                <w:rFonts w:ascii="Verdana" w:hAnsi="Verdana"/>
                <w:b/>
                <w:noProof/>
                <w:color w:val="000000"/>
                <w:sz w:val="18"/>
              </w:rPr>
              <w:t>60 857</w:t>
            </w:r>
          </w:p>
        </w:tc>
      </w:tr>
    </w:tbl>
    <w:p>
      <w:pPr>
        <w:pStyle w:val="HEADER5"/>
        <w:rPr>
          <w:noProof/>
        </w:rPr>
      </w:pPr>
    </w:p>
    <w:p>
      <w:pPr>
        <w:pStyle w:val="HEADER5"/>
        <w:rPr>
          <w:noProof/>
        </w:rPr>
      </w:pPr>
      <w:r>
        <w:rPr>
          <w:noProof/>
        </w:rPr>
        <w:t xml:space="preserve">Contrats de garantie financière: variation de la correction de valeur pour pertes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40"/>
        <w:gridCol w:w="1906"/>
        <w:gridCol w:w="1906"/>
        <w:gridCol w:w="1906"/>
      </w:tblGrid>
      <w:tr>
        <w:trPr>
          <w:trHeight w:hRule="exact" w:val="255"/>
        </w:trPr>
        <w:tc>
          <w:tcPr>
            <w:tcW w:w="4040" w:type="dxa"/>
            <w:tcBorders>
              <w:top w:val="nil"/>
              <w:left w:val="nil"/>
              <w:bottom w:val="nil"/>
              <w:right w:val="nil"/>
              <w:tl2br w:val="nil"/>
              <w:tr2bl w:val="nil"/>
            </w:tcBorders>
            <w:tcMar>
              <w:left w:w="60" w:type="dxa"/>
              <w:right w:w="60" w:type="dxa"/>
            </w:tcMar>
            <w:vAlign w:val="center"/>
          </w:tcPr>
          <w:p>
            <w:pPr>
              <w:pStyle w:val="DMETW36571BIPFGCLOS"/>
              <w:rPr>
                <w:rFonts w:ascii="Verdana" w:eastAsia="Verdana" w:hAnsi="Verdana" w:cs="Verdana"/>
                <w:b/>
                <w:noProof/>
                <w:color w:val="000000"/>
                <w:sz w:val="18"/>
              </w:rPr>
            </w:pPr>
            <w:bookmarkStart w:id="234" w:name="DOC_TBL00101_1_1"/>
            <w:bookmarkEnd w:id="234"/>
          </w:p>
        </w:tc>
        <w:tc>
          <w:tcPr>
            <w:tcW w:w="1906" w:type="dxa"/>
            <w:tcBorders>
              <w:top w:val="nil"/>
              <w:left w:val="nil"/>
              <w:bottom w:val="nil"/>
              <w:right w:val="nil"/>
              <w:tl2br w:val="nil"/>
              <w:tr2bl w:val="nil"/>
            </w:tcBorders>
            <w:tcMar>
              <w:left w:w="60" w:type="dxa"/>
              <w:right w:w="60" w:type="dxa"/>
            </w:tcMar>
            <w:vAlign w:val="center"/>
          </w:tcPr>
          <w:p>
            <w:pPr>
              <w:pStyle w:val="DMETW36571BIPFGCLOS"/>
              <w:jc w:val="center"/>
              <w:rPr>
                <w:rFonts w:ascii="Verdana" w:eastAsia="Verdana" w:hAnsi="Verdana" w:cs="Verdana"/>
                <w:b/>
                <w:noProof/>
                <w:color w:val="000000"/>
                <w:sz w:val="18"/>
              </w:rPr>
            </w:pPr>
          </w:p>
        </w:tc>
        <w:tc>
          <w:tcPr>
            <w:tcW w:w="1906" w:type="dxa"/>
            <w:tcBorders>
              <w:top w:val="nil"/>
              <w:left w:val="nil"/>
              <w:bottom w:val="nil"/>
              <w:right w:val="nil"/>
              <w:tl2br w:val="nil"/>
              <w:tr2bl w:val="nil"/>
            </w:tcBorders>
            <w:tcMar>
              <w:left w:w="60" w:type="dxa"/>
              <w:right w:w="60" w:type="dxa"/>
            </w:tcMar>
            <w:vAlign w:val="center"/>
          </w:tcPr>
          <w:p>
            <w:pPr>
              <w:pStyle w:val="DMETW36571BIPFGCLOS"/>
              <w:jc w:val="center"/>
              <w:rPr>
                <w:rFonts w:ascii="Verdana" w:eastAsia="Verdana" w:hAnsi="Verdana" w:cs="Verdana"/>
                <w:b/>
                <w:noProof/>
                <w:color w:val="000000"/>
                <w:sz w:val="18"/>
              </w:rPr>
            </w:pPr>
          </w:p>
        </w:tc>
        <w:tc>
          <w:tcPr>
            <w:tcW w:w="1906" w:type="dxa"/>
            <w:tcBorders>
              <w:top w:val="nil"/>
              <w:left w:val="nil"/>
              <w:bottom w:val="nil"/>
              <w:right w:val="nil"/>
              <w:tl2br w:val="nil"/>
              <w:tr2bl w:val="nil"/>
            </w:tcBorders>
            <w:tcMar>
              <w:left w:w="60" w:type="dxa"/>
              <w:right w:w="60" w:type="dxa"/>
            </w:tcMar>
            <w:vAlign w:val="bottom"/>
          </w:tcPr>
          <w:p>
            <w:pPr>
              <w:pStyle w:val="DMETW36571BIPFGCLOS"/>
              <w:jc w:val="right"/>
              <w:rPr>
                <w:rFonts w:ascii="Verdana" w:eastAsia="Verdana" w:hAnsi="Verdana" w:cs="Verdana"/>
                <w:i/>
                <w:noProof/>
                <w:color w:val="000000"/>
                <w:sz w:val="18"/>
              </w:rPr>
            </w:pPr>
            <w:r>
              <w:rPr>
                <w:rFonts w:ascii="Verdana" w:hAnsi="Verdana"/>
                <w:i/>
                <w:noProof/>
                <w:color w:val="000000"/>
                <w:sz w:val="18"/>
              </w:rPr>
              <w:t>en Mio EUR</w:t>
            </w:r>
          </w:p>
        </w:tc>
      </w:tr>
      <w:tr>
        <w:trPr>
          <w:trHeight w:hRule="exact" w:val="230"/>
        </w:trPr>
        <w:tc>
          <w:tcPr>
            <w:tcW w:w="4040"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571BIPFGCLOS"/>
              <w:jc w:val="center"/>
              <w:rPr>
                <w:rFonts w:ascii="Verdana" w:eastAsia="Verdana" w:hAnsi="Verdana" w:cs="Verdana"/>
                <w:noProof/>
                <w:color w:val="FFFFFF"/>
                <w:sz w:val="18"/>
              </w:rPr>
            </w:pPr>
          </w:p>
        </w:tc>
        <w:tc>
          <w:tcPr>
            <w:tcW w:w="1906"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571BIPFGCLOS"/>
              <w:jc w:val="right"/>
              <w:rPr>
                <w:rFonts w:ascii="Verdana" w:eastAsia="Verdana" w:hAnsi="Verdana" w:cs="Verdana"/>
                <w:noProof/>
                <w:color w:val="FFFFFF"/>
                <w:sz w:val="18"/>
              </w:rPr>
            </w:pPr>
            <w:r>
              <w:rPr>
                <w:rFonts w:ascii="Verdana" w:hAnsi="Verdana"/>
                <w:noProof/>
                <w:color w:val="FFFFFF"/>
                <w:sz w:val="18"/>
              </w:rPr>
              <w:t xml:space="preserve">Stade 1 </w:t>
            </w:r>
          </w:p>
        </w:tc>
        <w:tc>
          <w:tcPr>
            <w:tcW w:w="1906"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571BIPFGCLOS"/>
              <w:jc w:val="right"/>
              <w:rPr>
                <w:rFonts w:ascii="Verdana" w:eastAsia="Verdana" w:hAnsi="Verdana" w:cs="Verdana"/>
                <w:noProof/>
                <w:color w:val="FFFFFF"/>
                <w:sz w:val="18"/>
              </w:rPr>
            </w:pPr>
            <w:r>
              <w:rPr>
                <w:rFonts w:ascii="Verdana" w:hAnsi="Verdana"/>
                <w:noProof/>
                <w:color w:val="FFFFFF"/>
                <w:sz w:val="18"/>
              </w:rPr>
              <w:t xml:space="preserve">Stade 2  </w:t>
            </w:r>
          </w:p>
        </w:tc>
        <w:tc>
          <w:tcPr>
            <w:tcW w:w="1906"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571BIPFGCLOS"/>
              <w:jc w:val="right"/>
              <w:rPr>
                <w:rFonts w:ascii="Verdana" w:eastAsia="Verdana" w:hAnsi="Verdana" w:cs="Verdana"/>
                <w:noProof/>
                <w:color w:val="FFFFFF"/>
                <w:sz w:val="18"/>
              </w:rPr>
            </w:pPr>
            <w:r>
              <w:rPr>
                <w:rFonts w:ascii="Verdana" w:hAnsi="Verdana"/>
                <w:noProof/>
                <w:color w:val="FFFFFF"/>
                <w:sz w:val="18"/>
              </w:rPr>
              <w:t>Total</w:t>
            </w:r>
          </w:p>
        </w:tc>
      </w:tr>
      <w:tr>
        <w:trPr>
          <w:trHeight w:hRule="exact" w:val="230"/>
        </w:trPr>
        <w:tc>
          <w:tcPr>
            <w:tcW w:w="4230" w:type="dxa"/>
            <w:vMerge/>
            <w:tcBorders>
              <w:top w:val="nil"/>
              <w:left w:val="nil"/>
              <w:bottom w:val="nil"/>
              <w:right w:val="nil"/>
              <w:tl2br w:val="nil"/>
              <w:tr2bl w:val="nil"/>
            </w:tcBorders>
            <w:shd w:val="solid" w:color="016794" w:fill="FFFFFF"/>
            <w:tcMar>
              <w:left w:w="60" w:type="dxa"/>
              <w:right w:w="60" w:type="dxa"/>
            </w:tcMar>
            <w:vAlign w:val="center"/>
          </w:tcPr>
          <w:p>
            <w:pPr>
              <w:pStyle w:val="DMETW36571BIPFGCLOS"/>
              <w:jc w:val="center"/>
              <w:rPr>
                <w:rFonts w:ascii="Verdana" w:eastAsia="Verdana" w:hAnsi="Verdana" w:cs="Verdana"/>
                <w:noProof/>
                <w:color w:val="FFFFFF"/>
                <w:sz w:val="18"/>
              </w:rPr>
            </w:pPr>
          </w:p>
        </w:tc>
        <w:tc>
          <w:tcPr>
            <w:tcW w:w="1770" w:type="dxa"/>
            <w:vMerge/>
            <w:tcBorders>
              <w:top w:val="nil"/>
              <w:left w:val="nil"/>
              <w:bottom w:val="nil"/>
              <w:right w:val="nil"/>
              <w:tl2br w:val="nil"/>
              <w:tr2bl w:val="nil"/>
            </w:tcBorders>
            <w:shd w:val="solid" w:color="016794" w:fill="FFFFFF"/>
            <w:tcMar>
              <w:left w:w="60" w:type="dxa"/>
              <w:right w:w="60" w:type="dxa"/>
            </w:tcMar>
            <w:vAlign w:val="center"/>
          </w:tcPr>
          <w:p>
            <w:pPr>
              <w:pStyle w:val="DMETW36571BIPFGCLOS"/>
              <w:jc w:val="right"/>
              <w:rPr>
                <w:rFonts w:ascii="Verdana" w:eastAsia="Verdana" w:hAnsi="Verdana" w:cs="Verdana"/>
                <w:noProof/>
                <w:color w:val="FFFFFF"/>
                <w:sz w:val="18"/>
              </w:rPr>
            </w:pPr>
          </w:p>
        </w:tc>
        <w:tc>
          <w:tcPr>
            <w:tcW w:w="1770" w:type="dxa"/>
            <w:vMerge/>
            <w:tcBorders>
              <w:top w:val="nil"/>
              <w:left w:val="nil"/>
              <w:bottom w:val="nil"/>
              <w:right w:val="nil"/>
              <w:tl2br w:val="nil"/>
              <w:tr2bl w:val="nil"/>
            </w:tcBorders>
            <w:shd w:val="solid" w:color="016794" w:fill="FFFFFF"/>
            <w:tcMar>
              <w:left w:w="60" w:type="dxa"/>
              <w:right w:w="60" w:type="dxa"/>
            </w:tcMar>
            <w:vAlign w:val="center"/>
          </w:tcPr>
          <w:p>
            <w:pPr>
              <w:pStyle w:val="DMETW36571BIPFGCLOS"/>
              <w:jc w:val="right"/>
              <w:rPr>
                <w:rFonts w:ascii="Verdana" w:eastAsia="Verdana" w:hAnsi="Verdana" w:cs="Verdana"/>
                <w:noProof/>
                <w:color w:val="FFFFFF"/>
                <w:sz w:val="18"/>
              </w:rPr>
            </w:pPr>
          </w:p>
        </w:tc>
        <w:tc>
          <w:tcPr>
            <w:tcW w:w="2040" w:type="dxa"/>
            <w:vMerge/>
            <w:tcBorders>
              <w:top w:val="nil"/>
              <w:left w:val="nil"/>
              <w:bottom w:val="nil"/>
              <w:right w:val="nil"/>
              <w:tl2br w:val="nil"/>
              <w:tr2bl w:val="nil"/>
            </w:tcBorders>
            <w:shd w:val="solid" w:color="016794" w:fill="FFFFFF"/>
            <w:tcMar>
              <w:left w:w="60" w:type="dxa"/>
              <w:right w:w="60" w:type="dxa"/>
            </w:tcMar>
            <w:vAlign w:val="center"/>
          </w:tcPr>
          <w:p>
            <w:pPr>
              <w:pStyle w:val="DMETW36571BIPFGCLOS"/>
              <w:jc w:val="right"/>
              <w:rPr>
                <w:rFonts w:ascii="Verdana" w:eastAsia="Verdana" w:hAnsi="Verdana" w:cs="Verdana"/>
                <w:noProof/>
                <w:color w:val="FFFFFF"/>
                <w:sz w:val="18"/>
              </w:rPr>
            </w:pPr>
          </w:p>
        </w:tc>
      </w:tr>
      <w:tr>
        <w:trPr>
          <w:trHeight w:hRule="exact" w:val="654"/>
        </w:trPr>
        <w:tc>
          <w:tcPr>
            <w:tcW w:w="4040" w:type="dxa"/>
            <w:tcBorders>
              <w:top w:val="nil"/>
              <w:left w:val="nil"/>
              <w:bottom w:val="nil"/>
              <w:right w:val="nil"/>
              <w:tl2br w:val="nil"/>
              <w:tr2bl w:val="nil"/>
            </w:tcBorders>
            <w:tcMar>
              <w:left w:w="60" w:type="dxa"/>
              <w:right w:w="60" w:type="dxa"/>
            </w:tcMar>
            <w:vAlign w:val="center"/>
          </w:tcPr>
          <w:p>
            <w:pPr>
              <w:pStyle w:val="DMETW36571BIPFGCLOS"/>
              <w:rPr>
                <w:rFonts w:ascii="Verdana" w:eastAsia="Verdana" w:hAnsi="Verdana" w:cs="Verdana"/>
                <w:b/>
                <w:noProof/>
                <w:color w:val="000000"/>
                <w:sz w:val="18"/>
              </w:rPr>
            </w:pPr>
            <w:r>
              <w:rPr>
                <w:rFonts w:ascii="Verdana" w:hAnsi="Verdana"/>
                <w:b/>
                <w:noProof/>
                <w:color w:val="000000"/>
                <w:sz w:val="18"/>
              </w:rPr>
              <w:t>Correction de valeur pour pertes au 1.1.2025</w:t>
            </w:r>
          </w:p>
        </w:tc>
        <w:tc>
          <w:tcPr>
            <w:tcW w:w="1906" w:type="dxa"/>
            <w:tcBorders>
              <w:top w:val="nil"/>
              <w:left w:val="nil"/>
              <w:bottom w:val="nil"/>
              <w:right w:val="nil"/>
              <w:tl2br w:val="nil"/>
              <w:tr2bl w:val="nil"/>
            </w:tcBorders>
            <w:tcMar>
              <w:left w:w="60" w:type="dxa"/>
              <w:right w:w="60" w:type="dxa"/>
            </w:tcMar>
            <w:vAlign w:val="center"/>
          </w:tcPr>
          <w:p>
            <w:pPr>
              <w:pStyle w:val="DMETW36571BIPFGCLOS"/>
              <w:jc w:val="right"/>
              <w:rPr>
                <w:rFonts w:ascii="Verdana" w:eastAsia="Verdana" w:hAnsi="Verdana" w:cs="Verdana"/>
                <w:i/>
                <w:noProof/>
                <w:color w:val="000000"/>
                <w:sz w:val="18"/>
              </w:rPr>
            </w:pPr>
            <w:r>
              <w:rPr>
                <w:rFonts w:ascii="Verdana" w:hAnsi="Verdana"/>
                <w:i/>
                <w:noProof/>
                <w:color w:val="000000"/>
                <w:sz w:val="18"/>
              </w:rPr>
              <w:t>1 930</w:t>
            </w:r>
          </w:p>
        </w:tc>
        <w:tc>
          <w:tcPr>
            <w:tcW w:w="1906" w:type="dxa"/>
            <w:tcBorders>
              <w:top w:val="nil"/>
              <w:left w:val="nil"/>
              <w:bottom w:val="nil"/>
              <w:right w:val="nil"/>
              <w:tl2br w:val="nil"/>
              <w:tr2bl w:val="nil"/>
            </w:tcBorders>
            <w:tcMar>
              <w:left w:w="60" w:type="dxa"/>
              <w:right w:w="60" w:type="dxa"/>
            </w:tcMar>
            <w:vAlign w:val="center"/>
          </w:tcPr>
          <w:p>
            <w:pPr>
              <w:pStyle w:val="DMETW36571BIPFGCLOS"/>
              <w:jc w:val="right"/>
              <w:rPr>
                <w:rFonts w:ascii="Verdana" w:eastAsia="Verdana" w:hAnsi="Verdana" w:cs="Verdana"/>
                <w:i/>
                <w:noProof/>
                <w:color w:val="000000"/>
                <w:sz w:val="18"/>
              </w:rPr>
            </w:pPr>
            <w:r>
              <w:rPr>
                <w:rFonts w:ascii="Verdana" w:hAnsi="Verdana"/>
                <w:i/>
                <w:noProof/>
                <w:color w:val="000000"/>
                <w:sz w:val="18"/>
              </w:rPr>
              <w:t>2 075</w:t>
            </w:r>
          </w:p>
        </w:tc>
        <w:tc>
          <w:tcPr>
            <w:tcW w:w="1906" w:type="dxa"/>
            <w:tcBorders>
              <w:top w:val="nil"/>
              <w:left w:val="nil"/>
              <w:bottom w:val="nil"/>
              <w:right w:val="nil"/>
              <w:tl2br w:val="nil"/>
              <w:tr2bl w:val="nil"/>
            </w:tcBorders>
            <w:tcMar>
              <w:left w:w="60" w:type="dxa"/>
              <w:right w:w="60" w:type="dxa"/>
            </w:tcMar>
            <w:vAlign w:val="center"/>
          </w:tcPr>
          <w:p>
            <w:pPr>
              <w:pStyle w:val="DMETW36571BIPFGCLOS"/>
              <w:jc w:val="right"/>
              <w:rPr>
                <w:rFonts w:ascii="Verdana" w:eastAsia="Verdana" w:hAnsi="Verdana" w:cs="Verdana"/>
                <w:i/>
                <w:noProof/>
                <w:color w:val="000000"/>
                <w:sz w:val="18"/>
              </w:rPr>
            </w:pPr>
            <w:r>
              <w:rPr>
                <w:rFonts w:ascii="Verdana" w:hAnsi="Verdana"/>
                <w:i/>
                <w:noProof/>
                <w:color w:val="000000"/>
                <w:sz w:val="18"/>
              </w:rPr>
              <w:t>4 005</w:t>
            </w:r>
          </w:p>
        </w:tc>
      </w:tr>
      <w:tr>
        <w:trPr>
          <w:trHeight w:hRule="exact" w:val="255"/>
        </w:trPr>
        <w:tc>
          <w:tcPr>
            <w:tcW w:w="4040" w:type="dxa"/>
            <w:tcBorders>
              <w:top w:val="nil"/>
              <w:left w:val="nil"/>
              <w:bottom w:val="nil"/>
              <w:right w:val="nil"/>
              <w:tl2br w:val="nil"/>
              <w:tr2bl w:val="nil"/>
            </w:tcBorders>
            <w:tcMar>
              <w:left w:w="60" w:type="dxa"/>
              <w:right w:w="60" w:type="dxa"/>
            </w:tcMar>
            <w:vAlign w:val="center"/>
          </w:tcPr>
          <w:p>
            <w:pPr>
              <w:pStyle w:val="DMETW36571BIPFGCLOS"/>
              <w:rPr>
                <w:rFonts w:ascii="Verdana" w:eastAsia="Verdana" w:hAnsi="Verdana" w:cs="Verdana"/>
                <w:i/>
                <w:noProof/>
                <w:color w:val="000000"/>
                <w:sz w:val="18"/>
              </w:rPr>
            </w:pPr>
            <w:r>
              <w:rPr>
                <w:rFonts w:ascii="Verdana" w:hAnsi="Verdana"/>
                <w:i/>
                <w:noProof/>
                <w:color w:val="000000"/>
                <w:sz w:val="18"/>
              </w:rPr>
              <w:t>Transfert vers le stade 2</w:t>
            </w:r>
          </w:p>
        </w:tc>
        <w:tc>
          <w:tcPr>
            <w:tcW w:w="1906" w:type="dxa"/>
            <w:tcBorders>
              <w:top w:val="nil"/>
              <w:left w:val="nil"/>
              <w:bottom w:val="nil"/>
              <w:right w:val="nil"/>
              <w:tl2br w:val="nil"/>
              <w:tr2bl w:val="nil"/>
            </w:tcBorders>
            <w:tcMar>
              <w:left w:w="60" w:type="dxa"/>
              <w:right w:w="60" w:type="dxa"/>
            </w:tcMar>
            <w:vAlign w:val="center"/>
          </w:tcPr>
          <w:p>
            <w:pPr>
              <w:pStyle w:val="DMETW36571BIPFGCLOS"/>
              <w:jc w:val="right"/>
              <w:rPr>
                <w:rFonts w:ascii="Verdana" w:eastAsia="Verdana" w:hAnsi="Verdana" w:cs="Verdana"/>
                <w:i/>
                <w:noProof/>
                <w:color w:val="000000"/>
                <w:sz w:val="18"/>
              </w:rPr>
            </w:pPr>
            <w:r>
              <w:rPr>
                <w:rFonts w:ascii="Verdana" w:hAnsi="Verdana"/>
                <w:i/>
                <w:noProof/>
                <w:color w:val="000000"/>
                <w:sz w:val="18"/>
              </w:rPr>
              <w:t xml:space="preserve"> (48)</w:t>
            </w:r>
          </w:p>
        </w:tc>
        <w:tc>
          <w:tcPr>
            <w:tcW w:w="1906" w:type="dxa"/>
            <w:tcBorders>
              <w:top w:val="nil"/>
              <w:left w:val="nil"/>
              <w:bottom w:val="nil"/>
              <w:right w:val="nil"/>
              <w:tl2br w:val="nil"/>
              <w:tr2bl w:val="nil"/>
            </w:tcBorders>
            <w:tcMar>
              <w:left w:w="60" w:type="dxa"/>
              <w:right w:w="60" w:type="dxa"/>
            </w:tcMar>
            <w:vAlign w:val="center"/>
          </w:tcPr>
          <w:p>
            <w:pPr>
              <w:pStyle w:val="DMETW36571BIPFGCLOS"/>
              <w:jc w:val="right"/>
              <w:rPr>
                <w:rFonts w:ascii="Verdana" w:eastAsia="Verdana" w:hAnsi="Verdana" w:cs="Verdana"/>
                <w:i/>
                <w:noProof/>
                <w:color w:val="000000"/>
                <w:sz w:val="18"/>
              </w:rPr>
            </w:pPr>
            <w:r>
              <w:rPr>
                <w:rFonts w:ascii="Verdana" w:hAnsi="Verdana"/>
                <w:i/>
                <w:noProof/>
                <w:color w:val="000000"/>
                <w:sz w:val="18"/>
              </w:rPr>
              <w:t xml:space="preserve"> 48</w:t>
            </w:r>
          </w:p>
        </w:tc>
        <w:tc>
          <w:tcPr>
            <w:tcW w:w="1906" w:type="dxa"/>
            <w:tcBorders>
              <w:top w:val="nil"/>
              <w:left w:val="nil"/>
              <w:bottom w:val="nil"/>
              <w:right w:val="nil"/>
              <w:tl2br w:val="nil"/>
              <w:tr2bl w:val="nil"/>
            </w:tcBorders>
            <w:tcMar>
              <w:left w:w="60" w:type="dxa"/>
              <w:right w:w="60" w:type="dxa"/>
            </w:tcMar>
            <w:vAlign w:val="center"/>
          </w:tcPr>
          <w:p>
            <w:pPr>
              <w:pStyle w:val="DMETW36571BIPFGCLOS"/>
              <w:jc w:val="right"/>
              <w:rPr>
                <w:rFonts w:ascii="Verdana" w:eastAsia="Verdana" w:hAnsi="Verdana" w:cs="Verdana"/>
                <w:i/>
                <w:noProof/>
                <w:color w:val="000000"/>
                <w:sz w:val="18"/>
              </w:rPr>
            </w:pPr>
            <w:r>
              <w:rPr>
                <w:rFonts w:ascii="Verdana" w:hAnsi="Verdana"/>
                <w:i/>
                <w:noProof/>
                <w:color w:val="000000"/>
                <w:sz w:val="18"/>
              </w:rPr>
              <w:t>–</w:t>
            </w:r>
          </w:p>
        </w:tc>
      </w:tr>
      <w:tr>
        <w:trPr>
          <w:trHeight w:hRule="exact" w:val="255"/>
        </w:trPr>
        <w:tc>
          <w:tcPr>
            <w:tcW w:w="4040" w:type="dxa"/>
            <w:tcBorders>
              <w:top w:val="nil"/>
              <w:left w:val="nil"/>
              <w:bottom w:val="nil"/>
              <w:right w:val="nil"/>
              <w:tl2br w:val="nil"/>
              <w:tr2bl w:val="nil"/>
            </w:tcBorders>
            <w:tcMar>
              <w:left w:w="60" w:type="dxa"/>
              <w:right w:w="60" w:type="dxa"/>
            </w:tcMar>
            <w:vAlign w:val="center"/>
          </w:tcPr>
          <w:p>
            <w:pPr>
              <w:pStyle w:val="DMETW36571BIPFGCLOS"/>
              <w:rPr>
                <w:rFonts w:ascii="Verdana" w:eastAsia="Verdana" w:hAnsi="Verdana" w:cs="Verdana"/>
                <w:i/>
                <w:noProof/>
                <w:color w:val="000000"/>
                <w:sz w:val="18"/>
              </w:rPr>
            </w:pPr>
            <w:r>
              <w:rPr>
                <w:rFonts w:ascii="Verdana" w:hAnsi="Verdana"/>
                <w:i/>
                <w:noProof/>
                <w:color w:val="000000"/>
                <w:sz w:val="18"/>
              </w:rPr>
              <w:t>Transfert vers le stade 1</w:t>
            </w:r>
          </w:p>
        </w:tc>
        <w:tc>
          <w:tcPr>
            <w:tcW w:w="1906" w:type="dxa"/>
            <w:tcBorders>
              <w:top w:val="nil"/>
              <w:left w:val="nil"/>
              <w:bottom w:val="nil"/>
              <w:right w:val="nil"/>
              <w:tl2br w:val="nil"/>
              <w:tr2bl w:val="nil"/>
            </w:tcBorders>
            <w:tcMar>
              <w:left w:w="60" w:type="dxa"/>
              <w:right w:w="60" w:type="dxa"/>
            </w:tcMar>
            <w:vAlign w:val="center"/>
          </w:tcPr>
          <w:p>
            <w:pPr>
              <w:pStyle w:val="DMETW36571BIPFGCLOS"/>
              <w:jc w:val="right"/>
              <w:rPr>
                <w:rFonts w:ascii="Verdana" w:eastAsia="Verdana" w:hAnsi="Verdana" w:cs="Verdana"/>
                <w:i/>
                <w:noProof/>
                <w:color w:val="000000"/>
                <w:sz w:val="18"/>
              </w:rPr>
            </w:pPr>
            <w:r>
              <w:rPr>
                <w:rFonts w:ascii="Verdana" w:hAnsi="Verdana"/>
                <w:i/>
                <w:noProof/>
                <w:color w:val="000000"/>
                <w:sz w:val="18"/>
              </w:rPr>
              <w:t xml:space="preserve"> 28</w:t>
            </w:r>
          </w:p>
        </w:tc>
        <w:tc>
          <w:tcPr>
            <w:tcW w:w="1906" w:type="dxa"/>
            <w:tcBorders>
              <w:top w:val="nil"/>
              <w:left w:val="nil"/>
              <w:bottom w:val="nil"/>
              <w:right w:val="nil"/>
              <w:tl2br w:val="nil"/>
              <w:tr2bl w:val="nil"/>
            </w:tcBorders>
            <w:tcMar>
              <w:left w:w="60" w:type="dxa"/>
              <w:right w:w="60" w:type="dxa"/>
            </w:tcMar>
            <w:vAlign w:val="center"/>
          </w:tcPr>
          <w:p>
            <w:pPr>
              <w:pStyle w:val="DMETW36571BIPFGCLOS"/>
              <w:jc w:val="right"/>
              <w:rPr>
                <w:rFonts w:ascii="Verdana" w:eastAsia="Verdana" w:hAnsi="Verdana" w:cs="Verdana"/>
                <w:i/>
                <w:noProof/>
                <w:color w:val="000000"/>
                <w:sz w:val="18"/>
              </w:rPr>
            </w:pPr>
            <w:r>
              <w:rPr>
                <w:rFonts w:ascii="Verdana" w:hAnsi="Verdana"/>
                <w:i/>
                <w:noProof/>
                <w:color w:val="000000"/>
                <w:sz w:val="18"/>
              </w:rPr>
              <w:t xml:space="preserve"> (28)</w:t>
            </w:r>
          </w:p>
        </w:tc>
        <w:tc>
          <w:tcPr>
            <w:tcW w:w="1906" w:type="dxa"/>
            <w:tcBorders>
              <w:top w:val="nil"/>
              <w:left w:val="nil"/>
              <w:bottom w:val="nil"/>
              <w:right w:val="nil"/>
              <w:tl2br w:val="nil"/>
              <w:tr2bl w:val="nil"/>
            </w:tcBorders>
            <w:tcMar>
              <w:left w:w="60" w:type="dxa"/>
              <w:right w:w="60" w:type="dxa"/>
            </w:tcMar>
            <w:vAlign w:val="center"/>
          </w:tcPr>
          <w:p>
            <w:pPr>
              <w:pStyle w:val="DMETW36571BIPFGCLOS"/>
              <w:jc w:val="right"/>
              <w:rPr>
                <w:rFonts w:ascii="Verdana" w:eastAsia="Verdana" w:hAnsi="Verdana" w:cs="Verdana"/>
                <w:i/>
                <w:noProof/>
                <w:color w:val="000000"/>
                <w:sz w:val="18"/>
              </w:rPr>
            </w:pPr>
            <w:r>
              <w:rPr>
                <w:rFonts w:ascii="Verdana" w:hAnsi="Verdana"/>
                <w:i/>
                <w:noProof/>
                <w:color w:val="000000"/>
                <w:sz w:val="18"/>
              </w:rPr>
              <w:t>–</w:t>
            </w:r>
          </w:p>
        </w:tc>
      </w:tr>
      <w:tr>
        <w:trPr>
          <w:trHeight w:hRule="exact" w:val="255"/>
        </w:trPr>
        <w:tc>
          <w:tcPr>
            <w:tcW w:w="4040" w:type="dxa"/>
            <w:tcBorders>
              <w:top w:val="nil"/>
              <w:left w:val="nil"/>
              <w:bottom w:val="nil"/>
              <w:right w:val="nil"/>
              <w:tl2br w:val="nil"/>
              <w:tr2bl w:val="nil"/>
            </w:tcBorders>
            <w:tcMar>
              <w:left w:w="60" w:type="dxa"/>
              <w:right w:w="60" w:type="dxa"/>
            </w:tcMar>
            <w:vAlign w:val="center"/>
          </w:tcPr>
          <w:p>
            <w:pPr>
              <w:pStyle w:val="DMETW36571BIPFGCLOS"/>
              <w:rPr>
                <w:rFonts w:ascii="Verdana" w:eastAsia="Verdana" w:hAnsi="Verdana" w:cs="Verdana"/>
                <w:i/>
                <w:noProof/>
                <w:color w:val="000000"/>
                <w:sz w:val="18"/>
              </w:rPr>
            </w:pPr>
            <w:r>
              <w:rPr>
                <w:rFonts w:ascii="Verdana" w:hAnsi="Verdana"/>
                <w:i/>
                <w:noProof/>
                <w:color w:val="000000"/>
                <w:sz w:val="18"/>
              </w:rPr>
              <w:t>Ajouts</w:t>
            </w:r>
          </w:p>
        </w:tc>
        <w:tc>
          <w:tcPr>
            <w:tcW w:w="1906" w:type="dxa"/>
            <w:tcBorders>
              <w:top w:val="nil"/>
              <w:left w:val="nil"/>
              <w:bottom w:val="nil"/>
              <w:right w:val="nil"/>
              <w:tl2br w:val="nil"/>
              <w:tr2bl w:val="nil"/>
            </w:tcBorders>
            <w:tcMar>
              <w:left w:w="60" w:type="dxa"/>
              <w:right w:w="60" w:type="dxa"/>
            </w:tcMar>
            <w:vAlign w:val="center"/>
          </w:tcPr>
          <w:p>
            <w:pPr>
              <w:pStyle w:val="DMETW36571BIPFGCLOS"/>
              <w:jc w:val="right"/>
              <w:rPr>
                <w:rFonts w:ascii="Verdana" w:eastAsia="Verdana" w:hAnsi="Verdana" w:cs="Verdana"/>
                <w:i/>
                <w:noProof/>
                <w:color w:val="000000"/>
                <w:sz w:val="18"/>
              </w:rPr>
            </w:pPr>
            <w:r>
              <w:rPr>
                <w:rFonts w:ascii="Verdana" w:hAnsi="Verdana"/>
                <w:i/>
                <w:noProof/>
                <w:color w:val="000000"/>
                <w:sz w:val="18"/>
              </w:rPr>
              <w:t xml:space="preserve"> 377</w:t>
            </w:r>
          </w:p>
        </w:tc>
        <w:tc>
          <w:tcPr>
            <w:tcW w:w="1906" w:type="dxa"/>
            <w:tcBorders>
              <w:top w:val="nil"/>
              <w:left w:val="nil"/>
              <w:bottom w:val="nil"/>
              <w:right w:val="nil"/>
              <w:tl2br w:val="nil"/>
              <w:tr2bl w:val="nil"/>
            </w:tcBorders>
            <w:tcMar>
              <w:left w:w="60" w:type="dxa"/>
              <w:right w:w="60" w:type="dxa"/>
            </w:tcMar>
            <w:vAlign w:val="center"/>
          </w:tcPr>
          <w:p>
            <w:pPr>
              <w:pStyle w:val="DMETW36571BIPFGCLOS"/>
              <w:jc w:val="right"/>
              <w:rPr>
                <w:rFonts w:ascii="Verdana" w:eastAsia="Verdana" w:hAnsi="Verdana" w:cs="Verdana"/>
                <w:i/>
                <w:noProof/>
                <w:color w:val="000000"/>
                <w:sz w:val="18"/>
              </w:rPr>
            </w:pPr>
            <w:r>
              <w:rPr>
                <w:rFonts w:ascii="Verdana" w:hAnsi="Verdana"/>
                <w:i/>
                <w:noProof/>
                <w:color w:val="000000"/>
                <w:sz w:val="18"/>
              </w:rPr>
              <w:t>1 257</w:t>
            </w:r>
          </w:p>
        </w:tc>
        <w:tc>
          <w:tcPr>
            <w:tcW w:w="1906" w:type="dxa"/>
            <w:tcBorders>
              <w:top w:val="nil"/>
              <w:left w:val="nil"/>
              <w:bottom w:val="nil"/>
              <w:right w:val="nil"/>
              <w:tl2br w:val="nil"/>
              <w:tr2bl w:val="nil"/>
            </w:tcBorders>
            <w:tcMar>
              <w:left w:w="60" w:type="dxa"/>
              <w:right w:w="60" w:type="dxa"/>
            </w:tcMar>
            <w:vAlign w:val="center"/>
          </w:tcPr>
          <w:p>
            <w:pPr>
              <w:pStyle w:val="DMETW36571BIPFGCLOS"/>
              <w:jc w:val="right"/>
              <w:rPr>
                <w:rFonts w:ascii="Verdana" w:eastAsia="Verdana" w:hAnsi="Verdana" w:cs="Verdana"/>
                <w:i/>
                <w:noProof/>
                <w:color w:val="000000"/>
                <w:sz w:val="18"/>
              </w:rPr>
            </w:pPr>
            <w:r>
              <w:rPr>
                <w:rFonts w:ascii="Verdana" w:hAnsi="Verdana"/>
                <w:i/>
                <w:noProof/>
                <w:color w:val="000000"/>
                <w:sz w:val="18"/>
              </w:rPr>
              <w:t>1 634</w:t>
            </w:r>
          </w:p>
        </w:tc>
      </w:tr>
      <w:tr>
        <w:trPr>
          <w:trHeight w:hRule="exact" w:val="255"/>
        </w:trPr>
        <w:tc>
          <w:tcPr>
            <w:tcW w:w="4040" w:type="dxa"/>
            <w:tcBorders>
              <w:top w:val="nil"/>
              <w:left w:val="nil"/>
              <w:bottom w:val="nil"/>
              <w:right w:val="nil"/>
              <w:tl2br w:val="nil"/>
              <w:tr2bl w:val="nil"/>
            </w:tcBorders>
            <w:tcMar>
              <w:left w:w="60" w:type="dxa"/>
              <w:right w:w="60" w:type="dxa"/>
            </w:tcMar>
            <w:vAlign w:val="center"/>
          </w:tcPr>
          <w:p>
            <w:pPr>
              <w:pStyle w:val="DMETW36571BIPFGCLOS"/>
              <w:rPr>
                <w:rFonts w:ascii="Verdana" w:eastAsia="Verdana" w:hAnsi="Verdana" w:cs="Verdana"/>
                <w:i/>
                <w:noProof/>
                <w:color w:val="000000"/>
                <w:sz w:val="18"/>
              </w:rPr>
            </w:pPr>
            <w:r>
              <w:rPr>
                <w:rFonts w:ascii="Verdana" w:hAnsi="Verdana"/>
                <w:i/>
                <w:noProof/>
                <w:color w:val="000000"/>
                <w:sz w:val="18"/>
              </w:rPr>
              <w:t>Libération des garanties</w:t>
            </w:r>
          </w:p>
        </w:tc>
        <w:tc>
          <w:tcPr>
            <w:tcW w:w="1906" w:type="dxa"/>
            <w:tcBorders>
              <w:top w:val="nil"/>
              <w:left w:val="nil"/>
              <w:bottom w:val="nil"/>
              <w:right w:val="nil"/>
              <w:tl2br w:val="nil"/>
              <w:tr2bl w:val="nil"/>
            </w:tcBorders>
            <w:tcMar>
              <w:left w:w="60" w:type="dxa"/>
              <w:right w:w="60" w:type="dxa"/>
            </w:tcMar>
            <w:vAlign w:val="center"/>
          </w:tcPr>
          <w:p>
            <w:pPr>
              <w:pStyle w:val="DMETW36571BIPFGCLOS"/>
              <w:jc w:val="right"/>
              <w:rPr>
                <w:rFonts w:ascii="Verdana" w:eastAsia="Verdana" w:hAnsi="Verdana" w:cs="Verdana"/>
                <w:i/>
                <w:noProof/>
                <w:color w:val="000000"/>
                <w:sz w:val="18"/>
              </w:rPr>
            </w:pPr>
            <w:r>
              <w:rPr>
                <w:rFonts w:ascii="Verdana" w:hAnsi="Verdana"/>
                <w:i/>
                <w:noProof/>
                <w:color w:val="000000"/>
                <w:sz w:val="18"/>
              </w:rPr>
              <w:t xml:space="preserve"> (340)</w:t>
            </w:r>
          </w:p>
        </w:tc>
        <w:tc>
          <w:tcPr>
            <w:tcW w:w="1906" w:type="dxa"/>
            <w:tcBorders>
              <w:top w:val="nil"/>
              <w:left w:val="nil"/>
              <w:bottom w:val="nil"/>
              <w:right w:val="nil"/>
              <w:tl2br w:val="nil"/>
              <w:tr2bl w:val="nil"/>
            </w:tcBorders>
            <w:tcMar>
              <w:left w:w="60" w:type="dxa"/>
              <w:right w:w="60" w:type="dxa"/>
            </w:tcMar>
            <w:vAlign w:val="center"/>
          </w:tcPr>
          <w:p>
            <w:pPr>
              <w:pStyle w:val="DMETW36571BIPFGCLOS"/>
              <w:jc w:val="right"/>
              <w:rPr>
                <w:rFonts w:ascii="Verdana" w:eastAsia="Verdana" w:hAnsi="Verdana" w:cs="Verdana"/>
                <w:i/>
                <w:noProof/>
                <w:color w:val="000000"/>
                <w:sz w:val="18"/>
              </w:rPr>
            </w:pPr>
            <w:r>
              <w:rPr>
                <w:rFonts w:ascii="Verdana" w:hAnsi="Verdana"/>
                <w:i/>
                <w:noProof/>
                <w:color w:val="000000"/>
                <w:sz w:val="18"/>
              </w:rPr>
              <w:t xml:space="preserve"> (2)</w:t>
            </w:r>
          </w:p>
        </w:tc>
        <w:tc>
          <w:tcPr>
            <w:tcW w:w="1906" w:type="dxa"/>
            <w:tcBorders>
              <w:top w:val="nil"/>
              <w:left w:val="nil"/>
              <w:bottom w:val="nil"/>
              <w:right w:val="nil"/>
              <w:tl2br w:val="nil"/>
              <w:tr2bl w:val="nil"/>
            </w:tcBorders>
            <w:tcMar>
              <w:left w:w="60" w:type="dxa"/>
              <w:right w:w="60" w:type="dxa"/>
            </w:tcMar>
            <w:vAlign w:val="center"/>
          </w:tcPr>
          <w:p>
            <w:pPr>
              <w:pStyle w:val="DMETW36571BIPFGCLOS"/>
              <w:jc w:val="right"/>
              <w:rPr>
                <w:rFonts w:ascii="Verdana" w:eastAsia="Verdana" w:hAnsi="Verdana" w:cs="Verdana"/>
                <w:i/>
                <w:noProof/>
                <w:color w:val="000000"/>
                <w:sz w:val="18"/>
              </w:rPr>
            </w:pPr>
            <w:r>
              <w:rPr>
                <w:rFonts w:ascii="Verdana" w:hAnsi="Verdana"/>
                <w:i/>
                <w:noProof/>
                <w:color w:val="000000"/>
                <w:sz w:val="18"/>
              </w:rPr>
              <w:t xml:space="preserve"> (342)</w:t>
            </w:r>
          </w:p>
        </w:tc>
      </w:tr>
      <w:tr>
        <w:trPr>
          <w:trHeight w:hRule="exact" w:val="255"/>
        </w:trPr>
        <w:tc>
          <w:tcPr>
            <w:tcW w:w="4040" w:type="dxa"/>
            <w:tcBorders>
              <w:top w:val="nil"/>
              <w:left w:val="nil"/>
              <w:bottom w:val="nil"/>
              <w:right w:val="nil"/>
              <w:tl2br w:val="nil"/>
              <w:tr2bl w:val="nil"/>
            </w:tcBorders>
            <w:tcMar>
              <w:left w:w="60" w:type="dxa"/>
              <w:right w:w="60" w:type="dxa"/>
            </w:tcMar>
            <w:vAlign w:val="center"/>
          </w:tcPr>
          <w:p>
            <w:pPr>
              <w:pStyle w:val="DMETW36571BIPFGCLOS"/>
              <w:rPr>
                <w:rFonts w:ascii="Verdana" w:eastAsia="Verdana" w:hAnsi="Verdana" w:cs="Verdana"/>
                <w:i/>
                <w:noProof/>
                <w:color w:val="000000"/>
                <w:sz w:val="18"/>
              </w:rPr>
            </w:pPr>
            <w:r>
              <w:rPr>
                <w:rFonts w:ascii="Verdana" w:hAnsi="Verdana"/>
                <w:i/>
                <w:noProof/>
                <w:color w:val="000000"/>
                <w:sz w:val="18"/>
              </w:rPr>
              <w:t>Réévaluation</w:t>
            </w:r>
          </w:p>
        </w:tc>
        <w:tc>
          <w:tcPr>
            <w:tcW w:w="1906" w:type="dxa"/>
            <w:tcBorders>
              <w:top w:val="nil"/>
              <w:left w:val="nil"/>
              <w:bottom w:val="nil"/>
              <w:right w:val="nil"/>
              <w:tl2br w:val="nil"/>
              <w:tr2bl w:val="nil"/>
            </w:tcBorders>
            <w:tcMar>
              <w:left w:w="60" w:type="dxa"/>
              <w:right w:w="60" w:type="dxa"/>
            </w:tcMar>
            <w:vAlign w:val="center"/>
          </w:tcPr>
          <w:p>
            <w:pPr>
              <w:pStyle w:val="DMETW36571BIPFGCLOS"/>
              <w:jc w:val="right"/>
              <w:rPr>
                <w:rFonts w:ascii="Verdana" w:eastAsia="Verdana" w:hAnsi="Verdana" w:cs="Verdana"/>
                <w:i/>
                <w:noProof/>
                <w:color w:val="000000"/>
                <w:sz w:val="18"/>
              </w:rPr>
            </w:pPr>
            <w:r>
              <w:rPr>
                <w:rFonts w:ascii="Verdana" w:hAnsi="Verdana"/>
                <w:i/>
                <w:noProof/>
                <w:color w:val="000000"/>
                <w:sz w:val="18"/>
              </w:rPr>
              <w:t xml:space="preserve"> 397</w:t>
            </w:r>
          </w:p>
        </w:tc>
        <w:tc>
          <w:tcPr>
            <w:tcW w:w="1906" w:type="dxa"/>
            <w:tcBorders>
              <w:top w:val="nil"/>
              <w:left w:val="nil"/>
              <w:bottom w:val="nil"/>
              <w:right w:val="nil"/>
              <w:tl2br w:val="nil"/>
              <w:tr2bl w:val="nil"/>
            </w:tcBorders>
            <w:tcMar>
              <w:left w:w="60" w:type="dxa"/>
              <w:right w:w="60" w:type="dxa"/>
            </w:tcMar>
            <w:vAlign w:val="center"/>
          </w:tcPr>
          <w:p>
            <w:pPr>
              <w:pStyle w:val="DMETW36571BIPFGCLOS"/>
              <w:jc w:val="right"/>
              <w:rPr>
                <w:rFonts w:ascii="Verdana" w:eastAsia="Verdana" w:hAnsi="Verdana" w:cs="Verdana"/>
                <w:i/>
                <w:noProof/>
                <w:color w:val="000000"/>
                <w:sz w:val="18"/>
              </w:rPr>
            </w:pPr>
            <w:r>
              <w:rPr>
                <w:rFonts w:ascii="Verdana" w:hAnsi="Verdana"/>
                <w:i/>
                <w:noProof/>
                <w:color w:val="000000"/>
                <w:sz w:val="18"/>
              </w:rPr>
              <w:t xml:space="preserve"> 107</w:t>
            </w:r>
          </w:p>
        </w:tc>
        <w:tc>
          <w:tcPr>
            <w:tcW w:w="1906" w:type="dxa"/>
            <w:tcBorders>
              <w:top w:val="nil"/>
              <w:left w:val="nil"/>
              <w:bottom w:val="nil"/>
              <w:right w:val="nil"/>
              <w:tl2br w:val="nil"/>
              <w:tr2bl w:val="nil"/>
            </w:tcBorders>
            <w:tcMar>
              <w:left w:w="60" w:type="dxa"/>
              <w:right w:w="60" w:type="dxa"/>
            </w:tcMar>
            <w:vAlign w:val="center"/>
          </w:tcPr>
          <w:p>
            <w:pPr>
              <w:pStyle w:val="DMETW36571BIPFGCLOS"/>
              <w:jc w:val="right"/>
              <w:rPr>
                <w:rFonts w:ascii="Verdana" w:eastAsia="Verdana" w:hAnsi="Verdana" w:cs="Verdana"/>
                <w:i/>
                <w:noProof/>
                <w:color w:val="000000"/>
                <w:sz w:val="18"/>
              </w:rPr>
            </w:pPr>
            <w:r>
              <w:rPr>
                <w:rFonts w:ascii="Verdana" w:hAnsi="Verdana"/>
                <w:i/>
                <w:noProof/>
                <w:color w:val="000000"/>
                <w:sz w:val="18"/>
              </w:rPr>
              <w:t xml:space="preserve"> 504</w:t>
            </w:r>
          </w:p>
        </w:tc>
      </w:tr>
      <w:tr>
        <w:trPr>
          <w:trHeight w:hRule="exact" w:val="558"/>
        </w:trPr>
        <w:tc>
          <w:tcPr>
            <w:tcW w:w="4040" w:type="dxa"/>
            <w:tcBorders>
              <w:top w:val="nil"/>
              <w:left w:val="nil"/>
              <w:bottom w:val="single" w:sz="4" w:space="0" w:color="016794"/>
              <w:right w:val="nil"/>
              <w:tl2br w:val="nil"/>
              <w:tr2bl w:val="nil"/>
            </w:tcBorders>
            <w:shd w:val="solid" w:color="FFFFFF" w:fill="FFFFFF"/>
            <w:tcMar>
              <w:left w:w="60" w:type="dxa"/>
              <w:right w:w="60" w:type="dxa"/>
            </w:tcMar>
            <w:vAlign w:val="center"/>
          </w:tcPr>
          <w:p>
            <w:pPr>
              <w:pStyle w:val="DMETW36571BIPFGCLOS"/>
              <w:rPr>
                <w:rFonts w:ascii="Verdana" w:eastAsia="Verdana" w:hAnsi="Verdana" w:cs="Verdana"/>
                <w:b/>
                <w:noProof/>
                <w:color w:val="000000"/>
                <w:sz w:val="18"/>
              </w:rPr>
            </w:pPr>
            <w:r>
              <w:rPr>
                <w:rFonts w:ascii="Verdana" w:hAnsi="Verdana"/>
                <w:b/>
                <w:noProof/>
                <w:color w:val="000000"/>
                <w:sz w:val="18"/>
              </w:rPr>
              <w:t>Correction de valeur pour pertes au 31.12.2025</w:t>
            </w:r>
          </w:p>
        </w:tc>
        <w:tc>
          <w:tcPr>
            <w:tcW w:w="1906" w:type="dxa"/>
            <w:tcBorders>
              <w:top w:val="nil"/>
              <w:left w:val="nil"/>
              <w:bottom w:val="single" w:sz="4" w:space="0" w:color="016794"/>
              <w:right w:val="nil"/>
              <w:tl2br w:val="nil"/>
              <w:tr2bl w:val="nil"/>
            </w:tcBorders>
            <w:tcMar>
              <w:left w:w="60" w:type="dxa"/>
              <w:right w:w="60" w:type="dxa"/>
            </w:tcMar>
            <w:vAlign w:val="center"/>
          </w:tcPr>
          <w:p>
            <w:pPr>
              <w:pStyle w:val="DMETW36571BIPFGCLOS"/>
              <w:jc w:val="right"/>
              <w:rPr>
                <w:rFonts w:ascii="Verdana" w:eastAsia="Verdana" w:hAnsi="Verdana" w:cs="Verdana"/>
                <w:b/>
                <w:noProof/>
                <w:color w:val="000000"/>
                <w:sz w:val="18"/>
              </w:rPr>
            </w:pPr>
            <w:r>
              <w:rPr>
                <w:rFonts w:ascii="Verdana" w:hAnsi="Verdana"/>
                <w:b/>
                <w:noProof/>
                <w:color w:val="000000"/>
                <w:sz w:val="18"/>
              </w:rPr>
              <w:t>2 345</w:t>
            </w:r>
          </w:p>
        </w:tc>
        <w:tc>
          <w:tcPr>
            <w:tcW w:w="1906" w:type="dxa"/>
            <w:tcBorders>
              <w:top w:val="nil"/>
              <w:left w:val="nil"/>
              <w:bottom w:val="single" w:sz="4" w:space="0" w:color="016794"/>
              <w:right w:val="nil"/>
              <w:tl2br w:val="nil"/>
              <w:tr2bl w:val="nil"/>
            </w:tcBorders>
            <w:tcMar>
              <w:left w:w="60" w:type="dxa"/>
              <w:right w:w="60" w:type="dxa"/>
            </w:tcMar>
            <w:vAlign w:val="center"/>
          </w:tcPr>
          <w:p>
            <w:pPr>
              <w:pStyle w:val="DMETW36571BIPFGCLOS"/>
              <w:jc w:val="right"/>
              <w:rPr>
                <w:rFonts w:ascii="Verdana" w:eastAsia="Verdana" w:hAnsi="Verdana" w:cs="Verdana"/>
                <w:b/>
                <w:noProof/>
                <w:color w:val="000000"/>
                <w:sz w:val="18"/>
              </w:rPr>
            </w:pPr>
            <w:r>
              <w:rPr>
                <w:rFonts w:ascii="Verdana" w:hAnsi="Verdana"/>
                <w:b/>
                <w:noProof/>
                <w:color w:val="000000"/>
                <w:sz w:val="18"/>
              </w:rPr>
              <w:t>3 456</w:t>
            </w:r>
          </w:p>
        </w:tc>
        <w:tc>
          <w:tcPr>
            <w:tcW w:w="1906" w:type="dxa"/>
            <w:tcBorders>
              <w:top w:val="nil"/>
              <w:left w:val="nil"/>
              <w:bottom w:val="single" w:sz="4" w:space="0" w:color="016794"/>
              <w:right w:val="nil"/>
              <w:tl2br w:val="nil"/>
              <w:tr2bl w:val="nil"/>
            </w:tcBorders>
            <w:tcMar>
              <w:left w:w="60" w:type="dxa"/>
              <w:right w:w="60" w:type="dxa"/>
            </w:tcMar>
            <w:vAlign w:val="center"/>
          </w:tcPr>
          <w:p>
            <w:pPr>
              <w:pStyle w:val="DMETW36571BIPFGCLOS"/>
              <w:jc w:val="right"/>
              <w:rPr>
                <w:rFonts w:ascii="Verdana" w:eastAsia="Verdana" w:hAnsi="Verdana" w:cs="Verdana"/>
                <w:b/>
                <w:noProof/>
                <w:color w:val="000000"/>
                <w:sz w:val="18"/>
              </w:rPr>
            </w:pPr>
            <w:r>
              <w:rPr>
                <w:rFonts w:ascii="Verdana" w:hAnsi="Verdana"/>
                <w:b/>
                <w:noProof/>
                <w:color w:val="000000"/>
                <w:sz w:val="18"/>
              </w:rPr>
              <w:t>5 800</w:t>
            </w:r>
          </w:p>
        </w:tc>
      </w:tr>
      <w:tr>
        <w:trPr>
          <w:trHeight w:hRule="exact" w:val="460"/>
        </w:trPr>
        <w:tc>
          <w:tcPr>
            <w:tcW w:w="404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571BIPFGCLOS"/>
              <w:rPr>
                <w:rFonts w:ascii="Verdana" w:eastAsia="Verdana" w:hAnsi="Verdana" w:cs="Verdana"/>
                <w:b/>
                <w:noProof/>
                <w:color w:val="000000"/>
                <w:sz w:val="18"/>
              </w:rPr>
            </w:pPr>
            <w:r>
              <w:rPr>
                <w:rFonts w:ascii="Verdana" w:hAnsi="Verdana"/>
                <w:b/>
                <w:noProof/>
                <w:color w:val="000000"/>
                <w:sz w:val="18"/>
              </w:rPr>
              <w:t>Valeur comptable du passif lié à la garantie financière au 31.12.2025</w:t>
            </w:r>
          </w:p>
        </w:tc>
        <w:tc>
          <w:tcPr>
            <w:tcW w:w="190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571BIPFGCLOS"/>
              <w:jc w:val="right"/>
              <w:rPr>
                <w:rFonts w:ascii="Verdana" w:eastAsia="Verdana" w:hAnsi="Verdana" w:cs="Verdana"/>
                <w:b/>
                <w:noProof/>
                <w:color w:val="000000"/>
                <w:sz w:val="18"/>
              </w:rPr>
            </w:pPr>
            <w:r>
              <w:rPr>
                <w:rFonts w:ascii="Verdana" w:hAnsi="Verdana"/>
                <w:b/>
                <w:noProof/>
                <w:color w:val="000000"/>
                <w:sz w:val="18"/>
              </w:rPr>
              <w:t>4 061</w:t>
            </w:r>
          </w:p>
        </w:tc>
        <w:tc>
          <w:tcPr>
            <w:tcW w:w="190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571BIPFGCLOS"/>
              <w:jc w:val="right"/>
              <w:rPr>
                <w:rFonts w:ascii="Verdana" w:eastAsia="Verdana" w:hAnsi="Verdana" w:cs="Verdana"/>
                <w:b/>
                <w:noProof/>
                <w:color w:val="000000"/>
                <w:sz w:val="18"/>
              </w:rPr>
            </w:pPr>
            <w:r>
              <w:rPr>
                <w:rFonts w:ascii="Verdana" w:hAnsi="Verdana"/>
                <w:b/>
                <w:noProof/>
                <w:color w:val="000000"/>
                <w:sz w:val="18"/>
              </w:rPr>
              <w:t>3 668</w:t>
            </w:r>
          </w:p>
        </w:tc>
        <w:tc>
          <w:tcPr>
            <w:tcW w:w="190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571BIPFGCLOS"/>
              <w:jc w:val="right"/>
              <w:rPr>
                <w:rFonts w:ascii="Verdana" w:eastAsia="Verdana" w:hAnsi="Verdana" w:cs="Verdana"/>
                <w:b/>
                <w:noProof/>
                <w:color w:val="000000"/>
                <w:sz w:val="18"/>
              </w:rPr>
            </w:pPr>
            <w:r>
              <w:rPr>
                <w:rFonts w:ascii="Verdana" w:hAnsi="Verdana"/>
                <w:b/>
                <w:noProof/>
                <w:color w:val="000000"/>
                <w:sz w:val="18"/>
              </w:rPr>
              <w:t>7 729</w:t>
            </w:r>
          </w:p>
        </w:tc>
      </w:tr>
    </w:tbl>
    <w:p>
      <w:pPr>
        <w:pStyle w:val="Textstand-alone"/>
        <w:numPr>
          <w:ilvl w:val="1"/>
          <w:numId w:val="24"/>
        </w:numPr>
        <w:tabs>
          <w:tab w:val="left" w:pos="85"/>
        </w:tabs>
        <w:spacing w:before="60"/>
        <w:ind w:left="85" w:hanging="85"/>
        <w:rPr>
          <w:i/>
          <w:sz w:val="14"/>
          <w:szCs w:val="14"/>
        </w:rPr>
      </w:pPr>
      <w:r>
        <w:rPr>
          <w:i/>
          <w:sz w:val="14"/>
        </w:rPr>
        <w:t>Les transferts effectués à partir du stade 1/stade 2, ou vers le stade 1/stade 2, sont évalués au niveau de la correction pour dépréciation au solde d’ouverture, tandis que les variations du montant résultant du changement de stade (c’est-à-dire évaluation au niveau des PCA pour les 12 mois à venir ou pour la durée de vie) rentrent dans le cadre de la réévaluation.</w:t>
      </w:r>
    </w:p>
    <w:p>
      <w:pPr>
        <w:pStyle w:val="DGTextstand-alone"/>
      </w:pPr>
      <w:bookmarkStart w:id="235" w:name="_Hlk193809884"/>
      <w:r>
        <w:t>L’augmentation en 2025 de la correction de valeur pour pertes concernant les garanties au stade 2 était principalement due à de nouvelles opérations signées au titre de la garantie pour l’Ukraine (voir note </w:t>
      </w:r>
      <w:r>
        <w:rPr>
          <w:b/>
          <w:bCs/>
        </w:rPr>
        <w:t>4.1.1</w:t>
      </w:r>
      <w:r>
        <w:t>).</w:t>
      </w:r>
    </w:p>
    <w:p>
      <w:pPr>
        <w:pStyle w:val="DGTextstand-alone"/>
      </w:pPr>
      <w:r>
        <w:t>Sur l’encours des PCA pour les garanties au stade 2 d’un montant de 3,5 milliards d’EUR au 31 décembre 2025, 1,7 milliard d’EUR concernent les garanties MPE (voir note </w:t>
      </w:r>
      <w:r>
        <w:rPr>
          <w:b/>
          <w:bCs/>
        </w:rPr>
        <w:t>4.1.1</w:t>
      </w:r>
      <w:r>
        <w:t xml:space="preserve">). Ce montant couvre des PCA pour la durée de vie de 0,9 milliard d’EUR pour l’exposition de la BEI en Ukraine (3,4 milliards d’EUR d’encours de prêts de la BEI à des contreparties en Ukraine garantis par l’UE). </w:t>
      </w:r>
    </w:p>
    <w:p>
      <w:pPr>
        <w:pStyle w:val="DGTextstand-alone"/>
      </w:pPr>
      <w:r>
        <w:t xml:space="preserve">Veuillez vous référer à la note </w:t>
      </w:r>
      <w:r>
        <w:rPr>
          <w:b/>
        </w:rPr>
        <w:t>1.5.12</w:t>
      </w:r>
      <w:r>
        <w:t xml:space="preserve"> pour les principes des stades des contrats de garantie financière.</w:t>
      </w:r>
    </w:p>
    <w:p>
      <w:pPr>
        <w:pStyle w:val="HEADER5"/>
        <w:spacing w:before="240"/>
        <w:rPr>
          <w:noProof/>
        </w:rPr>
      </w:pPr>
      <w:r>
        <w:rPr>
          <w:noProof/>
        </w:rPr>
        <w:t>Garanties budgétaires</w:t>
      </w:r>
    </w:p>
    <w:p>
      <w:pPr>
        <w:pStyle w:val="DGTextstand-alone"/>
      </w:pPr>
      <w:r>
        <w:t>L’UE est principalement exposée au risque de crédit dans le cadre des opérations qu’elle garantit. Lorsque la qualité de crédit des opérations sous-jacentes se détériore, la probabilité de cas de défaillance augmente et les appels aux garanties de l’UE également.</w:t>
      </w:r>
    </w:p>
    <w:p>
      <w:pPr>
        <w:pStyle w:val="DGTextstand-alone"/>
      </w:pPr>
      <w:r>
        <w:lastRenderedPageBreak/>
        <w:t xml:space="preserve">Afin de surveiller et de gérer ce risque, la Commission recourt à un modèle de risque de crédit qui permet d’évaluer les pertes potentielles. Ce modèle utilise les données fournies par les partenaires chargés de la mise en œuvre et les associe à l’avis d’experts afin d’établir une évaluation des risques qui soit cohérente avec l’opération et les circonstances économiques pertinentes. </w:t>
      </w:r>
    </w:p>
    <w:bookmarkEnd w:id="235"/>
    <w:p>
      <w:pPr>
        <w:pStyle w:val="HEADER2NOTES"/>
        <w:numPr>
          <w:ilvl w:val="1"/>
          <w:numId w:val="15"/>
        </w:numPr>
        <w:jc w:val="both"/>
        <w:rPr>
          <w:noProof/>
        </w:rPr>
      </w:pPr>
      <w:r>
        <w:rPr>
          <w:noProof/>
        </w:rPr>
        <w:t>RISQUE DE LIQUIDITÉ</w:t>
      </w:r>
    </w:p>
    <w:p>
      <w:pPr>
        <w:pStyle w:val="HEADER5"/>
        <w:rPr>
          <w:noProof/>
        </w:rPr>
      </w:pPr>
      <w:r>
        <w:rPr>
          <w:noProof/>
        </w:rPr>
        <w:t>Analyse des échéances des passifs financiers non dérivés en fonction de l’échéance résiduelle contractuelle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1441"/>
        <w:gridCol w:w="1509"/>
        <w:gridCol w:w="1350"/>
        <w:gridCol w:w="1407"/>
        <w:gridCol w:w="1362"/>
      </w:tblGrid>
      <w:tr>
        <w:trPr>
          <w:trHeight w:val="255"/>
        </w:trPr>
        <w:tc>
          <w:tcPr>
            <w:tcW w:w="2689" w:type="dxa"/>
            <w:tcBorders>
              <w:top w:val="nil"/>
              <w:left w:val="nil"/>
              <w:bottom w:val="nil"/>
              <w:right w:val="nil"/>
              <w:tl2br w:val="nil"/>
              <w:tr2bl w:val="nil"/>
            </w:tcBorders>
            <w:tcMar>
              <w:left w:w="60" w:type="dxa"/>
              <w:right w:w="60" w:type="dxa"/>
            </w:tcMar>
            <w:vAlign w:val="bottom"/>
          </w:tcPr>
          <w:p>
            <w:pPr>
              <w:pStyle w:val="DMETW36756BIPNDFLCY"/>
              <w:rPr>
                <w:rFonts w:ascii="Arial" w:eastAsia="Arial" w:hAnsi="Arial" w:cs="Arial"/>
                <w:noProof/>
                <w:color w:val="000000"/>
              </w:rPr>
            </w:pPr>
            <w:bookmarkStart w:id="236" w:name="DOC_TBL00102_1_1"/>
            <w:bookmarkEnd w:id="236"/>
          </w:p>
        </w:tc>
        <w:tc>
          <w:tcPr>
            <w:tcW w:w="1441" w:type="dxa"/>
            <w:tcBorders>
              <w:top w:val="nil"/>
              <w:left w:val="nil"/>
              <w:bottom w:val="nil"/>
              <w:right w:val="nil"/>
              <w:tl2br w:val="nil"/>
              <w:tr2bl w:val="nil"/>
            </w:tcBorders>
            <w:tcMar>
              <w:left w:w="60" w:type="dxa"/>
              <w:right w:w="60" w:type="dxa"/>
            </w:tcMar>
            <w:vAlign w:val="bottom"/>
          </w:tcPr>
          <w:p>
            <w:pPr>
              <w:pStyle w:val="DMETW36756BIPNDFLCY"/>
              <w:rPr>
                <w:rFonts w:ascii="Arial" w:eastAsia="Arial" w:hAnsi="Arial" w:cs="Arial"/>
                <w:noProof/>
                <w:color w:val="000000"/>
              </w:rPr>
            </w:pPr>
          </w:p>
        </w:tc>
        <w:tc>
          <w:tcPr>
            <w:tcW w:w="1509" w:type="dxa"/>
            <w:tcBorders>
              <w:top w:val="nil"/>
              <w:left w:val="nil"/>
              <w:bottom w:val="nil"/>
              <w:right w:val="nil"/>
              <w:tl2br w:val="nil"/>
              <w:tr2bl w:val="nil"/>
            </w:tcBorders>
            <w:tcMar>
              <w:left w:w="60" w:type="dxa"/>
              <w:right w:w="60" w:type="dxa"/>
            </w:tcMar>
            <w:vAlign w:val="bottom"/>
          </w:tcPr>
          <w:p>
            <w:pPr>
              <w:pStyle w:val="DMETW36756BIPNDFLCY"/>
              <w:rPr>
                <w:rFonts w:ascii="Arial" w:eastAsia="Arial" w:hAnsi="Arial" w:cs="Arial"/>
                <w:noProof/>
                <w:color w:val="000000"/>
              </w:rPr>
            </w:pPr>
          </w:p>
        </w:tc>
        <w:tc>
          <w:tcPr>
            <w:tcW w:w="1350" w:type="dxa"/>
            <w:tcBorders>
              <w:top w:val="nil"/>
              <w:left w:val="nil"/>
              <w:bottom w:val="nil"/>
              <w:right w:val="nil"/>
              <w:tl2br w:val="nil"/>
              <w:tr2bl w:val="nil"/>
            </w:tcBorders>
            <w:tcMar>
              <w:left w:w="60" w:type="dxa"/>
              <w:right w:w="60" w:type="dxa"/>
            </w:tcMar>
            <w:vAlign w:val="bottom"/>
          </w:tcPr>
          <w:p>
            <w:pPr>
              <w:pStyle w:val="DMETW36756BIPNDFLCY"/>
              <w:rPr>
                <w:rFonts w:ascii="Arial" w:eastAsia="Arial" w:hAnsi="Arial" w:cs="Arial"/>
                <w:noProof/>
                <w:color w:val="000000"/>
              </w:rPr>
            </w:pPr>
          </w:p>
        </w:tc>
        <w:tc>
          <w:tcPr>
            <w:tcW w:w="1407" w:type="dxa"/>
            <w:tcBorders>
              <w:top w:val="nil"/>
              <w:left w:val="nil"/>
              <w:bottom w:val="nil"/>
              <w:right w:val="nil"/>
              <w:tl2br w:val="nil"/>
              <w:tr2bl w:val="nil"/>
            </w:tcBorders>
            <w:tcMar>
              <w:left w:w="60" w:type="dxa"/>
              <w:right w:w="60" w:type="dxa"/>
            </w:tcMar>
            <w:vAlign w:val="bottom"/>
          </w:tcPr>
          <w:p>
            <w:pPr>
              <w:pStyle w:val="DMETW36756BIPNDFLCY"/>
              <w:jc w:val="right"/>
              <w:rPr>
                <w:rFonts w:ascii="Verdana" w:eastAsia="Verdana" w:hAnsi="Verdana" w:cs="Verdana"/>
                <w:i/>
                <w:noProof/>
                <w:color w:val="000000"/>
                <w:sz w:val="16"/>
              </w:rPr>
            </w:pPr>
          </w:p>
        </w:tc>
        <w:tc>
          <w:tcPr>
            <w:tcW w:w="1362" w:type="dxa"/>
            <w:tcBorders>
              <w:top w:val="nil"/>
              <w:left w:val="nil"/>
              <w:bottom w:val="nil"/>
              <w:right w:val="nil"/>
              <w:tl2br w:val="nil"/>
              <w:tr2bl w:val="nil"/>
            </w:tcBorders>
            <w:tcMar>
              <w:left w:w="60" w:type="dxa"/>
              <w:right w:w="60" w:type="dxa"/>
            </w:tcMar>
            <w:vAlign w:val="bottom"/>
          </w:tcPr>
          <w:p>
            <w:pPr>
              <w:pStyle w:val="DMETW36756BIPNDFLCY"/>
              <w:jc w:val="right"/>
              <w:rPr>
                <w:rFonts w:ascii="Verdana" w:eastAsia="Verdana" w:hAnsi="Verdana" w:cs="Verdana"/>
                <w:i/>
                <w:noProof/>
                <w:color w:val="000000"/>
                <w:sz w:val="16"/>
              </w:rPr>
            </w:pPr>
            <w:r>
              <w:rPr>
                <w:rFonts w:ascii="Verdana" w:hAnsi="Verdana"/>
                <w:i/>
                <w:noProof/>
                <w:color w:val="000000"/>
                <w:sz w:val="16"/>
              </w:rPr>
              <w:t>en Mio EUR</w:t>
            </w:r>
          </w:p>
        </w:tc>
      </w:tr>
      <w:tr>
        <w:trPr>
          <w:trHeight w:val="255"/>
        </w:trPr>
        <w:tc>
          <w:tcPr>
            <w:tcW w:w="2689" w:type="dxa"/>
            <w:gridSpan w:val="5"/>
            <w:tcBorders>
              <w:top w:val="nil"/>
              <w:left w:val="nil"/>
              <w:bottom w:val="nil"/>
              <w:right w:val="nil"/>
              <w:tl2br w:val="nil"/>
              <w:tr2bl w:val="nil"/>
            </w:tcBorders>
            <w:shd w:val="solid" w:color="016794" w:fill="FFFFFF"/>
            <w:tcMar>
              <w:left w:w="60" w:type="dxa"/>
              <w:right w:w="60" w:type="dxa"/>
            </w:tcMar>
            <w:vAlign w:val="center"/>
          </w:tcPr>
          <w:p>
            <w:pPr>
              <w:pStyle w:val="DMETW36756BIPNDFLCY"/>
              <w:jc w:val="center"/>
              <w:rPr>
                <w:rFonts w:ascii="Verdana" w:eastAsia="Verdana" w:hAnsi="Verdana" w:cs="Verdana"/>
                <w:noProof/>
                <w:color w:val="FFFFFF"/>
              </w:rPr>
            </w:pPr>
            <w:r>
              <w:rPr>
                <w:rFonts w:ascii="Verdana" w:hAnsi="Verdana"/>
                <w:noProof/>
                <w:color w:val="FFFFFF"/>
              </w:rPr>
              <w:t>Flux de trésorerie contractuels non actualisés</w:t>
            </w:r>
          </w:p>
        </w:tc>
        <w:tc>
          <w:tcPr>
            <w:tcW w:w="1362" w:type="dxa"/>
            <w:tcBorders>
              <w:top w:val="nil"/>
              <w:left w:val="nil"/>
              <w:bottom w:val="nil"/>
              <w:right w:val="nil"/>
              <w:tl2br w:val="nil"/>
              <w:tr2bl w:val="nil"/>
            </w:tcBorders>
            <w:shd w:val="solid" w:color="016794" w:fill="FFFFFF"/>
            <w:tcMar>
              <w:left w:w="60" w:type="dxa"/>
              <w:right w:w="60" w:type="dxa"/>
            </w:tcMar>
            <w:vAlign w:val="center"/>
          </w:tcPr>
          <w:p>
            <w:pPr>
              <w:pStyle w:val="DMETW36756BIPNDFLCY"/>
              <w:jc w:val="right"/>
              <w:rPr>
                <w:rFonts w:ascii="Verdana" w:eastAsia="Verdana" w:hAnsi="Verdana" w:cs="Verdana"/>
                <w:noProof/>
                <w:color w:val="FFFFFF"/>
              </w:rPr>
            </w:pPr>
            <w:r>
              <w:rPr>
                <w:rFonts w:ascii="Verdana" w:hAnsi="Verdana"/>
                <w:noProof/>
                <w:color w:val="FFFFFF"/>
              </w:rPr>
              <w:t>Valeur comptable</w:t>
            </w:r>
          </w:p>
        </w:tc>
      </w:tr>
      <w:tr>
        <w:trPr>
          <w:trHeight w:val="255"/>
        </w:trPr>
        <w:tc>
          <w:tcPr>
            <w:tcW w:w="2689" w:type="dxa"/>
            <w:tcBorders>
              <w:top w:val="nil"/>
              <w:left w:val="nil"/>
              <w:bottom w:val="nil"/>
              <w:right w:val="nil"/>
              <w:tl2br w:val="nil"/>
              <w:tr2bl w:val="nil"/>
            </w:tcBorders>
            <w:shd w:val="solid" w:color="016794" w:fill="FFFFFF"/>
            <w:tcMar>
              <w:left w:w="60" w:type="dxa"/>
              <w:right w:w="60" w:type="dxa"/>
            </w:tcMar>
            <w:vAlign w:val="center"/>
          </w:tcPr>
          <w:p>
            <w:pPr>
              <w:pStyle w:val="DMETW36756BIPNDFLCY"/>
              <w:jc w:val="right"/>
              <w:rPr>
                <w:rFonts w:ascii="Verdana" w:eastAsia="Verdana" w:hAnsi="Verdana" w:cs="Verdana"/>
                <w:noProof/>
                <w:color w:val="FFFFFF"/>
              </w:rPr>
            </w:pPr>
          </w:p>
        </w:tc>
        <w:tc>
          <w:tcPr>
            <w:tcW w:w="1441" w:type="dxa"/>
            <w:tcBorders>
              <w:top w:val="nil"/>
              <w:left w:val="nil"/>
              <w:bottom w:val="nil"/>
              <w:right w:val="nil"/>
              <w:tl2br w:val="nil"/>
              <w:tr2bl w:val="nil"/>
            </w:tcBorders>
            <w:shd w:val="solid" w:color="016794" w:fill="FFFFFF"/>
            <w:tcMar>
              <w:left w:w="60" w:type="dxa"/>
              <w:right w:w="60" w:type="dxa"/>
            </w:tcMar>
            <w:vAlign w:val="center"/>
          </w:tcPr>
          <w:p>
            <w:pPr>
              <w:pStyle w:val="DMETW36756BIPNDFLCY"/>
              <w:jc w:val="right"/>
              <w:rPr>
                <w:rFonts w:ascii="Verdana" w:eastAsia="Verdana" w:hAnsi="Verdana" w:cs="Verdana"/>
                <w:noProof/>
                <w:color w:val="FFFFFF"/>
              </w:rPr>
            </w:pPr>
            <w:r>
              <w:rPr>
                <w:rFonts w:ascii="Verdana" w:hAnsi="Verdana"/>
                <w:noProof/>
                <w:color w:val="FFFFFF"/>
              </w:rPr>
              <w:t>&lt; 1 an</w:t>
            </w:r>
          </w:p>
        </w:tc>
        <w:tc>
          <w:tcPr>
            <w:tcW w:w="1509" w:type="dxa"/>
            <w:tcBorders>
              <w:top w:val="nil"/>
              <w:left w:val="nil"/>
              <w:bottom w:val="nil"/>
              <w:right w:val="nil"/>
              <w:tl2br w:val="nil"/>
              <w:tr2bl w:val="nil"/>
            </w:tcBorders>
            <w:shd w:val="solid" w:color="016794" w:fill="FFFFFF"/>
            <w:tcMar>
              <w:left w:w="60" w:type="dxa"/>
              <w:right w:w="60" w:type="dxa"/>
            </w:tcMar>
            <w:vAlign w:val="center"/>
          </w:tcPr>
          <w:p>
            <w:pPr>
              <w:pStyle w:val="DMETW36756BIPNDFLCY"/>
              <w:jc w:val="right"/>
              <w:rPr>
                <w:rFonts w:ascii="Verdana" w:eastAsia="Verdana" w:hAnsi="Verdana" w:cs="Verdana"/>
                <w:noProof/>
                <w:color w:val="FFFFFF"/>
              </w:rPr>
            </w:pPr>
            <w:r>
              <w:rPr>
                <w:rFonts w:ascii="Verdana" w:hAnsi="Verdana"/>
                <w:noProof/>
                <w:color w:val="FFFFFF"/>
              </w:rPr>
              <w:t>1-5 ans</w:t>
            </w:r>
          </w:p>
        </w:tc>
        <w:tc>
          <w:tcPr>
            <w:tcW w:w="1350" w:type="dxa"/>
            <w:tcBorders>
              <w:top w:val="nil"/>
              <w:left w:val="nil"/>
              <w:bottom w:val="nil"/>
              <w:right w:val="nil"/>
              <w:tl2br w:val="nil"/>
              <w:tr2bl w:val="nil"/>
            </w:tcBorders>
            <w:shd w:val="solid" w:color="016794" w:fill="FFFFFF"/>
            <w:tcMar>
              <w:left w:w="60" w:type="dxa"/>
              <w:right w:w="60" w:type="dxa"/>
            </w:tcMar>
            <w:vAlign w:val="center"/>
          </w:tcPr>
          <w:p>
            <w:pPr>
              <w:pStyle w:val="DMETW36756BIPNDFLCY"/>
              <w:jc w:val="right"/>
              <w:rPr>
                <w:rFonts w:ascii="Verdana" w:eastAsia="Verdana" w:hAnsi="Verdana" w:cs="Verdana"/>
                <w:noProof/>
                <w:color w:val="FFFFFF"/>
              </w:rPr>
            </w:pPr>
            <w:r>
              <w:rPr>
                <w:rFonts w:ascii="Verdana" w:hAnsi="Verdana"/>
                <w:noProof/>
                <w:color w:val="FFFFFF"/>
              </w:rPr>
              <w:t>&gt; 5 ans</w:t>
            </w:r>
          </w:p>
        </w:tc>
        <w:tc>
          <w:tcPr>
            <w:tcW w:w="1407" w:type="dxa"/>
            <w:tcBorders>
              <w:top w:val="nil"/>
              <w:left w:val="nil"/>
              <w:bottom w:val="nil"/>
              <w:right w:val="nil"/>
              <w:tl2br w:val="nil"/>
              <w:tr2bl w:val="nil"/>
            </w:tcBorders>
            <w:shd w:val="solid" w:color="016794" w:fill="FFFFFF"/>
            <w:tcMar>
              <w:left w:w="60" w:type="dxa"/>
              <w:right w:w="60" w:type="dxa"/>
            </w:tcMar>
            <w:vAlign w:val="center"/>
          </w:tcPr>
          <w:p>
            <w:pPr>
              <w:pStyle w:val="DMETW36756BIPNDFLCY"/>
              <w:jc w:val="right"/>
              <w:rPr>
                <w:rFonts w:ascii="Verdana" w:eastAsia="Verdana" w:hAnsi="Verdana" w:cs="Verdana"/>
                <w:noProof/>
                <w:color w:val="FFFFFF"/>
              </w:rPr>
            </w:pPr>
            <w:r>
              <w:rPr>
                <w:rFonts w:ascii="Verdana" w:hAnsi="Verdana"/>
                <w:noProof/>
                <w:color w:val="FFFFFF"/>
              </w:rPr>
              <w:t>Total</w:t>
            </w:r>
          </w:p>
        </w:tc>
        <w:tc>
          <w:tcPr>
            <w:tcW w:w="1362" w:type="dxa"/>
            <w:tcBorders>
              <w:top w:val="nil"/>
              <w:left w:val="nil"/>
              <w:bottom w:val="nil"/>
              <w:right w:val="nil"/>
              <w:tl2br w:val="nil"/>
              <w:tr2bl w:val="nil"/>
            </w:tcBorders>
            <w:shd w:val="solid" w:color="016794" w:fill="FFFFFF"/>
            <w:tcMar>
              <w:left w:w="60" w:type="dxa"/>
              <w:right w:w="60" w:type="dxa"/>
            </w:tcMar>
            <w:vAlign w:val="center"/>
          </w:tcPr>
          <w:p>
            <w:pPr>
              <w:pStyle w:val="DMETW36756BIPNDFLCY"/>
              <w:jc w:val="right"/>
              <w:rPr>
                <w:rFonts w:ascii="Verdana" w:eastAsia="Verdana" w:hAnsi="Verdana" w:cs="Verdana"/>
                <w:noProof/>
                <w:color w:val="FFFFFF"/>
                <w:lang w:bidi="en-GB"/>
              </w:rPr>
            </w:pPr>
          </w:p>
        </w:tc>
      </w:tr>
      <w:tr>
        <w:trPr>
          <w:trHeight w:val="255"/>
        </w:trPr>
        <w:tc>
          <w:tcPr>
            <w:tcW w:w="2689" w:type="dxa"/>
            <w:tcBorders>
              <w:top w:val="nil"/>
              <w:left w:val="nil"/>
              <w:bottom w:val="nil"/>
              <w:right w:val="nil"/>
              <w:tl2br w:val="nil"/>
              <w:tr2bl w:val="nil"/>
            </w:tcBorders>
            <w:tcMar>
              <w:left w:w="60" w:type="dxa"/>
              <w:right w:w="60" w:type="dxa"/>
            </w:tcMar>
            <w:vAlign w:val="center"/>
          </w:tcPr>
          <w:p>
            <w:pPr>
              <w:pStyle w:val="DMETW36756BIPNDFLCY"/>
              <w:rPr>
                <w:rFonts w:ascii="Verdana" w:eastAsia="Verdana" w:hAnsi="Verdana" w:cs="Verdana"/>
                <w:i/>
                <w:noProof/>
                <w:color w:val="000000"/>
                <w:sz w:val="18"/>
              </w:rPr>
            </w:pPr>
            <w:r>
              <w:rPr>
                <w:rFonts w:ascii="Verdana" w:hAnsi="Verdana"/>
                <w:i/>
                <w:noProof/>
                <w:color w:val="000000"/>
                <w:sz w:val="18"/>
              </w:rPr>
              <w:t>Emprunts</w:t>
            </w:r>
          </w:p>
        </w:tc>
        <w:tc>
          <w:tcPr>
            <w:tcW w:w="1441" w:type="dxa"/>
            <w:tcBorders>
              <w:top w:val="nil"/>
              <w:left w:val="nil"/>
              <w:bottom w:val="nil"/>
              <w:right w:val="nil"/>
              <w:tl2br w:val="nil"/>
              <w:tr2bl w:val="nil"/>
            </w:tcBorders>
            <w:tcMar>
              <w:left w:w="60" w:type="dxa"/>
              <w:right w:w="60" w:type="dxa"/>
            </w:tcMar>
            <w:vAlign w:val="center"/>
          </w:tcPr>
          <w:p>
            <w:pPr>
              <w:pStyle w:val="DMETW36756BIPNDFLCY"/>
              <w:jc w:val="right"/>
              <w:rPr>
                <w:rFonts w:ascii="Verdana" w:eastAsia="Verdana" w:hAnsi="Verdana" w:cs="Verdana"/>
                <w:i/>
                <w:noProof/>
                <w:color w:val="000000"/>
                <w:sz w:val="18"/>
              </w:rPr>
            </w:pPr>
            <w:r>
              <w:rPr>
                <w:rFonts w:ascii="Verdana" w:hAnsi="Verdana"/>
                <w:i/>
                <w:noProof/>
                <w:color w:val="000000"/>
                <w:sz w:val="18"/>
              </w:rPr>
              <w:t>(98 561)</w:t>
            </w:r>
          </w:p>
        </w:tc>
        <w:tc>
          <w:tcPr>
            <w:tcW w:w="1509" w:type="dxa"/>
            <w:tcBorders>
              <w:top w:val="nil"/>
              <w:left w:val="nil"/>
              <w:bottom w:val="nil"/>
              <w:right w:val="nil"/>
              <w:tl2br w:val="nil"/>
              <w:tr2bl w:val="nil"/>
            </w:tcBorders>
            <w:tcMar>
              <w:left w:w="60" w:type="dxa"/>
              <w:right w:w="60" w:type="dxa"/>
            </w:tcMar>
            <w:vAlign w:val="center"/>
          </w:tcPr>
          <w:p>
            <w:pPr>
              <w:pStyle w:val="DMETW36756BIPNDFLCY"/>
              <w:jc w:val="right"/>
              <w:rPr>
                <w:rFonts w:ascii="Verdana" w:eastAsia="Verdana" w:hAnsi="Verdana" w:cs="Verdana"/>
                <w:i/>
                <w:noProof/>
                <w:color w:val="000000"/>
                <w:sz w:val="18"/>
              </w:rPr>
            </w:pPr>
            <w:r>
              <w:rPr>
                <w:rFonts w:ascii="Verdana" w:hAnsi="Verdana"/>
                <w:i/>
                <w:noProof/>
                <w:color w:val="000000"/>
                <w:sz w:val="18"/>
              </w:rPr>
              <w:t>(240 053)</w:t>
            </w:r>
          </w:p>
        </w:tc>
        <w:tc>
          <w:tcPr>
            <w:tcW w:w="1350" w:type="dxa"/>
            <w:tcBorders>
              <w:top w:val="nil"/>
              <w:left w:val="nil"/>
              <w:bottom w:val="nil"/>
              <w:right w:val="nil"/>
              <w:tl2br w:val="nil"/>
              <w:tr2bl w:val="nil"/>
            </w:tcBorders>
            <w:tcMar>
              <w:left w:w="60" w:type="dxa"/>
              <w:right w:w="60" w:type="dxa"/>
            </w:tcMar>
            <w:vAlign w:val="center"/>
          </w:tcPr>
          <w:p>
            <w:pPr>
              <w:pStyle w:val="DMETW36756BIPNDFLCY"/>
              <w:jc w:val="right"/>
              <w:rPr>
                <w:rFonts w:ascii="Verdana" w:eastAsia="Verdana" w:hAnsi="Verdana" w:cs="Verdana"/>
                <w:i/>
                <w:noProof/>
                <w:color w:val="000000"/>
                <w:sz w:val="18"/>
              </w:rPr>
            </w:pPr>
            <w:r>
              <w:rPr>
                <w:rFonts w:ascii="Verdana" w:hAnsi="Verdana"/>
                <w:i/>
                <w:noProof/>
                <w:color w:val="000000"/>
                <w:sz w:val="18"/>
              </w:rPr>
              <w:t>(578 604)</w:t>
            </w:r>
          </w:p>
        </w:tc>
        <w:tc>
          <w:tcPr>
            <w:tcW w:w="1407" w:type="dxa"/>
            <w:tcBorders>
              <w:top w:val="nil"/>
              <w:left w:val="nil"/>
              <w:bottom w:val="nil"/>
              <w:right w:val="nil"/>
              <w:tl2br w:val="nil"/>
              <w:tr2bl w:val="nil"/>
            </w:tcBorders>
            <w:tcMar>
              <w:left w:w="60" w:type="dxa"/>
              <w:right w:w="60" w:type="dxa"/>
            </w:tcMar>
            <w:vAlign w:val="center"/>
          </w:tcPr>
          <w:p>
            <w:pPr>
              <w:pStyle w:val="DMETW36756BIPNDFLCY"/>
              <w:jc w:val="right"/>
              <w:rPr>
                <w:rFonts w:ascii="Verdana" w:eastAsia="Verdana" w:hAnsi="Verdana" w:cs="Verdana"/>
                <w:i/>
                <w:noProof/>
                <w:color w:val="000000"/>
                <w:sz w:val="18"/>
              </w:rPr>
            </w:pPr>
            <w:r>
              <w:rPr>
                <w:rFonts w:ascii="Verdana" w:hAnsi="Verdana"/>
                <w:i/>
                <w:noProof/>
                <w:color w:val="000000"/>
                <w:sz w:val="18"/>
              </w:rPr>
              <w:t>(917 217)</w:t>
            </w:r>
          </w:p>
        </w:tc>
        <w:tc>
          <w:tcPr>
            <w:tcW w:w="1362" w:type="dxa"/>
            <w:tcBorders>
              <w:top w:val="nil"/>
              <w:left w:val="nil"/>
              <w:bottom w:val="nil"/>
              <w:right w:val="nil"/>
              <w:tl2br w:val="nil"/>
              <w:tr2bl w:val="nil"/>
            </w:tcBorders>
            <w:tcMar>
              <w:left w:w="60" w:type="dxa"/>
              <w:right w:w="60" w:type="dxa"/>
            </w:tcMar>
            <w:vAlign w:val="center"/>
          </w:tcPr>
          <w:p>
            <w:pPr>
              <w:pStyle w:val="DMETW36756BIPNDFLCY"/>
              <w:jc w:val="right"/>
              <w:rPr>
                <w:rFonts w:ascii="Verdana" w:eastAsia="Verdana" w:hAnsi="Verdana" w:cs="Verdana"/>
                <w:i/>
                <w:noProof/>
                <w:color w:val="000000"/>
                <w:sz w:val="18"/>
              </w:rPr>
            </w:pPr>
            <w:r>
              <w:rPr>
                <w:rFonts w:ascii="Verdana" w:hAnsi="Verdana"/>
                <w:i/>
                <w:noProof/>
                <w:color w:val="000000"/>
                <w:sz w:val="18"/>
              </w:rPr>
              <w:t>(731 224)</w:t>
            </w:r>
          </w:p>
        </w:tc>
      </w:tr>
      <w:tr>
        <w:trPr>
          <w:trHeight w:val="255"/>
        </w:trPr>
        <w:tc>
          <w:tcPr>
            <w:tcW w:w="2689" w:type="dxa"/>
            <w:tcBorders>
              <w:top w:val="nil"/>
              <w:left w:val="nil"/>
              <w:bottom w:val="nil"/>
              <w:right w:val="nil"/>
              <w:tl2br w:val="nil"/>
              <w:tr2bl w:val="nil"/>
            </w:tcBorders>
            <w:tcMar>
              <w:left w:w="60" w:type="dxa"/>
              <w:right w:w="60" w:type="dxa"/>
            </w:tcMar>
            <w:vAlign w:val="center"/>
          </w:tcPr>
          <w:p>
            <w:pPr>
              <w:pStyle w:val="DMETW36756BIPNDFLCY"/>
              <w:rPr>
                <w:rFonts w:ascii="Verdana" w:eastAsia="Verdana" w:hAnsi="Verdana" w:cs="Verdana"/>
                <w:i/>
                <w:noProof/>
                <w:color w:val="000000"/>
                <w:sz w:val="18"/>
              </w:rPr>
            </w:pPr>
            <w:r>
              <w:rPr>
                <w:rFonts w:ascii="Verdana" w:hAnsi="Verdana"/>
                <w:i/>
                <w:noProof/>
                <w:color w:val="000000"/>
                <w:sz w:val="18"/>
              </w:rPr>
              <w:t>Sommes à payer</w:t>
            </w:r>
          </w:p>
        </w:tc>
        <w:tc>
          <w:tcPr>
            <w:tcW w:w="1441" w:type="dxa"/>
            <w:tcBorders>
              <w:top w:val="nil"/>
              <w:left w:val="nil"/>
              <w:bottom w:val="nil"/>
              <w:right w:val="nil"/>
              <w:tl2br w:val="nil"/>
              <w:tr2bl w:val="nil"/>
            </w:tcBorders>
            <w:tcMar>
              <w:left w:w="60" w:type="dxa"/>
              <w:right w:w="60" w:type="dxa"/>
            </w:tcMar>
            <w:vAlign w:val="center"/>
          </w:tcPr>
          <w:p>
            <w:pPr>
              <w:pStyle w:val="DMETW36756BIPNDFLCY"/>
              <w:jc w:val="right"/>
              <w:rPr>
                <w:rFonts w:ascii="Verdana" w:eastAsia="Verdana" w:hAnsi="Verdana" w:cs="Verdana"/>
                <w:i/>
                <w:noProof/>
                <w:color w:val="000000"/>
                <w:sz w:val="18"/>
              </w:rPr>
            </w:pPr>
            <w:r>
              <w:rPr>
                <w:rFonts w:ascii="Verdana" w:hAnsi="Verdana"/>
                <w:i/>
                <w:noProof/>
                <w:color w:val="000000"/>
                <w:sz w:val="18"/>
              </w:rPr>
              <w:t>(65 037)</w:t>
            </w:r>
          </w:p>
        </w:tc>
        <w:tc>
          <w:tcPr>
            <w:tcW w:w="1509" w:type="dxa"/>
            <w:tcBorders>
              <w:top w:val="nil"/>
              <w:left w:val="nil"/>
              <w:bottom w:val="nil"/>
              <w:right w:val="nil"/>
              <w:tl2br w:val="nil"/>
              <w:tr2bl w:val="nil"/>
            </w:tcBorders>
            <w:tcMar>
              <w:left w:w="60" w:type="dxa"/>
              <w:right w:w="60" w:type="dxa"/>
            </w:tcMar>
            <w:vAlign w:val="center"/>
          </w:tcPr>
          <w:p>
            <w:pPr>
              <w:pStyle w:val="DMETW36756BIPNDFLCY"/>
              <w:jc w:val="right"/>
              <w:rPr>
                <w:rFonts w:ascii="Verdana" w:eastAsia="Verdana" w:hAnsi="Verdana" w:cs="Verdana"/>
                <w:i/>
                <w:noProof/>
                <w:color w:val="000000"/>
                <w:sz w:val="18"/>
              </w:rPr>
            </w:pPr>
            <w:r>
              <w:rPr>
                <w:rFonts w:ascii="Verdana" w:hAnsi="Verdana"/>
                <w:i/>
                <w:noProof/>
                <w:color w:val="000000"/>
                <w:sz w:val="18"/>
              </w:rPr>
              <w:t>–</w:t>
            </w:r>
          </w:p>
        </w:tc>
        <w:tc>
          <w:tcPr>
            <w:tcW w:w="1350" w:type="dxa"/>
            <w:tcBorders>
              <w:top w:val="nil"/>
              <w:left w:val="nil"/>
              <w:bottom w:val="nil"/>
              <w:right w:val="nil"/>
              <w:tl2br w:val="nil"/>
              <w:tr2bl w:val="nil"/>
            </w:tcBorders>
            <w:tcMar>
              <w:left w:w="60" w:type="dxa"/>
              <w:right w:w="60" w:type="dxa"/>
            </w:tcMar>
            <w:vAlign w:val="center"/>
          </w:tcPr>
          <w:p>
            <w:pPr>
              <w:pStyle w:val="DMETW36756BIPNDFLCY"/>
              <w:jc w:val="right"/>
              <w:rPr>
                <w:rFonts w:ascii="Verdana" w:eastAsia="Verdana" w:hAnsi="Verdana" w:cs="Verdana"/>
                <w:i/>
                <w:noProof/>
                <w:color w:val="000000"/>
                <w:sz w:val="18"/>
              </w:rPr>
            </w:pPr>
            <w:r>
              <w:rPr>
                <w:rFonts w:ascii="Verdana" w:hAnsi="Verdana"/>
                <w:i/>
                <w:noProof/>
                <w:color w:val="000000"/>
                <w:sz w:val="18"/>
              </w:rPr>
              <w:t>–</w:t>
            </w:r>
          </w:p>
        </w:tc>
        <w:tc>
          <w:tcPr>
            <w:tcW w:w="1407" w:type="dxa"/>
            <w:tcBorders>
              <w:top w:val="nil"/>
              <w:left w:val="nil"/>
              <w:bottom w:val="nil"/>
              <w:right w:val="nil"/>
              <w:tl2br w:val="nil"/>
              <w:tr2bl w:val="nil"/>
            </w:tcBorders>
            <w:tcMar>
              <w:left w:w="60" w:type="dxa"/>
              <w:right w:w="60" w:type="dxa"/>
            </w:tcMar>
            <w:vAlign w:val="center"/>
          </w:tcPr>
          <w:p>
            <w:pPr>
              <w:pStyle w:val="DMETW36756BIPNDFLCY"/>
              <w:jc w:val="right"/>
              <w:rPr>
                <w:rFonts w:ascii="Verdana" w:eastAsia="Verdana" w:hAnsi="Verdana" w:cs="Verdana"/>
                <w:i/>
                <w:noProof/>
                <w:color w:val="000000"/>
                <w:sz w:val="18"/>
              </w:rPr>
            </w:pPr>
            <w:r>
              <w:rPr>
                <w:rFonts w:ascii="Verdana" w:hAnsi="Verdana"/>
                <w:i/>
                <w:noProof/>
                <w:color w:val="000000"/>
                <w:sz w:val="18"/>
              </w:rPr>
              <w:t>(65 037)</w:t>
            </w:r>
          </w:p>
        </w:tc>
        <w:tc>
          <w:tcPr>
            <w:tcW w:w="1362" w:type="dxa"/>
            <w:tcBorders>
              <w:top w:val="nil"/>
              <w:left w:val="nil"/>
              <w:bottom w:val="nil"/>
              <w:right w:val="nil"/>
              <w:tl2br w:val="nil"/>
              <w:tr2bl w:val="nil"/>
            </w:tcBorders>
            <w:tcMar>
              <w:left w:w="60" w:type="dxa"/>
              <w:right w:w="60" w:type="dxa"/>
            </w:tcMar>
            <w:vAlign w:val="center"/>
          </w:tcPr>
          <w:p>
            <w:pPr>
              <w:pStyle w:val="DMETW36756BIPNDFLCY"/>
              <w:jc w:val="right"/>
              <w:rPr>
                <w:rFonts w:ascii="Verdana" w:eastAsia="Verdana" w:hAnsi="Verdana" w:cs="Verdana"/>
                <w:i/>
                <w:noProof/>
                <w:color w:val="000000"/>
                <w:sz w:val="18"/>
              </w:rPr>
            </w:pPr>
            <w:r>
              <w:rPr>
                <w:rFonts w:ascii="Verdana" w:hAnsi="Verdana"/>
                <w:i/>
                <w:noProof/>
                <w:color w:val="000000"/>
                <w:sz w:val="18"/>
              </w:rPr>
              <w:t>(65 037)</w:t>
            </w:r>
          </w:p>
        </w:tc>
      </w:tr>
      <w:tr>
        <w:trPr>
          <w:trHeight w:val="255"/>
        </w:trPr>
        <w:tc>
          <w:tcPr>
            <w:tcW w:w="2689" w:type="dxa"/>
            <w:tcBorders>
              <w:top w:val="nil"/>
              <w:left w:val="nil"/>
              <w:bottom w:val="single" w:sz="4" w:space="0" w:color="016794"/>
              <w:right w:val="nil"/>
              <w:tl2br w:val="nil"/>
              <w:tr2bl w:val="nil"/>
            </w:tcBorders>
            <w:tcMar>
              <w:left w:w="60" w:type="dxa"/>
              <w:right w:w="60" w:type="dxa"/>
            </w:tcMar>
            <w:vAlign w:val="center"/>
          </w:tcPr>
          <w:p>
            <w:pPr>
              <w:pStyle w:val="DMETW36756BIPNDFLCY"/>
              <w:rPr>
                <w:rFonts w:ascii="Verdana" w:eastAsia="Verdana" w:hAnsi="Verdana" w:cs="Verdana"/>
                <w:i/>
                <w:noProof/>
                <w:color w:val="000000"/>
                <w:sz w:val="18"/>
              </w:rPr>
            </w:pPr>
            <w:r>
              <w:rPr>
                <w:rFonts w:ascii="Verdana" w:hAnsi="Verdana"/>
                <w:i/>
                <w:noProof/>
                <w:color w:val="000000"/>
                <w:sz w:val="18"/>
              </w:rPr>
              <w:t xml:space="preserve">Autres </w:t>
            </w:r>
          </w:p>
        </w:tc>
        <w:tc>
          <w:tcPr>
            <w:tcW w:w="1441" w:type="dxa"/>
            <w:tcBorders>
              <w:top w:val="nil"/>
              <w:left w:val="nil"/>
              <w:bottom w:val="single" w:sz="4" w:space="0" w:color="016794"/>
              <w:right w:val="nil"/>
              <w:tl2br w:val="nil"/>
              <w:tr2bl w:val="nil"/>
            </w:tcBorders>
            <w:tcMar>
              <w:left w:w="60" w:type="dxa"/>
              <w:right w:w="60" w:type="dxa"/>
            </w:tcMar>
            <w:vAlign w:val="center"/>
          </w:tcPr>
          <w:p>
            <w:pPr>
              <w:pStyle w:val="DMETW36756BIPNDFLCY"/>
              <w:jc w:val="right"/>
              <w:rPr>
                <w:rFonts w:ascii="Verdana" w:eastAsia="Verdana" w:hAnsi="Verdana" w:cs="Verdana"/>
                <w:i/>
                <w:noProof/>
                <w:color w:val="000000"/>
                <w:sz w:val="18"/>
              </w:rPr>
            </w:pPr>
            <w:r>
              <w:rPr>
                <w:rFonts w:ascii="Verdana" w:hAnsi="Verdana"/>
                <w:i/>
                <w:noProof/>
                <w:color w:val="000000"/>
                <w:sz w:val="18"/>
              </w:rPr>
              <w:t xml:space="preserve"> (180)</w:t>
            </w:r>
          </w:p>
        </w:tc>
        <w:tc>
          <w:tcPr>
            <w:tcW w:w="1509" w:type="dxa"/>
            <w:tcBorders>
              <w:top w:val="nil"/>
              <w:left w:val="nil"/>
              <w:bottom w:val="single" w:sz="4" w:space="0" w:color="016794"/>
              <w:right w:val="nil"/>
              <w:tl2br w:val="nil"/>
              <w:tr2bl w:val="nil"/>
            </w:tcBorders>
            <w:tcMar>
              <w:left w:w="60" w:type="dxa"/>
              <w:right w:w="60" w:type="dxa"/>
            </w:tcMar>
            <w:vAlign w:val="center"/>
          </w:tcPr>
          <w:p>
            <w:pPr>
              <w:pStyle w:val="DMETW36756BIPNDFLCY"/>
              <w:jc w:val="right"/>
              <w:rPr>
                <w:rFonts w:ascii="Verdana" w:eastAsia="Verdana" w:hAnsi="Verdana" w:cs="Verdana"/>
                <w:i/>
                <w:noProof/>
                <w:color w:val="000000"/>
                <w:sz w:val="18"/>
              </w:rPr>
            </w:pPr>
            <w:r>
              <w:rPr>
                <w:rFonts w:ascii="Verdana" w:hAnsi="Verdana"/>
                <w:i/>
                <w:noProof/>
                <w:color w:val="000000"/>
                <w:sz w:val="18"/>
              </w:rPr>
              <w:t xml:space="preserve"> (608)</w:t>
            </w:r>
          </w:p>
        </w:tc>
        <w:tc>
          <w:tcPr>
            <w:tcW w:w="1350" w:type="dxa"/>
            <w:tcBorders>
              <w:top w:val="nil"/>
              <w:left w:val="nil"/>
              <w:bottom w:val="single" w:sz="4" w:space="0" w:color="016794"/>
              <w:right w:val="nil"/>
              <w:tl2br w:val="nil"/>
              <w:tr2bl w:val="nil"/>
            </w:tcBorders>
            <w:tcMar>
              <w:left w:w="60" w:type="dxa"/>
              <w:right w:w="60" w:type="dxa"/>
            </w:tcMar>
            <w:vAlign w:val="center"/>
          </w:tcPr>
          <w:p>
            <w:pPr>
              <w:pStyle w:val="DMETW36756BIPNDFLCY"/>
              <w:jc w:val="right"/>
              <w:rPr>
                <w:rFonts w:ascii="Verdana" w:eastAsia="Verdana" w:hAnsi="Verdana" w:cs="Verdana"/>
                <w:i/>
                <w:noProof/>
                <w:color w:val="000000"/>
                <w:sz w:val="18"/>
              </w:rPr>
            </w:pPr>
            <w:r>
              <w:rPr>
                <w:rFonts w:ascii="Verdana" w:hAnsi="Verdana"/>
                <w:i/>
                <w:noProof/>
                <w:color w:val="000000"/>
                <w:sz w:val="18"/>
              </w:rPr>
              <w:t>(1 157)</w:t>
            </w:r>
          </w:p>
        </w:tc>
        <w:tc>
          <w:tcPr>
            <w:tcW w:w="1407" w:type="dxa"/>
            <w:tcBorders>
              <w:top w:val="nil"/>
              <w:left w:val="nil"/>
              <w:bottom w:val="single" w:sz="4" w:space="0" w:color="016794"/>
              <w:right w:val="nil"/>
              <w:tl2br w:val="nil"/>
              <w:tr2bl w:val="nil"/>
            </w:tcBorders>
            <w:tcMar>
              <w:left w:w="60" w:type="dxa"/>
              <w:right w:w="60" w:type="dxa"/>
            </w:tcMar>
            <w:vAlign w:val="center"/>
          </w:tcPr>
          <w:p>
            <w:pPr>
              <w:pStyle w:val="DMETW36756BIPNDFLCY"/>
              <w:jc w:val="right"/>
              <w:rPr>
                <w:rFonts w:ascii="Verdana" w:eastAsia="Verdana" w:hAnsi="Verdana" w:cs="Verdana"/>
                <w:i/>
                <w:noProof/>
                <w:color w:val="000000"/>
                <w:sz w:val="18"/>
              </w:rPr>
            </w:pPr>
            <w:r>
              <w:rPr>
                <w:rFonts w:ascii="Verdana" w:hAnsi="Verdana"/>
                <w:i/>
                <w:noProof/>
                <w:color w:val="000000"/>
                <w:sz w:val="18"/>
              </w:rPr>
              <w:t>(1 944)</w:t>
            </w:r>
          </w:p>
        </w:tc>
        <w:tc>
          <w:tcPr>
            <w:tcW w:w="1362" w:type="dxa"/>
            <w:tcBorders>
              <w:top w:val="nil"/>
              <w:left w:val="nil"/>
              <w:bottom w:val="single" w:sz="4" w:space="0" w:color="016794"/>
              <w:right w:val="nil"/>
              <w:tl2br w:val="nil"/>
              <w:tr2bl w:val="nil"/>
            </w:tcBorders>
            <w:tcMar>
              <w:left w:w="60" w:type="dxa"/>
              <w:right w:w="60" w:type="dxa"/>
            </w:tcMar>
            <w:vAlign w:val="center"/>
          </w:tcPr>
          <w:p>
            <w:pPr>
              <w:pStyle w:val="DMETW36756BIPNDFLCY"/>
              <w:jc w:val="right"/>
              <w:rPr>
                <w:rFonts w:ascii="Verdana" w:eastAsia="Verdana" w:hAnsi="Verdana" w:cs="Verdana"/>
                <w:i/>
                <w:noProof/>
                <w:color w:val="000000"/>
                <w:sz w:val="18"/>
              </w:rPr>
            </w:pPr>
            <w:r>
              <w:rPr>
                <w:rFonts w:ascii="Verdana" w:hAnsi="Verdana"/>
                <w:i/>
                <w:noProof/>
                <w:color w:val="000000"/>
                <w:sz w:val="18"/>
              </w:rPr>
              <w:t>(1 773)</w:t>
            </w:r>
          </w:p>
        </w:tc>
      </w:tr>
      <w:tr>
        <w:trPr>
          <w:trHeight w:val="255"/>
        </w:trPr>
        <w:tc>
          <w:tcPr>
            <w:tcW w:w="268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6BIPNDFLCY"/>
              <w:rPr>
                <w:rFonts w:ascii="Verdana" w:eastAsia="Verdana" w:hAnsi="Verdana" w:cs="Verdana"/>
                <w:b/>
                <w:noProof/>
                <w:color w:val="000000"/>
                <w:sz w:val="18"/>
              </w:rPr>
            </w:pPr>
            <w:r>
              <w:rPr>
                <w:rFonts w:ascii="Verdana" w:hAnsi="Verdana"/>
                <w:b/>
                <w:noProof/>
                <w:color w:val="000000"/>
                <w:sz w:val="18"/>
              </w:rPr>
              <w:t>Total au 31.12.2025</w:t>
            </w:r>
          </w:p>
        </w:tc>
        <w:tc>
          <w:tcPr>
            <w:tcW w:w="144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6BIPNDFLCY"/>
              <w:jc w:val="right"/>
              <w:rPr>
                <w:rFonts w:ascii="Verdana" w:eastAsia="Verdana" w:hAnsi="Verdana" w:cs="Verdana"/>
                <w:b/>
                <w:noProof/>
                <w:color w:val="000000"/>
                <w:sz w:val="18"/>
              </w:rPr>
            </w:pPr>
            <w:r>
              <w:rPr>
                <w:rFonts w:ascii="Verdana" w:hAnsi="Verdana"/>
                <w:b/>
                <w:noProof/>
                <w:color w:val="000000"/>
                <w:sz w:val="18"/>
              </w:rPr>
              <w:t>(163 777)</w:t>
            </w:r>
          </w:p>
        </w:tc>
        <w:tc>
          <w:tcPr>
            <w:tcW w:w="150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6BIPNDFLCY"/>
              <w:jc w:val="right"/>
              <w:rPr>
                <w:rFonts w:ascii="Verdana" w:eastAsia="Verdana" w:hAnsi="Verdana" w:cs="Verdana"/>
                <w:b/>
                <w:noProof/>
                <w:color w:val="000000"/>
                <w:sz w:val="18"/>
              </w:rPr>
            </w:pPr>
            <w:r>
              <w:rPr>
                <w:rFonts w:ascii="Verdana" w:hAnsi="Verdana"/>
                <w:b/>
                <w:noProof/>
                <w:color w:val="000000"/>
                <w:sz w:val="18"/>
              </w:rPr>
              <w:t>(240 661)</w:t>
            </w:r>
          </w:p>
        </w:tc>
        <w:tc>
          <w:tcPr>
            <w:tcW w:w="135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6BIPNDFLCY"/>
              <w:jc w:val="right"/>
              <w:rPr>
                <w:rFonts w:ascii="Verdana" w:eastAsia="Verdana" w:hAnsi="Verdana" w:cs="Verdana"/>
                <w:b/>
                <w:noProof/>
                <w:color w:val="000000"/>
                <w:sz w:val="18"/>
              </w:rPr>
            </w:pPr>
            <w:r>
              <w:rPr>
                <w:rFonts w:ascii="Verdana" w:hAnsi="Verdana"/>
                <w:b/>
                <w:noProof/>
                <w:color w:val="000000"/>
                <w:sz w:val="18"/>
              </w:rPr>
              <w:t>(579 760)</w:t>
            </w:r>
          </w:p>
        </w:tc>
        <w:tc>
          <w:tcPr>
            <w:tcW w:w="1407"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6BIPNDFLCY"/>
              <w:jc w:val="right"/>
              <w:rPr>
                <w:rFonts w:ascii="Verdana" w:eastAsia="Verdana" w:hAnsi="Verdana" w:cs="Verdana"/>
                <w:b/>
                <w:noProof/>
                <w:color w:val="000000"/>
                <w:sz w:val="18"/>
              </w:rPr>
            </w:pPr>
            <w:r>
              <w:rPr>
                <w:rFonts w:ascii="Verdana" w:hAnsi="Verdana"/>
                <w:b/>
                <w:noProof/>
                <w:color w:val="000000"/>
                <w:sz w:val="18"/>
              </w:rPr>
              <w:t>(984 199)</w:t>
            </w:r>
          </w:p>
        </w:tc>
        <w:tc>
          <w:tcPr>
            <w:tcW w:w="136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6BIPNDFLCY"/>
              <w:jc w:val="right"/>
              <w:rPr>
                <w:rFonts w:ascii="Verdana" w:eastAsia="Verdana" w:hAnsi="Verdana" w:cs="Verdana"/>
                <w:b/>
                <w:noProof/>
                <w:color w:val="000000"/>
                <w:sz w:val="18"/>
              </w:rPr>
            </w:pPr>
            <w:r>
              <w:rPr>
                <w:rFonts w:ascii="Verdana" w:hAnsi="Verdana"/>
                <w:b/>
                <w:noProof/>
                <w:color w:val="000000"/>
                <w:sz w:val="18"/>
              </w:rPr>
              <w:t>(798 034)</w:t>
            </w:r>
          </w:p>
        </w:tc>
      </w:tr>
      <w:tr>
        <w:trPr>
          <w:trHeight w:val="255"/>
        </w:trPr>
        <w:tc>
          <w:tcPr>
            <w:tcW w:w="2689" w:type="dxa"/>
            <w:tcBorders>
              <w:top w:val="single" w:sz="4" w:space="0" w:color="016794"/>
              <w:left w:val="nil"/>
              <w:bottom w:val="nil"/>
              <w:right w:val="nil"/>
              <w:tl2br w:val="nil"/>
              <w:tr2bl w:val="nil"/>
            </w:tcBorders>
            <w:tcMar>
              <w:left w:w="60" w:type="dxa"/>
              <w:right w:w="60" w:type="dxa"/>
            </w:tcMar>
            <w:vAlign w:val="center"/>
          </w:tcPr>
          <w:p>
            <w:pPr>
              <w:pStyle w:val="DMETW36756BIPNDFLCY"/>
              <w:rPr>
                <w:rFonts w:ascii="Verdana" w:eastAsia="Verdana" w:hAnsi="Verdana" w:cs="Verdana"/>
                <w:i/>
                <w:noProof/>
                <w:color w:val="000000"/>
                <w:sz w:val="18"/>
              </w:rPr>
            </w:pPr>
            <w:r>
              <w:rPr>
                <w:rFonts w:ascii="Verdana" w:hAnsi="Verdana"/>
                <w:i/>
                <w:noProof/>
                <w:color w:val="000000"/>
                <w:sz w:val="18"/>
              </w:rPr>
              <w:t>Emprunts</w:t>
            </w:r>
          </w:p>
        </w:tc>
        <w:tc>
          <w:tcPr>
            <w:tcW w:w="1441" w:type="dxa"/>
            <w:tcBorders>
              <w:top w:val="single" w:sz="4" w:space="0" w:color="016794"/>
              <w:left w:val="nil"/>
              <w:bottom w:val="nil"/>
              <w:right w:val="nil"/>
              <w:tl2br w:val="nil"/>
              <w:tr2bl w:val="nil"/>
            </w:tcBorders>
            <w:tcMar>
              <w:left w:w="60" w:type="dxa"/>
              <w:right w:w="60" w:type="dxa"/>
            </w:tcMar>
            <w:vAlign w:val="center"/>
          </w:tcPr>
          <w:p>
            <w:pPr>
              <w:pStyle w:val="DMETW36756BIPNDFLCY"/>
              <w:jc w:val="right"/>
              <w:rPr>
                <w:rFonts w:ascii="Verdana" w:eastAsia="Verdana" w:hAnsi="Verdana" w:cs="Verdana"/>
                <w:i/>
                <w:noProof/>
                <w:color w:val="000000"/>
                <w:sz w:val="18"/>
              </w:rPr>
            </w:pPr>
            <w:r>
              <w:rPr>
                <w:rFonts w:ascii="Verdana" w:hAnsi="Verdana"/>
                <w:i/>
                <w:noProof/>
                <w:color w:val="000000"/>
                <w:sz w:val="18"/>
              </w:rPr>
              <w:t>(61 589)</w:t>
            </w:r>
          </w:p>
        </w:tc>
        <w:tc>
          <w:tcPr>
            <w:tcW w:w="1509" w:type="dxa"/>
            <w:tcBorders>
              <w:top w:val="single" w:sz="4" w:space="0" w:color="016794"/>
              <w:left w:val="nil"/>
              <w:bottom w:val="nil"/>
              <w:right w:val="nil"/>
              <w:tl2br w:val="nil"/>
              <w:tr2bl w:val="nil"/>
            </w:tcBorders>
            <w:tcMar>
              <w:left w:w="60" w:type="dxa"/>
              <w:right w:w="60" w:type="dxa"/>
            </w:tcMar>
            <w:vAlign w:val="center"/>
          </w:tcPr>
          <w:p>
            <w:pPr>
              <w:pStyle w:val="DMETW36756BIPNDFLCY"/>
              <w:jc w:val="right"/>
              <w:rPr>
                <w:rFonts w:ascii="Verdana" w:eastAsia="Verdana" w:hAnsi="Verdana" w:cs="Verdana"/>
                <w:i/>
                <w:noProof/>
                <w:color w:val="000000"/>
                <w:sz w:val="18"/>
              </w:rPr>
            </w:pPr>
            <w:r>
              <w:rPr>
                <w:rFonts w:ascii="Verdana" w:hAnsi="Verdana"/>
                <w:i/>
                <w:noProof/>
                <w:color w:val="000000"/>
                <w:sz w:val="18"/>
              </w:rPr>
              <w:t>(201 152)</w:t>
            </w:r>
          </w:p>
        </w:tc>
        <w:tc>
          <w:tcPr>
            <w:tcW w:w="1350" w:type="dxa"/>
            <w:tcBorders>
              <w:top w:val="single" w:sz="4" w:space="0" w:color="016794"/>
              <w:left w:val="nil"/>
              <w:bottom w:val="nil"/>
              <w:right w:val="nil"/>
              <w:tl2br w:val="nil"/>
              <w:tr2bl w:val="nil"/>
            </w:tcBorders>
            <w:tcMar>
              <w:left w:w="60" w:type="dxa"/>
              <w:right w:w="60" w:type="dxa"/>
            </w:tcMar>
            <w:vAlign w:val="center"/>
          </w:tcPr>
          <w:p>
            <w:pPr>
              <w:pStyle w:val="DMETW36756BIPNDFLCY"/>
              <w:jc w:val="right"/>
              <w:rPr>
                <w:rFonts w:ascii="Verdana" w:eastAsia="Verdana" w:hAnsi="Verdana" w:cs="Verdana"/>
                <w:i/>
                <w:noProof/>
                <w:color w:val="000000"/>
                <w:sz w:val="18"/>
              </w:rPr>
            </w:pPr>
            <w:r>
              <w:rPr>
                <w:rFonts w:ascii="Verdana" w:hAnsi="Verdana"/>
                <w:i/>
                <w:noProof/>
                <w:color w:val="000000"/>
                <w:sz w:val="18"/>
              </w:rPr>
              <w:t>(468 669)</w:t>
            </w:r>
          </w:p>
        </w:tc>
        <w:tc>
          <w:tcPr>
            <w:tcW w:w="1407" w:type="dxa"/>
            <w:tcBorders>
              <w:top w:val="single" w:sz="4" w:space="0" w:color="016794"/>
              <w:left w:val="nil"/>
              <w:bottom w:val="nil"/>
              <w:right w:val="nil"/>
              <w:tl2br w:val="nil"/>
              <w:tr2bl w:val="nil"/>
            </w:tcBorders>
            <w:tcMar>
              <w:left w:w="60" w:type="dxa"/>
              <w:right w:w="60" w:type="dxa"/>
            </w:tcMar>
            <w:vAlign w:val="center"/>
          </w:tcPr>
          <w:p>
            <w:pPr>
              <w:pStyle w:val="DMETW36756BIPNDFLCY"/>
              <w:jc w:val="right"/>
              <w:rPr>
                <w:rFonts w:ascii="Verdana" w:eastAsia="Verdana" w:hAnsi="Verdana" w:cs="Verdana"/>
                <w:i/>
                <w:noProof/>
                <w:color w:val="000000"/>
                <w:sz w:val="18"/>
              </w:rPr>
            </w:pPr>
            <w:r>
              <w:rPr>
                <w:rFonts w:ascii="Verdana" w:hAnsi="Verdana"/>
                <w:i/>
                <w:noProof/>
                <w:color w:val="000000"/>
                <w:sz w:val="18"/>
              </w:rPr>
              <w:t>(731 410)</w:t>
            </w:r>
          </w:p>
        </w:tc>
        <w:tc>
          <w:tcPr>
            <w:tcW w:w="1362" w:type="dxa"/>
            <w:tcBorders>
              <w:top w:val="single" w:sz="4" w:space="0" w:color="016794"/>
              <w:left w:val="nil"/>
              <w:bottom w:val="nil"/>
              <w:right w:val="nil"/>
              <w:tl2br w:val="nil"/>
              <w:tr2bl w:val="nil"/>
            </w:tcBorders>
            <w:tcMar>
              <w:left w:w="60" w:type="dxa"/>
              <w:right w:w="60" w:type="dxa"/>
            </w:tcMar>
            <w:vAlign w:val="center"/>
          </w:tcPr>
          <w:p>
            <w:pPr>
              <w:pStyle w:val="DMETW36756BIPNDFLCY"/>
              <w:jc w:val="right"/>
              <w:rPr>
                <w:rFonts w:ascii="Verdana" w:eastAsia="Verdana" w:hAnsi="Verdana" w:cs="Verdana"/>
                <w:i/>
                <w:noProof/>
                <w:color w:val="000000"/>
                <w:sz w:val="18"/>
              </w:rPr>
            </w:pPr>
            <w:r>
              <w:rPr>
                <w:rFonts w:ascii="Verdana" w:hAnsi="Verdana"/>
                <w:i/>
                <w:noProof/>
                <w:color w:val="000000"/>
                <w:sz w:val="18"/>
              </w:rPr>
              <w:t>(594 028)</w:t>
            </w:r>
          </w:p>
        </w:tc>
      </w:tr>
      <w:tr>
        <w:trPr>
          <w:trHeight w:val="255"/>
        </w:trPr>
        <w:tc>
          <w:tcPr>
            <w:tcW w:w="2689" w:type="dxa"/>
            <w:tcBorders>
              <w:top w:val="nil"/>
              <w:left w:val="nil"/>
              <w:bottom w:val="nil"/>
              <w:right w:val="nil"/>
              <w:tl2br w:val="nil"/>
              <w:tr2bl w:val="nil"/>
            </w:tcBorders>
            <w:tcMar>
              <w:left w:w="60" w:type="dxa"/>
              <w:right w:w="60" w:type="dxa"/>
            </w:tcMar>
            <w:vAlign w:val="center"/>
          </w:tcPr>
          <w:p>
            <w:pPr>
              <w:pStyle w:val="DMETW36756BIPNDFLCY"/>
              <w:rPr>
                <w:rFonts w:ascii="Verdana" w:eastAsia="Verdana" w:hAnsi="Verdana" w:cs="Verdana"/>
                <w:i/>
                <w:noProof/>
                <w:color w:val="000000"/>
                <w:sz w:val="18"/>
              </w:rPr>
            </w:pPr>
            <w:r>
              <w:rPr>
                <w:rFonts w:ascii="Verdana" w:hAnsi="Verdana"/>
                <w:i/>
                <w:noProof/>
                <w:color w:val="000000"/>
                <w:sz w:val="18"/>
              </w:rPr>
              <w:t>Sommes à payer</w:t>
            </w:r>
          </w:p>
        </w:tc>
        <w:tc>
          <w:tcPr>
            <w:tcW w:w="1441" w:type="dxa"/>
            <w:tcBorders>
              <w:top w:val="nil"/>
              <w:left w:val="nil"/>
              <w:bottom w:val="nil"/>
              <w:right w:val="nil"/>
              <w:tl2br w:val="nil"/>
              <w:tr2bl w:val="nil"/>
            </w:tcBorders>
            <w:tcMar>
              <w:left w:w="60" w:type="dxa"/>
              <w:right w:w="60" w:type="dxa"/>
            </w:tcMar>
            <w:vAlign w:val="center"/>
          </w:tcPr>
          <w:p>
            <w:pPr>
              <w:pStyle w:val="DMETW36756BIPNDFLCY"/>
              <w:jc w:val="right"/>
              <w:rPr>
                <w:rFonts w:ascii="Verdana" w:eastAsia="Verdana" w:hAnsi="Verdana" w:cs="Verdana"/>
                <w:i/>
                <w:noProof/>
                <w:color w:val="000000"/>
                <w:sz w:val="18"/>
              </w:rPr>
            </w:pPr>
            <w:r>
              <w:rPr>
                <w:rFonts w:ascii="Verdana" w:hAnsi="Verdana"/>
                <w:i/>
                <w:noProof/>
                <w:color w:val="000000"/>
                <w:sz w:val="18"/>
              </w:rPr>
              <w:t>(55 414)</w:t>
            </w:r>
          </w:p>
        </w:tc>
        <w:tc>
          <w:tcPr>
            <w:tcW w:w="1509" w:type="dxa"/>
            <w:tcBorders>
              <w:top w:val="nil"/>
              <w:left w:val="nil"/>
              <w:bottom w:val="nil"/>
              <w:right w:val="nil"/>
              <w:tl2br w:val="nil"/>
              <w:tr2bl w:val="nil"/>
            </w:tcBorders>
            <w:tcMar>
              <w:left w:w="60" w:type="dxa"/>
              <w:right w:w="60" w:type="dxa"/>
            </w:tcMar>
            <w:vAlign w:val="center"/>
          </w:tcPr>
          <w:p>
            <w:pPr>
              <w:pStyle w:val="DMETW36756BIPNDFLCY"/>
              <w:jc w:val="right"/>
              <w:rPr>
                <w:rFonts w:ascii="Verdana" w:eastAsia="Verdana" w:hAnsi="Verdana" w:cs="Verdana"/>
                <w:i/>
                <w:noProof/>
                <w:color w:val="000000"/>
                <w:sz w:val="18"/>
              </w:rPr>
            </w:pPr>
            <w:r>
              <w:rPr>
                <w:rFonts w:ascii="Verdana" w:hAnsi="Verdana"/>
                <w:i/>
                <w:noProof/>
                <w:color w:val="000000"/>
                <w:sz w:val="18"/>
              </w:rPr>
              <w:t>–</w:t>
            </w:r>
          </w:p>
        </w:tc>
        <w:tc>
          <w:tcPr>
            <w:tcW w:w="1350" w:type="dxa"/>
            <w:tcBorders>
              <w:top w:val="nil"/>
              <w:left w:val="nil"/>
              <w:bottom w:val="nil"/>
              <w:right w:val="nil"/>
              <w:tl2br w:val="nil"/>
              <w:tr2bl w:val="nil"/>
            </w:tcBorders>
            <w:tcMar>
              <w:left w:w="60" w:type="dxa"/>
              <w:right w:w="60" w:type="dxa"/>
            </w:tcMar>
            <w:vAlign w:val="center"/>
          </w:tcPr>
          <w:p>
            <w:pPr>
              <w:pStyle w:val="DMETW36756BIPNDFLCY"/>
              <w:jc w:val="right"/>
              <w:rPr>
                <w:rFonts w:ascii="Verdana" w:eastAsia="Verdana" w:hAnsi="Verdana" w:cs="Verdana"/>
                <w:i/>
                <w:noProof/>
                <w:color w:val="000000"/>
                <w:sz w:val="18"/>
              </w:rPr>
            </w:pPr>
            <w:r>
              <w:rPr>
                <w:rFonts w:ascii="Verdana" w:hAnsi="Verdana"/>
                <w:i/>
                <w:noProof/>
                <w:color w:val="000000"/>
                <w:sz w:val="18"/>
              </w:rPr>
              <w:t>–</w:t>
            </w:r>
          </w:p>
        </w:tc>
        <w:tc>
          <w:tcPr>
            <w:tcW w:w="1407" w:type="dxa"/>
            <w:tcBorders>
              <w:top w:val="nil"/>
              <w:left w:val="nil"/>
              <w:bottom w:val="nil"/>
              <w:right w:val="nil"/>
              <w:tl2br w:val="nil"/>
              <w:tr2bl w:val="nil"/>
            </w:tcBorders>
            <w:tcMar>
              <w:left w:w="60" w:type="dxa"/>
              <w:right w:w="60" w:type="dxa"/>
            </w:tcMar>
            <w:vAlign w:val="center"/>
          </w:tcPr>
          <w:p>
            <w:pPr>
              <w:pStyle w:val="DMETW36756BIPNDFLCY"/>
              <w:jc w:val="right"/>
              <w:rPr>
                <w:rFonts w:ascii="Verdana" w:eastAsia="Verdana" w:hAnsi="Verdana" w:cs="Verdana"/>
                <w:i/>
                <w:noProof/>
                <w:color w:val="000000"/>
                <w:sz w:val="18"/>
              </w:rPr>
            </w:pPr>
            <w:r>
              <w:rPr>
                <w:rFonts w:ascii="Verdana" w:hAnsi="Verdana"/>
                <w:i/>
                <w:noProof/>
                <w:color w:val="000000"/>
                <w:sz w:val="18"/>
              </w:rPr>
              <w:t>(55 414)</w:t>
            </w:r>
          </w:p>
        </w:tc>
        <w:tc>
          <w:tcPr>
            <w:tcW w:w="1362" w:type="dxa"/>
            <w:tcBorders>
              <w:top w:val="nil"/>
              <w:left w:val="nil"/>
              <w:bottom w:val="nil"/>
              <w:right w:val="nil"/>
              <w:tl2br w:val="nil"/>
              <w:tr2bl w:val="nil"/>
            </w:tcBorders>
            <w:tcMar>
              <w:left w:w="60" w:type="dxa"/>
              <w:right w:w="60" w:type="dxa"/>
            </w:tcMar>
            <w:vAlign w:val="center"/>
          </w:tcPr>
          <w:p>
            <w:pPr>
              <w:pStyle w:val="DMETW36756BIPNDFLCY"/>
              <w:jc w:val="right"/>
              <w:rPr>
                <w:rFonts w:ascii="Verdana" w:eastAsia="Verdana" w:hAnsi="Verdana" w:cs="Verdana"/>
                <w:i/>
                <w:noProof/>
                <w:color w:val="000000"/>
                <w:sz w:val="18"/>
              </w:rPr>
            </w:pPr>
            <w:r>
              <w:rPr>
                <w:rFonts w:ascii="Verdana" w:hAnsi="Verdana"/>
                <w:i/>
                <w:noProof/>
                <w:color w:val="000000"/>
                <w:sz w:val="18"/>
              </w:rPr>
              <w:t>(55 414)</w:t>
            </w:r>
          </w:p>
        </w:tc>
      </w:tr>
      <w:tr>
        <w:trPr>
          <w:trHeight w:val="255"/>
        </w:trPr>
        <w:tc>
          <w:tcPr>
            <w:tcW w:w="2689" w:type="dxa"/>
            <w:tcBorders>
              <w:top w:val="nil"/>
              <w:left w:val="nil"/>
              <w:bottom w:val="single" w:sz="4" w:space="0" w:color="016794"/>
              <w:right w:val="nil"/>
              <w:tl2br w:val="nil"/>
              <w:tr2bl w:val="nil"/>
            </w:tcBorders>
            <w:tcMar>
              <w:left w:w="60" w:type="dxa"/>
              <w:right w:w="60" w:type="dxa"/>
            </w:tcMar>
            <w:vAlign w:val="center"/>
          </w:tcPr>
          <w:p>
            <w:pPr>
              <w:pStyle w:val="DMETW36756BIPNDFLCY"/>
              <w:rPr>
                <w:rFonts w:ascii="Verdana" w:eastAsia="Verdana" w:hAnsi="Verdana" w:cs="Verdana"/>
                <w:i/>
                <w:noProof/>
                <w:color w:val="000000"/>
                <w:sz w:val="18"/>
              </w:rPr>
            </w:pPr>
            <w:r>
              <w:rPr>
                <w:rFonts w:ascii="Verdana" w:hAnsi="Verdana"/>
                <w:i/>
                <w:noProof/>
                <w:color w:val="000000"/>
                <w:sz w:val="18"/>
              </w:rPr>
              <w:t xml:space="preserve">Autres </w:t>
            </w:r>
          </w:p>
        </w:tc>
        <w:tc>
          <w:tcPr>
            <w:tcW w:w="1441" w:type="dxa"/>
            <w:tcBorders>
              <w:top w:val="nil"/>
              <w:left w:val="nil"/>
              <w:bottom w:val="single" w:sz="4" w:space="0" w:color="016794"/>
              <w:right w:val="nil"/>
              <w:tl2br w:val="nil"/>
              <w:tr2bl w:val="nil"/>
            </w:tcBorders>
            <w:tcMar>
              <w:left w:w="60" w:type="dxa"/>
              <w:right w:w="60" w:type="dxa"/>
            </w:tcMar>
            <w:vAlign w:val="center"/>
          </w:tcPr>
          <w:p>
            <w:pPr>
              <w:pStyle w:val="DMETW36756BIPNDFLCY"/>
              <w:jc w:val="right"/>
              <w:rPr>
                <w:rFonts w:ascii="Verdana" w:eastAsia="Verdana" w:hAnsi="Verdana" w:cs="Verdana"/>
                <w:i/>
                <w:noProof/>
                <w:color w:val="000000"/>
                <w:sz w:val="18"/>
              </w:rPr>
            </w:pPr>
            <w:r>
              <w:rPr>
                <w:rFonts w:ascii="Verdana" w:hAnsi="Verdana"/>
                <w:i/>
                <w:noProof/>
                <w:color w:val="000000"/>
                <w:sz w:val="18"/>
              </w:rPr>
              <w:t xml:space="preserve"> (168)</w:t>
            </w:r>
          </w:p>
        </w:tc>
        <w:tc>
          <w:tcPr>
            <w:tcW w:w="1509" w:type="dxa"/>
            <w:tcBorders>
              <w:top w:val="nil"/>
              <w:left w:val="nil"/>
              <w:bottom w:val="single" w:sz="4" w:space="0" w:color="016794"/>
              <w:right w:val="nil"/>
              <w:tl2br w:val="nil"/>
              <w:tr2bl w:val="nil"/>
            </w:tcBorders>
            <w:tcMar>
              <w:left w:w="60" w:type="dxa"/>
              <w:right w:w="60" w:type="dxa"/>
            </w:tcMar>
            <w:vAlign w:val="center"/>
          </w:tcPr>
          <w:p>
            <w:pPr>
              <w:pStyle w:val="DMETW36756BIPNDFLCY"/>
              <w:jc w:val="right"/>
              <w:rPr>
                <w:rFonts w:ascii="Verdana" w:eastAsia="Verdana" w:hAnsi="Verdana" w:cs="Verdana"/>
                <w:i/>
                <w:noProof/>
                <w:color w:val="000000"/>
                <w:sz w:val="18"/>
              </w:rPr>
            </w:pPr>
            <w:r>
              <w:rPr>
                <w:rFonts w:ascii="Verdana" w:hAnsi="Verdana"/>
                <w:i/>
                <w:noProof/>
                <w:color w:val="000000"/>
                <w:sz w:val="18"/>
              </w:rPr>
              <w:t xml:space="preserve"> (560)</w:t>
            </w:r>
          </w:p>
        </w:tc>
        <w:tc>
          <w:tcPr>
            <w:tcW w:w="1350" w:type="dxa"/>
            <w:tcBorders>
              <w:top w:val="nil"/>
              <w:left w:val="nil"/>
              <w:bottom w:val="single" w:sz="4" w:space="0" w:color="016794"/>
              <w:right w:val="nil"/>
              <w:tl2br w:val="nil"/>
              <w:tr2bl w:val="nil"/>
            </w:tcBorders>
            <w:tcMar>
              <w:left w:w="60" w:type="dxa"/>
              <w:right w:w="60" w:type="dxa"/>
            </w:tcMar>
            <w:vAlign w:val="center"/>
          </w:tcPr>
          <w:p>
            <w:pPr>
              <w:pStyle w:val="DMETW36756BIPNDFLCY"/>
              <w:jc w:val="right"/>
              <w:rPr>
                <w:rFonts w:ascii="Verdana" w:eastAsia="Verdana" w:hAnsi="Verdana" w:cs="Verdana"/>
                <w:i/>
                <w:noProof/>
                <w:color w:val="000000"/>
                <w:sz w:val="18"/>
              </w:rPr>
            </w:pPr>
            <w:r>
              <w:rPr>
                <w:rFonts w:ascii="Verdana" w:hAnsi="Verdana"/>
                <w:i/>
                <w:noProof/>
                <w:color w:val="000000"/>
                <w:sz w:val="18"/>
              </w:rPr>
              <w:t xml:space="preserve"> (850)</w:t>
            </w:r>
          </w:p>
        </w:tc>
        <w:tc>
          <w:tcPr>
            <w:tcW w:w="1407" w:type="dxa"/>
            <w:tcBorders>
              <w:top w:val="nil"/>
              <w:left w:val="nil"/>
              <w:bottom w:val="single" w:sz="4" w:space="0" w:color="016794"/>
              <w:right w:val="nil"/>
              <w:tl2br w:val="nil"/>
              <w:tr2bl w:val="nil"/>
            </w:tcBorders>
            <w:tcMar>
              <w:left w:w="60" w:type="dxa"/>
              <w:right w:w="60" w:type="dxa"/>
            </w:tcMar>
            <w:vAlign w:val="center"/>
          </w:tcPr>
          <w:p>
            <w:pPr>
              <w:pStyle w:val="DMETW36756BIPNDFLCY"/>
              <w:jc w:val="right"/>
              <w:rPr>
                <w:rFonts w:ascii="Verdana" w:eastAsia="Verdana" w:hAnsi="Verdana" w:cs="Verdana"/>
                <w:i/>
                <w:noProof/>
                <w:color w:val="000000"/>
                <w:sz w:val="18"/>
              </w:rPr>
            </w:pPr>
            <w:r>
              <w:rPr>
                <w:rFonts w:ascii="Verdana" w:hAnsi="Verdana"/>
                <w:i/>
                <w:noProof/>
                <w:color w:val="000000"/>
                <w:sz w:val="18"/>
              </w:rPr>
              <w:t>(1 578)</w:t>
            </w:r>
          </w:p>
        </w:tc>
        <w:tc>
          <w:tcPr>
            <w:tcW w:w="1362" w:type="dxa"/>
            <w:tcBorders>
              <w:top w:val="nil"/>
              <w:left w:val="nil"/>
              <w:bottom w:val="single" w:sz="4" w:space="0" w:color="016794"/>
              <w:right w:val="nil"/>
              <w:tl2br w:val="nil"/>
              <w:tr2bl w:val="nil"/>
            </w:tcBorders>
            <w:tcMar>
              <w:left w:w="60" w:type="dxa"/>
              <w:right w:w="60" w:type="dxa"/>
            </w:tcMar>
            <w:vAlign w:val="center"/>
          </w:tcPr>
          <w:p>
            <w:pPr>
              <w:pStyle w:val="DMETW36756BIPNDFLCY"/>
              <w:jc w:val="right"/>
              <w:rPr>
                <w:rFonts w:ascii="Verdana" w:eastAsia="Verdana" w:hAnsi="Verdana" w:cs="Verdana"/>
                <w:i/>
                <w:noProof/>
                <w:color w:val="000000"/>
                <w:sz w:val="18"/>
              </w:rPr>
            </w:pPr>
            <w:r>
              <w:rPr>
                <w:rFonts w:ascii="Verdana" w:hAnsi="Verdana"/>
                <w:i/>
                <w:noProof/>
                <w:color w:val="000000"/>
                <w:sz w:val="18"/>
              </w:rPr>
              <w:t>(1 398)</w:t>
            </w:r>
          </w:p>
        </w:tc>
      </w:tr>
      <w:tr>
        <w:trPr>
          <w:trHeight w:val="255"/>
        </w:trPr>
        <w:tc>
          <w:tcPr>
            <w:tcW w:w="268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6BIPNDFLCY"/>
              <w:rPr>
                <w:rFonts w:ascii="Verdana" w:eastAsia="Verdana" w:hAnsi="Verdana" w:cs="Verdana"/>
                <w:b/>
                <w:noProof/>
                <w:color w:val="000000"/>
                <w:sz w:val="18"/>
              </w:rPr>
            </w:pPr>
            <w:r>
              <w:rPr>
                <w:rFonts w:ascii="Verdana" w:hAnsi="Verdana"/>
                <w:b/>
                <w:noProof/>
                <w:color w:val="000000"/>
                <w:sz w:val="18"/>
              </w:rPr>
              <w:t>Total au 31.12.2024</w:t>
            </w:r>
          </w:p>
        </w:tc>
        <w:tc>
          <w:tcPr>
            <w:tcW w:w="144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6BIPNDFLCY"/>
              <w:jc w:val="right"/>
              <w:rPr>
                <w:rFonts w:ascii="Verdana" w:eastAsia="Verdana" w:hAnsi="Verdana" w:cs="Verdana"/>
                <w:b/>
                <w:noProof/>
                <w:color w:val="000000"/>
                <w:sz w:val="18"/>
              </w:rPr>
            </w:pPr>
            <w:r>
              <w:rPr>
                <w:rFonts w:ascii="Verdana" w:hAnsi="Verdana"/>
                <w:b/>
                <w:noProof/>
                <w:color w:val="000000"/>
                <w:sz w:val="18"/>
              </w:rPr>
              <w:t>(117 171)</w:t>
            </w:r>
          </w:p>
        </w:tc>
        <w:tc>
          <w:tcPr>
            <w:tcW w:w="150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6BIPNDFLCY"/>
              <w:jc w:val="right"/>
              <w:rPr>
                <w:rFonts w:ascii="Verdana" w:eastAsia="Verdana" w:hAnsi="Verdana" w:cs="Verdana"/>
                <w:b/>
                <w:noProof/>
                <w:color w:val="000000"/>
                <w:sz w:val="18"/>
              </w:rPr>
            </w:pPr>
            <w:r>
              <w:rPr>
                <w:rFonts w:ascii="Verdana" w:hAnsi="Verdana"/>
                <w:b/>
                <w:noProof/>
                <w:color w:val="000000"/>
                <w:sz w:val="18"/>
              </w:rPr>
              <w:t>(201 711)</w:t>
            </w:r>
          </w:p>
        </w:tc>
        <w:tc>
          <w:tcPr>
            <w:tcW w:w="135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6BIPNDFLCY"/>
              <w:jc w:val="right"/>
              <w:rPr>
                <w:rFonts w:ascii="Verdana" w:eastAsia="Verdana" w:hAnsi="Verdana" w:cs="Verdana"/>
                <w:b/>
                <w:noProof/>
                <w:color w:val="000000"/>
                <w:sz w:val="18"/>
              </w:rPr>
            </w:pPr>
            <w:r>
              <w:rPr>
                <w:rFonts w:ascii="Verdana" w:hAnsi="Verdana"/>
                <w:b/>
                <w:noProof/>
                <w:color w:val="000000"/>
                <w:sz w:val="18"/>
              </w:rPr>
              <w:t>(469 519)</w:t>
            </w:r>
          </w:p>
        </w:tc>
        <w:tc>
          <w:tcPr>
            <w:tcW w:w="1407"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6BIPNDFLCY"/>
              <w:jc w:val="right"/>
              <w:rPr>
                <w:rFonts w:ascii="Verdana" w:eastAsia="Verdana" w:hAnsi="Verdana" w:cs="Verdana"/>
                <w:b/>
                <w:noProof/>
                <w:color w:val="000000"/>
                <w:sz w:val="18"/>
              </w:rPr>
            </w:pPr>
            <w:r>
              <w:rPr>
                <w:rFonts w:ascii="Verdana" w:hAnsi="Verdana"/>
                <w:b/>
                <w:noProof/>
                <w:color w:val="000000"/>
                <w:sz w:val="18"/>
              </w:rPr>
              <w:t>(788 401)</w:t>
            </w:r>
          </w:p>
        </w:tc>
        <w:tc>
          <w:tcPr>
            <w:tcW w:w="136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6BIPNDFLCY"/>
              <w:jc w:val="right"/>
              <w:rPr>
                <w:rFonts w:ascii="Verdana" w:eastAsia="Verdana" w:hAnsi="Verdana" w:cs="Verdana"/>
                <w:b/>
                <w:noProof/>
                <w:color w:val="000000"/>
                <w:sz w:val="18"/>
              </w:rPr>
            </w:pPr>
            <w:r>
              <w:rPr>
                <w:rFonts w:ascii="Verdana" w:hAnsi="Verdana"/>
                <w:b/>
                <w:noProof/>
                <w:color w:val="000000"/>
                <w:sz w:val="18"/>
              </w:rPr>
              <w:t>(650 839)</w:t>
            </w:r>
          </w:p>
        </w:tc>
      </w:tr>
    </w:tbl>
    <w:p>
      <w:pPr>
        <w:pStyle w:val="HEADER5"/>
        <w:spacing w:before="240"/>
        <w:rPr>
          <w:noProof/>
        </w:rPr>
      </w:pPr>
    </w:p>
    <w:p>
      <w:pPr>
        <w:pStyle w:val="HEADER5"/>
        <w:rPr>
          <w:noProof/>
        </w:rPr>
      </w:pPr>
      <w:r>
        <w:rPr>
          <w:noProof/>
        </w:rPr>
        <w:t>Analyse des échéances des passifs financiers dérivés en fonction de l’échéance résiduelle contractuelle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95"/>
        <w:gridCol w:w="1141"/>
        <w:gridCol w:w="1141"/>
        <w:gridCol w:w="1141"/>
        <w:gridCol w:w="1141"/>
        <w:gridCol w:w="1299"/>
      </w:tblGrid>
      <w:tr>
        <w:trPr>
          <w:trHeight w:val="255"/>
        </w:trPr>
        <w:tc>
          <w:tcPr>
            <w:tcW w:w="3895" w:type="dxa"/>
            <w:tcBorders>
              <w:top w:val="nil"/>
              <w:left w:val="nil"/>
              <w:bottom w:val="nil"/>
              <w:right w:val="nil"/>
              <w:tl2br w:val="nil"/>
              <w:tr2bl w:val="nil"/>
            </w:tcBorders>
            <w:tcMar>
              <w:left w:w="60" w:type="dxa"/>
              <w:right w:w="60" w:type="dxa"/>
            </w:tcMar>
            <w:vAlign w:val="bottom"/>
          </w:tcPr>
          <w:p>
            <w:pPr>
              <w:pStyle w:val="DMETW36617BIPDFLCY"/>
              <w:rPr>
                <w:rFonts w:ascii="Arial" w:eastAsia="Arial" w:hAnsi="Arial" w:cs="Arial"/>
                <w:noProof/>
                <w:color w:val="000000"/>
              </w:rPr>
            </w:pPr>
            <w:bookmarkStart w:id="237" w:name="DOC_TBL00103_1_1"/>
            <w:bookmarkEnd w:id="237"/>
          </w:p>
        </w:tc>
        <w:tc>
          <w:tcPr>
            <w:tcW w:w="1141" w:type="dxa"/>
            <w:tcBorders>
              <w:top w:val="nil"/>
              <w:left w:val="nil"/>
              <w:bottom w:val="nil"/>
              <w:right w:val="nil"/>
              <w:tl2br w:val="nil"/>
              <w:tr2bl w:val="nil"/>
            </w:tcBorders>
            <w:tcMar>
              <w:left w:w="60" w:type="dxa"/>
              <w:right w:w="60" w:type="dxa"/>
            </w:tcMar>
            <w:vAlign w:val="bottom"/>
          </w:tcPr>
          <w:p>
            <w:pPr>
              <w:pStyle w:val="DMETW36617BIPDFLCY"/>
              <w:rPr>
                <w:rFonts w:ascii="Arial" w:eastAsia="Arial" w:hAnsi="Arial" w:cs="Arial"/>
                <w:noProof/>
                <w:color w:val="000000"/>
              </w:rPr>
            </w:pPr>
          </w:p>
        </w:tc>
        <w:tc>
          <w:tcPr>
            <w:tcW w:w="1141" w:type="dxa"/>
            <w:tcBorders>
              <w:top w:val="nil"/>
              <w:left w:val="nil"/>
              <w:bottom w:val="nil"/>
              <w:right w:val="nil"/>
              <w:tl2br w:val="nil"/>
              <w:tr2bl w:val="nil"/>
            </w:tcBorders>
            <w:tcMar>
              <w:left w:w="60" w:type="dxa"/>
              <w:right w:w="60" w:type="dxa"/>
            </w:tcMar>
            <w:vAlign w:val="bottom"/>
          </w:tcPr>
          <w:p>
            <w:pPr>
              <w:pStyle w:val="DMETW36617BIPDFLCY"/>
              <w:rPr>
                <w:rFonts w:ascii="Arial" w:eastAsia="Arial" w:hAnsi="Arial" w:cs="Arial"/>
                <w:noProof/>
                <w:color w:val="000000"/>
              </w:rPr>
            </w:pPr>
          </w:p>
        </w:tc>
        <w:tc>
          <w:tcPr>
            <w:tcW w:w="1141" w:type="dxa"/>
            <w:tcBorders>
              <w:top w:val="nil"/>
              <w:left w:val="nil"/>
              <w:bottom w:val="nil"/>
              <w:right w:val="nil"/>
              <w:tl2br w:val="nil"/>
              <w:tr2bl w:val="nil"/>
            </w:tcBorders>
            <w:tcMar>
              <w:left w:w="60" w:type="dxa"/>
              <w:right w:w="60" w:type="dxa"/>
            </w:tcMar>
            <w:vAlign w:val="bottom"/>
          </w:tcPr>
          <w:p>
            <w:pPr>
              <w:pStyle w:val="DMETW36617BIPDFLCY"/>
              <w:rPr>
                <w:rFonts w:ascii="Arial" w:eastAsia="Arial" w:hAnsi="Arial" w:cs="Arial"/>
                <w:noProof/>
                <w:color w:val="000000"/>
              </w:rPr>
            </w:pPr>
          </w:p>
        </w:tc>
        <w:tc>
          <w:tcPr>
            <w:tcW w:w="1141" w:type="dxa"/>
            <w:tcBorders>
              <w:top w:val="nil"/>
              <w:left w:val="nil"/>
              <w:bottom w:val="nil"/>
              <w:right w:val="nil"/>
              <w:tl2br w:val="nil"/>
              <w:tr2bl w:val="nil"/>
            </w:tcBorders>
            <w:tcMar>
              <w:left w:w="60" w:type="dxa"/>
              <w:right w:w="60" w:type="dxa"/>
            </w:tcMar>
            <w:vAlign w:val="bottom"/>
          </w:tcPr>
          <w:p>
            <w:pPr>
              <w:pStyle w:val="DMETW36617BIPDFLCY"/>
              <w:rPr>
                <w:rFonts w:ascii="Verdana" w:eastAsia="Verdana" w:hAnsi="Verdana" w:cs="Verdana"/>
                <w:noProof/>
                <w:color w:val="000000"/>
              </w:rPr>
            </w:pPr>
          </w:p>
        </w:tc>
        <w:tc>
          <w:tcPr>
            <w:tcW w:w="1299" w:type="dxa"/>
            <w:tcBorders>
              <w:top w:val="nil"/>
              <w:left w:val="nil"/>
              <w:bottom w:val="nil"/>
              <w:right w:val="nil"/>
              <w:tl2br w:val="nil"/>
              <w:tr2bl w:val="nil"/>
            </w:tcBorders>
            <w:tcMar>
              <w:left w:w="60" w:type="dxa"/>
              <w:right w:w="60" w:type="dxa"/>
            </w:tcMar>
            <w:vAlign w:val="bottom"/>
          </w:tcPr>
          <w:p>
            <w:pPr>
              <w:pStyle w:val="DMETW36617BIPDFLCY"/>
              <w:jc w:val="right"/>
              <w:rPr>
                <w:rFonts w:ascii="Verdana" w:eastAsia="Verdana" w:hAnsi="Verdana" w:cs="Verdana"/>
                <w:i/>
                <w:noProof/>
                <w:color w:val="000000"/>
                <w:sz w:val="16"/>
              </w:rPr>
            </w:pPr>
            <w:r>
              <w:rPr>
                <w:rFonts w:ascii="Verdana" w:hAnsi="Verdana"/>
                <w:i/>
                <w:noProof/>
                <w:color w:val="000000"/>
                <w:sz w:val="16"/>
              </w:rPr>
              <w:t>en Mio EUR</w:t>
            </w:r>
          </w:p>
        </w:tc>
      </w:tr>
      <w:tr>
        <w:trPr>
          <w:trHeight w:val="255"/>
        </w:trPr>
        <w:tc>
          <w:tcPr>
            <w:tcW w:w="3895" w:type="dxa"/>
            <w:tcBorders>
              <w:top w:val="nil"/>
              <w:left w:val="nil"/>
              <w:bottom w:val="nil"/>
              <w:right w:val="nil"/>
              <w:tl2br w:val="nil"/>
              <w:tr2bl w:val="nil"/>
            </w:tcBorders>
            <w:shd w:val="solid" w:color="016794" w:fill="FFFFFF"/>
            <w:tcMar>
              <w:left w:w="60" w:type="dxa"/>
              <w:right w:w="60" w:type="dxa"/>
            </w:tcMar>
            <w:vAlign w:val="center"/>
          </w:tcPr>
          <w:p>
            <w:pPr>
              <w:pStyle w:val="DMETW36617BIPDFLCY"/>
              <w:jc w:val="right"/>
              <w:rPr>
                <w:rFonts w:ascii="Verdana" w:eastAsia="Verdana" w:hAnsi="Verdana" w:cs="Verdana"/>
                <w:noProof/>
                <w:color w:val="FFFFFF"/>
              </w:rPr>
            </w:pPr>
          </w:p>
        </w:tc>
        <w:tc>
          <w:tcPr>
            <w:tcW w:w="1141" w:type="dxa"/>
            <w:gridSpan w:val="4"/>
            <w:tcBorders>
              <w:top w:val="nil"/>
              <w:left w:val="nil"/>
              <w:bottom w:val="nil"/>
              <w:right w:val="nil"/>
              <w:tl2br w:val="nil"/>
              <w:tr2bl w:val="nil"/>
            </w:tcBorders>
            <w:shd w:val="solid" w:color="016794" w:fill="FFFFFF"/>
            <w:tcMar>
              <w:left w:w="60" w:type="dxa"/>
              <w:right w:w="60" w:type="dxa"/>
            </w:tcMar>
            <w:vAlign w:val="center"/>
          </w:tcPr>
          <w:p>
            <w:pPr>
              <w:pStyle w:val="DMETW36617BIPDFLCY"/>
              <w:jc w:val="center"/>
              <w:rPr>
                <w:rFonts w:ascii="Verdana" w:eastAsia="Verdana" w:hAnsi="Verdana" w:cs="Verdana"/>
                <w:noProof/>
                <w:color w:val="FFFFFF"/>
              </w:rPr>
            </w:pPr>
            <w:r>
              <w:rPr>
                <w:rFonts w:ascii="Verdana" w:hAnsi="Verdana"/>
                <w:noProof/>
                <w:color w:val="FFFFFF"/>
              </w:rPr>
              <w:t>Flux de trésorerie contractuels non actualisés</w:t>
            </w:r>
          </w:p>
        </w:tc>
        <w:tc>
          <w:tcPr>
            <w:tcW w:w="1299" w:type="dxa"/>
            <w:vMerge w:val="restart"/>
            <w:tcBorders>
              <w:top w:val="nil"/>
              <w:left w:val="nil"/>
              <w:bottom w:val="nil"/>
              <w:right w:val="nil"/>
              <w:tl2br w:val="nil"/>
              <w:tr2bl w:val="nil"/>
            </w:tcBorders>
            <w:shd w:val="solid" w:color="016794" w:fill="FFFFFF"/>
            <w:tcMar>
              <w:left w:w="60" w:type="dxa"/>
              <w:right w:w="60" w:type="dxa"/>
            </w:tcMar>
            <w:vAlign w:val="bottom"/>
          </w:tcPr>
          <w:p>
            <w:pPr>
              <w:pStyle w:val="DMETW36617BIPDFLCY"/>
              <w:jc w:val="right"/>
              <w:rPr>
                <w:rFonts w:ascii="Verdana" w:eastAsia="Verdana" w:hAnsi="Verdana" w:cs="Verdana"/>
                <w:noProof/>
                <w:color w:val="FFFFFF"/>
              </w:rPr>
            </w:pPr>
            <w:r>
              <w:rPr>
                <w:rFonts w:ascii="Verdana" w:hAnsi="Verdana"/>
                <w:noProof/>
                <w:color w:val="FFFFFF"/>
              </w:rPr>
              <w:t>Valeur comptable</w:t>
            </w:r>
          </w:p>
        </w:tc>
      </w:tr>
      <w:tr>
        <w:trPr>
          <w:trHeight w:val="255"/>
        </w:trPr>
        <w:tc>
          <w:tcPr>
            <w:tcW w:w="3895" w:type="dxa"/>
            <w:tcBorders>
              <w:top w:val="nil"/>
              <w:left w:val="nil"/>
              <w:bottom w:val="nil"/>
              <w:right w:val="nil"/>
              <w:tl2br w:val="nil"/>
              <w:tr2bl w:val="nil"/>
            </w:tcBorders>
            <w:shd w:val="solid" w:color="016794" w:fill="FFFFFF"/>
            <w:tcMar>
              <w:left w:w="60" w:type="dxa"/>
              <w:right w:w="60" w:type="dxa"/>
            </w:tcMar>
            <w:vAlign w:val="center"/>
          </w:tcPr>
          <w:p>
            <w:pPr>
              <w:pStyle w:val="DMETW36617BIPDFLCY"/>
              <w:jc w:val="right"/>
              <w:rPr>
                <w:rFonts w:ascii="Verdana" w:eastAsia="Verdana" w:hAnsi="Verdana" w:cs="Verdana"/>
                <w:noProof/>
                <w:color w:val="FFFFFF"/>
              </w:rPr>
            </w:pPr>
          </w:p>
        </w:tc>
        <w:tc>
          <w:tcPr>
            <w:tcW w:w="1141" w:type="dxa"/>
            <w:tcBorders>
              <w:top w:val="nil"/>
              <w:left w:val="nil"/>
              <w:bottom w:val="nil"/>
              <w:right w:val="nil"/>
              <w:tl2br w:val="nil"/>
              <w:tr2bl w:val="nil"/>
            </w:tcBorders>
            <w:shd w:val="solid" w:color="016794" w:fill="FFFFFF"/>
            <w:tcMar>
              <w:left w:w="60" w:type="dxa"/>
              <w:right w:w="60" w:type="dxa"/>
            </w:tcMar>
            <w:vAlign w:val="center"/>
          </w:tcPr>
          <w:p>
            <w:pPr>
              <w:pStyle w:val="DMETW36617BIPDFLCY"/>
              <w:jc w:val="right"/>
              <w:rPr>
                <w:rFonts w:ascii="Verdana" w:eastAsia="Verdana" w:hAnsi="Verdana" w:cs="Verdana"/>
                <w:noProof/>
                <w:color w:val="FFFFFF"/>
              </w:rPr>
            </w:pPr>
            <w:r>
              <w:rPr>
                <w:rFonts w:ascii="Verdana" w:hAnsi="Verdana"/>
                <w:noProof/>
                <w:color w:val="FFFFFF"/>
              </w:rPr>
              <w:t>&lt; 1 an</w:t>
            </w:r>
          </w:p>
        </w:tc>
        <w:tc>
          <w:tcPr>
            <w:tcW w:w="1141" w:type="dxa"/>
            <w:tcBorders>
              <w:top w:val="nil"/>
              <w:left w:val="nil"/>
              <w:bottom w:val="nil"/>
              <w:right w:val="nil"/>
              <w:tl2br w:val="nil"/>
              <w:tr2bl w:val="nil"/>
            </w:tcBorders>
            <w:shd w:val="solid" w:color="016794" w:fill="FFFFFF"/>
            <w:tcMar>
              <w:left w:w="60" w:type="dxa"/>
              <w:right w:w="60" w:type="dxa"/>
            </w:tcMar>
            <w:vAlign w:val="center"/>
          </w:tcPr>
          <w:p>
            <w:pPr>
              <w:pStyle w:val="DMETW36617BIPDFLCY"/>
              <w:jc w:val="right"/>
              <w:rPr>
                <w:rFonts w:ascii="Verdana" w:eastAsia="Verdana" w:hAnsi="Verdana" w:cs="Verdana"/>
                <w:noProof/>
                <w:color w:val="FFFFFF"/>
              </w:rPr>
            </w:pPr>
            <w:r>
              <w:rPr>
                <w:rFonts w:ascii="Verdana" w:hAnsi="Verdana"/>
                <w:noProof/>
                <w:color w:val="FFFFFF"/>
              </w:rPr>
              <w:t>1-5 ans</w:t>
            </w:r>
          </w:p>
        </w:tc>
        <w:tc>
          <w:tcPr>
            <w:tcW w:w="1141" w:type="dxa"/>
            <w:tcBorders>
              <w:top w:val="nil"/>
              <w:left w:val="nil"/>
              <w:bottom w:val="nil"/>
              <w:right w:val="nil"/>
              <w:tl2br w:val="nil"/>
              <w:tr2bl w:val="nil"/>
            </w:tcBorders>
            <w:shd w:val="solid" w:color="016794" w:fill="FFFFFF"/>
            <w:tcMar>
              <w:left w:w="60" w:type="dxa"/>
              <w:right w:w="60" w:type="dxa"/>
            </w:tcMar>
            <w:vAlign w:val="center"/>
          </w:tcPr>
          <w:p>
            <w:pPr>
              <w:pStyle w:val="DMETW36617BIPDFLCY"/>
              <w:jc w:val="right"/>
              <w:rPr>
                <w:rFonts w:ascii="Verdana" w:eastAsia="Verdana" w:hAnsi="Verdana" w:cs="Verdana"/>
                <w:noProof/>
                <w:color w:val="FFFFFF"/>
              </w:rPr>
            </w:pPr>
            <w:r>
              <w:rPr>
                <w:rFonts w:ascii="Verdana" w:hAnsi="Verdana"/>
                <w:noProof/>
                <w:color w:val="FFFFFF"/>
              </w:rPr>
              <w:t>&gt; 5 ans</w:t>
            </w:r>
          </w:p>
        </w:tc>
        <w:tc>
          <w:tcPr>
            <w:tcW w:w="1141" w:type="dxa"/>
            <w:tcBorders>
              <w:top w:val="nil"/>
              <w:left w:val="nil"/>
              <w:bottom w:val="nil"/>
              <w:right w:val="nil"/>
              <w:tl2br w:val="nil"/>
              <w:tr2bl w:val="nil"/>
            </w:tcBorders>
            <w:shd w:val="solid" w:color="016794" w:fill="FFFFFF"/>
            <w:tcMar>
              <w:left w:w="60" w:type="dxa"/>
              <w:right w:w="60" w:type="dxa"/>
            </w:tcMar>
            <w:vAlign w:val="center"/>
          </w:tcPr>
          <w:p>
            <w:pPr>
              <w:pStyle w:val="DMETW36617BIPDFLCY"/>
              <w:jc w:val="right"/>
              <w:rPr>
                <w:rFonts w:ascii="Verdana" w:eastAsia="Verdana" w:hAnsi="Verdana" w:cs="Verdana"/>
                <w:noProof/>
                <w:color w:val="FFFFFF"/>
              </w:rPr>
            </w:pPr>
            <w:r>
              <w:rPr>
                <w:rFonts w:ascii="Verdana" w:hAnsi="Verdana"/>
                <w:noProof/>
                <w:color w:val="FFFFFF"/>
              </w:rPr>
              <w:t>Total</w:t>
            </w:r>
          </w:p>
        </w:tc>
        <w:tc>
          <w:tcPr>
            <w:tcW w:w="1275" w:type="dxa"/>
            <w:vMerge/>
            <w:tcBorders>
              <w:top w:val="nil"/>
              <w:left w:val="nil"/>
              <w:bottom w:val="nil"/>
              <w:right w:val="nil"/>
              <w:tl2br w:val="nil"/>
              <w:tr2bl w:val="nil"/>
            </w:tcBorders>
            <w:shd w:val="solid" w:color="016794" w:fill="FFFFFF"/>
            <w:tcMar>
              <w:left w:w="60" w:type="dxa"/>
              <w:right w:w="60" w:type="dxa"/>
            </w:tcMar>
            <w:vAlign w:val="bottom"/>
          </w:tcPr>
          <w:p>
            <w:pPr>
              <w:pStyle w:val="DMETW36617BIPDFLCY"/>
              <w:jc w:val="right"/>
              <w:rPr>
                <w:rFonts w:ascii="Verdana" w:eastAsia="Verdana" w:hAnsi="Verdana" w:cs="Verdana"/>
                <w:noProof/>
                <w:color w:val="FFFFFF"/>
              </w:rPr>
            </w:pPr>
          </w:p>
        </w:tc>
      </w:tr>
      <w:tr>
        <w:trPr>
          <w:trHeight w:val="255"/>
        </w:trPr>
        <w:tc>
          <w:tcPr>
            <w:tcW w:w="3895" w:type="dxa"/>
            <w:tcBorders>
              <w:top w:val="nil"/>
              <w:left w:val="nil"/>
              <w:bottom w:val="nil"/>
              <w:right w:val="nil"/>
              <w:tl2br w:val="nil"/>
              <w:tr2bl w:val="nil"/>
            </w:tcBorders>
            <w:tcMar>
              <w:left w:w="60" w:type="dxa"/>
              <w:right w:w="60" w:type="dxa"/>
            </w:tcMar>
            <w:vAlign w:val="center"/>
          </w:tcPr>
          <w:p>
            <w:pPr>
              <w:pStyle w:val="DMETW36617BIPDFLCY"/>
              <w:rPr>
                <w:rFonts w:ascii="Verdana" w:eastAsia="Verdana" w:hAnsi="Verdana" w:cs="Verdana"/>
                <w:i/>
                <w:noProof/>
                <w:color w:val="000000"/>
                <w:sz w:val="18"/>
              </w:rPr>
            </w:pPr>
            <w:r>
              <w:rPr>
                <w:rFonts w:ascii="Verdana" w:hAnsi="Verdana"/>
                <w:i/>
                <w:noProof/>
                <w:color w:val="000000"/>
                <w:sz w:val="18"/>
              </w:rPr>
              <w:t>Dérivés - branche payeur</w:t>
            </w:r>
          </w:p>
        </w:tc>
        <w:tc>
          <w:tcPr>
            <w:tcW w:w="1141" w:type="dxa"/>
            <w:tcBorders>
              <w:top w:val="nil"/>
              <w:left w:val="nil"/>
              <w:bottom w:val="nil"/>
              <w:right w:val="nil"/>
              <w:tl2br w:val="nil"/>
              <w:tr2bl w:val="nil"/>
            </w:tcBorders>
            <w:tcMar>
              <w:left w:w="60" w:type="dxa"/>
              <w:right w:w="60" w:type="dxa"/>
            </w:tcMar>
            <w:vAlign w:val="center"/>
          </w:tcPr>
          <w:p>
            <w:pPr>
              <w:pStyle w:val="DMETW36617BIPDFLCY"/>
              <w:jc w:val="right"/>
              <w:rPr>
                <w:rFonts w:ascii="Verdana" w:eastAsia="Verdana" w:hAnsi="Verdana" w:cs="Verdana"/>
                <w:i/>
                <w:noProof/>
                <w:color w:val="000000"/>
                <w:sz w:val="18"/>
              </w:rPr>
            </w:pPr>
            <w:r>
              <w:rPr>
                <w:rFonts w:ascii="Verdana" w:hAnsi="Verdana"/>
                <w:i/>
                <w:noProof/>
                <w:color w:val="000000"/>
                <w:sz w:val="18"/>
              </w:rPr>
              <w:t>(1 184)</w:t>
            </w:r>
          </w:p>
        </w:tc>
        <w:tc>
          <w:tcPr>
            <w:tcW w:w="1141" w:type="dxa"/>
            <w:tcBorders>
              <w:top w:val="nil"/>
              <w:left w:val="nil"/>
              <w:bottom w:val="nil"/>
              <w:right w:val="nil"/>
              <w:tl2br w:val="nil"/>
              <w:tr2bl w:val="nil"/>
            </w:tcBorders>
            <w:tcMar>
              <w:left w:w="60" w:type="dxa"/>
              <w:right w:w="60" w:type="dxa"/>
            </w:tcMar>
            <w:vAlign w:val="center"/>
          </w:tcPr>
          <w:p>
            <w:pPr>
              <w:pStyle w:val="DMETW36617BIPDFLCY"/>
              <w:jc w:val="right"/>
              <w:rPr>
                <w:rFonts w:ascii="Verdana" w:eastAsia="Verdana" w:hAnsi="Verdana" w:cs="Verdana"/>
                <w:i/>
                <w:noProof/>
                <w:color w:val="000000"/>
                <w:sz w:val="18"/>
              </w:rPr>
            </w:pPr>
            <w:r>
              <w:rPr>
                <w:rFonts w:ascii="Verdana" w:hAnsi="Verdana"/>
                <w:i/>
                <w:noProof/>
                <w:color w:val="000000"/>
                <w:sz w:val="18"/>
              </w:rPr>
              <w:t xml:space="preserve"> (11)</w:t>
            </w:r>
          </w:p>
        </w:tc>
        <w:tc>
          <w:tcPr>
            <w:tcW w:w="1141" w:type="dxa"/>
            <w:tcBorders>
              <w:top w:val="nil"/>
              <w:left w:val="nil"/>
              <w:bottom w:val="nil"/>
              <w:right w:val="nil"/>
              <w:tl2br w:val="nil"/>
              <w:tr2bl w:val="nil"/>
            </w:tcBorders>
            <w:tcMar>
              <w:left w:w="60" w:type="dxa"/>
              <w:right w:w="60" w:type="dxa"/>
            </w:tcMar>
            <w:vAlign w:val="center"/>
          </w:tcPr>
          <w:p>
            <w:pPr>
              <w:pStyle w:val="DMETW36617BIPDFLCY"/>
              <w:jc w:val="right"/>
              <w:rPr>
                <w:rFonts w:ascii="Verdana" w:eastAsia="Verdana" w:hAnsi="Verdana" w:cs="Verdana"/>
                <w:i/>
                <w:noProof/>
                <w:color w:val="000000"/>
                <w:sz w:val="18"/>
              </w:rPr>
            </w:pPr>
            <w:r>
              <w:rPr>
                <w:rFonts w:ascii="Verdana" w:hAnsi="Verdana"/>
                <w:i/>
                <w:noProof/>
                <w:color w:val="000000"/>
                <w:sz w:val="18"/>
              </w:rPr>
              <w:t>–</w:t>
            </w:r>
          </w:p>
        </w:tc>
        <w:tc>
          <w:tcPr>
            <w:tcW w:w="1141" w:type="dxa"/>
            <w:tcBorders>
              <w:top w:val="nil"/>
              <w:left w:val="nil"/>
              <w:bottom w:val="nil"/>
              <w:right w:val="nil"/>
              <w:tl2br w:val="nil"/>
              <w:tr2bl w:val="nil"/>
            </w:tcBorders>
            <w:tcMar>
              <w:left w:w="60" w:type="dxa"/>
              <w:right w:w="60" w:type="dxa"/>
            </w:tcMar>
            <w:vAlign w:val="center"/>
          </w:tcPr>
          <w:p>
            <w:pPr>
              <w:pStyle w:val="DMETW36617BIPDFLCY"/>
              <w:jc w:val="right"/>
              <w:rPr>
                <w:rFonts w:ascii="Verdana" w:eastAsia="Verdana" w:hAnsi="Verdana" w:cs="Verdana"/>
                <w:i/>
                <w:noProof/>
                <w:color w:val="000000"/>
                <w:sz w:val="18"/>
              </w:rPr>
            </w:pPr>
            <w:r>
              <w:rPr>
                <w:rFonts w:ascii="Verdana" w:hAnsi="Verdana"/>
                <w:i/>
                <w:noProof/>
                <w:color w:val="000000"/>
                <w:sz w:val="18"/>
              </w:rPr>
              <w:t>(1 195)</w:t>
            </w:r>
          </w:p>
        </w:tc>
        <w:tc>
          <w:tcPr>
            <w:tcW w:w="1299" w:type="dxa"/>
            <w:tcBorders>
              <w:top w:val="nil"/>
              <w:left w:val="nil"/>
              <w:bottom w:val="nil"/>
              <w:right w:val="nil"/>
              <w:tl2br w:val="nil"/>
              <w:tr2bl w:val="nil"/>
            </w:tcBorders>
            <w:tcMar>
              <w:left w:w="60" w:type="dxa"/>
              <w:right w:w="60" w:type="dxa"/>
            </w:tcMar>
            <w:vAlign w:val="bottom"/>
          </w:tcPr>
          <w:p>
            <w:pPr>
              <w:pStyle w:val="DMETW36617BIPDFLCY"/>
              <w:rPr>
                <w:rFonts w:ascii="Verdana" w:eastAsia="Verdana" w:hAnsi="Verdana" w:cs="Verdana"/>
                <w:noProof/>
                <w:color w:val="000000"/>
                <w:lang w:bidi="en-GB"/>
              </w:rPr>
            </w:pPr>
          </w:p>
        </w:tc>
      </w:tr>
      <w:tr>
        <w:trPr>
          <w:trHeight w:val="255"/>
        </w:trPr>
        <w:tc>
          <w:tcPr>
            <w:tcW w:w="3895" w:type="dxa"/>
            <w:tcBorders>
              <w:top w:val="nil"/>
              <w:left w:val="nil"/>
              <w:bottom w:val="single" w:sz="4" w:space="0" w:color="016794"/>
              <w:right w:val="nil"/>
              <w:tl2br w:val="nil"/>
              <w:tr2bl w:val="nil"/>
            </w:tcBorders>
            <w:tcMar>
              <w:left w:w="60" w:type="dxa"/>
              <w:right w:w="60" w:type="dxa"/>
            </w:tcMar>
            <w:vAlign w:val="center"/>
          </w:tcPr>
          <w:p>
            <w:pPr>
              <w:pStyle w:val="DMETW36617BIPDFLCY"/>
              <w:rPr>
                <w:rFonts w:ascii="Verdana" w:eastAsia="Verdana" w:hAnsi="Verdana" w:cs="Verdana"/>
                <w:i/>
                <w:noProof/>
                <w:color w:val="000000"/>
                <w:sz w:val="18"/>
              </w:rPr>
            </w:pPr>
            <w:r>
              <w:rPr>
                <w:rFonts w:ascii="Verdana" w:hAnsi="Verdana"/>
                <w:i/>
                <w:noProof/>
                <w:color w:val="000000"/>
                <w:sz w:val="18"/>
              </w:rPr>
              <w:t>Dérivés - branche receveur</w:t>
            </w:r>
          </w:p>
        </w:tc>
        <w:tc>
          <w:tcPr>
            <w:tcW w:w="1141" w:type="dxa"/>
            <w:tcBorders>
              <w:top w:val="nil"/>
              <w:left w:val="nil"/>
              <w:bottom w:val="single" w:sz="4" w:space="0" w:color="016794"/>
              <w:right w:val="nil"/>
              <w:tl2br w:val="nil"/>
              <w:tr2bl w:val="nil"/>
            </w:tcBorders>
            <w:tcMar>
              <w:left w:w="60" w:type="dxa"/>
              <w:right w:w="60" w:type="dxa"/>
            </w:tcMar>
            <w:vAlign w:val="center"/>
          </w:tcPr>
          <w:p>
            <w:pPr>
              <w:pStyle w:val="DMETW36617BIPDFLCY"/>
              <w:jc w:val="right"/>
              <w:rPr>
                <w:rFonts w:ascii="Verdana" w:eastAsia="Verdana" w:hAnsi="Verdana" w:cs="Verdana"/>
                <w:i/>
                <w:noProof/>
                <w:color w:val="000000"/>
                <w:sz w:val="18"/>
              </w:rPr>
            </w:pPr>
            <w:r>
              <w:rPr>
                <w:rFonts w:ascii="Verdana" w:hAnsi="Verdana"/>
                <w:i/>
                <w:noProof/>
                <w:color w:val="000000"/>
                <w:sz w:val="18"/>
              </w:rPr>
              <w:t>1 138</w:t>
            </w:r>
          </w:p>
        </w:tc>
        <w:tc>
          <w:tcPr>
            <w:tcW w:w="1141" w:type="dxa"/>
            <w:tcBorders>
              <w:top w:val="nil"/>
              <w:left w:val="nil"/>
              <w:bottom w:val="single" w:sz="4" w:space="0" w:color="016794"/>
              <w:right w:val="nil"/>
              <w:tl2br w:val="nil"/>
              <w:tr2bl w:val="nil"/>
            </w:tcBorders>
            <w:tcMar>
              <w:left w:w="60" w:type="dxa"/>
              <w:right w:w="60" w:type="dxa"/>
            </w:tcMar>
            <w:vAlign w:val="center"/>
          </w:tcPr>
          <w:p>
            <w:pPr>
              <w:pStyle w:val="DMETW36617BIPDFLCY"/>
              <w:jc w:val="right"/>
              <w:rPr>
                <w:rFonts w:ascii="Verdana" w:eastAsia="Verdana" w:hAnsi="Verdana" w:cs="Verdana"/>
                <w:i/>
                <w:noProof/>
                <w:color w:val="000000"/>
                <w:sz w:val="18"/>
              </w:rPr>
            </w:pPr>
            <w:r>
              <w:rPr>
                <w:rFonts w:ascii="Verdana" w:hAnsi="Verdana"/>
                <w:i/>
                <w:noProof/>
                <w:color w:val="000000"/>
                <w:sz w:val="18"/>
              </w:rPr>
              <w:t xml:space="preserve"> 7</w:t>
            </w:r>
          </w:p>
        </w:tc>
        <w:tc>
          <w:tcPr>
            <w:tcW w:w="1141" w:type="dxa"/>
            <w:tcBorders>
              <w:top w:val="nil"/>
              <w:left w:val="nil"/>
              <w:bottom w:val="single" w:sz="4" w:space="0" w:color="016794"/>
              <w:right w:val="nil"/>
              <w:tl2br w:val="nil"/>
              <w:tr2bl w:val="nil"/>
            </w:tcBorders>
            <w:tcMar>
              <w:left w:w="60" w:type="dxa"/>
              <w:right w:w="60" w:type="dxa"/>
            </w:tcMar>
            <w:vAlign w:val="center"/>
          </w:tcPr>
          <w:p>
            <w:pPr>
              <w:pStyle w:val="DMETW36617BIPDFLCY"/>
              <w:jc w:val="right"/>
              <w:rPr>
                <w:rFonts w:ascii="Verdana" w:eastAsia="Verdana" w:hAnsi="Verdana" w:cs="Verdana"/>
                <w:i/>
                <w:noProof/>
                <w:color w:val="000000"/>
                <w:sz w:val="18"/>
              </w:rPr>
            </w:pPr>
            <w:r>
              <w:rPr>
                <w:rFonts w:ascii="Verdana" w:hAnsi="Verdana"/>
                <w:i/>
                <w:noProof/>
                <w:color w:val="000000"/>
                <w:sz w:val="18"/>
              </w:rPr>
              <w:t>–</w:t>
            </w:r>
          </w:p>
        </w:tc>
        <w:tc>
          <w:tcPr>
            <w:tcW w:w="1141" w:type="dxa"/>
            <w:tcBorders>
              <w:top w:val="nil"/>
              <w:left w:val="nil"/>
              <w:bottom w:val="single" w:sz="4" w:space="0" w:color="016794"/>
              <w:right w:val="nil"/>
              <w:tl2br w:val="nil"/>
              <w:tr2bl w:val="nil"/>
            </w:tcBorders>
            <w:tcMar>
              <w:left w:w="60" w:type="dxa"/>
              <w:right w:w="60" w:type="dxa"/>
            </w:tcMar>
            <w:vAlign w:val="center"/>
          </w:tcPr>
          <w:p>
            <w:pPr>
              <w:pStyle w:val="DMETW36617BIPDFLCY"/>
              <w:jc w:val="right"/>
              <w:rPr>
                <w:rFonts w:ascii="Verdana" w:eastAsia="Verdana" w:hAnsi="Verdana" w:cs="Verdana"/>
                <w:i/>
                <w:noProof/>
                <w:color w:val="000000"/>
                <w:sz w:val="18"/>
              </w:rPr>
            </w:pPr>
            <w:r>
              <w:rPr>
                <w:rFonts w:ascii="Verdana" w:hAnsi="Verdana"/>
                <w:i/>
                <w:noProof/>
                <w:color w:val="000000"/>
                <w:sz w:val="18"/>
              </w:rPr>
              <w:t>1 145</w:t>
            </w:r>
          </w:p>
        </w:tc>
        <w:tc>
          <w:tcPr>
            <w:tcW w:w="1299" w:type="dxa"/>
            <w:tcBorders>
              <w:top w:val="nil"/>
              <w:left w:val="nil"/>
              <w:bottom w:val="single" w:sz="4" w:space="0" w:color="016794"/>
              <w:right w:val="nil"/>
              <w:tl2br w:val="nil"/>
              <w:tr2bl w:val="nil"/>
            </w:tcBorders>
            <w:tcMar>
              <w:left w:w="60" w:type="dxa"/>
              <w:right w:w="60" w:type="dxa"/>
            </w:tcMar>
            <w:vAlign w:val="bottom"/>
          </w:tcPr>
          <w:p>
            <w:pPr>
              <w:pStyle w:val="DMETW36617BIPDFLCY"/>
              <w:rPr>
                <w:rFonts w:ascii="Verdana" w:eastAsia="Verdana" w:hAnsi="Verdana" w:cs="Verdana"/>
                <w:noProof/>
                <w:color w:val="000000"/>
                <w:lang w:bidi="en-GB"/>
              </w:rPr>
            </w:pPr>
          </w:p>
        </w:tc>
      </w:tr>
      <w:tr>
        <w:trPr>
          <w:trHeight w:val="255"/>
        </w:trPr>
        <w:tc>
          <w:tcPr>
            <w:tcW w:w="389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17BIPDFLCY"/>
              <w:rPr>
                <w:rFonts w:ascii="Verdana" w:eastAsia="Verdana" w:hAnsi="Verdana" w:cs="Verdana"/>
                <w:b/>
                <w:noProof/>
                <w:color w:val="000000"/>
                <w:sz w:val="18"/>
              </w:rPr>
            </w:pPr>
            <w:r>
              <w:rPr>
                <w:rFonts w:ascii="Verdana" w:hAnsi="Verdana"/>
                <w:b/>
                <w:noProof/>
                <w:color w:val="000000"/>
                <w:sz w:val="18"/>
              </w:rPr>
              <w:t>Flux de trésorerie nets au 31.12.2025</w:t>
            </w:r>
          </w:p>
        </w:tc>
        <w:tc>
          <w:tcPr>
            <w:tcW w:w="114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17BIPDFLCY"/>
              <w:jc w:val="right"/>
              <w:rPr>
                <w:rFonts w:ascii="Verdana" w:eastAsia="Verdana" w:hAnsi="Verdana" w:cs="Verdana"/>
                <w:b/>
                <w:noProof/>
                <w:color w:val="000000"/>
                <w:sz w:val="18"/>
              </w:rPr>
            </w:pPr>
            <w:r>
              <w:rPr>
                <w:rFonts w:ascii="Verdana" w:hAnsi="Verdana"/>
                <w:b/>
                <w:noProof/>
                <w:color w:val="000000"/>
                <w:sz w:val="18"/>
              </w:rPr>
              <w:t xml:space="preserve"> (46)</w:t>
            </w:r>
          </w:p>
        </w:tc>
        <w:tc>
          <w:tcPr>
            <w:tcW w:w="114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17BIPDFLCY"/>
              <w:jc w:val="right"/>
              <w:rPr>
                <w:rFonts w:ascii="Verdana" w:eastAsia="Verdana" w:hAnsi="Verdana" w:cs="Verdana"/>
                <w:b/>
                <w:noProof/>
                <w:color w:val="000000"/>
                <w:sz w:val="18"/>
              </w:rPr>
            </w:pPr>
            <w:r>
              <w:rPr>
                <w:rFonts w:ascii="Verdana" w:hAnsi="Verdana"/>
                <w:b/>
                <w:noProof/>
                <w:color w:val="000000"/>
                <w:sz w:val="18"/>
              </w:rPr>
              <w:t xml:space="preserve"> (4)</w:t>
            </w:r>
          </w:p>
        </w:tc>
        <w:tc>
          <w:tcPr>
            <w:tcW w:w="114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17BIPDFLCY"/>
              <w:jc w:val="right"/>
              <w:rPr>
                <w:rFonts w:ascii="Verdana" w:eastAsia="Verdana" w:hAnsi="Verdana" w:cs="Verdana"/>
                <w:b/>
                <w:noProof/>
                <w:color w:val="000000"/>
                <w:sz w:val="18"/>
              </w:rPr>
            </w:pPr>
            <w:r>
              <w:rPr>
                <w:rFonts w:ascii="Verdana" w:hAnsi="Verdana"/>
                <w:b/>
                <w:noProof/>
                <w:color w:val="000000"/>
                <w:sz w:val="18"/>
              </w:rPr>
              <w:t>–</w:t>
            </w:r>
          </w:p>
        </w:tc>
        <w:tc>
          <w:tcPr>
            <w:tcW w:w="114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17BIPDFLCY"/>
              <w:jc w:val="right"/>
              <w:rPr>
                <w:rFonts w:ascii="Verdana" w:eastAsia="Verdana" w:hAnsi="Verdana" w:cs="Verdana"/>
                <w:b/>
                <w:noProof/>
                <w:color w:val="000000"/>
                <w:sz w:val="18"/>
              </w:rPr>
            </w:pPr>
            <w:r>
              <w:rPr>
                <w:rFonts w:ascii="Verdana" w:hAnsi="Verdana"/>
                <w:b/>
                <w:noProof/>
                <w:color w:val="000000"/>
                <w:sz w:val="18"/>
              </w:rPr>
              <w:t xml:space="preserve"> (50)</w:t>
            </w:r>
          </w:p>
        </w:tc>
        <w:tc>
          <w:tcPr>
            <w:tcW w:w="129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17BIPDFLCY"/>
              <w:jc w:val="right"/>
              <w:rPr>
                <w:rFonts w:ascii="Verdana" w:eastAsia="Verdana" w:hAnsi="Verdana" w:cs="Verdana"/>
                <w:b/>
                <w:noProof/>
                <w:color w:val="000000"/>
                <w:sz w:val="18"/>
              </w:rPr>
            </w:pPr>
            <w:r>
              <w:rPr>
                <w:rFonts w:ascii="Verdana" w:hAnsi="Verdana"/>
                <w:b/>
                <w:noProof/>
                <w:color w:val="000000"/>
                <w:sz w:val="18"/>
              </w:rPr>
              <w:t xml:space="preserve"> (48)</w:t>
            </w:r>
          </w:p>
        </w:tc>
      </w:tr>
      <w:tr>
        <w:trPr>
          <w:trHeight w:val="255"/>
        </w:trPr>
        <w:tc>
          <w:tcPr>
            <w:tcW w:w="3895" w:type="dxa"/>
            <w:tcBorders>
              <w:top w:val="single" w:sz="4" w:space="0" w:color="016794"/>
              <w:left w:val="nil"/>
              <w:bottom w:val="nil"/>
              <w:right w:val="nil"/>
              <w:tl2br w:val="nil"/>
              <w:tr2bl w:val="nil"/>
            </w:tcBorders>
            <w:tcMar>
              <w:left w:w="60" w:type="dxa"/>
              <w:right w:w="60" w:type="dxa"/>
            </w:tcMar>
            <w:vAlign w:val="center"/>
          </w:tcPr>
          <w:p>
            <w:pPr>
              <w:pStyle w:val="DMETW36617BIPDFLCY"/>
              <w:rPr>
                <w:rFonts w:ascii="Verdana" w:eastAsia="Verdana" w:hAnsi="Verdana" w:cs="Verdana"/>
                <w:i/>
                <w:noProof/>
                <w:color w:val="000000"/>
                <w:sz w:val="18"/>
              </w:rPr>
            </w:pPr>
            <w:r>
              <w:rPr>
                <w:rFonts w:ascii="Verdana" w:hAnsi="Verdana"/>
                <w:i/>
                <w:noProof/>
                <w:color w:val="000000"/>
                <w:sz w:val="18"/>
              </w:rPr>
              <w:t>Dérivés - branche payeur</w:t>
            </w:r>
          </w:p>
        </w:tc>
        <w:tc>
          <w:tcPr>
            <w:tcW w:w="1141" w:type="dxa"/>
            <w:tcBorders>
              <w:top w:val="single" w:sz="4" w:space="0" w:color="016794"/>
              <w:left w:val="nil"/>
              <w:bottom w:val="nil"/>
              <w:right w:val="nil"/>
              <w:tl2br w:val="nil"/>
              <w:tr2bl w:val="nil"/>
            </w:tcBorders>
            <w:tcMar>
              <w:left w:w="60" w:type="dxa"/>
              <w:right w:w="60" w:type="dxa"/>
            </w:tcMar>
            <w:vAlign w:val="center"/>
          </w:tcPr>
          <w:p>
            <w:pPr>
              <w:pStyle w:val="DMETW36617BIPDFLCY"/>
              <w:jc w:val="right"/>
              <w:rPr>
                <w:rFonts w:ascii="Verdana" w:eastAsia="Verdana" w:hAnsi="Verdana" w:cs="Verdana"/>
                <w:i/>
                <w:noProof/>
                <w:color w:val="000000"/>
                <w:sz w:val="18"/>
              </w:rPr>
            </w:pPr>
            <w:r>
              <w:rPr>
                <w:rFonts w:ascii="Verdana" w:hAnsi="Verdana"/>
                <w:i/>
                <w:noProof/>
                <w:color w:val="000000"/>
                <w:sz w:val="18"/>
              </w:rPr>
              <w:t>(1 779)</w:t>
            </w:r>
          </w:p>
        </w:tc>
        <w:tc>
          <w:tcPr>
            <w:tcW w:w="1141" w:type="dxa"/>
            <w:tcBorders>
              <w:top w:val="single" w:sz="4" w:space="0" w:color="016794"/>
              <w:left w:val="nil"/>
              <w:bottom w:val="nil"/>
              <w:right w:val="nil"/>
              <w:tl2br w:val="nil"/>
              <w:tr2bl w:val="nil"/>
            </w:tcBorders>
            <w:tcMar>
              <w:left w:w="60" w:type="dxa"/>
              <w:right w:w="60" w:type="dxa"/>
            </w:tcMar>
            <w:vAlign w:val="center"/>
          </w:tcPr>
          <w:p>
            <w:pPr>
              <w:pStyle w:val="DMETW36617BIPDFLCY"/>
              <w:jc w:val="right"/>
              <w:rPr>
                <w:rFonts w:ascii="Verdana" w:eastAsia="Verdana" w:hAnsi="Verdana" w:cs="Verdana"/>
                <w:i/>
                <w:noProof/>
                <w:color w:val="000000"/>
                <w:sz w:val="18"/>
              </w:rPr>
            </w:pPr>
            <w:r>
              <w:rPr>
                <w:rFonts w:ascii="Verdana" w:hAnsi="Verdana"/>
                <w:i/>
                <w:noProof/>
                <w:color w:val="000000"/>
                <w:sz w:val="18"/>
              </w:rPr>
              <w:t xml:space="preserve"> (7)</w:t>
            </w:r>
          </w:p>
        </w:tc>
        <w:tc>
          <w:tcPr>
            <w:tcW w:w="1141" w:type="dxa"/>
            <w:tcBorders>
              <w:top w:val="single" w:sz="4" w:space="0" w:color="016794"/>
              <w:left w:val="nil"/>
              <w:bottom w:val="nil"/>
              <w:right w:val="nil"/>
              <w:tl2br w:val="nil"/>
              <w:tr2bl w:val="nil"/>
            </w:tcBorders>
            <w:tcMar>
              <w:left w:w="60" w:type="dxa"/>
              <w:right w:w="60" w:type="dxa"/>
            </w:tcMar>
            <w:vAlign w:val="center"/>
          </w:tcPr>
          <w:p>
            <w:pPr>
              <w:pStyle w:val="DMETW36617BIPDFLCY"/>
              <w:jc w:val="right"/>
              <w:rPr>
                <w:rFonts w:ascii="Verdana" w:eastAsia="Verdana" w:hAnsi="Verdana" w:cs="Verdana"/>
                <w:i/>
                <w:noProof/>
                <w:color w:val="000000"/>
                <w:sz w:val="18"/>
              </w:rPr>
            </w:pPr>
            <w:r>
              <w:rPr>
                <w:rFonts w:ascii="Verdana" w:hAnsi="Verdana"/>
                <w:i/>
                <w:noProof/>
                <w:color w:val="000000"/>
                <w:sz w:val="18"/>
              </w:rPr>
              <w:t xml:space="preserve"> (4)</w:t>
            </w:r>
          </w:p>
        </w:tc>
        <w:tc>
          <w:tcPr>
            <w:tcW w:w="1141" w:type="dxa"/>
            <w:tcBorders>
              <w:top w:val="single" w:sz="4" w:space="0" w:color="016794"/>
              <w:left w:val="nil"/>
              <w:bottom w:val="nil"/>
              <w:right w:val="nil"/>
              <w:tl2br w:val="nil"/>
              <w:tr2bl w:val="nil"/>
            </w:tcBorders>
            <w:tcMar>
              <w:left w:w="60" w:type="dxa"/>
              <w:right w:w="60" w:type="dxa"/>
            </w:tcMar>
            <w:vAlign w:val="center"/>
          </w:tcPr>
          <w:p>
            <w:pPr>
              <w:pStyle w:val="DMETW36617BIPDFLCY"/>
              <w:jc w:val="right"/>
              <w:rPr>
                <w:rFonts w:ascii="Verdana" w:eastAsia="Verdana" w:hAnsi="Verdana" w:cs="Verdana"/>
                <w:i/>
                <w:noProof/>
                <w:color w:val="000000"/>
                <w:sz w:val="18"/>
              </w:rPr>
            </w:pPr>
            <w:r>
              <w:rPr>
                <w:rFonts w:ascii="Verdana" w:hAnsi="Verdana"/>
                <w:i/>
                <w:noProof/>
                <w:color w:val="000000"/>
                <w:sz w:val="18"/>
              </w:rPr>
              <w:t>(1 790)</w:t>
            </w:r>
          </w:p>
        </w:tc>
        <w:tc>
          <w:tcPr>
            <w:tcW w:w="1299" w:type="dxa"/>
            <w:tcBorders>
              <w:top w:val="single" w:sz="4" w:space="0" w:color="016794"/>
              <w:left w:val="nil"/>
              <w:bottom w:val="nil"/>
              <w:right w:val="nil"/>
              <w:tl2br w:val="nil"/>
              <w:tr2bl w:val="nil"/>
            </w:tcBorders>
            <w:tcMar>
              <w:left w:w="60" w:type="dxa"/>
              <w:right w:w="60" w:type="dxa"/>
            </w:tcMar>
            <w:vAlign w:val="bottom"/>
          </w:tcPr>
          <w:p>
            <w:pPr>
              <w:pStyle w:val="DMETW36617BIPDFLCY"/>
              <w:rPr>
                <w:rFonts w:ascii="Verdana" w:eastAsia="Verdana" w:hAnsi="Verdana" w:cs="Verdana"/>
                <w:noProof/>
                <w:color w:val="000000"/>
                <w:lang w:bidi="en-GB"/>
              </w:rPr>
            </w:pPr>
          </w:p>
        </w:tc>
      </w:tr>
      <w:tr>
        <w:trPr>
          <w:trHeight w:val="255"/>
        </w:trPr>
        <w:tc>
          <w:tcPr>
            <w:tcW w:w="3895" w:type="dxa"/>
            <w:tcBorders>
              <w:top w:val="nil"/>
              <w:left w:val="nil"/>
              <w:bottom w:val="single" w:sz="4" w:space="0" w:color="016794"/>
              <w:right w:val="nil"/>
              <w:tl2br w:val="nil"/>
              <w:tr2bl w:val="nil"/>
            </w:tcBorders>
            <w:tcMar>
              <w:left w:w="60" w:type="dxa"/>
              <w:right w:w="60" w:type="dxa"/>
            </w:tcMar>
            <w:vAlign w:val="center"/>
          </w:tcPr>
          <w:p>
            <w:pPr>
              <w:pStyle w:val="DMETW36617BIPDFLCY"/>
              <w:rPr>
                <w:rFonts w:ascii="Verdana" w:eastAsia="Verdana" w:hAnsi="Verdana" w:cs="Verdana"/>
                <w:i/>
                <w:noProof/>
                <w:color w:val="000000"/>
                <w:sz w:val="18"/>
              </w:rPr>
            </w:pPr>
            <w:r>
              <w:rPr>
                <w:rFonts w:ascii="Verdana" w:hAnsi="Verdana"/>
                <w:i/>
                <w:noProof/>
                <w:color w:val="000000"/>
                <w:sz w:val="18"/>
              </w:rPr>
              <w:t>Dérivés - branche receveur</w:t>
            </w:r>
          </w:p>
        </w:tc>
        <w:tc>
          <w:tcPr>
            <w:tcW w:w="1141" w:type="dxa"/>
            <w:tcBorders>
              <w:top w:val="nil"/>
              <w:left w:val="nil"/>
              <w:bottom w:val="single" w:sz="4" w:space="0" w:color="016794"/>
              <w:right w:val="nil"/>
              <w:tl2br w:val="nil"/>
              <w:tr2bl w:val="nil"/>
            </w:tcBorders>
            <w:tcMar>
              <w:left w:w="60" w:type="dxa"/>
              <w:right w:w="60" w:type="dxa"/>
            </w:tcMar>
            <w:vAlign w:val="center"/>
          </w:tcPr>
          <w:p>
            <w:pPr>
              <w:pStyle w:val="DMETW36617BIPDFLCY"/>
              <w:jc w:val="right"/>
              <w:rPr>
                <w:rFonts w:ascii="Verdana" w:eastAsia="Verdana" w:hAnsi="Verdana" w:cs="Verdana"/>
                <w:i/>
                <w:noProof/>
                <w:color w:val="000000"/>
                <w:sz w:val="18"/>
              </w:rPr>
            </w:pPr>
            <w:r>
              <w:rPr>
                <w:rFonts w:ascii="Verdana" w:hAnsi="Verdana"/>
                <w:i/>
                <w:noProof/>
                <w:color w:val="000000"/>
                <w:sz w:val="18"/>
              </w:rPr>
              <w:t>1 691</w:t>
            </w:r>
          </w:p>
        </w:tc>
        <w:tc>
          <w:tcPr>
            <w:tcW w:w="1141" w:type="dxa"/>
            <w:tcBorders>
              <w:top w:val="nil"/>
              <w:left w:val="nil"/>
              <w:bottom w:val="single" w:sz="4" w:space="0" w:color="016794"/>
              <w:right w:val="nil"/>
              <w:tl2br w:val="nil"/>
              <w:tr2bl w:val="nil"/>
            </w:tcBorders>
            <w:tcMar>
              <w:left w:w="60" w:type="dxa"/>
              <w:right w:w="60" w:type="dxa"/>
            </w:tcMar>
            <w:vAlign w:val="center"/>
          </w:tcPr>
          <w:p>
            <w:pPr>
              <w:pStyle w:val="DMETW36617BIPDFLCY"/>
              <w:jc w:val="right"/>
              <w:rPr>
                <w:rFonts w:ascii="Verdana" w:eastAsia="Verdana" w:hAnsi="Verdana" w:cs="Verdana"/>
                <w:i/>
                <w:noProof/>
                <w:color w:val="000000"/>
                <w:sz w:val="18"/>
              </w:rPr>
            </w:pPr>
            <w:r>
              <w:rPr>
                <w:rFonts w:ascii="Verdana" w:hAnsi="Verdana"/>
                <w:i/>
                <w:noProof/>
                <w:color w:val="000000"/>
                <w:sz w:val="18"/>
              </w:rPr>
              <w:t>–</w:t>
            </w:r>
          </w:p>
        </w:tc>
        <w:tc>
          <w:tcPr>
            <w:tcW w:w="1141" w:type="dxa"/>
            <w:tcBorders>
              <w:top w:val="nil"/>
              <w:left w:val="nil"/>
              <w:bottom w:val="single" w:sz="4" w:space="0" w:color="016794"/>
              <w:right w:val="nil"/>
              <w:tl2br w:val="nil"/>
              <w:tr2bl w:val="nil"/>
            </w:tcBorders>
            <w:tcMar>
              <w:left w:w="60" w:type="dxa"/>
              <w:right w:w="60" w:type="dxa"/>
            </w:tcMar>
            <w:vAlign w:val="center"/>
          </w:tcPr>
          <w:p>
            <w:pPr>
              <w:pStyle w:val="DMETW36617BIPDFLCY"/>
              <w:jc w:val="right"/>
              <w:rPr>
                <w:rFonts w:ascii="Verdana" w:eastAsia="Verdana" w:hAnsi="Verdana" w:cs="Verdana"/>
                <w:i/>
                <w:noProof/>
                <w:color w:val="000000"/>
                <w:sz w:val="18"/>
              </w:rPr>
            </w:pPr>
            <w:r>
              <w:rPr>
                <w:rFonts w:ascii="Verdana" w:hAnsi="Verdana"/>
                <w:i/>
                <w:noProof/>
                <w:color w:val="000000"/>
                <w:sz w:val="18"/>
              </w:rPr>
              <w:t>–</w:t>
            </w:r>
          </w:p>
        </w:tc>
        <w:tc>
          <w:tcPr>
            <w:tcW w:w="1141" w:type="dxa"/>
            <w:tcBorders>
              <w:top w:val="nil"/>
              <w:left w:val="nil"/>
              <w:bottom w:val="single" w:sz="4" w:space="0" w:color="016794"/>
              <w:right w:val="nil"/>
              <w:tl2br w:val="nil"/>
              <w:tr2bl w:val="nil"/>
            </w:tcBorders>
            <w:tcMar>
              <w:left w:w="60" w:type="dxa"/>
              <w:right w:w="60" w:type="dxa"/>
            </w:tcMar>
            <w:vAlign w:val="center"/>
          </w:tcPr>
          <w:p>
            <w:pPr>
              <w:pStyle w:val="DMETW36617BIPDFLCY"/>
              <w:jc w:val="right"/>
              <w:rPr>
                <w:rFonts w:ascii="Verdana" w:eastAsia="Verdana" w:hAnsi="Verdana" w:cs="Verdana"/>
                <w:i/>
                <w:noProof/>
                <w:color w:val="000000"/>
                <w:sz w:val="18"/>
              </w:rPr>
            </w:pPr>
            <w:r>
              <w:rPr>
                <w:rFonts w:ascii="Verdana" w:hAnsi="Verdana"/>
                <w:i/>
                <w:noProof/>
                <w:color w:val="000000"/>
                <w:sz w:val="18"/>
              </w:rPr>
              <w:t>1 691</w:t>
            </w:r>
          </w:p>
        </w:tc>
        <w:tc>
          <w:tcPr>
            <w:tcW w:w="1299" w:type="dxa"/>
            <w:tcBorders>
              <w:top w:val="nil"/>
              <w:left w:val="nil"/>
              <w:bottom w:val="single" w:sz="4" w:space="0" w:color="016794"/>
              <w:right w:val="nil"/>
              <w:tl2br w:val="nil"/>
              <w:tr2bl w:val="nil"/>
            </w:tcBorders>
            <w:tcMar>
              <w:left w:w="60" w:type="dxa"/>
              <w:right w:w="60" w:type="dxa"/>
            </w:tcMar>
            <w:vAlign w:val="bottom"/>
          </w:tcPr>
          <w:p>
            <w:pPr>
              <w:pStyle w:val="DMETW36617BIPDFLCY"/>
              <w:rPr>
                <w:rFonts w:ascii="Verdana" w:eastAsia="Verdana" w:hAnsi="Verdana" w:cs="Verdana"/>
                <w:noProof/>
                <w:color w:val="000000"/>
                <w:lang w:bidi="en-GB"/>
              </w:rPr>
            </w:pPr>
          </w:p>
        </w:tc>
      </w:tr>
      <w:tr>
        <w:trPr>
          <w:trHeight w:val="255"/>
        </w:trPr>
        <w:tc>
          <w:tcPr>
            <w:tcW w:w="389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17BIPDFLCY"/>
              <w:rPr>
                <w:rFonts w:ascii="Verdana" w:eastAsia="Verdana" w:hAnsi="Verdana" w:cs="Verdana"/>
                <w:b/>
                <w:noProof/>
                <w:color w:val="000000"/>
                <w:sz w:val="18"/>
              </w:rPr>
            </w:pPr>
            <w:r>
              <w:rPr>
                <w:rFonts w:ascii="Verdana" w:hAnsi="Verdana"/>
                <w:b/>
                <w:noProof/>
                <w:color w:val="000000"/>
                <w:sz w:val="18"/>
              </w:rPr>
              <w:t>Flux de trésorerie nets au 31.12.2024</w:t>
            </w:r>
          </w:p>
        </w:tc>
        <w:tc>
          <w:tcPr>
            <w:tcW w:w="114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17BIPDFLCY"/>
              <w:jc w:val="right"/>
              <w:rPr>
                <w:rFonts w:ascii="Verdana" w:eastAsia="Verdana" w:hAnsi="Verdana" w:cs="Verdana"/>
                <w:b/>
                <w:noProof/>
                <w:color w:val="000000"/>
                <w:sz w:val="18"/>
              </w:rPr>
            </w:pPr>
            <w:r>
              <w:rPr>
                <w:rFonts w:ascii="Verdana" w:hAnsi="Verdana"/>
                <w:b/>
                <w:noProof/>
                <w:color w:val="000000"/>
                <w:sz w:val="18"/>
              </w:rPr>
              <w:t xml:space="preserve"> (88)</w:t>
            </w:r>
          </w:p>
        </w:tc>
        <w:tc>
          <w:tcPr>
            <w:tcW w:w="114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17BIPDFLCY"/>
              <w:jc w:val="right"/>
              <w:rPr>
                <w:rFonts w:ascii="Verdana" w:eastAsia="Verdana" w:hAnsi="Verdana" w:cs="Verdana"/>
                <w:b/>
                <w:noProof/>
                <w:color w:val="000000"/>
                <w:sz w:val="18"/>
              </w:rPr>
            </w:pPr>
            <w:r>
              <w:rPr>
                <w:rFonts w:ascii="Verdana" w:hAnsi="Verdana"/>
                <w:b/>
                <w:noProof/>
                <w:color w:val="000000"/>
                <w:sz w:val="18"/>
              </w:rPr>
              <w:t xml:space="preserve"> (7)</w:t>
            </w:r>
          </w:p>
        </w:tc>
        <w:tc>
          <w:tcPr>
            <w:tcW w:w="114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17BIPDFLCY"/>
              <w:jc w:val="right"/>
              <w:rPr>
                <w:rFonts w:ascii="Verdana" w:eastAsia="Verdana" w:hAnsi="Verdana" w:cs="Verdana"/>
                <w:b/>
                <w:noProof/>
                <w:color w:val="000000"/>
                <w:sz w:val="18"/>
              </w:rPr>
            </w:pPr>
            <w:r>
              <w:rPr>
                <w:rFonts w:ascii="Verdana" w:hAnsi="Verdana"/>
                <w:b/>
                <w:noProof/>
                <w:color w:val="000000"/>
                <w:sz w:val="18"/>
              </w:rPr>
              <w:t xml:space="preserve"> (4)</w:t>
            </w:r>
          </w:p>
        </w:tc>
        <w:tc>
          <w:tcPr>
            <w:tcW w:w="114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17BIPDFLCY"/>
              <w:jc w:val="right"/>
              <w:rPr>
                <w:rFonts w:ascii="Verdana" w:eastAsia="Verdana" w:hAnsi="Verdana" w:cs="Verdana"/>
                <w:b/>
                <w:noProof/>
                <w:color w:val="000000"/>
                <w:sz w:val="18"/>
              </w:rPr>
            </w:pPr>
            <w:r>
              <w:rPr>
                <w:rFonts w:ascii="Verdana" w:hAnsi="Verdana"/>
                <w:b/>
                <w:noProof/>
                <w:color w:val="000000"/>
                <w:sz w:val="18"/>
              </w:rPr>
              <w:t xml:space="preserve"> (99)</w:t>
            </w:r>
          </w:p>
        </w:tc>
        <w:tc>
          <w:tcPr>
            <w:tcW w:w="129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17BIPDFLCY"/>
              <w:jc w:val="right"/>
              <w:rPr>
                <w:rFonts w:ascii="Verdana" w:eastAsia="Verdana" w:hAnsi="Verdana" w:cs="Verdana"/>
                <w:b/>
                <w:noProof/>
                <w:color w:val="000000"/>
                <w:sz w:val="18"/>
              </w:rPr>
            </w:pPr>
            <w:r>
              <w:rPr>
                <w:rFonts w:ascii="Verdana" w:hAnsi="Verdana"/>
                <w:b/>
                <w:noProof/>
                <w:color w:val="000000"/>
                <w:sz w:val="18"/>
              </w:rPr>
              <w:t xml:space="preserve"> (98)</w:t>
            </w:r>
          </w:p>
        </w:tc>
      </w:tr>
    </w:tbl>
    <w:p>
      <w:pPr>
        <w:pStyle w:val="HEADER5"/>
        <w:spacing w:before="240"/>
        <w:rPr>
          <w:noProof/>
        </w:rPr>
      </w:pPr>
      <w:r>
        <w:rPr>
          <w:noProof/>
        </w:rPr>
        <w:t>Analyse des échéances des contrats de garantie financière émis en fonction de la première période au cours de laquelle la garantie pourrait être appelée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8"/>
        <w:gridCol w:w="1143"/>
        <w:gridCol w:w="1144"/>
        <w:gridCol w:w="1144"/>
        <w:gridCol w:w="1144"/>
        <w:gridCol w:w="1535"/>
      </w:tblGrid>
      <w:tr>
        <w:trPr>
          <w:trHeight w:val="255"/>
        </w:trPr>
        <w:tc>
          <w:tcPr>
            <w:tcW w:w="3648" w:type="dxa"/>
            <w:tcBorders>
              <w:top w:val="nil"/>
              <w:left w:val="nil"/>
              <w:bottom w:val="nil"/>
              <w:right w:val="nil"/>
              <w:tl2br w:val="nil"/>
              <w:tr2bl w:val="nil"/>
            </w:tcBorders>
            <w:tcMar>
              <w:left w:w="60" w:type="dxa"/>
              <w:right w:w="60" w:type="dxa"/>
            </w:tcMar>
            <w:vAlign w:val="bottom"/>
          </w:tcPr>
          <w:p>
            <w:pPr>
              <w:pStyle w:val="DMETW36617BIPFGCY"/>
              <w:rPr>
                <w:rFonts w:ascii="Verdana" w:eastAsia="Verdana" w:hAnsi="Verdana" w:cs="Verdana"/>
                <w:noProof/>
                <w:color w:val="000000"/>
              </w:rPr>
            </w:pPr>
            <w:bookmarkStart w:id="238" w:name="DOC_TBL00104_1_1"/>
            <w:bookmarkEnd w:id="238"/>
          </w:p>
        </w:tc>
        <w:tc>
          <w:tcPr>
            <w:tcW w:w="1143" w:type="dxa"/>
            <w:tcBorders>
              <w:top w:val="nil"/>
              <w:left w:val="nil"/>
              <w:bottom w:val="nil"/>
              <w:right w:val="nil"/>
              <w:tl2br w:val="nil"/>
              <w:tr2bl w:val="nil"/>
            </w:tcBorders>
            <w:tcMar>
              <w:left w:w="60" w:type="dxa"/>
              <w:right w:w="60" w:type="dxa"/>
            </w:tcMar>
            <w:vAlign w:val="bottom"/>
          </w:tcPr>
          <w:p>
            <w:pPr>
              <w:pStyle w:val="DMETW36617BIPFGCY"/>
              <w:rPr>
                <w:rFonts w:ascii="Verdana" w:eastAsia="Verdana" w:hAnsi="Verdana" w:cs="Verdana"/>
                <w:noProof/>
                <w:color w:val="000000"/>
              </w:rPr>
            </w:pPr>
          </w:p>
        </w:tc>
        <w:tc>
          <w:tcPr>
            <w:tcW w:w="1144" w:type="dxa"/>
            <w:tcBorders>
              <w:top w:val="nil"/>
              <w:left w:val="nil"/>
              <w:bottom w:val="nil"/>
              <w:right w:val="nil"/>
              <w:tl2br w:val="nil"/>
              <w:tr2bl w:val="nil"/>
            </w:tcBorders>
            <w:tcMar>
              <w:left w:w="60" w:type="dxa"/>
              <w:right w:w="60" w:type="dxa"/>
            </w:tcMar>
            <w:vAlign w:val="bottom"/>
          </w:tcPr>
          <w:p>
            <w:pPr>
              <w:pStyle w:val="DMETW36617BIPFGCY"/>
              <w:rPr>
                <w:rFonts w:ascii="Verdana" w:eastAsia="Verdana" w:hAnsi="Verdana" w:cs="Verdana"/>
                <w:noProof/>
                <w:color w:val="000000"/>
              </w:rPr>
            </w:pPr>
          </w:p>
        </w:tc>
        <w:tc>
          <w:tcPr>
            <w:tcW w:w="1144" w:type="dxa"/>
            <w:tcBorders>
              <w:top w:val="nil"/>
              <w:left w:val="nil"/>
              <w:bottom w:val="nil"/>
              <w:right w:val="nil"/>
              <w:tl2br w:val="nil"/>
              <w:tr2bl w:val="nil"/>
            </w:tcBorders>
            <w:tcMar>
              <w:left w:w="60" w:type="dxa"/>
              <w:right w:w="60" w:type="dxa"/>
            </w:tcMar>
            <w:vAlign w:val="bottom"/>
          </w:tcPr>
          <w:p>
            <w:pPr>
              <w:pStyle w:val="DMETW36617BIPFGCY"/>
              <w:rPr>
                <w:rFonts w:ascii="Verdana" w:eastAsia="Verdana" w:hAnsi="Verdana" w:cs="Verdana"/>
                <w:noProof/>
                <w:color w:val="000000"/>
              </w:rPr>
            </w:pPr>
          </w:p>
        </w:tc>
        <w:tc>
          <w:tcPr>
            <w:tcW w:w="1144" w:type="dxa"/>
            <w:tcBorders>
              <w:top w:val="nil"/>
              <w:left w:val="nil"/>
              <w:bottom w:val="nil"/>
              <w:right w:val="nil"/>
              <w:tl2br w:val="nil"/>
              <w:tr2bl w:val="nil"/>
            </w:tcBorders>
            <w:tcMar>
              <w:left w:w="60" w:type="dxa"/>
              <w:right w:w="60" w:type="dxa"/>
            </w:tcMar>
            <w:vAlign w:val="bottom"/>
          </w:tcPr>
          <w:p>
            <w:pPr>
              <w:pStyle w:val="DMETW36617BIPFGCY"/>
              <w:rPr>
                <w:rFonts w:ascii="Verdana" w:eastAsia="Verdana" w:hAnsi="Verdana" w:cs="Verdana"/>
                <w:noProof/>
                <w:color w:val="000000"/>
              </w:rPr>
            </w:pPr>
          </w:p>
        </w:tc>
        <w:tc>
          <w:tcPr>
            <w:tcW w:w="1535" w:type="dxa"/>
            <w:tcBorders>
              <w:top w:val="nil"/>
              <w:left w:val="nil"/>
              <w:bottom w:val="nil"/>
              <w:right w:val="nil"/>
              <w:tl2br w:val="nil"/>
              <w:tr2bl w:val="nil"/>
            </w:tcBorders>
            <w:tcMar>
              <w:left w:w="60" w:type="dxa"/>
              <w:right w:w="60" w:type="dxa"/>
            </w:tcMar>
            <w:vAlign w:val="bottom"/>
          </w:tcPr>
          <w:p>
            <w:pPr>
              <w:pStyle w:val="DMETW36617BIPFGCY"/>
              <w:jc w:val="right"/>
              <w:rPr>
                <w:rFonts w:ascii="Verdana" w:eastAsia="Verdana" w:hAnsi="Verdana" w:cs="Verdana"/>
                <w:i/>
                <w:noProof/>
                <w:color w:val="000000"/>
                <w:sz w:val="16"/>
              </w:rPr>
            </w:pPr>
            <w:r>
              <w:rPr>
                <w:rFonts w:ascii="Verdana" w:hAnsi="Verdana"/>
                <w:i/>
                <w:noProof/>
                <w:color w:val="000000"/>
                <w:sz w:val="16"/>
              </w:rPr>
              <w:t>en Mio EUR</w:t>
            </w:r>
          </w:p>
        </w:tc>
      </w:tr>
      <w:tr>
        <w:trPr>
          <w:trHeight w:val="255"/>
        </w:trPr>
        <w:tc>
          <w:tcPr>
            <w:tcW w:w="3648" w:type="dxa"/>
            <w:tcBorders>
              <w:top w:val="nil"/>
              <w:left w:val="nil"/>
              <w:bottom w:val="nil"/>
              <w:right w:val="nil"/>
              <w:tl2br w:val="nil"/>
              <w:tr2bl w:val="nil"/>
            </w:tcBorders>
            <w:shd w:val="solid" w:color="016794" w:fill="FFFFFF"/>
            <w:tcMar>
              <w:left w:w="60" w:type="dxa"/>
              <w:right w:w="60" w:type="dxa"/>
            </w:tcMar>
            <w:vAlign w:val="center"/>
          </w:tcPr>
          <w:p>
            <w:pPr>
              <w:pStyle w:val="DMETW36617BIPFGCY"/>
              <w:rPr>
                <w:rFonts w:ascii="Verdana" w:eastAsia="Verdana" w:hAnsi="Verdana" w:cs="Verdana"/>
                <w:noProof/>
                <w:color w:val="FFFFFF"/>
              </w:rPr>
            </w:pPr>
          </w:p>
        </w:tc>
        <w:tc>
          <w:tcPr>
            <w:tcW w:w="1143" w:type="dxa"/>
            <w:gridSpan w:val="4"/>
            <w:tcBorders>
              <w:top w:val="nil"/>
              <w:left w:val="nil"/>
              <w:bottom w:val="nil"/>
              <w:right w:val="nil"/>
              <w:tl2br w:val="nil"/>
              <w:tr2bl w:val="nil"/>
            </w:tcBorders>
            <w:shd w:val="solid" w:color="016794" w:fill="FFFFFF"/>
            <w:tcMar>
              <w:left w:w="60" w:type="dxa"/>
              <w:right w:w="60" w:type="dxa"/>
            </w:tcMar>
            <w:vAlign w:val="center"/>
          </w:tcPr>
          <w:p>
            <w:pPr>
              <w:pStyle w:val="DMETW36617BIPFGCY"/>
              <w:jc w:val="center"/>
              <w:rPr>
                <w:rFonts w:ascii="Verdana" w:eastAsia="Verdana" w:hAnsi="Verdana" w:cs="Verdana"/>
                <w:noProof/>
                <w:color w:val="FFFFFF"/>
              </w:rPr>
            </w:pPr>
            <w:r>
              <w:rPr>
                <w:rFonts w:ascii="Verdana" w:hAnsi="Verdana"/>
                <w:noProof/>
                <w:color w:val="FFFFFF"/>
              </w:rPr>
              <w:t>Montant maximal de la garantie</w:t>
            </w:r>
          </w:p>
        </w:tc>
        <w:tc>
          <w:tcPr>
            <w:tcW w:w="1535" w:type="dxa"/>
            <w:vMerge w:val="restart"/>
            <w:tcBorders>
              <w:top w:val="nil"/>
              <w:left w:val="nil"/>
              <w:bottom w:val="nil"/>
              <w:right w:val="nil"/>
              <w:tl2br w:val="nil"/>
              <w:tr2bl w:val="nil"/>
            </w:tcBorders>
            <w:shd w:val="solid" w:color="016794" w:fill="FFFFFF"/>
            <w:tcMar>
              <w:left w:w="60" w:type="dxa"/>
              <w:right w:w="60" w:type="dxa"/>
            </w:tcMar>
            <w:vAlign w:val="bottom"/>
          </w:tcPr>
          <w:p>
            <w:pPr>
              <w:pStyle w:val="DMETW36617BIPFGCY"/>
              <w:jc w:val="right"/>
              <w:rPr>
                <w:rFonts w:ascii="Verdana" w:eastAsia="Verdana" w:hAnsi="Verdana" w:cs="Verdana"/>
                <w:noProof/>
                <w:color w:val="FFFFFF"/>
              </w:rPr>
            </w:pPr>
            <w:r>
              <w:rPr>
                <w:rFonts w:ascii="Verdana" w:hAnsi="Verdana"/>
                <w:noProof/>
                <w:color w:val="FFFFFF"/>
              </w:rPr>
              <w:t>Valeur comptable</w:t>
            </w:r>
          </w:p>
        </w:tc>
      </w:tr>
      <w:tr>
        <w:trPr>
          <w:trHeight w:val="255"/>
        </w:trPr>
        <w:tc>
          <w:tcPr>
            <w:tcW w:w="3648" w:type="dxa"/>
            <w:tcBorders>
              <w:top w:val="nil"/>
              <w:left w:val="nil"/>
              <w:bottom w:val="nil"/>
              <w:right w:val="nil"/>
              <w:tl2br w:val="nil"/>
              <w:tr2bl w:val="nil"/>
            </w:tcBorders>
            <w:shd w:val="solid" w:color="016794" w:fill="FFFFFF"/>
            <w:tcMar>
              <w:left w:w="60" w:type="dxa"/>
              <w:right w:w="60" w:type="dxa"/>
            </w:tcMar>
            <w:vAlign w:val="center"/>
          </w:tcPr>
          <w:p>
            <w:pPr>
              <w:pStyle w:val="DMETW36617BIPFGCY"/>
              <w:jc w:val="right"/>
              <w:rPr>
                <w:rFonts w:ascii="Verdana" w:eastAsia="Verdana" w:hAnsi="Verdana" w:cs="Verdana"/>
                <w:noProof/>
                <w:color w:val="FFFFFF"/>
              </w:rPr>
            </w:pPr>
          </w:p>
        </w:tc>
        <w:tc>
          <w:tcPr>
            <w:tcW w:w="1143" w:type="dxa"/>
            <w:tcBorders>
              <w:top w:val="nil"/>
              <w:left w:val="nil"/>
              <w:bottom w:val="nil"/>
              <w:right w:val="nil"/>
              <w:tl2br w:val="nil"/>
              <w:tr2bl w:val="nil"/>
            </w:tcBorders>
            <w:shd w:val="solid" w:color="016794" w:fill="FFFFFF"/>
            <w:tcMar>
              <w:left w:w="60" w:type="dxa"/>
              <w:right w:w="60" w:type="dxa"/>
            </w:tcMar>
            <w:vAlign w:val="center"/>
          </w:tcPr>
          <w:p>
            <w:pPr>
              <w:pStyle w:val="DMETW36617BIPFGCY"/>
              <w:jc w:val="right"/>
              <w:rPr>
                <w:rFonts w:ascii="Verdana" w:eastAsia="Verdana" w:hAnsi="Verdana" w:cs="Verdana"/>
                <w:noProof/>
                <w:color w:val="FFFFFF"/>
              </w:rPr>
            </w:pPr>
            <w:r>
              <w:rPr>
                <w:rFonts w:ascii="Verdana" w:hAnsi="Verdana"/>
                <w:noProof/>
                <w:color w:val="FFFFFF"/>
              </w:rPr>
              <w:t>&lt; 1 an</w:t>
            </w:r>
          </w:p>
        </w:tc>
        <w:tc>
          <w:tcPr>
            <w:tcW w:w="1144" w:type="dxa"/>
            <w:tcBorders>
              <w:top w:val="nil"/>
              <w:left w:val="nil"/>
              <w:bottom w:val="nil"/>
              <w:right w:val="nil"/>
              <w:tl2br w:val="nil"/>
              <w:tr2bl w:val="nil"/>
            </w:tcBorders>
            <w:shd w:val="solid" w:color="016794" w:fill="FFFFFF"/>
            <w:tcMar>
              <w:left w:w="60" w:type="dxa"/>
              <w:right w:w="60" w:type="dxa"/>
            </w:tcMar>
            <w:vAlign w:val="center"/>
          </w:tcPr>
          <w:p>
            <w:pPr>
              <w:pStyle w:val="DMETW36617BIPFGCY"/>
              <w:jc w:val="right"/>
              <w:rPr>
                <w:rFonts w:ascii="Verdana" w:eastAsia="Verdana" w:hAnsi="Verdana" w:cs="Verdana"/>
                <w:noProof/>
                <w:color w:val="FFFFFF"/>
              </w:rPr>
            </w:pPr>
            <w:r>
              <w:rPr>
                <w:rFonts w:ascii="Verdana" w:hAnsi="Verdana"/>
                <w:noProof/>
                <w:color w:val="FFFFFF"/>
              </w:rPr>
              <w:t>1-5 ans</w:t>
            </w:r>
          </w:p>
        </w:tc>
        <w:tc>
          <w:tcPr>
            <w:tcW w:w="1144" w:type="dxa"/>
            <w:tcBorders>
              <w:top w:val="nil"/>
              <w:left w:val="nil"/>
              <w:bottom w:val="nil"/>
              <w:right w:val="nil"/>
              <w:tl2br w:val="nil"/>
              <w:tr2bl w:val="nil"/>
            </w:tcBorders>
            <w:shd w:val="solid" w:color="016794" w:fill="FFFFFF"/>
            <w:tcMar>
              <w:left w:w="60" w:type="dxa"/>
              <w:right w:w="60" w:type="dxa"/>
            </w:tcMar>
            <w:vAlign w:val="center"/>
          </w:tcPr>
          <w:p>
            <w:pPr>
              <w:pStyle w:val="DMETW36617BIPFGCY"/>
              <w:jc w:val="right"/>
              <w:rPr>
                <w:rFonts w:ascii="Verdana" w:eastAsia="Verdana" w:hAnsi="Verdana" w:cs="Verdana"/>
                <w:noProof/>
                <w:color w:val="FFFFFF"/>
              </w:rPr>
            </w:pPr>
            <w:r>
              <w:rPr>
                <w:rFonts w:ascii="Verdana" w:hAnsi="Verdana"/>
                <w:noProof/>
                <w:color w:val="FFFFFF"/>
              </w:rPr>
              <w:t>&gt; 5 ans</w:t>
            </w:r>
          </w:p>
        </w:tc>
        <w:tc>
          <w:tcPr>
            <w:tcW w:w="1144" w:type="dxa"/>
            <w:tcBorders>
              <w:top w:val="nil"/>
              <w:left w:val="nil"/>
              <w:bottom w:val="nil"/>
              <w:right w:val="nil"/>
              <w:tl2br w:val="nil"/>
              <w:tr2bl w:val="nil"/>
            </w:tcBorders>
            <w:shd w:val="solid" w:color="016794" w:fill="FFFFFF"/>
            <w:tcMar>
              <w:left w:w="60" w:type="dxa"/>
              <w:right w:w="60" w:type="dxa"/>
            </w:tcMar>
            <w:vAlign w:val="center"/>
          </w:tcPr>
          <w:p>
            <w:pPr>
              <w:pStyle w:val="DMETW36617BIPFGCY"/>
              <w:jc w:val="right"/>
              <w:rPr>
                <w:rFonts w:ascii="Verdana" w:eastAsia="Verdana" w:hAnsi="Verdana" w:cs="Verdana"/>
                <w:noProof/>
                <w:color w:val="FFFFFF"/>
              </w:rPr>
            </w:pPr>
            <w:r>
              <w:rPr>
                <w:rFonts w:ascii="Verdana" w:hAnsi="Verdana"/>
                <w:noProof/>
                <w:color w:val="FFFFFF"/>
              </w:rPr>
              <w:t>Total</w:t>
            </w:r>
          </w:p>
        </w:tc>
        <w:tc>
          <w:tcPr>
            <w:tcW w:w="1275" w:type="dxa"/>
            <w:vMerge/>
            <w:tcBorders>
              <w:top w:val="nil"/>
              <w:left w:val="nil"/>
              <w:bottom w:val="nil"/>
              <w:right w:val="nil"/>
              <w:tl2br w:val="nil"/>
              <w:tr2bl w:val="nil"/>
            </w:tcBorders>
            <w:shd w:val="solid" w:color="016794" w:fill="FFFFFF"/>
            <w:tcMar>
              <w:left w:w="60" w:type="dxa"/>
              <w:right w:w="60" w:type="dxa"/>
            </w:tcMar>
            <w:vAlign w:val="bottom"/>
          </w:tcPr>
          <w:p>
            <w:pPr>
              <w:pStyle w:val="DMETW36617BIPFGCY"/>
              <w:jc w:val="right"/>
              <w:rPr>
                <w:rFonts w:ascii="Verdana" w:eastAsia="Verdana" w:hAnsi="Verdana" w:cs="Verdana"/>
                <w:noProof/>
                <w:color w:val="FFFFFF"/>
              </w:rPr>
            </w:pPr>
          </w:p>
        </w:tc>
      </w:tr>
      <w:tr>
        <w:trPr>
          <w:trHeight w:val="255"/>
        </w:trPr>
        <w:tc>
          <w:tcPr>
            <w:tcW w:w="3648" w:type="dxa"/>
            <w:tcBorders>
              <w:top w:val="nil"/>
              <w:left w:val="nil"/>
              <w:bottom w:val="nil"/>
              <w:right w:val="nil"/>
              <w:tl2br w:val="nil"/>
              <w:tr2bl w:val="nil"/>
            </w:tcBorders>
            <w:tcMar>
              <w:left w:w="60" w:type="dxa"/>
              <w:right w:w="60" w:type="dxa"/>
            </w:tcMar>
            <w:vAlign w:val="center"/>
          </w:tcPr>
          <w:p>
            <w:pPr>
              <w:pStyle w:val="DMETW36617BIPFGCY"/>
              <w:rPr>
                <w:rFonts w:ascii="Verdana" w:eastAsia="Verdana" w:hAnsi="Verdana" w:cs="Verdana"/>
                <w:i/>
                <w:noProof/>
                <w:color w:val="000000"/>
                <w:sz w:val="18"/>
              </w:rPr>
            </w:pPr>
            <w:r>
              <w:rPr>
                <w:rFonts w:ascii="Verdana" w:hAnsi="Verdana"/>
                <w:i/>
                <w:noProof/>
                <w:color w:val="000000"/>
                <w:sz w:val="18"/>
              </w:rPr>
              <w:t>CGF au 31.12.2025</w:t>
            </w:r>
          </w:p>
        </w:tc>
        <w:tc>
          <w:tcPr>
            <w:tcW w:w="1143" w:type="dxa"/>
            <w:tcBorders>
              <w:top w:val="nil"/>
              <w:left w:val="nil"/>
              <w:bottom w:val="nil"/>
              <w:right w:val="nil"/>
              <w:tl2br w:val="nil"/>
              <w:tr2bl w:val="nil"/>
            </w:tcBorders>
            <w:tcMar>
              <w:left w:w="60" w:type="dxa"/>
              <w:right w:w="60" w:type="dxa"/>
            </w:tcMar>
            <w:vAlign w:val="center"/>
          </w:tcPr>
          <w:p>
            <w:pPr>
              <w:pStyle w:val="DMETW36617BIPFGCY"/>
              <w:jc w:val="right"/>
              <w:rPr>
                <w:rFonts w:ascii="Verdana" w:eastAsia="Verdana" w:hAnsi="Verdana" w:cs="Verdana"/>
                <w:i/>
                <w:noProof/>
                <w:color w:val="000000"/>
                <w:sz w:val="18"/>
              </w:rPr>
            </w:pPr>
            <w:r>
              <w:rPr>
                <w:rFonts w:ascii="Verdana" w:hAnsi="Verdana"/>
                <w:i/>
                <w:noProof/>
                <w:color w:val="000000"/>
                <w:sz w:val="18"/>
              </w:rPr>
              <w:t>(63 617)</w:t>
            </w:r>
          </w:p>
        </w:tc>
        <w:tc>
          <w:tcPr>
            <w:tcW w:w="1144" w:type="dxa"/>
            <w:tcBorders>
              <w:top w:val="nil"/>
              <w:left w:val="nil"/>
              <w:bottom w:val="nil"/>
              <w:right w:val="nil"/>
              <w:tl2br w:val="nil"/>
              <w:tr2bl w:val="nil"/>
            </w:tcBorders>
            <w:tcMar>
              <w:left w:w="60" w:type="dxa"/>
              <w:right w:w="60" w:type="dxa"/>
            </w:tcMar>
            <w:vAlign w:val="center"/>
          </w:tcPr>
          <w:p>
            <w:pPr>
              <w:pStyle w:val="DMETW36617BIPFGCY"/>
              <w:jc w:val="right"/>
              <w:rPr>
                <w:rFonts w:ascii="Verdana" w:eastAsia="Verdana" w:hAnsi="Verdana" w:cs="Verdana"/>
                <w:i/>
                <w:noProof/>
                <w:color w:val="000000"/>
                <w:sz w:val="18"/>
              </w:rPr>
            </w:pPr>
            <w:r>
              <w:rPr>
                <w:rFonts w:ascii="Verdana" w:hAnsi="Verdana"/>
                <w:i/>
                <w:noProof/>
                <w:color w:val="000000"/>
                <w:sz w:val="18"/>
              </w:rPr>
              <w:t>(1 637)</w:t>
            </w:r>
          </w:p>
        </w:tc>
        <w:tc>
          <w:tcPr>
            <w:tcW w:w="1144" w:type="dxa"/>
            <w:tcBorders>
              <w:top w:val="nil"/>
              <w:left w:val="nil"/>
              <w:bottom w:val="nil"/>
              <w:right w:val="nil"/>
              <w:tl2br w:val="nil"/>
              <w:tr2bl w:val="nil"/>
            </w:tcBorders>
            <w:tcMar>
              <w:left w:w="60" w:type="dxa"/>
              <w:right w:w="60" w:type="dxa"/>
            </w:tcMar>
            <w:vAlign w:val="center"/>
          </w:tcPr>
          <w:p>
            <w:pPr>
              <w:pStyle w:val="DMETW36617BIPFGCY"/>
              <w:jc w:val="right"/>
              <w:rPr>
                <w:rFonts w:ascii="Verdana" w:eastAsia="Verdana" w:hAnsi="Verdana" w:cs="Verdana"/>
                <w:i/>
                <w:noProof/>
                <w:color w:val="000000"/>
                <w:sz w:val="18"/>
              </w:rPr>
            </w:pPr>
            <w:r>
              <w:rPr>
                <w:rFonts w:ascii="Verdana" w:hAnsi="Verdana"/>
                <w:i/>
                <w:noProof/>
                <w:color w:val="000000"/>
                <w:sz w:val="18"/>
              </w:rPr>
              <w:t>(13 966)</w:t>
            </w:r>
          </w:p>
        </w:tc>
        <w:tc>
          <w:tcPr>
            <w:tcW w:w="1144" w:type="dxa"/>
            <w:tcBorders>
              <w:top w:val="nil"/>
              <w:left w:val="nil"/>
              <w:bottom w:val="nil"/>
              <w:right w:val="nil"/>
              <w:tl2br w:val="nil"/>
              <w:tr2bl w:val="nil"/>
            </w:tcBorders>
            <w:tcMar>
              <w:left w:w="60" w:type="dxa"/>
              <w:right w:w="60" w:type="dxa"/>
            </w:tcMar>
            <w:vAlign w:val="center"/>
          </w:tcPr>
          <w:p>
            <w:pPr>
              <w:pStyle w:val="DMETW36617BIPFGCY"/>
              <w:jc w:val="right"/>
              <w:rPr>
                <w:rFonts w:ascii="Verdana" w:eastAsia="Verdana" w:hAnsi="Verdana" w:cs="Verdana"/>
                <w:i/>
                <w:noProof/>
                <w:color w:val="000000"/>
                <w:sz w:val="18"/>
              </w:rPr>
            </w:pPr>
            <w:r>
              <w:rPr>
                <w:rFonts w:ascii="Verdana" w:hAnsi="Verdana"/>
                <w:i/>
                <w:noProof/>
                <w:color w:val="000000"/>
                <w:sz w:val="18"/>
              </w:rPr>
              <w:t>(79 220)</w:t>
            </w:r>
          </w:p>
        </w:tc>
        <w:tc>
          <w:tcPr>
            <w:tcW w:w="1535" w:type="dxa"/>
            <w:tcBorders>
              <w:top w:val="nil"/>
              <w:left w:val="nil"/>
              <w:bottom w:val="nil"/>
              <w:right w:val="nil"/>
              <w:tl2br w:val="nil"/>
              <w:tr2bl w:val="nil"/>
            </w:tcBorders>
            <w:tcMar>
              <w:left w:w="60" w:type="dxa"/>
              <w:right w:w="60" w:type="dxa"/>
            </w:tcMar>
            <w:vAlign w:val="center"/>
          </w:tcPr>
          <w:p>
            <w:pPr>
              <w:pStyle w:val="DMETW36617BIPFGCY"/>
              <w:jc w:val="right"/>
              <w:rPr>
                <w:rFonts w:ascii="Verdana" w:eastAsia="Verdana" w:hAnsi="Verdana" w:cs="Verdana"/>
                <w:i/>
                <w:noProof/>
                <w:color w:val="000000"/>
                <w:sz w:val="18"/>
              </w:rPr>
            </w:pPr>
            <w:r>
              <w:rPr>
                <w:rFonts w:ascii="Verdana" w:hAnsi="Verdana"/>
                <w:i/>
                <w:noProof/>
                <w:color w:val="000000"/>
                <w:sz w:val="18"/>
              </w:rPr>
              <w:t>(7 729)</w:t>
            </w:r>
          </w:p>
        </w:tc>
      </w:tr>
      <w:tr>
        <w:trPr>
          <w:trHeight w:val="255"/>
        </w:trPr>
        <w:tc>
          <w:tcPr>
            <w:tcW w:w="3648" w:type="dxa"/>
            <w:tcBorders>
              <w:top w:val="nil"/>
              <w:left w:val="nil"/>
              <w:bottom w:val="nil"/>
              <w:right w:val="nil"/>
              <w:tl2br w:val="nil"/>
              <w:tr2bl w:val="nil"/>
            </w:tcBorders>
            <w:tcMar>
              <w:left w:w="60" w:type="dxa"/>
              <w:right w:w="60" w:type="dxa"/>
            </w:tcMar>
            <w:vAlign w:val="center"/>
          </w:tcPr>
          <w:p>
            <w:pPr>
              <w:pStyle w:val="DMETW36617BIPFGCY"/>
              <w:rPr>
                <w:rFonts w:ascii="Verdana" w:eastAsia="Verdana" w:hAnsi="Verdana" w:cs="Verdana"/>
                <w:i/>
                <w:noProof/>
                <w:color w:val="000000"/>
                <w:sz w:val="18"/>
              </w:rPr>
            </w:pPr>
            <w:r>
              <w:rPr>
                <w:rFonts w:ascii="Verdana" w:hAnsi="Verdana"/>
                <w:i/>
                <w:noProof/>
                <w:color w:val="000000"/>
                <w:sz w:val="18"/>
              </w:rPr>
              <w:t>CGF au 31.12.2024</w:t>
            </w:r>
          </w:p>
        </w:tc>
        <w:tc>
          <w:tcPr>
            <w:tcW w:w="1143" w:type="dxa"/>
            <w:tcBorders>
              <w:top w:val="nil"/>
              <w:left w:val="nil"/>
              <w:bottom w:val="nil"/>
              <w:right w:val="nil"/>
              <w:tl2br w:val="nil"/>
              <w:tr2bl w:val="nil"/>
            </w:tcBorders>
            <w:tcMar>
              <w:left w:w="60" w:type="dxa"/>
              <w:right w:w="60" w:type="dxa"/>
            </w:tcMar>
            <w:vAlign w:val="center"/>
          </w:tcPr>
          <w:p>
            <w:pPr>
              <w:pStyle w:val="DMETW36617BIPFGCY"/>
              <w:jc w:val="right"/>
              <w:rPr>
                <w:rFonts w:ascii="Verdana" w:eastAsia="Verdana" w:hAnsi="Verdana" w:cs="Verdana"/>
                <w:i/>
                <w:noProof/>
                <w:color w:val="000000"/>
                <w:sz w:val="18"/>
              </w:rPr>
            </w:pPr>
            <w:r>
              <w:rPr>
                <w:rFonts w:ascii="Verdana" w:hAnsi="Verdana"/>
                <w:i/>
                <w:noProof/>
                <w:color w:val="000000"/>
                <w:sz w:val="18"/>
              </w:rPr>
              <w:t>(64 115)</w:t>
            </w:r>
          </w:p>
        </w:tc>
        <w:tc>
          <w:tcPr>
            <w:tcW w:w="1144" w:type="dxa"/>
            <w:tcBorders>
              <w:top w:val="nil"/>
              <w:left w:val="nil"/>
              <w:bottom w:val="nil"/>
              <w:right w:val="nil"/>
              <w:tl2br w:val="nil"/>
              <w:tr2bl w:val="nil"/>
            </w:tcBorders>
            <w:tcMar>
              <w:left w:w="60" w:type="dxa"/>
              <w:right w:w="60" w:type="dxa"/>
            </w:tcMar>
            <w:vAlign w:val="center"/>
          </w:tcPr>
          <w:p>
            <w:pPr>
              <w:pStyle w:val="DMETW36617BIPFGCY"/>
              <w:jc w:val="right"/>
              <w:rPr>
                <w:rFonts w:ascii="Verdana" w:eastAsia="Verdana" w:hAnsi="Verdana" w:cs="Verdana"/>
                <w:i/>
                <w:noProof/>
                <w:color w:val="000000"/>
                <w:sz w:val="18"/>
              </w:rPr>
            </w:pPr>
            <w:r>
              <w:rPr>
                <w:rFonts w:ascii="Verdana" w:hAnsi="Verdana"/>
                <w:i/>
                <w:noProof/>
                <w:color w:val="000000"/>
                <w:sz w:val="18"/>
              </w:rPr>
              <w:t>(2 211)</w:t>
            </w:r>
          </w:p>
        </w:tc>
        <w:tc>
          <w:tcPr>
            <w:tcW w:w="1144" w:type="dxa"/>
            <w:tcBorders>
              <w:top w:val="nil"/>
              <w:left w:val="nil"/>
              <w:bottom w:val="nil"/>
              <w:right w:val="nil"/>
              <w:tl2br w:val="nil"/>
              <w:tr2bl w:val="nil"/>
            </w:tcBorders>
            <w:tcMar>
              <w:left w:w="60" w:type="dxa"/>
              <w:right w:w="60" w:type="dxa"/>
            </w:tcMar>
            <w:vAlign w:val="center"/>
          </w:tcPr>
          <w:p>
            <w:pPr>
              <w:pStyle w:val="DMETW36617BIPFGCY"/>
              <w:jc w:val="right"/>
              <w:rPr>
                <w:rFonts w:ascii="Verdana" w:eastAsia="Verdana" w:hAnsi="Verdana" w:cs="Verdana"/>
                <w:i/>
                <w:noProof/>
                <w:color w:val="000000"/>
                <w:sz w:val="18"/>
              </w:rPr>
            </w:pPr>
            <w:r>
              <w:rPr>
                <w:rFonts w:ascii="Verdana" w:hAnsi="Verdana"/>
                <w:i/>
                <w:noProof/>
                <w:color w:val="000000"/>
                <w:sz w:val="18"/>
              </w:rPr>
              <w:t>(10 271)</w:t>
            </w:r>
          </w:p>
        </w:tc>
        <w:tc>
          <w:tcPr>
            <w:tcW w:w="1144" w:type="dxa"/>
            <w:tcBorders>
              <w:top w:val="nil"/>
              <w:left w:val="nil"/>
              <w:bottom w:val="nil"/>
              <w:right w:val="nil"/>
              <w:tl2br w:val="nil"/>
              <w:tr2bl w:val="nil"/>
            </w:tcBorders>
            <w:tcMar>
              <w:left w:w="60" w:type="dxa"/>
              <w:right w:w="60" w:type="dxa"/>
            </w:tcMar>
            <w:vAlign w:val="center"/>
          </w:tcPr>
          <w:p>
            <w:pPr>
              <w:pStyle w:val="DMETW36617BIPFGCY"/>
              <w:jc w:val="right"/>
              <w:rPr>
                <w:rFonts w:ascii="Verdana" w:eastAsia="Verdana" w:hAnsi="Verdana" w:cs="Verdana"/>
                <w:i/>
                <w:noProof/>
                <w:color w:val="000000"/>
                <w:sz w:val="18"/>
              </w:rPr>
            </w:pPr>
            <w:r>
              <w:rPr>
                <w:rFonts w:ascii="Verdana" w:hAnsi="Verdana"/>
                <w:i/>
                <w:noProof/>
                <w:color w:val="000000"/>
                <w:sz w:val="18"/>
              </w:rPr>
              <w:t>(76 597)</w:t>
            </w:r>
          </w:p>
        </w:tc>
        <w:tc>
          <w:tcPr>
            <w:tcW w:w="1535" w:type="dxa"/>
            <w:tcBorders>
              <w:top w:val="nil"/>
              <w:left w:val="nil"/>
              <w:bottom w:val="nil"/>
              <w:right w:val="nil"/>
              <w:tl2br w:val="nil"/>
              <w:tr2bl w:val="nil"/>
            </w:tcBorders>
            <w:tcMar>
              <w:left w:w="60" w:type="dxa"/>
              <w:right w:w="60" w:type="dxa"/>
            </w:tcMar>
            <w:vAlign w:val="center"/>
          </w:tcPr>
          <w:p>
            <w:pPr>
              <w:pStyle w:val="DMETW36617BIPFGCY"/>
              <w:jc w:val="right"/>
              <w:rPr>
                <w:rFonts w:ascii="Verdana" w:eastAsia="Verdana" w:hAnsi="Verdana" w:cs="Verdana"/>
                <w:i/>
                <w:noProof/>
                <w:color w:val="000000"/>
                <w:sz w:val="18"/>
              </w:rPr>
            </w:pPr>
            <w:r>
              <w:rPr>
                <w:rFonts w:ascii="Verdana" w:hAnsi="Verdana"/>
                <w:i/>
                <w:noProof/>
                <w:color w:val="000000"/>
                <w:sz w:val="18"/>
              </w:rPr>
              <w:t>(6 379)</w:t>
            </w:r>
          </w:p>
        </w:tc>
      </w:tr>
    </w:tbl>
    <w:p>
      <w:pPr>
        <w:pStyle w:val="HEADER5"/>
        <w:rPr>
          <w:noProof/>
          <w:lang w:val="en-IE" w:eastAsia="en-IE"/>
        </w:rPr>
      </w:pPr>
    </w:p>
    <w:p>
      <w:pPr>
        <w:pStyle w:val="HEADER5"/>
        <w:rPr>
          <w:noProof/>
        </w:rPr>
      </w:pPr>
      <w:r>
        <w:rPr>
          <w:noProof/>
        </w:rPr>
        <w:t>Analyse des échéances de l’engagement de prêt non utilisé</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8"/>
        <w:gridCol w:w="991"/>
        <w:gridCol w:w="992"/>
        <w:gridCol w:w="992"/>
        <w:gridCol w:w="882"/>
        <w:gridCol w:w="1113"/>
      </w:tblGrid>
      <w:tr>
        <w:trPr>
          <w:trHeight w:val="255"/>
        </w:trPr>
        <w:tc>
          <w:tcPr>
            <w:tcW w:w="4788" w:type="dxa"/>
            <w:tcBorders>
              <w:top w:val="nil"/>
              <w:left w:val="nil"/>
              <w:bottom w:val="nil"/>
              <w:right w:val="nil"/>
              <w:tl2br w:val="nil"/>
              <w:tr2bl w:val="nil"/>
            </w:tcBorders>
            <w:tcMar>
              <w:left w:w="60" w:type="dxa"/>
              <w:right w:w="60" w:type="dxa"/>
            </w:tcMar>
            <w:vAlign w:val="bottom"/>
          </w:tcPr>
          <w:p>
            <w:pPr>
              <w:pStyle w:val="DMETW36617BIPULC"/>
              <w:rPr>
                <w:rFonts w:ascii="Verdana" w:eastAsia="Verdana" w:hAnsi="Verdana" w:cs="Verdana"/>
                <w:noProof/>
                <w:color w:val="000000"/>
              </w:rPr>
            </w:pPr>
            <w:bookmarkStart w:id="239" w:name="DOC_TBL00105_1_1"/>
            <w:bookmarkEnd w:id="239"/>
          </w:p>
        </w:tc>
        <w:tc>
          <w:tcPr>
            <w:tcW w:w="991" w:type="dxa"/>
            <w:tcBorders>
              <w:top w:val="nil"/>
              <w:left w:val="nil"/>
              <w:bottom w:val="nil"/>
              <w:right w:val="nil"/>
              <w:tl2br w:val="nil"/>
              <w:tr2bl w:val="nil"/>
            </w:tcBorders>
            <w:tcMar>
              <w:left w:w="60" w:type="dxa"/>
              <w:right w:w="60" w:type="dxa"/>
            </w:tcMar>
            <w:vAlign w:val="bottom"/>
          </w:tcPr>
          <w:p>
            <w:pPr>
              <w:pStyle w:val="DMETW36617BIPULC"/>
              <w:rPr>
                <w:rFonts w:ascii="Verdana" w:eastAsia="Verdana" w:hAnsi="Verdana" w:cs="Verdana"/>
                <w:noProof/>
                <w:color w:val="000000"/>
              </w:rPr>
            </w:pPr>
          </w:p>
        </w:tc>
        <w:tc>
          <w:tcPr>
            <w:tcW w:w="992" w:type="dxa"/>
            <w:tcBorders>
              <w:top w:val="nil"/>
              <w:left w:val="nil"/>
              <w:bottom w:val="nil"/>
              <w:right w:val="nil"/>
              <w:tl2br w:val="nil"/>
              <w:tr2bl w:val="nil"/>
            </w:tcBorders>
            <w:tcMar>
              <w:left w:w="60" w:type="dxa"/>
              <w:right w:w="60" w:type="dxa"/>
            </w:tcMar>
            <w:vAlign w:val="bottom"/>
          </w:tcPr>
          <w:p>
            <w:pPr>
              <w:pStyle w:val="DMETW36617BIPULC"/>
              <w:rPr>
                <w:rFonts w:ascii="Verdana" w:eastAsia="Verdana" w:hAnsi="Verdana" w:cs="Verdana"/>
                <w:noProof/>
                <w:color w:val="000000"/>
              </w:rPr>
            </w:pPr>
          </w:p>
        </w:tc>
        <w:tc>
          <w:tcPr>
            <w:tcW w:w="992" w:type="dxa"/>
            <w:tcBorders>
              <w:top w:val="nil"/>
              <w:left w:val="nil"/>
              <w:bottom w:val="nil"/>
              <w:right w:val="nil"/>
              <w:tl2br w:val="nil"/>
              <w:tr2bl w:val="nil"/>
            </w:tcBorders>
            <w:tcMar>
              <w:left w:w="60" w:type="dxa"/>
              <w:right w:w="60" w:type="dxa"/>
            </w:tcMar>
            <w:vAlign w:val="bottom"/>
          </w:tcPr>
          <w:p>
            <w:pPr>
              <w:pStyle w:val="DMETW36617BIPULC"/>
              <w:rPr>
                <w:rFonts w:ascii="Verdana" w:eastAsia="Verdana" w:hAnsi="Verdana" w:cs="Verdana"/>
                <w:noProof/>
                <w:color w:val="000000"/>
              </w:rPr>
            </w:pPr>
          </w:p>
        </w:tc>
        <w:tc>
          <w:tcPr>
            <w:tcW w:w="882" w:type="dxa"/>
            <w:tcBorders>
              <w:top w:val="nil"/>
              <w:left w:val="nil"/>
              <w:bottom w:val="nil"/>
              <w:right w:val="nil"/>
              <w:tl2br w:val="nil"/>
              <w:tr2bl w:val="nil"/>
            </w:tcBorders>
            <w:tcMar>
              <w:left w:w="60" w:type="dxa"/>
              <w:right w:w="60" w:type="dxa"/>
            </w:tcMar>
            <w:vAlign w:val="bottom"/>
          </w:tcPr>
          <w:p>
            <w:pPr>
              <w:pStyle w:val="DMETW36617BIPULC"/>
              <w:rPr>
                <w:rFonts w:ascii="Verdana" w:eastAsia="Verdana" w:hAnsi="Verdana" w:cs="Verdana"/>
                <w:noProof/>
                <w:color w:val="000000"/>
              </w:rPr>
            </w:pPr>
          </w:p>
        </w:tc>
        <w:tc>
          <w:tcPr>
            <w:tcW w:w="1113" w:type="dxa"/>
            <w:tcBorders>
              <w:top w:val="nil"/>
              <w:left w:val="nil"/>
              <w:bottom w:val="nil"/>
              <w:right w:val="nil"/>
              <w:tl2br w:val="nil"/>
              <w:tr2bl w:val="nil"/>
            </w:tcBorders>
            <w:tcMar>
              <w:left w:w="60" w:type="dxa"/>
              <w:right w:w="60" w:type="dxa"/>
            </w:tcMar>
            <w:vAlign w:val="bottom"/>
          </w:tcPr>
          <w:p>
            <w:pPr>
              <w:pStyle w:val="DMETW36617BIPULC"/>
              <w:jc w:val="right"/>
              <w:rPr>
                <w:rFonts w:ascii="Verdana" w:eastAsia="Verdana" w:hAnsi="Verdana" w:cs="Verdana"/>
                <w:i/>
                <w:noProof/>
                <w:color w:val="000000"/>
                <w:sz w:val="16"/>
              </w:rPr>
            </w:pPr>
            <w:r>
              <w:rPr>
                <w:rFonts w:ascii="Verdana" w:hAnsi="Verdana"/>
                <w:i/>
                <w:noProof/>
                <w:color w:val="000000"/>
                <w:sz w:val="16"/>
              </w:rPr>
              <w:t>en Mio EUR</w:t>
            </w:r>
          </w:p>
        </w:tc>
      </w:tr>
      <w:tr>
        <w:trPr>
          <w:trHeight w:val="255"/>
        </w:trPr>
        <w:tc>
          <w:tcPr>
            <w:tcW w:w="4788" w:type="dxa"/>
            <w:gridSpan w:val="5"/>
            <w:tcBorders>
              <w:top w:val="nil"/>
              <w:left w:val="nil"/>
              <w:bottom w:val="nil"/>
              <w:right w:val="nil"/>
              <w:tl2br w:val="nil"/>
              <w:tr2bl w:val="nil"/>
            </w:tcBorders>
            <w:shd w:val="solid" w:color="016794" w:fill="FFFFFF"/>
            <w:tcMar>
              <w:left w:w="60" w:type="dxa"/>
              <w:right w:w="60" w:type="dxa"/>
            </w:tcMar>
            <w:vAlign w:val="center"/>
          </w:tcPr>
          <w:p>
            <w:pPr>
              <w:pStyle w:val="DMETW36617BIPULC"/>
              <w:jc w:val="center"/>
              <w:rPr>
                <w:rFonts w:ascii="Verdana" w:eastAsia="Verdana" w:hAnsi="Verdana" w:cs="Verdana"/>
                <w:noProof/>
                <w:color w:val="FFFFFF"/>
              </w:rPr>
            </w:pPr>
            <w:r>
              <w:rPr>
                <w:rFonts w:ascii="Verdana" w:hAnsi="Verdana"/>
                <w:noProof/>
                <w:color w:val="FFFFFF"/>
              </w:rPr>
              <w:t xml:space="preserve">                                                    Montant maximal de l’engagement de prêt non utilisé</w:t>
            </w:r>
          </w:p>
        </w:tc>
        <w:tc>
          <w:tcPr>
            <w:tcW w:w="1113" w:type="dxa"/>
            <w:vMerge w:val="restart"/>
            <w:tcBorders>
              <w:top w:val="nil"/>
              <w:left w:val="nil"/>
              <w:bottom w:val="nil"/>
              <w:right w:val="nil"/>
              <w:tl2br w:val="nil"/>
              <w:tr2bl w:val="nil"/>
            </w:tcBorders>
            <w:shd w:val="solid" w:color="016794" w:fill="FFFFFF"/>
            <w:tcMar>
              <w:left w:w="60" w:type="dxa"/>
              <w:right w:w="60" w:type="dxa"/>
            </w:tcMar>
            <w:vAlign w:val="bottom"/>
          </w:tcPr>
          <w:p>
            <w:pPr>
              <w:pStyle w:val="DMETW36617BIPULC"/>
              <w:jc w:val="right"/>
              <w:rPr>
                <w:rFonts w:ascii="Verdana" w:eastAsia="Verdana" w:hAnsi="Verdana" w:cs="Verdana"/>
                <w:noProof/>
                <w:color w:val="FFFFFF"/>
              </w:rPr>
            </w:pPr>
            <w:r>
              <w:rPr>
                <w:rFonts w:ascii="Verdana" w:hAnsi="Verdana"/>
                <w:noProof/>
                <w:color w:val="FFFFFF"/>
              </w:rPr>
              <w:t>Valeur comptable</w:t>
            </w:r>
          </w:p>
        </w:tc>
      </w:tr>
      <w:tr>
        <w:trPr>
          <w:trHeight w:val="255"/>
        </w:trPr>
        <w:tc>
          <w:tcPr>
            <w:tcW w:w="4788" w:type="dxa"/>
            <w:tcBorders>
              <w:top w:val="nil"/>
              <w:left w:val="nil"/>
              <w:bottom w:val="nil"/>
              <w:right w:val="nil"/>
              <w:tl2br w:val="nil"/>
              <w:tr2bl w:val="nil"/>
            </w:tcBorders>
            <w:shd w:val="solid" w:color="016794" w:fill="FFFFFF"/>
            <w:tcMar>
              <w:left w:w="60" w:type="dxa"/>
              <w:right w:w="60" w:type="dxa"/>
            </w:tcMar>
            <w:vAlign w:val="center"/>
          </w:tcPr>
          <w:p>
            <w:pPr>
              <w:pStyle w:val="DMETW36617BIPULC"/>
              <w:jc w:val="right"/>
              <w:rPr>
                <w:rFonts w:ascii="Verdana" w:eastAsia="Verdana" w:hAnsi="Verdana" w:cs="Verdana"/>
                <w:noProof/>
                <w:color w:val="FFFFFF"/>
              </w:rPr>
            </w:pPr>
          </w:p>
        </w:tc>
        <w:tc>
          <w:tcPr>
            <w:tcW w:w="991" w:type="dxa"/>
            <w:tcBorders>
              <w:top w:val="nil"/>
              <w:left w:val="nil"/>
              <w:bottom w:val="nil"/>
              <w:right w:val="nil"/>
              <w:tl2br w:val="nil"/>
              <w:tr2bl w:val="nil"/>
            </w:tcBorders>
            <w:shd w:val="solid" w:color="016794" w:fill="FFFFFF"/>
            <w:tcMar>
              <w:left w:w="60" w:type="dxa"/>
              <w:right w:w="60" w:type="dxa"/>
            </w:tcMar>
            <w:vAlign w:val="center"/>
          </w:tcPr>
          <w:p>
            <w:pPr>
              <w:pStyle w:val="DMETW36617BIPULC"/>
              <w:jc w:val="right"/>
              <w:rPr>
                <w:rFonts w:ascii="Verdana" w:eastAsia="Verdana" w:hAnsi="Verdana" w:cs="Verdana"/>
                <w:noProof/>
                <w:color w:val="FFFFFF"/>
              </w:rPr>
            </w:pPr>
            <w:r>
              <w:rPr>
                <w:rFonts w:ascii="Verdana" w:hAnsi="Verdana"/>
                <w:noProof/>
                <w:color w:val="FFFFFF"/>
              </w:rPr>
              <w:t>&lt; 1 an</w:t>
            </w:r>
          </w:p>
        </w:tc>
        <w:tc>
          <w:tcPr>
            <w:tcW w:w="992" w:type="dxa"/>
            <w:tcBorders>
              <w:top w:val="nil"/>
              <w:left w:val="nil"/>
              <w:bottom w:val="nil"/>
              <w:right w:val="nil"/>
              <w:tl2br w:val="nil"/>
              <w:tr2bl w:val="nil"/>
            </w:tcBorders>
            <w:shd w:val="solid" w:color="016794" w:fill="FFFFFF"/>
            <w:tcMar>
              <w:left w:w="60" w:type="dxa"/>
              <w:right w:w="60" w:type="dxa"/>
            </w:tcMar>
            <w:vAlign w:val="center"/>
          </w:tcPr>
          <w:p>
            <w:pPr>
              <w:pStyle w:val="DMETW36617BIPULC"/>
              <w:jc w:val="right"/>
              <w:rPr>
                <w:rFonts w:ascii="Verdana" w:eastAsia="Verdana" w:hAnsi="Verdana" w:cs="Verdana"/>
                <w:noProof/>
                <w:color w:val="FFFFFF"/>
              </w:rPr>
            </w:pPr>
            <w:r>
              <w:rPr>
                <w:rFonts w:ascii="Verdana" w:hAnsi="Verdana"/>
                <w:noProof/>
                <w:color w:val="FFFFFF"/>
              </w:rPr>
              <w:t>1-5 ans</w:t>
            </w:r>
          </w:p>
        </w:tc>
        <w:tc>
          <w:tcPr>
            <w:tcW w:w="992" w:type="dxa"/>
            <w:tcBorders>
              <w:top w:val="nil"/>
              <w:left w:val="nil"/>
              <w:bottom w:val="nil"/>
              <w:right w:val="nil"/>
              <w:tl2br w:val="nil"/>
              <w:tr2bl w:val="nil"/>
            </w:tcBorders>
            <w:shd w:val="solid" w:color="016794" w:fill="FFFFFF"/>
            <w:tcMar>
              <w:left w:w="60" w:type="dxa"/>
              <w:right w:w="60" w:type="dxa"/>
            </w:tcMar>
            <w:vAlign w:val="center"/>
          </w:tcPr>
          <w:p>
            <w:pPr>
              <w:pStyle w:val="DMETW36617BIPULC"/>
              <w:jc w:val="right"/>
              <w:rPr>
                <w:rFonts w:ascii="Verdana" w:eastAsia="Verdana" w:hAnsi="Verdana" w:cs="Verdana"/>
                <w:noProof/>
                <w:color w:val="FFFFFF"/>
              </w:rPr>
            </w:pPr>
            <w:r>
              <w:rPr>
                <w:rFonts w:ascii="Verdana" w:hAnsi="Verdana"/>
                <w:noProof/>
                <w:color w:val="FFFFFF"/>
              </w:rPr>
              <w:t>&gt; 5 ans</w:t>
            </w:r>
          </w:p>
        </w:tc>
        <w:tc>
          <w:tcPr>
            <w:tcW w:w="882" w:type="dxa"/>
            <w:tcBorders>
              <w:top w:val="nil"/>
              <w:left w:val="nil"/>
              <w:bottom w:val="nil"/>
              <w:right w:val="nil"/>
              <w:tl2br w:val="nil"/>
              <w:tr2bl w:val="nil"/>
            </w:tcBorders>
            <w:shd w:val="solid" w:color="016794" w:fill="FFFFFF"/>
            <w:tcMar>
              <w:left w:w="60" w:type="dxa"/>
              <w:right w:w="60" w:type="dxa"/>
            </w:tcMar>
            <w:vAlign w:val="center"/>
          </w:tcPr>
          <w:p>
            <w:pPr>
              <w:pStyle w:val="DMETW36617BIPULC"/>
              <w:jc w:val="right"/>
              <w:rPr>
                <w:rFonts w:ascii="Verdana" w:eastAsia="Verdana" w:hAnsi="Verdana" w:cs="Verdana"/>
                <w:noProof/>
                <w:color w:val="FFFFFF"/>
              </w:rPr>
            </w:pPr>
            <w:r>
              <w:rPr>
                <w:rFonts w:ascii="Verdana" w:hAnsi="Verdana"/>
                <w:noProof/>
                <w:color w:val="FFFFFF"/>
              </w:rPr>
              <w:t>Total</w:t>
            </w:r>
          </w:p>
        </w:tc>
        <w:tc>
          <w:tcPr>
            <w:tcW w:w="1275" w:type="dxa"/>
            <w:vMerge/>
            <w:tcBorders>
              <w:top w:val="nil"/>
              <w:left w:val="nil"/>
              <w:bottom w:val="nil"/>
              <w:right w:val="nil"/>
              <w:tl2br w:val="nil"/>
              <w:tr2bl w:val="nil"/>
            </w:tcBorders>
            <w:shd w:val="solid" w:color="016794" w:fill="FFFFFF"/>
            <w:tcMar>
              <w:left w:w="60" w:type="dxa"/>
              <w:right w:w="60" w:type="dxa"/>
            </w:tcMar>
            <w:vAlign w:val="bottom"/>
          </w:tcPr>
          <w:p>
            <w:pPr>
              <w:pStyle w:val="DMETW36617BIPULC"/>
              <w:jc w:val="right"/>
              <w:rPr>
                <w:rFonts w:ascii="Verdana" w:eastAsia="Verdana" w:hAnsi="Verdana" w:cs="Verdana"/>
                <w:noProof/>
                <w:color w:val="FFFFFF"/>
              </w:rPr>
            </w:pPr>
          </w:p>
        </w:tc>
      </w:tr>
      <w:tr>
        <w:trPr>
          <w:trHeight w:val="255"/>
        </w:trPr>
        <w:tc>
          <w:tcPr>
            <w:tcW w:w="4788" w:type="dxa"/>
            <w:tcBorders>
              <w:top w:val="nil"/>
              <w:left w:val="nil"/>
              <w:bottom w:val="nil"/>
              <w:right w:val="nil"/>
              <w:tl2br w:val="nil"/>
              <w:tr2bl w:val="nil"/>
            </w:tcBorders>
            <w:tcMar>
              <w:left w:w="60" w:type="dxa"/>
              <w:right w:w="60" w:type="dxa"/>
            </w:tcMar>
            <w:vAlign w:val="center"/>
          </w:tcPr>
          <w:p>
            <w:pPr>
              <w:pStyle w:val="DMETW36617BIPULC"/>
              <w:rPr>
                <w:rFonts w:ascii="Verdana" w:eastAsia="Verdana" w:hAnsi="Verdana" w:cs="Verdana"/>
                <w:i/>
                <w:noProof/>
                <w:color w:val="000000"/>
                <w:sz w:val="18"/>
              </w:rPr>
            </w:pPr>
            <w:r>
              <w:rPr>
                <w:rFonts w:ascii="Verdana" w:hAnsi="Verdana"/>
                <w:i/>
                <w:noProof/>
                <w:color w:val="000000"/>
                <w:sz w:val="18"/>
              </w:rPr>
              <w:t>Engagements de prêts non utilisés au 31.12.2025</w:t>
            </w:r>
          </w:p>
        </w:tc>
        <w:tc>
          <w:tcPr>
            <w:tcW w:w="991" w:type="dxa"/>
            <w:tcBorders>
              <w:top w:val="nil"/>
              <w:left w:val="nil"/>
              <w:bottom w:val="nil"/>
              <w:right w:val="nil"/>
              <w:tl2br w:val="nil"/>
              <w:tr2bl w:val="nil"/>
            </w:tcBorders>
            <w:tcMar>
              <w:left w:w="60" w:type="dxa"/>
              <w:right w:w="60" w:type="dxa"/>
            </w:tcMar>
            <w:vAlign w:val="center"/>
          </w:tcPr>
          <w:p>
            <w:pPr>
              <w:pStyle w:val="DMETW36617BIPULC"/>
              <w:jc w:val="right"/>
              <w:rPr>
                <w:rFonts w:ascii="Verdana" w:eastAsia="Verdana" w:hAnsi="Verdana" w:cs="Verdana"/>
                <w:i/>
                <w:noProof/>
                <w:color w:val="000000"/>
                <w:sz w:val="18"/>
              </w:rPr>
            </w:pPr>
            <w:r>
              <w:rPr>
                <w:rFonts w:ascii="Verdana" w:hAnsi="Verdana"/>
                <w:i/>
                <w:noProof/>
                <w:color w:val="000000"/>
                <w:sz w:val="18"/>
              </w:rPr>
              <w:t>–</w:t>
            </w:r>
          </w:p>
        </w:tc>
        <w:tc>
          <w:tcPr>
            <w:tcW w:w="992" w:type="dxa"/>
            <w:tcBorders>
              <w:top w:val="nil"/>
              <w:left w:val="nil"/>
              <w:bottom w:val="nil"/>
              <w:right w:val="nil"/>
              <w:tl2br w:val="nil"/>
              <w:tr2bl w:val="nil"/>
            </w:tcBorders>
            <w:tcMar>
              <w:left w:w="60" w:type="dxa"/>
              <w:right w:w="60" w:type="dxa"/>
            </w:tcMar>
            <w:vAlign w:val="center"/>
          </w:tcPr>
          <w:p>
            <w:pPr>
              <w:pStyle w:val="DMETW36617BIPULC"/>
              <w:jc w:val="right"/>
              <w:rPr>
                <w:rFonts w:ascii="Verdana" w:eastAsia="Verdana" w:hAnsi="Verdana" w:cs="Verdana"/>
                <w:i/>
                <w:noProof/>
                <w:color w:val="000000"/>
                <w:sz w:val="18"/>
              </w:rPr>
            </w:pPr>
            <w:r>
              <w:rPr>
                <w:rFonts w:ascii="Verdana" w:hAnsi="Verdana"/>
                <w:i/>
                <w:noProof/>
                <w:color w:val="000000"/>
                <w:sz w:val="18"/>
              </w:rPr>
              <w:t xml:space="preserve"> 15</w:t>
            </w:r>
          </w:p>
        </w:tc>
        <w:tc>
          <w:tcPr>
            <w:tcW w:w="992" w:type="dxa"/>
            <w:tcBorders>
              <w:top w:val="nil"/>
              <w:left w:val="nil"/>
              <w:bottom w:val="nil"/>
              <w:right w:val="nil"/>
              <w:tl2br w:val="nil"/>
              <w:tr2bl w:val="nil"/>
            </w:tcBorders>
            <w:tcMar>
              <w:left w:w="60" w:type="dxa"/>
              <w:right w:w="60" w:type="dxa"/>
            </w:tcMar>
            <w:vAlign w:val="center"/>
          </w:tcPr>
          <w:p>
            <w:pPr>
              <w:pStyle w:val="DMETW36617BIPULC"/>
              <w:jc w:val="right"/>
              <w:rPr>
                <w:rFonts w:ascii="Verdana" w:eastAsia="Verdana" w:hAnsi="Verdana" w:cs="Verdana"/>
                <w:i/>
                <w:noProof/>
                <w:color w:val="000000"/>
                <w:sz w:val="18"/>
              </w:rPr>
            </w:pPr>
            <w:r>
              <w:rPr>
                <w:rFonts w:ascii="Verdana" w:hAnsi="Verdana"/>
                <w:i/>
                <w:noProof/>
                <w:color w:val="000000"/>
                <w:sz w:val="18"/>
              </w:rPr>
              <w:t xml:space="preserve"> 9</w:t>
            </w:r>
          </w:p>
        </w:tc>
        <w:tc>
          <w:tcPr>
            <w:tcW w:w="882" w:type="dxa"/>
            <w:tcBorders>
              <w:top w:val="nil"/>
              <w:left w:val="nil"/>
              <w:bottom w:val="nil"/>
              <w:right w:val="nil"/>
              <w:tl2br w:val="nil"/>
              <w:tr2bl w:val="nil"/>
            </w:tcBorders>
            <w:tcMar>
              <w:left w:w="60" w:type="dxa"/>
              <w:right w:w="60" w:type="dxa"/>
            </w:tcMar>
            <w:vAlign w:val="center"/>
          </w:tcPr>
          <w:p>
            <w:pPr>
              <w:pStyle w:val="DMETW36617BIPULC"/>
              <w:jc w:val="right"/>
              <w:rPr>
                <w:rFonts w:ascii="Verdana" w:eastAsia="Verdana" w:hAnsi="Verdana" w:cs="Verdana"/>
                <w:i/>
                <w:noProof/>
                <w:color w:val="000000"/>
                <w:sz w:val="18"/>
              </w:rPr>
            </w:pPr>
            <w:r>
              <w:rPr>
                <w:rFonts w:ascii="Verdana" w:hAnsi="Verdana"/>
                <w:i/>
                <w:noProof/>
                <w:color w:val="000000"/>
                <w:sz w:val="18"/>
              </w:rPr>
              <w:t xml:space="preserve"> 24</w:t>
            </w:r>
          </w:p>
        </w:tc>
        <w:tc>
          <w:tcPr>
            <w:tcW w:w="1113" w:type="dxa"/>
            <w:tcBorders>
              <w:top w:val="nil"/>
              <w:left w:val="nil"/>
              <w:bottom w:val="nil"/>
              <w:right w:val="nil"/>
              <w:tl2br w:val="nil"/>
              <w:tr2bl w:val="nil"/>
            </w:tcBorders>
            <w:tcMar>
              <w:left w:w="60" w:type="dxa"/>
              <w:right w:w="60" w:type="dxa"/>
            </w:tcMar>
            <w:vAlign w:val="center"/>
          </w:tcPr>
          <w:p>
            <w:pPr>
              <w:pStyle w:val="DMETW36617BIPULC"/>
              <w:jc w:val="right"/>
              <w:rPr>
                <w:rFonts w:ascii="Verdana" w:eastAsia="Verdana" w:hAnsi="Verdana" w:cs="Verdana"/>
                <w:i/>
                <w:noProof/>
                <w:color w:val="000000"/>
                <w:sz w:val="18"/>
              </w:rPr>
            </w:pPr>
            <w:r>
              <w:rPr>
                <w:rFonts w:ascii="Verdana" w:hAnsi="Verdana"/>
                <w:i/>
                <w:noProof/>
                <w:color w:val="000000"/>
                <w:sz w:val="18"/>
              </w:rPr>
              <w:t xml:space="preserve"> 3</w:t>
            </w:r>
          </w:p>
        </w:tc>
      </w:tr>
      <w:tr>
        <w:trPr>
          <w:trHeight w:val="255"/>
        </w:trPr>
        <w:tc>
          <w:tcPr>
            <w:tcW w:w="4788" w:type="dxa"/>
            <w:tcBorders>
              <w:top w:val="nil"/>
              <w:left w:val="nil"/>
              <w:bottom w:val="nil"/>
              <w:right w:val="nil"/>
              <w:tl2br w:val="nil"/>
              <w:tr2bl w:val="nil"/>
            </w:tcBorders>
            <w:tcMar>
              <w:left w:w="60" w:type="dxa"/>
              <w:right w:w="60" w:type="dxa"/>
            </w:tcMar>
            <w:vAlign w:val="center"/>
          </w:tcPr>
          <w:p>
            <w:pPr>
              <w:pStyle w:val="DMETW36617BIPULC"/>
              <w:rPr>
                <w:rFonts w:ascii="Verdana" w:eastAsia="Verdana" w:hAnsi="Verdana" w:cs="Verdana"/>
                <w:i/>
                <w:noProof/>
                <w:color w:val="000000"/>
                <w:sz w:val="18"/>
              </w:rPr>
            </w:pPr>
            <w:r>
              <w:rPr>
                <w:rFonts w:ascii="Verdana" w:hAnsi="Verdana"/>
                <w:i/>
                <w:noProof/>
                <w:color w:val="000000"/>
                <w:sz w:val="18"/>
              </w:rPr>
              <w:t>Engagements de prêts non utilisés au 31.12.2024</w:t>
            </w:r>
          </w:p>
        </w:tc>
        <w:tc>
          <w:tcPr>
            <w:tcW w:w="991" w:type="dxa"/>
            <w:tcBorders>
              <w:top w:val="nil"/>
              <w:left w:val="nil"/>
              <w:bottom w:val="nil"/>
              <w:right w:val="nil"/>
              <w:tl2br w:val="nil"/>
              <w:tr2bl w:val="nil"/>
            </w:tcBorders>
            <w:tcMar>
              <w:left w:w="60" w:type="dxa"/>
              <w:right w:w="60" w:type="dxa"/>
            </w:tcMar>
            <w:vAlign w:val="center"/>
          </w:tcPr>
          <w:p>
            <w:pPr>
              <w:pStyle w:val="DMETW36617BIPULC"/>
              <w:jc w:val="right"/>
              <w:rPr>
                <w:rFonts w:ascii="Verdana" w:eastAsia="Verdana" w:hAnsi="Verdana" w:cs="Verdana"/>
                <w:i/>
                <w:noProof/>
                <w:color w:val="000000"/>
                <w:sz w:val="18"/>
              </w:rPr>
            </w:pPr>
            <w:r>
              <w:rPr>
                <w:rFonts w:ascii="Verdana" w:hAnsi="Verdana"/>
                <w:i/>
                <w:noProof/>
                <w:color w:val="000000"/>
                <w:sz w:val="18"/>
              </w:rPr>
              <w:t>18 152</w:t>
            </w:r>
          </w:p>
        </w:tc>
        <w:tc>
          <w:tcPr>
            <w:tcW w:w="992" w:type="dxa"/>
            <w:tcBorders>
              <w:top w:val="nil"/>
              <w:left w:val="nil"/>
              <w:bottom w:val="nil"/>
              <w:right w:val="nil"/>
              <w:tl2br w:val="nil"/>
              <w:tr2bl w:val="nil"/>
            </w:tcBorders>
            <w:tcMar>
              <w:left w:w="60" w:type="dxa"/>
              <w:right w:w="60" w:type="dxa"/>
            </w:tcMar>
            <w:vAlign w:val="center"/>
          </w:tcPr>
          <w:p>
            <w:pPr>
              <w:pStyle w:val="DMETW36617BIPULC"/>
              <w:jc w:val="right"/>
              <w:rPr>
                <w:rFonts w:ascii="Verdana" w:eastAsia="Verdana" w:hAnsi="Verdana" w:cs="Verdana"/>
                <w:i/>
                <w:noProof/>
                <w:color w:val="000000"/>
                <w:sz w:val="18"/>
              </w:rPr>
            </w:pPr>
            <w:r>
              <w:rPr>
                <w:rFonts w:ascii="Verdana" w:hAnsi="Verdana"/>
                <w:i/>
                <w:noProof/>
                <w:color w:val="000000"/>
                <w:sz w:val="18"/>
              </w:rPr>
              <w:t xml:space="preserve"> 41</w:t>
            </w:r>
          </w:p>
        </w:tc>
        <w:tc>
          <w:tcPr>
            <w:tcW w:w="992" w:type="dxa"/>
            <w:tcBorders>
              <w:top w:val="nil"/>
              <w:left w:val="nil"/>
              <w:bottom w:val="nil"/>
              <w:right w:val="nil"/>
              <w:tl2br w:val="nil"/>
              <w:tr2bl w:val="nil"/>
            </w:tcBorders>
            <w:tcMar>
              <w:left w:w="60" w:type="dxa"/>
              <w:right w:w="60" w:type="dxa"/>
            </w:tcMar>
            <w:vAlign w:val="center"/>
          </w:tcPr>
          <w:p>
            <w:pPr>
              <w:pStyle w:val="DMETW36617BIPULC"/>
              <w:jc w:val="right"/>
              <w:rPr>
                <w:rFonts w:ascii="Verdana" w:eastAsia="Verdana" w:hAnsi="Verdana" w:cs="Verdana"/>
                <w:i/>
                <w:noProof/>
                <w:color w:val="000000"/>
                <w:sz w:val="18"/>
              </w:rPr>
            </w:pPr>
            <w:r>
              <w:rPr>
                <w:rFonts w:ascii="Verdana" w:hAnsi="Verdana"/>
                <w:i/>
                <w:noProof/>
                <w:color w:val="000000"/>
                <w:sz w:val="18"/>
              </w:rPr>
              <w:t>–</w:t>
            </w:r>
          </w:p>
        </w:tc>
        <w:tc>
          <w:tcPr>
            <w:tcW w:w="882" w:type="dxa"/>
            <w:tcBorders>
              <w:top w:val="nil"/>
              <w:left w:val="nil"/>
              <w:bottom w:val="nil"/>
              <w:right w:val="nil"/>
              <w:tl2br w:val="nil"/>
              <w:tr2bl w:val="nil"/>
            </w:tcBorders>
            <w:tcMar>
              <w:left w:w="60" w:type="dxa"/>
              <w:right w:w="60" w:type="dxa"/>
            </w:tcMar>
            <w:vAlign w:val="center"/>
          </w:tcPr>
          <w:p>
            <w:pPr>
              <w:pStyle w:val="DMETW36617BIPULC"/>
              <w:jc w:val="right"/>
              <w:rPr>
                <w:rFonts w:ascii="Verdana" w:eastAsia="Verdana" w:hAnsi="Verdana" w:cs="Verdana"/>
                <w:i/>
                <w:noProof/>
                <w:color w:val="000000"/>
                <w:sz w:val="18"/>
              </w:rPr>
            </w:pPr>
            <w:r>
              <w:rPr>
                <w:rFonts w:ascii="Verdana" w:hAnsi="Verdana"/>
                <w:i/>
                <w:noProof/>
                <w:color w:val="000000"/>
                <w:sz w:val="18"/>
              </w:rPr>
              <w:t>18 193</w:t>
            </w:r>
          </w:p>
        </w:tc>
        <w:tc>
          <w:tcPr>
            <w:tcW w:w="1113" w:type="dxa"/>
            <w:tcBorders>
              <w:top w:val="nil"/>
              <w:left w:val="nil"/>
              <w:bottom w:val="nil"/>
              <w:right w:val="nil"/>
              <w:tl2br w:val="nil"/>
              <w:tr2bl w:val="nil"/>
            </w:tcBorders>
            <w:tcMar>
              <w:left w:w="60" w:type="dxa"/>
              <w:right w:w="60" w:type="dxa"/>
            </w:tcMar>
            <w:vAlign w:val="center"/>
          </w:tcPr>
          <w:p>
            <w:pPr>
              <w:pStyle w:val="DMETW36617BIPULC"/>
              <w:jc w:val="right"/>
              <w:rPr>
                <w:rFonts w:ascii="Verdana" w:eastAsia="Verdana" w:hAnsi="Verdana" w:cs="Verdana"/>
                <w:i/>
                <w:noProof/>
                <w:color w:val="000000"/>
                <w:sz w:val="18"/>
              </w:rPr>
            </w:pPr>
            <w:r>
              <w:rPr>
                <w:rFonts w:ascii="Verdana" w:hAnsi="Verdana"/>
                <w:i/>
                <w:noProof/>
                <w:color w:val="000000"/>
                <w:sz w:val="18"/>
              </w:rPr>
              <w:t>7 082</w:t>
            </w:r>
          </w:p>
        </w:tc>
      </w:tr>
    </w:tbl>
    <w:p>
      <w:pPr>
        <w:pStyle w:val="HEADER5"/>
        <w:spacing w:before="240"/>
        <w:rPr>
          <w:noProof/>
        </w:rPr>
      </w:pPr>
      <w:r>
        <w:rPr>
          <w:noProof/>
        </w:rPr>
        <w:t xml:space="preserve">Activités d’emprunt </w:t>
      </w:r>
    </w:p>
    <w:p>
      <w:pPr>
        <w:pStyle w:val="DGTextstand-alone"/>
      </w:pPr>
      <w:r>
        <w:t>Le premier recours de l’UE pour le remboursement des emprunts est la perception en temps utile d’une assistance financière correspondante et des remboursements de prêts NextGenerationEU. Toutefois, des garanties supplémentaires sont en place en cas de défaut de paiement ou de retard de paiement des emprunteurs.</w:t>
      </w:r>
    </w:p>
    <w:p>
      <w:pPr>
        <w:pStyle w:val="DGTextstand-alone"/>
      </w:pPr>
      <w:r>
        <w:lastRenderedPageBreak/>
        <w:t>La Commission a mis en place une mesure temporaire à court terme appelée couverture budgétaire, qui prévoit des liquidités pour couvrir le paiement des obligations découlant des programmes d’assistance financière relevant de la méthode «back-to-back».</w:t>
      </w:r>
    </w:p>
    <w:p>
      <w:pPr>
        <w:pStyle w:val="DGTextstand-alone"/>
      </w:pPr>
      <w:r>
        <w:t>En ce qui concerne les prêts octroyés aux pays tiers au titre de l’AMF (à l’exception de l’AMF+ et de l’AMF MCPU), d’Euratom, de la facilité pour les Balkans occidentaux et de la facilité pour la Moldavie, le FCP prévoit une réserve de liquidités. Cette réserve peut être utilisée pour rembourser les emprunts correspondants.</w:t>
      </w:r>
    </w:p>
    <w:p>
      <w:pPr>
        <w:pStyle w:val="DGTextstand-alone"/>
      </w:pPr>
      <w:r>
        <w:t>Si les actifs disponibles dans la réserve sont insuffisants pour couvrir les pertes réelles, la Commission activera certaines mesures afin de fournir des ressources supplémentaires telles que l’utilisation temporaire des liquidités de trésorerie de la Commission, des transferts temporaires ou des dépenses supplémentaires à charge du budget de l’UE.</w:t>
      </w:r>
    </w:p>
    <w:p>
      <w:pPr>
        <w:pStyle w:val="DGTextstand-alone"/>
      </w:pPr>
      <w:r>
        <w:t xml:space="preserve">Les prêts accordés à l’Ukraine au titre du programme exceptionnel d’AMF sont couverts par leur compartiment du FCP, ainsi que par des garanties supplémentaires des États membres (voir note </w:t>
      </w:r>
      <w:r>
        <w:rPr>
          <w:b/>
        </w:rPr>
        <w:t>6.6</w:t>
      </w:r>
      <w:r>
        <w:t>).</w:t>
      </w:r>
    </w:p>
    <w:p>
      <w:pPr>
        <w:pStyle w:val="DGTextstand-alone"/>
      </w:pPr>
      <w:r>
        <w:t>Pour les prêts décaissés et les emprunts émis dans le cadre de l’approche unifiée en matière de financement, la Commission peut recourir à une gestion active de la trésorerie et à des emprunts à court terme afin d’honorer les dettes de l’UE. La gestion du risque de liquidité dans le cadre de cette approche nécessite la mise en œuvre de procédures de gestion des liquidités et d’outils spécifiques afin de surveiller et de gérer ces liquidités sur une base quotidienne.</w:t>
      </w:r>
    </w:p>
    <w:p>
      <w:pPr>
        <w:pStyle w:val="DGTextstand-alone"/>
      </w:pPr>
      <w:r>
        <w:t>La Commission peut également faire appel aux ressources des États membres jusqu’à concurrence du plafond des ressources propres pour honorer les dettes de l’UE. La décision relative aux ressources propres fixe à 1,40 % du revenu national brut (RNB) des États membres le plafond des ressources propres utilisées pour couvrir les crédits annuels de paiements, et prévoit une augmentation temporaire supplémentaire de 0,6 point de pourcentage exclusivement pour NextGenerationEU. Le budget 2025 comprenait un total de ressources propres représentant 0,83 % du RNB de l’UE pour financer les dépenses. Cela signifie qu’au 31 décembre 2025, une marge disponible de 1,17 % existait pour couvrir ses passifs.</w:t>
      </w:r>
    </w:p>
    <w:p>
      <w:pPr>
        <w:pStyle w:val="DGTextstand-alone"/>
      </w:pPr>
      <w:r>
        <w:t>Enfin, les prêts consentis aux États membres au titre de l’instrument SURE sont étayés par un système de garanties volontaires constituées par les États membres, qui s’élève à 25 % du montant maximal disponible pour l’assistance financière correspondante. Avant de faire appel à ces garanties, la Commission devrait examiner la possibilité de tirer parti de la marge de crédits de paiement disponible sous le plafond des ressources propres.</w:t>
      </w:r>
    </w:p>
    <w:p>
      <w:pPr>
        <w:pStyle w:val="DGTextstand-alone"/>
      </w:pPr>
      <w:bookmarkStart w:id="240" w:name="_Hlk193809432"/>
      <w:r>
        <w:t>Les engagements de prêt non utilisés au 31 décembre 2024 concernaient principalement le prêt AMF au titre du MCPU, d’un montant de 18,1 milliards d’EUR (voir note </w:t>
      </w:r>
      <w:r>
        <w:rPr>
          <w:b/>
          <w:bCs/>
        </w:rPr>
        <w:t>2.4.1.1</w:t>
      </w:r>
      <w:r>
        <w:t>). Ce prêt a été intégralement décaissé en 2025.</w:t>
      </w:r>
    </w:p>
    <w:bookmarkEnd w:id="240"/>
    <w:p>
      <w:pPr>
        <w:pStyle w:val="HEADER5"/>
        <w:rPr>
          <w:noProof/>
        </w:rPr>
      </w:pPr>
      <w:r>
        <w:rPr>
          <w:noProof/>
        </w:rPr>
        <w:t>Trésorerie</w:t>
      </w:r>
    </w:p>
    <w:p>
      <w:pPr>
        <w:pStyle w:val="DGTextstand-alone"/>
      </w:pPr>
      <w:r>
        <w:t>Les principes budgétaires de l’UE visent à garantir que les liquidités sont toujours suffisantes pour exécuter tous les paiements d’un exercice donné.</w:t>
      </w:r>
    </w:p>
    <w:p>
      <w:pPr>
        <w:pStyle w:val="DGTextstand-alone"/>
      </w:pPr>
      <w:r>
        <w:t>L’ensemble des contributions des États membres ainsi que les recettes diverses correspondent au montant des crédits de paiement pour l’exercice budgétaire. Toutefois, les contributions des États membres sont échelonnées en douze versements mensuels au cours de l’exercice et sont fondées sur le budget adopté, tandis que les paiements sont fonction des besoins opérationnels.</w:t>
      </w:r>
    </w:p>
    <w:p>
      <w:pPr>
        <w:pStyle w:val="DGTextstand-alone"/>
      </w:pPr>
      <w:r>
        <w:t>Les contributions des États membres relatives aux budgets rectificatifs approuvés au cours d’un mois donné (N) ne sont disponibles que le premier jour ouvrable du mois N + 1 ou N + 2, tandis que les crédits de paiement correspondants sont immédiatement disponibles.</w:t>
      </w:r>
    </w:p>
    <w:p>
      <w:pPr>
        <w:pStyle w:val="DGTextstand-alone"/>
      </w:pPr>
      <w:r>
        <w:t>Des procédures de prévision régulière de trésorerie ont été mises en place pour garantir que les ressources en trésorerie disponibles sont toujours suffisantes pour couvrir les paiements à exécuter au cours d’un mois donné. Les ressources propres ou fonds supplémentaires peuvent ainsi être appelés par anticipation auprès des États membres, en cas de besoin, à concurrence de certaines limites et sous les conditions prévues par le règlement (UE, Euratom) nº 609/2014 du Conseil.</w:t>
      </w:r>
    </w:p>
    <w:p>
      <w:pPr>
        <w:pStyle w:val="DGTextstand-alone"/>
      </w:pPr>
      <w:r>
        <w:t>Outre ces procédures, des outils automatisés de gestion de trésorerie garantissent la disponibilité de liquidités suffisantes sur chacun des comptes bancaires de la Commission, dans le cadre des opérations de trésorerie quotidiennes de la Commission.</w:t>
      </w:r>
    </w:p>
    <w:p>
      <w:pPr>
        <w:pStyle w:val="HEADER5"/>
        <w:spacing w:before="240"/>
        <w:rPr>
          <w:noProof/>
        </w:rPr>
      </w:pPr>
      <w:r>
        <w:rPr>
          <w:noProof/>
        </w:rPr>
        <w:lastRenderedPageBreak/>
        <w:t>Amendes</w:t>
      </w:r>
    </w:p>
    <w:p>
      <w:pPr>
        <w:pStyle w:val="DGTextstand-alone"/>
      </w:pPr>
      <w:r>
        <w:t>Le fonds BUFI est géré de manière à maintenir un niveau de liquidité et de mobilisation suffisant pour respecter les engagements à court terme. Le portefeuille est composé de titres, pour la plupart très liquides, qui peuvent être facilement vendus en cas de sorties de trésorerie. La part de la trésorerie, des équivalents de trésorerie et des titres arrivant à échéance dans un délai d’un an est d’environ 41 %.</w:t>
      </w:r>
    </w:p>
    <w:p>
      <w:pPr>
        <w:pStyle w:val="HEADER5"/>
        <w:spacing w:before="240"/>
        <w:rPr>
          <w:noProof/>
        </w:rPr>
      </w:pPr>
      <w:r>
        <w:rPr>
          <w:noProof/>
        </w:rPr>
        <w:t>Garanties budgétaires</w:t>
      </w:r>
    </w:p>
    <w:p>
      <w:pPr>
        <w:pStyle w:val="DGTextstand-alone"/>
      </w:pPr>
      <w:r>
        <w:t>L’analyse des échéances des garanties financières de l’UE recourt à une approche prudente selon laquelle le montant maximal de la garantie donnée est attribué à la première période au cours de laquelle la garantie pourrait être appelée. Toutefois, la probabilité que l’UE soit appelée pour la totalité du montant au cours de la première période est faible et la perte attendue est souvent inférieure au plafond de la garantie. Par conséquent, le risque de liquidité doit être considéré en combinaison avec la valeur comptable des passifs liés à la garantie.</w:t>
      </w:r>
    </w:p>
    <w:p>
      <w:pPr>
        <w:pStyle w:val="DGTextstand-alone"/>
      </w:pPr>
      <w:r>
        <w:t>L’un des principaux objectifs du cadre de gestion des risques est de faire en sorte que le budget de l’UE puisse honorer ses obligations sans perturber l’exécution normale du budget. Cela implique d’atténuer le risque de liquidité lié aux garanties budgétaires, c’est-à-dire le risque de ne pas disposer des fonds suffisants pour s’acquitter des obligations de paiement en temps utile.</w:t>
      </w:r>
    </w:p>
    <w:p>
      <w:pPr>
        <w:pStyle w:val="DGTextstand-alone"/>
      </w:pPr>
      <w:r>
        <w:t>Pour faire face à ce risque, chaque garantie budgétaire est assortie d’un provisionnement suffisant versé au FCP pour assurer le paiement en temps utile des appels de garantie. L’UE surveille régulièrement l’adéquation du taux de provisionnement de chaque programme de garantie budgétaire et fait état chaque année de la question de savoir si ces montants sont suffisants pour couvrir le risque sur les cinq prochaines années avec un niveau de certitude déterminé.</w:t>
      </w:r>
    </w:p>
    <w:p>
      <w:pPr>
        <w:pStyle w:val="DGTextstand-alone"/>
      </w:pPr>
      <w:r>
        <w:t>En outre, l’UE a mis en place des procédures de sauvegarde, y compris des transferts temporaires entre les compartiments du FCP, et l’utilisation de liquidités de la trésorerie centrale afin de garantir une liquidité suffisante en cas de besoin.</w:t>
      </w:r>
    </w:p>
    <w:p>
      <w:pPr>
        <w:pStyle w:val="HEADER5"/>
        <w:keepNext/>
        <w:spacing w:before="240"/>
        <w:rPr>
          <w:noProof/>
        </w:rPr>
      </w:pPr>
      <w:r>
        <w:rPr>
          <w:noProof/>
        </w:rPr>
        <w:t>Fonds commun de provisionnement</w:t>
      </w:r>
    </w:p>
    <w:p>
      <w:pPr>
        <w:pStyle w:val="DGTextstand-alone"/>
      </w:pPr>
      <w:r>
        <w:t>Le FCP est géré de manière à garantir que ses actifs ont un degré suffisant de liquidité et de mobilisation pour respecter les engagements à court terme. Le portefeuille est composé d’actifs liquides qui peuvent être vendus facilement, si nécessaire, en cas de sorties de trésorerie. Environ 10 % du portefeuille sont constitués de trésorerie, d’équivalents de trésorerie et de titres arrivant à échéance dans un délai d’un an.</w:t>
      </w:r>
    </w:p>
    <w:p>
      <w:pPr>
        <w:pStyle w:val="DGTextstand-alone"/>
      </w:pPr>
      <w:r>
        <w:t>Les contrats dérivés font l’objet d'un règlement brut et qui dépend de leur échéance contractuelle. Si nécessaire, les obligations sont honorées par la vente d’actifs libellés en USD ou par le biais d’une opération de swap, ce qui peut entraîner une sortie de trésorerie due à des écarts de change.</w:t>
      </w:r>
    </w:p>
    <w:bookmarkEnd w:id="219"/>
    <w:p>
      <w:pPr>
        <w:pStyle w:val="HEADER5"/>
        <w:spacing w:before="240"/>
        <w:rPr>
          <w:noProof/>
          <w:lang w:val="fr-BE" w:eastAsia="en-IE"/>
        </w:rPr>
        <w:sectPr>
          <w:headerReference w:type="default" r:id="rId137"/>
          <w:footerReference w:type="default" r:id="rId138"/>
          <w:pgSz w:w="11906" w:h="16838"/>
          <w:pgMar w:top="1134" w:right="1134" w:bottom="1134" w:left="1134" w:header="709" w:footer="709" w:gutter="0"/>
          <w:cols w:space="708"/>
          <w:docGrid w:linePitch="360"/>
        </w:sectPr>
      </w:pPr>
    </w:p>
    <w:p>
      <w:pPr>
        <w:pStyle w:val="HEADER1NOTES"/>
        <w:numPr>
          <w:ilvl w:val="0"/>
          <w:numId w:val="15"/>
        </w:numPr>
        <w:rPr>
          <w:noProof/>
        </w:rPr>
      </w:pPr>
      <w:bookmarkStart w:id="241" w:name="_Toc237350939"/>
      <w:bookmarkStart w:id="242" w:name="_DMBM_36706"/>
      <w:r>
        <w:rPr>
          <w:noProof/>
        </w:rPr>
        <w:lastRenderedPageBreak/>
        <w:t>INFORMATIONS RELATIVES AUX PARTIES LIÉES</w:t>
      </w:r>
      <w:bookmarkEnd w:id="241"/>
    </w:p>
    <w:p>
      <w:pPr>
        <w:pStyle w:val="HEADER2NOTES"/>
        <w:numPr>
          <w:ilvl w:val="1"/>
          <w:numId w:val="15"/>
        </w:numPr>
        <w:rPr>
          <w:noProof/>
        </w:rPr>
      </w:pPr>
      <w:r>
        <w:rPr>
          <w:noProof/>
        </w:rPr>
        <w:t>PARTIES LIÉES</w:t>
      </w:r>
    </w:p>
    <w:p>
      <w:pPr>
        <w:pStyle w:val="DGTextstand-alone"/>
      </w:pPr>
      <w:r>
        <w:t>Les parties liées de l’UE sont les entités consolidées de l’UE, les entités associées et les principaux dirigeants de ces entités. Les transactions qui ont lieu entre ces entités sont réalisées dans le cadre des opérations normales de l’UE. Conformément aux règles comptables de l’UE, aucune information spécifique n’est exigée dans le cadre de ces transactions.</w:t>
      </w:r>
    </w:p>
    <w:p>
      <w:pPr>
        <w:pStyle w:val="HEADER2NOTES"/>
        <w:numPr>
          <w:ilvl w:val="1"/>
          <w:numId w:val="15"/>
        </w:numPr>
        <w:rPr>
          <w:noProof/>
        </w:rPr>
      </w:pPr>
      <w:r>
        <w:rPr>
          <w:noProof/>
        </w:rPr>
        <w:t>DROITS DES PRINCIPAUX DIRIGEANTS</w:t>
      </w:r>
    </w:p>
    <w:p>
      <w:pPr>
        <w:pStyle w:val="DGTextstand-alone"/>
      </w:pPr>
      <w:r>
        <w:t>Aux fins de la communication d’informations sur les transactions avec des parties liées concernant le personnel d’encadrement principal de l’UE, les intéressés sont répartis en cinq catégories:</w:t>
      </w:r>
    </w:p>
    <w:p>
      <w:pPr>
        <w:pStyle w:val="Textstand-alone"/>
      </w:pPr>
      <w:r>
        <w:rPr>
          <w:color w:val="016794"/>
        </w:rPr>
        <w:t>Catégorie 1:</w:t>
      </w:r>
      <w:r>
        <w:t xml:space="preserve"> </w:t>
      </w:r>
      <w:r>
        <w:rPr>
          <w:rStyle w:val="DGTextstand-aloneChar"/>
        </w:rPr>
        <w:t>les présidents du Conseil européen, de la Commission et de la Cour de justice de l'Union européenne.</w:t>
      </w:r>
    </w:p>
    <w:p>
      <w:pPr>
        <w:pStyle w:val="Textstand-alone"/>
      </w:pPr>
      <w:r>
        <w:rPr>
          <w:color w:val="016794"/>
        </w:rPr>
        <w:t>Catégorie 2:</w:t>
      </w:r>
      <w:r>
        <w:rPr>
          <w:rStyle w:val="DGTextstand-aloneChar"/>
        </w:rPr>
        <w:t xml:space="preserve"> le vice-président de la Commission et haut représentant de l’Union pour les affaires étrangères et la politique de sécurité, ainsi que les autres vice-présidents de la Commission.</w:t>
      </w:r>
    </w:p>
    <w:p>
      <w:pPr>
        <w:pStyle w:val="Textstand-alone"/>
      </w:pPr>
      <w:r>
        <w:rPr>
          <w:color w:val="016794"/>
        </w:rPr>
        <w:t>Catégorie 3:</w:t>
      </w:r>
      <w:r>
        <w:t xml:space="preserve"> </w:t>
      </w:r>
      <w:r>
        <w:rPr>
          <w:rStyle w:val="DGTextstand-aloneChar"/>
        </w:rPr>
        <w:t>le secrétaire général du Conseil, les membres de la Commission, les juges et avocats généraux de la Cour de justice de l’Union européenne, le président et les membres du Tribunal, le Médiateur européen et le Contrôleur européen de la protection des données.</w:t>
      </w:r>
    </w:p>
    <w:p>
      <w:pPr>
        <w:pStyle w:val="DGTextstand-alone"/>
      </w:pPr>
      <w:r>
        <w:rPr>
          <w:color w:val="016794"/>
        </w:rPr>
        <w:t>Catégorie 4:</w:t>
      </w:r>
      <w:r>
        <w:t xml:space="preserve"> le président et les membres de la Cour des comptes européenne.</w:t>
      </w:r>
    </w:p>
    <w:p>
      <w:pPr>
        <w:pStyle w:val="DGTextstand-alone"/>
      </w:pPr>
      <w:r>
        <w:rPr>
          <w:color w:val="016794"/>
        </w:rPr>
        <w:t>Catégorie 5:</w:t>
      </w:r>
      <w:r>
        <w:t xml:space="preserve"> les fonctionnaires les plus haut placés des institutions et agences.</w:t>
      </w:r>
    </w:p>
    <w:p>
      <w:pPr>
        <w:pStyle w:val="DGTextstand-alone"/>
      </w:pPr>
      <w:r>
        <w:t>Une synthèse de leurs droits est présentée ci-dessous. D’autres informations sont également disponibles dans le statut des fonctionnaires, document officiel définissant les droits et obligations des fonctionnaires de l’UE qui est publié sur le site internet Europa. Aucun prêt à taux bonifié n’a été consenti par l’UE aux principaux dirigeants.</w:t>
      </w:r>
    </w:p>
    <w:p>
      <w:pPr>
        <w:pStyle w:val="DGTextstand-alone"/>
      </w:pPr>
    </w:p>
    <w:p>
      <w:pPr>
        <w:pStyle w:val="DGTextstand-alone"/>
      </w:pPr>
    </w:p>
    <w:p>
      <w:pPr>
        <w:pStyle w:val="DGTextstand-alone"/>
      </w:pPr>
    </w:p>
    <w:p>
      <w:pPr>
        <w:pStyle w:val="DGTextstand-alone"/>
      </w:pPr>
    </w:p>
    <w:p>
      <w:pPr>
        <w:pStyle w:val="DGTextstand-alone"/>
      </w:pPr>
    </w:p>
    <w:p>
      <w:pPr>
        <w:pStyle w:val="DGTextstand-alone"/>
      </w:pPr>
    </w:p>
    <w:p>
      <w:pPr>
        <w:pStyle w:val="DGTextstand-alone"/>
      </w:pPr>
    </w:p>
    <w:p>
      <w:pPr>
        <w:pStyle w:val="DGTextstand-alone"/>
      </w:pPr>
    </w:p>
    <w:p>
      <w:pPr>
        <w:pStyle w:val="DGTextstand-alone"/>
      </w:pPr>
    </w:p>
    <w:p>
      <w:pPr>
        <w:pStyle w:val="DGTextstand-alone"/>
      </w:pPr>
    </w:p>
    <w:p>
      <w:pPr>
        <w:pStyle w:val="DGTextstand-alone"/>
      </w:pPr>
    </w:p>
    <w:p>
      <w:pPr>
        <w:pStyle w:val="DGTextstand-alone"/>
      </w:pPr>
    </w:p>
    <w:p>
      <w:pPr>
        <w:pStyle w:val="DGTextstand-alone"/>
      </w:pPr>
    </w:p>
    <w:p>
      <w:pPr>
        <w:pStyle w:val="HEADERTABLE"/>
        <w:rPr>
          <w:noProof/>
        </w:rPr>
      </w:pPr>
      <w:r>
        <w:rPr>
          <w:noProof/>
        </w:rPr>
        <w:lastRenderedPageBreak/>
        <w:t>DROITS PÉCUNIAIRES DES PRINCIPAUX DIRIGEANTS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7"/>
        <w:gridCol w:w="1271"/>
        <w:gridCol w:w="1270"/>
        <w:gridCol w:w="1270"/>
        <w:gridCol w:w="1270"/>
        <w:gridCol w:w="1270"/>
      </w:tblGrid>
      <w:tr>
        <w:trPr>
          <w:trHeight w:val="255"/>
        </w:trPr>
        <w:tc>
          <w:tcPr>
            <w:tcW w:w="3407" w:type="dxa"/>
            <w:tcBorders>
              <w:top w:val="nil"/>
              <w:left w:val="nil"/>
              <w:bottom w:val="nil"/>
              <w:right w:val="nil"/>
              <w:tl2br w:val="nil"/>
              <w:tr2bl w:val="nil"/>
            </w:tcBorders>
            <w:tcMar>
              <w:left w:w="60" w:type="dxa"/>
              <w:right w:w="60" w:type="dxa"/>
            </w:tcMar>
            <w:vAlign w:val="bottom"/>
          </w:tcPr>
          <w:p>
            <w:pPr>
              <w:pStyle w:val="DMETW36692BIPKMT"/>
              <w:rPr>
                <w:rFonts w:cs="Calibri"/>
                <w:noProof/>
                <w:color w:val="000000"/>
                <w:sz w:val="22"/>
              </w:rPr>
            </w:pPr>
            <w:bookmarkStart w:id="243" w:name="DOC_TBL00106_1_1"/>
            <w:bookmarkEnd w:id="243"/>
          </w:p>
        </w:tc>
        <w:tc>
          <w:tcPr>
            <w:tcW w:w="1271" w:type="dxa"/>
            <w:tcBorders>
              <w:top w:val="nil"/>
              <w:left w:val="nil"/>
              <w:bottom w:val="nil"/>
              <w:right w:val="nil"/>
              <w:tl2br w:val="nil"/>
              <w:tr2bl w:val="nil"/>
            </w:tcBorders>
            <w:tcMar>
              <w:left w:w="60" w:type="dxa"/>
              <w:right w:w="60" w:type="dxa"/>
            </w:tcMar>
            <w:vAlign w:val="bottom"/>
          </w:tcPr>
          <w:p>
            <w:pPr>
              <w:pStyle w:val="DMETW36692BIPKMT"/>
              <w:rPr>
                <w:rFonts w:cs="Calibri"/>
                <w:noProof/>
                <w:color w:val="000000"/>
                <w:sz w:val="22"/>
              </w:rPr>
            </w:pPr>
          </w:p>
        </w:tc>
        <w:tc>
          <w:tcPr>
            <w:tcW w:w="1270" w:type="dxa"/>
            <w:tcBorders>
              <w:top w:val="nil"/>
              <w:left w:val="nil"/>
              <w:bottom w:val="nil"/>
              <w:right w:val="nil"/>
              <w:tl2br w:val="nil"/>
              <w:tr2bl w:val="nil"/>
            </w:tcBorders>
            <w:tcMar>
              <w:left w:w="60" w:type="dxa"/>
              <w:right w:w="60" w:type="dxa"/>
            </w:tcMar>
            <w:vAlign w:val="bottom"/>
          </w:tcPr>
          <w:p>
            <w:pPr>
              <w:pStyle w:val="DMETW36692BIPKMT"/>
              <w:rPr>
                <w:rFonts w:cs="Calibri"/>
                <w:noProof/>
                <w:color w:val="000000"/>
                <w:sz w:val="22"/>
              </w:rPr>
            </w:pPr>
          </w:p>
        </w:tc>
        <w:tc>
          <w:tcPr>
            <w:tcW w:w="1270" w:type="dxa"/>
            <w:tcBorders>
              <w:top w:val="nil"/>
              <w:left w:val="nil"/>
              <w:bottom w:val="nil"/>
              <w:right w:val="nil"/>
              <w:tl2br w:val="nil"/>
              <w:tr2bl w:val="nil"/>
            </w:tcBorders>
            <w:tcMar>
              <w:left w:w="60" w:type="dxa"/>
              <w:right w:w="60" w:type="dxa"/>
            </w:tcMar>
            <w:vAlign w:val="bottom"/>
          </w:tcPr>
          <w:p>
            <w:pPr>
              <w:pStyle w:val="DMETW36692BIPKMT"/>
              <w:rPr>
                <w:rFonts w:cs="Calibri"/>
                <w:noProof/>
                <w:color w:val="000000"/>
                <w:sz w:val="22"/>
              </w:rPr>
            </w:pPr>
          </w:p>
        </w:tc>
        <w:tc>
          <w:tcPr>
            <w:tcW w:w="1270" w:type="dxa"/>
            <w:tcBorders>
              <w:top w:val="nil"/>
              <w:left w:val="nil"/>
              <w:bottom w:val="nil"/>
              <w:right w:val="nil"/>
              <w:tl2br w:val="nil"/>
              <w:tr2bl w:val="nil"/>
            </w:tcBorders>
            <w:tcMar>
              <w:left w:w="60" w:type="dxa"/>
              <w:right w:w="60" w:type="dxa"/>
            </w:tcMar>
            <w:vAlign w:val="bottom"/>
          </w:tcPr>
          <w:p>
            <w:pPr>
              <w:pStyle w:val="DMETW36692BIPKMT"/>
              <w:rPr>
                <w:rFonts w:cs="Calibri"/>
                <w:noProof/>
                <w:color w:val="000000"/>
                <w:sz w:val="22"/>
              </w:rPr>
            </w:pPr>
          </w:p>
        </w:tc>
        <w:tc>
          <w:tcPr>
            <w:tcW w:w="1270" w:type="dxa"/>
            <w:tcBorders>
              <w:top w:val="nil"/>
              <w:left w:val="nil"/>
              <w:bottom w:val="nil"/>
              <w:right w:val="nil"/>
              <w:tl2br w:val="nil"/>
              <w:tr2bl w:val="nil"/>
            </w:tcBorders>
            <w:tcMar>
              <w:left w:w="60" w:type="dxa"/>
              <w:right w:w="60" w:type="dxa"/>
            </w:tcMar>
            <w:vAlign w:val="bottom"/>
          </w:tcPr>
          <w:p>
            <w:pPr>
              <w:pStyle w:val="DMETW36692BIPKMT"/>
              <w:jc w:val="right"/>
              <w:rPr>
                <w:rFonts w:ascii="Verdana" w:eastAsia="Verdana" w:hAnsi="Verdana" w:cs="Verdana"/>
                <w:i/>
                <w:noProof/>
                <w:color w:val="000000"/>
                <w:sz w:val="16"/>
              </w:rPr>
            </w:pPr>
            <w:r>
              <w:rPr>
                <w:rFonts w:ascii="Verdana" w:hAnsi="Verdana"/>
                <w:i/>
                <w:noProof/>
                <w:color w:val="000000"/>
                <w:sz w:val="16"/>
              </w:rPr>
              <w:t>en EUR</w:t>
            </w:r>
          </w:p>
        </w:tc>
      </w:tr>
      <w:tr>
        <w:trPr>
          <w:trHeight w:val="255"/>
        </w:trPr>
        <w:tc>
          <w:tcPr>
            <w:tcW w:w="3407" w:type="dxa"/>
            <w:tcBorders>
              <w:top w:val="nil"/>
              <w:left w:val="nil"/>
              <w:bottom w:val="nil"/>
              <w:right w:val="nil"/>
              <w:tl2br w:val="nil"/>
              <w:tr2bl w:val="nil"/>
            </w:tcBorders>
            <w:shd w:val="solid" w:color="016794" w:fill="FFFFFF"/>
            <w:tcMar>
              <w:left w:w="60" w:type="dxa"/>
              <w:right w:w="60" w:type="dxa"/>
            </w:tcMar>
            <w:vAlign w:val="center"/>
          </w:tcPr>
          <w:p>
            <w:pPr>
              <w:pStyle w:val="DMETW36692BIPKMT"/>
              <w:rPr>
                <w:rFonts w:ascii="Verdana" w:eastAsia="Verdana" w:hAnsi="Verdana" w:cs="Verdana"/>
                <w:b/>
                <w:noProof/>
                <w:color w:val="FFFFFF"/>
                <w:sz w:val="16"/>
              </w:rPr>
            </w:pPr>
            <w:r>
              <w:rPr>
                <w:rFonts w:ascii="Verdana" w:hAnsi="Verdana"/>
                <w:b/>
                <w:noProof/>
                <w:color w:val="FFFFFF"/>
                <w:sz w:val="16"/>
              </w:rPr>
              <w:t>Droits individuels (par employé)</w:t>
            </w:r>
          </w:p>
        </w:tc>
        <w:tc>
          <w:tcPr>
            <w:tcW w:w="1271" w:type="dxa"/>
            <w:tcBorders>
              <w:top w:val="nil"/>
              <w:left w:val="nil"/>
              <w:bottom w:val="nil"/>
              <w:right w:val="nil"/>
              <w:tl2br w:val="nil"/>
              <w:tr2bl w:val="nil"/>
            </w:tcBorders>
            <w:shd w:val="solid" w:color="016794" w:fill="FFFFFF"/>
            <w:tcMar>
              <w:left w:w="60" w:type="dxa"/>
              <w:right w:w="60" w:type="dxa"/>
            </w:tcMar>
            <w:vAlign w:val="center"/>
          </w:tcPr>
          <w:p>
            <w:pPr>
              <w:pStyle w:val="DMETW36692BIPKMT"/>
              <w:jc w:val="right"/>
              <w:rPr>
                <w:rFonts w:ascii="Verdana" w:eastAsia="Verdana" w:hAnsi="Verdana" w:cs="Verdana"/>
                <w:b/>
                <w:noProof/>
                <w:color w:val="FFFFFF"/>
                <w:sz w:val="16"/>
              </w:rPr>
            </w:pPr>
            <w:r>
              <w:rPr>
                <w:rFonts w:ascii="Verdana" w:hAnsi="Verdana"/>
                <w:b/>
                <w:noProof/>
                <w:color w:val="FFFFFF"/>
                <w:sz w:val="16"/>
              </w:rPr>
              <w:t>Catégorie 1</w:t>
            </w:r>
          </w:p>
        </w:tc>
        <w:tc>
          <w:tcPr>
            <w:tcW w:w="1270" w:type="dxa"/>
            <w:tcBorders>
              <w:top w:val="nil"/>
              <w:left w:val="nil"/>
              <w:bottom w:val="nil"/>
              <w:right w:val="nil"/>
              <w:tl2br w:val="nil"/>
              <w:tr2bl w:val="nil"/>
            </w:tcBorders>
            <w:shd w:val="solid" w:color="016794" w:fill="FFFFFF"/>
            <w:tcMar>
              <w:left w:w="60" w:type="dxa"/>
              <w:right w:w="60" w:type="dxa"/>
            </w:tcMar>
            <w:vAlign w:val="center"/>
          </w:tcPr>
          <w:p>
            <w:pPr>
              <w:pStyle w:val="DMETW36692BIPKMT"/>
              <w:jc w:val="right"/>
              <w:rPr>
                <w:rFonts w:ascii="Verdana" w:eastAsia="Verdana" w:hAnsi="Verdana" w:cs="Verdana"/>
                <w:b/>
                <w:noProof/>
                <w:color w:val="FFFFFF"/>
                <w:sz w:val="16"/>
              </w:rPr>
            </w:pPr>
            <w:r>
              <w:rPr>
                <w:rFonts w:ascii="Verdana" w:hAnsi="Verdana"/>
                <w:b/>
                <w:noProof/>
                <w:color w:val="FFFFFF"/>
                <w:sz w:val="16"/>
              </w:rPr>
              <w:t>Catégorie 2</w:t>
            </w:r>
          </w:p>
        </w:tc>
        <w:tc>
          <w:tcPr>
            <w:tcW w:w="1270" w:type="dxa"/>
            <w:tcBorders>
              <w:top w:val="nil"/>
              <w:left w:val="nil"/>
              <w:bottom w:val="nil"/>
              <w:right w:val="nil"/>
              <w:tl2br w:val="nil"/>
              <w:tr2bl w:val="nil"/>
            </w:tcBorders>
            <w:shd w:val="solid" w:color="016794" w:fill="FFFFFF"/>
            <w:tcMar>
              <w:left w:w="60" w:type="dxa"/>
              <w:right w:w="60" w:type="dxa"/>
            </w:tcMar>
            <w:vAlign w:val="center"/>
          </w:tcPr>
          <w:p>
            <w:pPr>
              <w:pStyle w:val="DMETW36692BIPKMT"/>
              <w:jc w:val="right"/>
              <w:rPr>
                <w:rFonts w:ascii="Verdana" w:eastAsia="Verdana" w:hAnsi="Verdana" w:cs="Verdana"/>
                <w:b/>
                <w:noProof/>
                <w:color w:val="FFFFFF"/>
                <w:sz w:val="16"/>
              </w:rPr>
            </w:pPr>
            <w:r>
              <w:rPr>
                <w:rFonts w:ascii="Verdana" w:hAnsi="Verdana"/>
                <w:b/>
                <w:noProof/>
                <w:color w:val="FFFFFF"/>
                <w:sz w:val="16"/>
              </w:rPr>
              <w:t>Catégorie 3</w:t>
            </w:r>
          </w:p>
        </w:tc>
        <w:tc>
          <w:tcPr>
            <w:tcW w:w="1270" w:type="dxa"/>
            <w:tcBorders>
              <w:top w:val="nil"/>
              <w:left w:val="nil"/>
              <w:bottom w:val="nil"/>
              <w:right w:val="nil"/>
              <w:tl2br w:val="nil"/>
              <w:tr2bl w:val="nil"/>
            </w:tcBorders>
            <w:shd w:val="solid" w:color="016794" w:fill="FFFFFF"/>
            <w:tcMar>
              <w:left w:w="60" w:type="dxa"/>
              <w:right w:w="60" w:type="dxa"/>
            </w:tcMar>
            <w:vAlign w:val="center"/>
          </w:tcPr>
          <w:p>
            <w:pPr>
              <w:pStyle w:val="DMETW36692BIPKMT"/>
              <w:jc w:val="right"/>
              <w:rPr>
                <w:rFonts w:ascii="Verdana" w:eastAsia="Verdana" w:hAnsi="Verdana" w:cs="Verdana"/>
                <w:b/>
                <w:noProof/>
                <w:color w:val="FFFFFF"/>
                <w:sz w:val="16"/>
              </w:rPr>
            </w:pPr>
            <w:r>
              <w:rPr>
                <w:rFonts w:ascii="Verdana" w:hAnsi="Verdana"/>
                <w:b/>
                <w:noProof/>
                <w:color w:val="FFFFFF"/>
                <w:sz w:val="16"/>
              </w:rPr>
              <w:t>Catégorie 4</w:t>
            </w:r>
          </w:p>
        </w:tc>
        <w:tc>
          <w:tcPr>
            <w:tcW w:w="1270" w:type="dxa"/>
            <w:tcBorders>
              <w:top w:val="nil"/>
              <w:left w:val="nil"/>
              <w:bottom w:val="nil"/>
              <w:right w:val="nil"/>
              <w:tl2br w:val="nil"/>
              <w:tr2bl w:val="nil"/>
            </w:tcBorders>
            <w:shd w:val="solid" w:color="016794" w:fill="FFFFFF"/>
            <w:tcMar>
              <w:left w:w="60" w:type="dxa"/>
              <w:right w:w="60" w:type="dxa"/>
            </w:tcMar>
            <w:vAlign w:val="center"/>
          </w:tcPr>
          <w:p>
            <w:pPr>
              <w:pStyle w:val="DMETW36692BIPKMT"/>
              <w:jc w:val="right"/>
              <w:rPr>
                <w:rFonts w:ascii="Verdana" w:eastAsia="Verdana" w:hAnsi="Verdana" w:cs="Verdana"/>
                <w:b/>
                <w:noProof/>
                <w:color w:val="FFFFFF"/>
                <w:sz w:val="16"/>
              </w:rPr>
            </w:pPr>
            <w:r>
              <w:rPr>
                <w:rFonts w:ascii="Verdana" w:hAnsi="Verdana"/>
                <w:b/>
                <w:noProof/>
                <w:color w:val="FFFFFF"/>
                <w:sz w:val="16"/>
              </w:rPr>
              <w:t>Catégorie 5</w:t>
            </w:r>
          </w:p>
        </w:tc>
      </w:tr>
      <w:tr>
        <w:trPr>
          <w:trHeight w:val="255"/>
        </w:trPr>
        <w:tc>
          <w:tcPr>
            <w:tcW w:w="3407" w:type="dxa"/>
            <w:tcBorders>
              <w:top w:val="nil"/>
              <w:left w:val="nil"/>
              <w:bottom w:val="nil"/>
              <w:right w:val="nil"/>
              <w:tl2br w:val="nil"/>
              <w:tr2bl w:val="nil"/>
            </w:tcBorders>
            <w:shd w:val="solid" w:color="CCE1EA" w:fill="FFFFFF"/>
            <w:tcMar>
              <w:left w:w="60" w:type="dxa"/>
              <w:right w:w="60" w:type="dxa"/>
            </w:tcMar>
            <w:vAlign w:val="center"/>
          </w:tcPr>
          <w:p>
            <w:pPr>
              <w:pStyle w:val="DMETW36692BIPKMT"/>
              <w:rPr>
                <w:rFonts w:ascii="Verdana" w:eastAsia="Verdana" w:hAnsi="Verdana" w:cs="Verdana"/>
                <w:b/>
                <w:noProof/>
                <w:color w:val="000000"/>
                <w:sz w:val="16"/>
              </w:rPr>
            </w:pPr>
            <w:r>
              <w:rPr>
                <w:rFonts w:ascii="Verdana" w:hAnsi="Verdana"/>
                <w:b/>
                <w:noProof/>
                <w:color w:val="000000"/>
                <w:sz w:val="16"/>
              </w:rPr>
              <w:t>Traitement de base (mensuel)</w:t>
            </w:r>
          </w:p>
        </w:tc>
        <w:tc>
          <w:tcPr>
            <w:tcW w:w="1271"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35 860,91</w:t>
            </w: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32 482,71 - 33 782,02</w:t>
            </w: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25 986,17 - 29 234,44</w:t>
            </w: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28 065,06 - 29 884,10</w:t>
            </w: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16 523,41 - 25 986,17</w:t>
            </w:r>
          </w:p>
        </w:tc>
      </w:tr>
      <w:tr>
        <w:trPr>
          <w:trHeight w:val="255"/>
        </w:trPr>
        <w:tc>
          <w:tcPr>
            <w:tcW w:w="3407" w:type="dxa"/>
            <w:tcBorders>
              <w:top w:val="nil"/>
              <w:left w:val="nil"/>
              <w:bottom w:val="nil"/>
              <w:right w:val="nil"/>
              <w:tl2br w:val="nil"/>
              <w:tr2bl w:val="nil"/>
            </w:tcBorders>
            <w:tcMar>
              <w:left w:w="60" w:type="dxa"/>
              <w:right w:w="60" w:type="dxa"/>
            </w:tcMar>
            <w:vAlign w:val="center"/>
          </w:tcPr>
          <w:p>
            <w:pPr>
              <w:pStyle w:val="DMETW36692BIPKMT"/>
              <w:rPr>
                <w:rFonts w:ascii="Verdana" w:eastAsia="Verdana" w:hAnsi="Verdana" w:cs="Verdana"/>
                <w:b/>
                <w:noProof/>
                <w:color w:val="000000"/>
                <w:sz w:val="16"/>
              </w:rPr>
            </w:pPr>
          </w:p>
        </w:tc>
        <w:tc>
          <w:tcPr>
            <w:tcW w:w="1271"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lang w:bidi="en-GB"/>
              </w:rPr>
            </w:pPr>
          </w:p>
        </w:tc>
      </w:tr>
      <w:tr>
        <w:trPr>
          <w:trHeight w:val="255"/>
        </w:trPr>
        <w:tc>
          <w:tcPr>
            <w:tcW w:w="3407" w:type="dxa"/>
            <w:tcBorders>
              <w:top w:val="nil"/>
              <w:left w:val="nil"/>
              <w:bottom w:val="nil"/>
              <w:right w:val="nil"/>
              <w:tl2br w:val="nil"/>
              <w:tr2bl w:val="nil"/>
            </w:tcBorders>
            <w:shd w:val="solid" w:color="CCE1EA" w:fill="FFFFFF"/>
            <w:tcMar>
              <w:left w:w="60" w:type="dxa"/>
              <w:right w:w="60" w:type="dxa"/>
            </w:tcMar>
            <w:vAlign w:val="center"/>
          </w:tcPr>
          <w:p>
            <w:pPr>
              <w:pStyle w:val="DMETW36692BIPKMT"/>
              <w:rPr>
                <w:rFonts w:ascii="Verdana" w:eastAsia="Verdana" w:hAnsi="Verdana" w:cs="Verdana"/>
                <w:b/>
                <w:noProof/>
                <w:color w:val="000000"/>
                <w:sz w:val="16"/>
              </w:rPr>
            </w:pPr>
            <w:r>
              <w:rPr>
                <w:rFonts w:ascii="Verdana" w:hAnsi="Verdana"/>
                <w:b/>
                <w:noProof/>
                <w:color w:val="000000"/>
                <w:sz w:val="16"/>
              </w:rPr>
              <w:t xml:space="preserve">Indemnité résidentielle/d’expatriation </w:t>
            </w:r>
          </w:p>
        </w:tc>
        <w:tc>
          <w:tcPr>
            <w:tcW w:w="1271"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15 %</w:t>
            </w: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15 %</w:t>
            </w: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15 %</w:t>
            </w: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15 %</w:t>
            </w: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0-4 %-16 %</w:t>
            </w:r>
          </w:p>
        </w:tc>
      </w:tr>
      <w:tr>
        <w:trPr>
          <w:trHeight w:val="255"/>
        </w:trPr>
        <w:tc>
          <w:tcPr>
            <w:tcW w:w="3407" w:type="dxa"/>
            <w:tcBorders>
              <w:top w:val="nil"/>
              <w:left w:val="nil"/>
              <w:bottom w:val="nil"/>
              <w:right w:val="nil"/>
              <w:tl2br w:val="nil"/>
              <w:tr2bl w:val="nil"/>
            </w:tcBorders>
            <w:tcMar>
              <w:left w:w="60" w:type="dxa"/>
              <w:right w:w="60" w:type="dxa"/>
            </w:tcMar>
            <w:vAlign w:val="center"/>
          </w:tcPr>
          <w:p>
            <w:pPr>
              <w:pStyle w:val="DMETW36692BIPKMT"/>
              <w:rPr>
                <w:rFonts w:ascii="Verdana" w:eastAsia="Verdana" w:hAnsi="Verdana" w:cs="Verdana"/>
                <w:b/>
                <w:noProof/>
                <w:color w:val="000000"/>
                <w:sz w:val="16"/>
              </w:rPr>
            </w:pPr>
          </w:p>
        </w:tc>
        <w:tc>
          <w:tcPr>
            <w:tcW w:w="1271"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lang w:bidi="en-GB"/>
              </w:rPr>
            </w:pPr>
          </w:p>
        </w:tc>
      </w:tr>
      <w:tr>
        <w:trPr>
          <w:trHeight w:val="255"/>
        </w:trPr>
        <w:tc>
          <w:tcPr>
            <w:tcW w:w="3407" w:type="dxa"/>
            <w:tcBorders>
              <w:top w:val="nil"/>
              <w:left w:val="nil"/>
              <w:bottom w:val="nil"/>
              <w:right w:val="nil"/>
              <w:tl2br w:val="nil"/>
              <w:tr2bl w:val="nil"/>
            </w:tcBorders>
            <w:shd w:val="solid" w:color="CCE1EA" w:fill="FFFFFF"/>
            <w:tcMar>
              <w:left w:w="60" w:type="dxa"/>
              <w:right w:w="60" w:type="dxa"/>
            </w:tcMar>
            <w:vAlign w:val="center"/>
          </w:tcPr>
          <w:p>
            <w:pPr>
              <w:pStyle w:val="DMETW36692BIPKMT"/>
              <w:rPr>
                <w:rFonts w:ascii="Verdana" w:eastAsia="Verdana" w:hAnsi="Verdana" w:cs="Verdana"/>
                <w:b/>
                <w:noProof/>
                <w:color w:val="000000"/>
                <w:sz w:val="16"/>
              </w:rPr>
            </w:pPr>
            <w:r>
              <w:rPr>
                <w:rFonts w:ascii="Verdana" w:hAnsi="Verdana"/>
                <w:b/>
                <w:noProof/>
                <w:color w:val="000000"/>
                <w:sz w:val="16"/>
              </w:rPr>
              <w:t>Allocations familiales:</w:t>
            </w:r>
          </w:p>
        </w:tc>
        <w:tc>
          <w:tcPr>
            <w:tcW w:w="1271"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lang w:bidi="en-GB"/>
              </w:rPr>
            </w:pPr>
          </w:p>
        </w:tc>
      </w:tr>
      <w:tr>
        <w:trPr>
          <w:trHeight w:val="255"/>
        </w:trPr>
        <w:tc>
          <w:tcPr>
            <w:tcW w:w="3407" w:type="dxa"/>
            <w:tcBorders>
              <w:top w:val="nil"/>
              <w:left w:val="nil"/>
              <w:bottom w:val="nil"/>
              <w:right w:val="nil"/>
              <w:tl2br w:val="nil"/>
              <w:tr2bl w:val="nil"/>
            </w:tcBorders>
            <w:tcMar>
              <w:left w:w="60" w:type="dxa"/>
              <w:right w:w="60" w:type="dxa"/>
            </w:tcMar>
            <w:vAlign w:val="center"/>
          </w:tcPr>
          <w:p>
            <w:pPr>
              <w:pStyle w:val="DMETW36692BIPKMT"/>
              <w:rPr>
                <w:rFonts w:ascii="Verdana" w:eastAsia="Verdana" w:hAnsi="Verdana" w:cs="Verdana"/>
                <w:noProof/>
                <w:color w:val="000000"/>
                <w:sz w:val="16"/>
              </w:rPr>
            </w:pPr>
            <w:r>
              <w:rPr>
                <w:rFonts w:ascii="Verdana" w:hAnsi="Verdana"/>
                <w:noProof/>
                <w:color w:val="000000"/>
                <w:sz w:val="16"/>
              </w:rPr>
              <w:t>Foyer (% traitement)</w:t>
            </w:r>
          </w:p>
        </w:tc>
        <w:tc>
          <w:tcPr>
            <w:tcW w:w="1271"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2 % + 241,21</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2 % + 241,21</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2 % + 241,21</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2 % + 241,21</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2 % + 241,21</w:t>
            </w:r>
          </w:p>
        </w:tc>
      </w:tr>
      <w:tr>
        <w:trPr>
          <w:trHeight w:val="255"/>
        </w:trPr>
        <w:tc>
          <w:tcPr>
            <w:tcW w:w="3407" w:type="dxa"/>
            <w:tcBorders>
              <w:top w:val="nil"/>
              <w:left w:val="nil"/>
              <w:bottom w:val="nil"/>
              <w:right w:val="nil"/>
              <w:tl2br w:val="nil"/>
              <w:tr2bl w:val="nil"/>
            </w:tcBorders>
            <w:tcMar>
              <w:left w:w="60" w:type="dxa"/>
              <w:right w:w="60" w:type="dxa"/>
            </w:tcMar>
            <w:vAlign w:val="center"/>
          </w:tcPr>
          <w:p>
            <w:pPr>
              <w:pStyle w:val="DMETW36692BIPKMT"/>
              <w:rPr>
                <w:rFonts w:ascii="Verdana" w:eastAsia="Verdana" w:hAnsi="Verdana" w:cs="Verdana"/>
                <w:noProof/>
                <w:color w:val="000000"/>
                <w:sz w:val="16"/>
              </w:rPr>
            </w:pPr>
            <w:r>
              <w:rPr>
                <w:rFonts w:ascii="Verdana" w:hAnsi="Verdana"/>
                <w:noProof/>
                <w:color w:val="000000"/>
                <w:sz w:val="16"/>
              </w:rPr>
              <w:t>Enfant à charge</w:t>
            </w:r>
          </w:p>
        </w:tc>
        <w:tc>
          <w:tcPr>
            <w:tcW w:w="1271"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 xml:space="preserve"> 527,06</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 xml:space="preserve"> 527,06</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 xml:space="preserve"> 527,06</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 xml:space="preserve"> 527,06</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 xml:space="preserve"> 527,06</w:t>
            </w:r>
          </w:p>
        </w:tc>
      </w:tr>
      <w:tr>
        <w:trPr>
          <w:trHeight w:val="255"/>
        </w:trPr>
        <w:tc>
          <w:tcPr>
            <w:tcW w:w="3407" w:type="dxa"/>
            <w:tcBorders>
              <w:top w:val="nil"/>
              <w:left w:val="nil"/>
              <w:bottom w:val="nil"/>
              <w:right w:val="nil"/>
              <w:tl2br w:val="nil"/>
              <w:tr2bl w:val="nil"/>
            </w:tcBorders>
            <w:tcMar>
              <w:left w:w="60" w:type="dxa"/>
              <w:right w:w="60" w:type="dxa"/>
            </w:tcMar>
            <w:vAlign w:val="center"/>
          </w:tcPr>
          <w:p>
            <w:pPr>
              <w:pStyle w:val="DMETW36692BIPKMT"/>
              <w:rPr>
                <w:rFonts w:ascii="Verdana" w:eastAsia="Verdana" w:hAnsi="Verdana" w:cs="Verdana"/>
                <w:noProof/>
                <w:color w:val="000000"/>
                <w:sz w:val="16"/>
              </w:rPr>
            </w:pPr>
            <w:r>
              <w:rPr>
                <w:rFonts w:ascii="Verdana" w:hAnsi="Verdana"/>
                <w:noProof/>
                <w:color w:val="000000"/>
                <w:sz w:val="16"/>
              </w:rPr>
              <w:t>Allocation préscolaire</w:t>
            </w:r>
          </w:p>
        </w:tc>
        <w:tc>
          <w:tcPr>
            <w:tcW w:w="1271"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 xml:space="preserve"> 128,76</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 xml:space="preserve"> 128,76</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 xml:space="preserve"> 128,76</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 xml:space="preserve"> 128,76</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 xml:space="preserve"> 128,76</w:t>
            </w:r>
          </w:p>
        </w:tc>
      </w:tr>
      <w:tr>
        <w:trPr>
          <w:trHeight w:val="546"/>
        </w:trPr>
        <w:tc>
          <w:tcPr>
            <w:tcW w:w="3407" w:type="dxa"/>
            <w:tcBorders>
              <w:top w:val="nil"/>
              <w:left w:val="nil"/>
              <w:bottom w:val="nil"/>
              <w:right w:val="nil"/>
              <w:tl2br w:val="nil"/>
              <w:tr2bl w:val="nil"/>
            </w:tcBorders>
            <w:tcMar>
              <w:left w:w="60" w:type="dxa"/>
              <w:right w:w="60" w:type="dxa"/>
            </w:tcMar>
            <w:vAlign w:val="center"/>
          </w:tcPr>
          <w:p>
            <w:pPr>
              <w:pStyle w:val="DMETW36692BIPKMT"/>
              <w:rPr>
                <w:rFonts w:ascii="Verdana" w:eastAsia="Verdana" w:hAnsi="Verdana" w:cs="Verdana"/>
                <w:noProof/>
                <w:color w:val="000000"/>
                <w:sz w:val="16"/>
              </w:rPr>
            </w:pPr>
            <w:r>
              <w:rPr>
                <w:rFonts w:ascii="Verdana" w:hAnsi="Verdana"/>
                <w:noProof/>
                <w:color w:val="000000"/>
                <w:sz w:val="16"/>
              </w:rPr>
              <w:t>Allocation scolaire ou</w:t>
            </w:r>
          </w:p>
        </w:tc>
        <w:tc>
          <w:tcPr>
            <w:tcW w:w="1271"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 xml:space="preserve"> 357,63</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 xml:space="preserve"> 357,63</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 xml:space="preserve"> 357,63</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 xml:space="preserve"> 357,63</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 xml:space="preserve"> 357,63</w:t>
            </w:r>
          </w:p>
        </w:tc>
      </w:tr>
      <w:tr>
        <w:trPr>
          <w:trHeight w:val="255"/>
        </w:trPr>
        <w:tc>
          <w:tcPr>
            <w:tcW w:w="3407" w:type="dxa"/>
            <w:tcBorders>
              <w:top w:val="nil"/>
              <w:left w:val="nil"/>
              <w:bottom w:val="nil"/>
              <w:right w:val="nil"/>
              <w:tl2br w:val="nil"/>
              <w:tr2bl w:val="nil"/>
            </w:tcBorders>
            <w:tcMar>
              <w:left w:w="60" w:type="dxa"/>
              <w:right w:w="60" w:type="dxa"/>
            </w:tcMar>
            <w:vAlign w:val="center"/>
          </w:tcPr>
          <w:p>
            <w:pPr>
              <w:pStyle w:val="DMETW36692BIPKMT"/>
              <w:rPr>
                <w:rFonts w:ascii="Verdana" w:eastAsia="Verdana" w:hAnsi="Verdana" w:cs="Verdana"/>
                <w:noProof/>
                <w:color w:val="000000"/>
                <w:sz w:val="16"/>
              </w:rPr>
            </w:pPr>
            <w:r>
              <w:rPr>
                <w:rFonts w:ascii="Verdana" w:hAnsi="Verdana"/>
                <w:noProof/>
                <w:color w:val="000000"/>
                <w:sz w:val="16"/>
              </w:rPr>
              <w:t>éducation en dehors du lieu de travail</w:t>
            </w:r>
          </w:p>
        </w:tc>
        <w:tc>
          <w:tcPr>
            <w:tcW w:w="1271"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 xml:space="preserve"> 715,26</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 xml:space="preserve"> 715,26</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 xml:space="preserve"> 715,26</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 xml:space="preserve"> 715,26</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 xml:space="preserve"> 715,26</w:t>
            </w:r>
          </w:p>
        </w:tc>
      </w:tr>
      <w:tr>
        <w:trPr>
          <w:trHeight w:val="255"/>
        </w:trPr>
        <w:tc>
          <w:tcPr>
            <w:tcW w:w="3407" w:type="dxa"/>
            <w:tcBorders>
              <w:top w:val="nil"/>
              <w:left w:val="nil"/>
              <w:bottom w:val="nil"/>
              <w:right w:val="nil"/>
              <w:tl2br w:val="nil"/>
              <w:tr2bl w:val="nil"/>
            </w:tcBorders>
            <w:tcMar>
              <w:left w:w="60" w:type="dxa"/>
              <w:right w:w="60" w:type="dxa"/>
            </w:tcMar>
            <w:vAlign w:val="center"/>
          </w:tcPr>
          <w:p>
            <w:pPr>
              <w:pStyle w:val="DMETW36692BIPKMT"/>
              <w:rPr>
                <w:rFonts w:ascii="Verdana" w:eastAsia="Verdana" w:hAnsi="Verdana" w:cs="Verdana"/>
                <w:noProof/>
                <w:color w:val="000000"/>
                <w:sz w:val="16"/>
              </w:rPr>
            </w:pPr>
          </w:p>
        </w:tc>
        <w:tc>
          <w:tcPr>
            <w:tcW w:w="1271"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lang w:bidi="en-GB"/>
              </w:rPr>
            </w:pPr>
          </w:p>
        </w:tc>
      </w:tr>
      <w:tr>
        <w:trPr>
          <w:trHeight w:val="255"/>
        </w:trPr>
        <w:tc>
          <w:tcPr>
            <w:tcW w:w="3407" w:type="dxa"/>
            <w:tcBorders>
              <w:top w:val="nil"/>
              <w:left w:val="nil"/>
              <w:bottom w:val="nil"/>
              <w:right w:val="nil"/>
              <w:tl2br w:val="nil"/>
              <w:tr2bl w:val="nil"/>
            </w:tcBorders>
            <w:shd w:val="solid" w:color="CCE1EA" w:fill="FFFFFF"/>
            <w:tcMar>
              <w:left w:w="60" w:type="dxa"/>
              <w:right w:w="60" w:type="dxa"/>
            </w:tcMar>
            <w:vAlign w:val="center"/>
          </w:tcPr>
          <w:p>
            <w:pPr>
              <w:pStyle w:val="DMETW36692BIPKMT"/>
              <w:rPr>
                <w:rFonts w:ascii="Verdana" w:eastAsia="Verdana" w:hAnsi="Verdana" w:cs="Verdana"/>
                <w:b/>
                <w:noProof/>
                <w:color w:val="000000"/>
                <w:sz w:val="16"/>
              </w:rPr>
            </w:pPr>
            <w:r>
              <w:rPr>
                <w:rFonts w:ascii="Verdana" w:hAnsi="Verdana"/>
                <w:b/>
                <w:noProof/>
                <w:color w:val="000000"/>
                <w:sz w:val="16"/>
              </w:rPr>
              <w:t>Indemnité des juges présidents</w:t>
            </w:r>
          </w:p>
        </w:tc>
        <w:tc>
          <w:tcPr>
            <w:tcW w:w="1271"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s.o.</w:t>
            </w: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s.o.</w:t>
            </w: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1 111,04</w:t>
            </w: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s.o.</w:t>
            </w: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s.o.</w:t>
            </w:r>
          </w:p>
        </w:tc>
      </w:tr>
      <w:tr>
        <w:trPr>
          <w:trHeight w:val="255"/>
        </w:trPr>
        <w:tc>
          <w:tcPr>
            <w:tcW w:w="3407" w:type="dxa"/>
            <w:tcBorders>
              <w:top w:val="nil"/>
              <w:left w:val="nil"/>
              <w:bottom w:val="nil"/>
              <w:right w:val="nil"/>
              <w:tl2br w:val="nil"/>
              <w:tr2bl w:val="nil"/>
            </w:tcBorders>
            <w:tcMar>
              <w:left w:w="60" w:type="dxa"/>
              <w:right w:w="60" w:type="dxa"/>
            </w:tcMar>
            <w:vAlign w:val="center"/>
          </w:tcPr>
          <w:p>
            <w:pPr>
              <w:pStyle w:val="DMETW36692BIPKMT"/>
              <w:rPr>
                <w:rFonts w:ascii="Verdana" w:eastAsia="Verdana" w:hAnsi="Verdana" w:cs="Verdana"/>
                <w:noProof/>
                <w:color w:val="000000"/>
                <w:sz w:val="16"/>
              </w:rPr>
            </w:pPr>
          </w:p>
        </w:tc>
        <w:tc>
          <w:tcPr>
            <w:tcW w:w="1271"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lang w:bidi="en-GB"/>
              </w:rPr>
            </w:pPr>
          </w:p>
        </w:tc>
      </w:tr>
      <w:tr>
        <w:trPr>
          <w:trHeight w:val="255"/>
        </w:trPr>
        <w:tc>
          <w:tcPr>
            <w:tcW w:w="3407" w:type="dxa"/>
            <w:tcBorders>
              <w:top w:val="nil"/>
              <w:left w:val="nil"/>
              <w:bottom w:val="nil"/>
              <w:right w:val="nil"/>
              <w:tl2br w:val="nil"/>
              <w:tr2bl w:val="nil"/>
            </w:tcBorders>
            <w:shd w:val="solid" w:color="CCE1EA" w:fill="FFFFFF"/>
            <w:tcMar>
              <w:left w:w="60" w:type="dxa"/>
              <w:right w:w="60" w:type="dxa"/>
            </w:tcMar>
            <w:vAlign w:val="center"/>
          </w:tcPr>
          <w:p>
            <w:pPr>
              <w:pStyle w:val="DMETW36692BIPKMT"/>
              <w:rPr>
                <w:rFonts w:ascii="Verdana" w:eastAsia="Verdana" w:hAnsi="Verdana" w:cs="Verdana"/>
                <w:b/>
                <w:noProof/>
                <w:color w:val="000000"/>
                <w:sz w:val="16"/>
              </w:rPr>
            </w:pPr>
            <w:r>
              <w:rPr>
                <w:rFonts w:ascii="Verdana" w:hAnsi="Verdana"/>
                <w:b/>
                <w:noProof/>
                <w:color w:val="000000"/>
                <w:sz w:val="16"/>
              </w:rPr>
              <w:t>Indemnité de représentation</w:t>
            </w:r>
          </w:p>
        </w:tc>
        <w:tc>
          <w:tcPr>
            <w:tcW w:w="1271"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1 943,34</w:t>
            </w: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1 248,97</w:t>
            </w: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 xml:space="preserve"> 832,83</w:t>
            </w: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s.o.</w:t>
            </w: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s.o.</w:t>
            </w:r>
          </w:p>
        </w:tc>
      </w:tr>
      <w:tr>
        <w:trPr>
          <w:trHeight w:val="255"/>
        </w:trPr>
        <w:tc>
          <w:tcPr>
            <w:tcW w:w="3407" w:type="dxa"/>
            <w:tcBorders>
              <w:top w:val="nil"/>
              <w:left w:val="nil"/>
              <w:bottom w:val="nil"/>
              <w:right w:val="nil"/>
              <w:tl2br w:val="nil"/>
              <w:tr2bl w:val="nil"/>
            </w:tcBorders>
            <w:tcMar>
              <w:left w:w="60" w:type="dxa"/>
              <w:right w:w="60" w:type="dxa"/>
            </w:tcMar>
            <w:vAlign w:val="center"/>
          </w:tcPr>
          <w:p>
            <w:pPr>
              <w:pStyle w:val="DMETW36692BIPKMT"/>
              <w:rPr>
                <w:rFonts w:ascii="Verdana" w:eastAsia="Verdana" w:hAnsi="Verdana" w:cs="Verdana"/>
                <w:noProof/>
                <w:color w:val="000000"/>
                <w:sz w:val="16"/>
              </w:rPr>
            </w:pPr>
          </w:p>
        </w:tc>
        <w:tc>
          <w:tcPr>
            <w:tcW w:w="1271"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lang w:bidi="en-GB"/>
              </w:rPr>
            </w:pPr>
          </w:p>
        </w:tc>
      </w:tr>
      <w:tr>
        <w:trPr>
          <w:trHeight w:val="255"/>
        </w:trPr>
        <w:tc>
          <w:tcPr>
            <w:tcW w:w="3407" w:type="dxa"/>
            <w:tcBorders>
              <w:top w:val="nil"/>
              <w:left w:val="nil"/>
              <w:bottom w:val="nil"/>
              <w:right w:val="nil"/>
              <w:tl2br w:val="nil"/>
              <w:tr2bl w:val="nil"/>
            </w:tcBorders>
            <w:shd w:val="solid" w:color="CCE1EA" w:fill="FFFFFF"/>
            <w:tcMar>
              <w:left w:w="60" w:type="dxa"/>
              <w:right w:w="60" w:type="dxa"/>
            </w:tcMar>
            <w:vAlign w:val="center"/>
          </w:tcPr>
          <w:p>
            <w:pPr>
              <w:pStyle w:val="DMETW36692BIPKMT"/>
              <w:rPr>
                <w:rFonts w:ascii="Verdana" w:eastAsia="Verdana" w:hAnsi="Verdana" w:cs="Verdana"/>
                <w:b/>
                <w:noProof/>
                <w:color w:val="000000"/>
                <w:sz w:val="16"/>
              </w:rPr>
            </w:pPr>
            <w:r>
              <w:rPr>
                <w:rFonts w:ascii="Verdana" w:hAnsi="Verdana"/>
                <w:b/>
                <w:noProof/>
                <w:color w:val="000000"/>
                <w:sz w:val="16"/>
              </w:rPr>
              <w:t>Frais de voyage annuels</w:t>
            </w:r>
          </w:p>
        </w:tc>
        <w:tc>
          <w:tcPr>
            <w:tcW w:w="1271"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s.o.</w:t>
            </w: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s.o.</w:t>
            </w: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s.o.</w:t>
            </w: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s.o.</w:t>
            </w: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Remboursés</w:t>
            </w:r>
          </w:p>
        </w:tc>
      </w:tr>
      <w:tr>
        <w:trPr>
          <w:trHeight w:val="255"/>
        </w:trPr>
        <w:tc>
          <w:tcPr>
            <w:tcW w:w="3407" w:type="dxa"/>
            <w:tcBorders>
              <w:top w:val="nil"/>
              <w:left w:val="nil"/>
              <w:bottom w:val="nil"/>
              <w:right w:val="nil"/>
              <w:tl2br w:val="nil"/>
              <w:tr2bl w:val="nil"/>
            </w:tcBorders>
            <w:tcMar>
              <w:left w:w="60" w:type="dxa"/>
              <w:right w:w="60" w:type="dxa"/>
            </w:tcMar>
            <w:vAlign w:val="center"/>
          </w:tcPr>
          <w:p>
            <w:pPr>
              <w:pStyle w:val="DMETW36692BIPKMT"/>
              <w:rPr>
                <w:rFonts w:ascii="Verdana" w:eastAsia="Verdana" w:hAnsi="Verdana" w:cs="Verdana"/>
                <w:noProof/>
                <w:color w:val="000000"/>
                <w:sz w:val="16"/>
              </w:rPr>
            </w:pPr>
          </w:p>
        </w:tc>
        <w:tc>
          <w:tcPr>
            <w:tcW w:w="1271"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lang w:bidi="en-GB"/>
              </w:rPr>
            </w:pPr>
          </w:p>
        </w:tc>
      </w:tr>
      <w:tr>
        <w:trPr>
          <w:trHeight w:val="255"/>
        </w:trPr>
        <w:tc>
          <w:tcPr>
            <w:tcW w:w="3407" w:type="dxa"/>
            <w:tcBorders>
              <w:top w:val="nil"/>
              <w:left w:val="nil"/>
              <w:bottom w:val="nil"/>
              <w:right w:val="nil"/>
              <w:tl2br w:val="nil"/>
              <w:tr2bl w:val="nil"/>
            </w:tcBorders>
            <w:shd w:val="solid" w:color="CCE1EA" w:fill="FFFFFF"/>
            <w:tcMar>
              <w:left w:w="60" w:type="dxa"/>
              <w:right w:w="60" w:type="dxa"/>
            </w:tcMar>
            <w:vAlign w:val="center"/>
          </w:tcPr>
          <w:p>
            <w:pPr>
              <w:pStyle w:val="DMETW36692BIPKMT"/>
              <w:rPr>
                <w:rFonts w:ascii="Verdana" w:eastAsia="Verdana" w:hAnsi="Verdana" w:cs="Verdana"/>
                <w:b/>
                <w:noProof/>
                <w:color w:val="000000"/>
                <w:sz w:val="16"/>
              </w:rPr>
            </w:pPr>
            <w:r>
              <w:rPr>
                <w:rFonts w:ascii="Verdana" w:hAnsi="Verdana"/>
                <w:b/>
                <w:noProof/>
                <w:color w:val="000000"/>
                <w:sz w:val="16"/>
              </w:rPr>
              <w:t>Transferts vers un autre État membre:</w:t>
            </w:r>
          </w:p>
        </w:tc>
        <w:tc>
          <w:tcPr>
            <w:tcW w:w="1271"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lang w:bidi="en-GB"/>
              </w:rPr>
            </w:pPr>
          </w:p>
        </w:tc>
      </w:tr>
      <w:tr>
        <w:trPr>
          <w:trHeight w:val="255"/>
        </w:trPr>
        <w:tc>
          <w:tcPr>
            <w:tcW w:w="3407" w:type="dxa"/>
            <w:tcBorders>
              <w:top w:val="nil"/>
              <w:left w:val="nil"/>
              <w:bottom w:val="nil"/>
              <w:right w:val="nil"/>
              <w:tl2br w:val="nil"/>
              <w:tr2bl w:val="nil"/>
            </w:tcBorders>
            <w:tcMar>
              <w:left w:w="60" w:type="dxa"/>
              <w:right w:w="60" w:type="dxa"/>
            </w:tcMar>
            <w:vAlign w:val="center"/>
          </w:tcPr>
          <w:p>
            <w:pPr>
              <w:pStyle w:val="DMETW36692BIPKMT"/>
              <w:rPr>
                <w:rFonts w:ascii="Verdana" w:eastAsia="Verdana" w:hAnsi="Verdana" w:cs="Verdana"/>
                <w:noProof/>
                <w:color w:val="000000"/>
                <w:sz w:val="16"/>
              </w:rPr>
            </w:pPr>
            <w:r>
              <w:rPr>
                <w:rFonts w:ascii="Verdana" w:hAnsi="Verdana"/>
                <w:noProof/>
                <w:color w:val="000000"/>
                <w:sz w:val="16"/>
              </w:rPr>
              <w:t>Allocation scolaire*</w:t>
            </w:r>
          </w:p>
        </w:tc>
        <w:tc>
          <w:tcPr>
            <w:tcW w:w="1271" w:type="dxa"/>
            <w:tcBorders>
              <w:top w:val="nil"/>
              <w:left w:val="nil"/>
              <w:bottom w:val="nil"/>
              <w:right w:val="nil"/>
              <w:tl2br w:val="nil"/>
              <w:tr2bl w:val="nil"/>
            </w:tcBorders>
            <w:shd w:val="solid" w:color="FFFFFF"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Oui</w:t>
            </w:r>
          </w:p>
        </w:tc>
        <w:tc>
          <w:tcPr>
            <w:tcW w:w="1270" w:type="dxa"/>
            <w:tcBorders>
              <w:top w:val="nil"/>
              <w:left w:val="nil"/>
              <w:bottom w:val="nil"/>
              <w:right w:val="nil"/>
              <w:tl2br w:val="nil"/>
              <w:tr2bl w:val="nil"/>
            </w:tcBorders>
            <w:shd w:val="solid" w:color="FFFFFF"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Oui</w:t>
            </w:r>
          </w:p>
        </w:tc>
        <w:tc>
          <w:tcPr>
            <w:tcW w:w="1270" w:type="dxa"/>
            <w:tcBorders>
              <w:top w:val="nil"/>
              <w:left w:val="nil"/>
              <w:bottom w:val="nil"/>
              <w:right w:val="nil"/>
              <w:tl2br w:val="nil"/>
              <w:tr2bl w:val="nil"/>
            </w:tcBorders>
            <w:shd w:val="solid" w:color="FFFFFF"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Oui</w:t>
            </w:r>
          </w:p>
        </w:tc>
        <w:tc>
          <w:tcPr>
            <w:tcW w:w="1270" w:type="dxa"/>
            <w:tcBorders>
              <w:top w:val="nil"/>
              <w:left w:val="nil"/>
              <w:bottom w:val="nil"/>
              <w:right w:val="nil"/>
              <w:tl2br w:val="nil"/>
              <w:tr2bl w:val="nil"/>
            </w:tcBorders>
            <w:shd w:val="solid" w:color="FFFFFF"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Oui</w:t>
            </w:r>
          </w:p>
        </w:tc>
        <w:tc>
          <w:tcPr>
            <w:tcW w:w="1270" w:type="dxa"/>
            <w:tcBorders>
              <w:top w:val="nil"/>
              <w:left w:val="nil"/>
              <w:bottom w:val="nil"/>
              <w:right w:val="nil"/>
              <w:tl2br w:val="nil"/>
              <w:tr2bl w:val="nil"/>
            </w:tcBorders>
            <w:shd w:val="solid" w:color="FFFFFF"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Oui</w:t>
            </w:r>
          </w:p>
        </w:tc>
      </w:tr>
      <w:tr>
        <w:trPr>
          <w:trHeight w:val="255"/>
        </w:trPr>
        <w:tc>
          <w:tcPr>
            <w:tcW w:w="3407" w:type="dxa"/>
            <w:tcBorders>
              <w:top w:val="nil"/>
              <w:left w:val="nil"/>
              <w:bottom w:val="nil"/>
              <w:right w:val="nil"/>
              <w:tl2br w:val="nil"/>
              <w:tr2bl w:val="nil"/>
            </w:tcBorders>
            <w:tcMar>
              <w:left w:w="60" w:type="dxa"/>
              <w:right w:w="60" w:type="dxa"/>
            </w:tcMar>
            <w:vAlign w:val="center"/>
          </w:tcPr>
          <w:p>
            <w:pPr>
              <w:pStyle w:val="DMETW36692BIPKMT"/>
              <w:rPr>
                <w:rFonts w:ascii="Verdana" w:eastAsia="Verdana" w:hAnsi="Verdana" w:cs="Verdana"/>
                <w:noProof/>
                <w:color w:val="000000"/>
                <w:sz w:val="16"/>
              </w:rPr>
            </w:pPr>
            <w:r>
              <w:rPr>
                <w:rFonts w:ascii="Verdana" w:hAnsi="Verdana"/>
                <w:noProof/>
                <w:color w:val="000000"/>
                <w:sz w:val="16"/>
              </w:rPr>
              <w:t>% du traitement*</w:t>
            </w:r>
          </w:p>
        </w:tc>
        <w:tc>
          <w:tcPr>
            <w:tcW w:w="1271" w:type="dxa"/>
            <w:tcBorders>
              <w:top w:val="nil"/>
              <w:left w:val="nil"/>
              <w:bottom w:val="nil"/>
              <w:right w:val="nil"/>
              <w:tl2br w:val="nil"/>
              <w:tr2bl w:val="nil"/>
            </w:tcBorders>
            <w:shd w:val="solid" w:color="FFFFFF"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5 %</w:t>
            </w:r>
          </w:p>
        </w:tc>
        <w:tc>
          <w:tcPr>
            <w:tcW w:w="1270" w:type="dxa"/>
            <w:tcBorders>
              <w:top w:val="nil"/>
              <w:left w:val="nil"/>
              <w:bottom w:val="nil"/>
              <w:right w:val="nil"/>
              <w:tl2br w:val="nil"/>
              <w:tr2bl w:val="nil"/>
            </w:tcBorders>
            <w:shd w:val="solid" w:color="FFFFFF"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5 %</w:t>
            </w:r>
          </w:p>
        </w:tc>
        <w:tc>
          <w:tcPr>
            <w:tcW w:w="1270" w:type="dxa"/>
            <w:tcBorders>
              <w:top w:val="nil"/>
              <w:left w:val="nil"/>
              <w:bottom w:val="nil"/>
              <w:right w:val="nil"/>
              <w:tl2br w:val="nil"/>
              <w:tr2bl w:val="nil"/>
            </w:tcBorders>
            <w:shd w:val="solid" w:color="FFFFFF"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5 %</w:t>
            </w:r>
          </w:p>
        </w:tc>
        <w:tc>
          <w:tcPr>
            <w:tcW w:w="1270" w:type="dxa"/>
            <w:tcBorders>
              <w:top w:val="nil"/>
              <w:left w:val="nil"/>
              <w:bottom w:val="nil"/>
              <w:right w:val="nil"/>
              <w:tl2br w:val="nil"/>
              <w:tr2bl w:val="nil"/>
            </w:tcBorders>
            <w:shd w:val="solid" w:color="FFFFFF"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5 %</w:t>
            </w:r>
          </w:p>
        </w:tc>
        <w:tc>
          <w:tcPr>
            <w:tcW w:w="1270" w:type="dxa"/>
            <w:tcBorders>
              <w:top w:val="nil"/>
              <w:left w:val="nil"/>
              <w:bottom w:val="nil"/>
              <w:right w:val="nil"/>
              <w:tl2br w:val="nil"/>
              <w:tr2bl w:val="nil"/>
            </w:tcBorders>
            <w:shd w:val="solid" w:color="FFFFFF"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5 %</w:t>
            </w:r>
          </w:p>
        </w:tc>
      </w:tr>
      <w:tr>
        <w:trPr>
          <w:trHeight w:val="255"/>
        </w:trPr>
        <w:tc>
          <w:tcPr>
            <w:tcW w:w="3407" w:type="dxa"/>
            <w:tcBorders>
              <w:top w:val="nil"/>
              <w:left w:val="nil"/>
              <w:bottom w:val="nil"/>
              <w:right w:val="nil"/>
              <w:tl2br w:val="nil"/>
              <w:tr2bl w:val="nil"/>
            </w:tcBorders>
            <w:tcMar>
              <w:left w:w="60" w:type="dxa"/>
              <w:right w:w="60" w:type="dxa"/>
            </w:tcMar>
            <w:vAlign w:val="center"/>
          </w:tcPr>
          <w:p>
            <w:pPr>
              <w:pStyle w:val="DMETW36692BIPKMT"/>
              <w:rPr>
                <w:rFonts w:ascii="Verdana" w:eastAsia="Verdana" w:hAnsi="Verdana" w:cs="Verdana"/>
                <w:noProof/>
                <w:color w:val="000000"/>
                <w:sz w:val="16"/>
              </w:rPr>
            </w:pPr>
            <w:r>
              <w:rPr>
                <w:rFonts w:ascii="Verdana" w:hAnsi="Verdana"/>
                <w:noProof/>
                <w:color w:val="000000"/>
                <w:sz w:val="16"/>
              </w:rPr>
              <w:t>% du traitement sans cc</w:t>
            </w:r>
          </w:p>
        </w:tc>
        <w:tc>
          <w:tcPr>
            <w:tcW w:w="1271" w:type="dxa"/>
            <w:tcBorders>
              <w:top w:val="nil"/>
              <w:left w:val="nil"/>
              <w:bottom w:val="nil"/>
              <w:right w:val="nil"/>
              <w:tl2br w:val="nil"/>
              <w:tr2bl w:val="nil"/>
            </w:tcBorders>
            <w:shd w:val="solid" w:color="FFFFFF"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max. 25 %</w:t>
            </w:r>
          </w:p>
        </w:tc>
        <w:tc>
          <w:tcPr>
            <w:tcW w:w="1270" w:type="dxa"/>
            <w:tcBorders>
              <w:top w:val="nil"/>
              <w:left w:val="nil"/>
              <w:bottom w:val="nil"/>
              <w:right w:val="nil"/>
              <w:tl2br w:val="nil"/>
              <w:tr2bl w:val="nil"/>
            </w:tcBorders>
            <w:shd w:val="solid" w:color="FFFFFF"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max. 25 %</w:t>
            </w:r>
          </w:p>
        </w:tc>
        <w:tc>
          <w:tcPr>
            <w:tcW w:w="1270" w:type="dxa"/>
            <w:tcBorders>
              <w:top w:val="nil"/>
              <w:left w:val="nil"/>
              <w:bottom w:val="nil"/>
              <w:right w:val="nil"/>
              <w:tl2br w:val="nil"/>
              <w:tr2bl w:val="nil"/>
            </w:tcBorders>
            <w:shd w:val="solid" w:color="FFFFFF"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max. 25 %</w:t>
            </w:r>
          </w:p>
        </w:tc>
        <w:tc>
          <w:tcPr>
            <w:tcW w:w="1270" w:type="dxa"/>
            <w:tcBorders>
              <w:top w:val="nil"/>
              <w:left w:val="nil"/>
              <w:bottom w:val="nil"/>
              <w:right w:val="nil"/>
              <w:tl2br w:val="nil"/>
              <w:tr2bl w:val="nil"/>
            </w:tcBorders>
            <w:shd w:val="solid" w:color="FFFFFF"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max. 25 %</w:t>
            </w:r>
          </w:p>
        </w:tc>
        <w:tc>
          <w:tcPr>
            <w:tcW w:w="1270" w:type="dxa"/>
            <w:tcBorders>
              <w:top w:val="nil"/>
              <w:left w:val="nil"/>
              <w:bottom w:val="nil"/>
              <w:right w:val="nil"/>
              <w:tl2br w:val="nil"/>
              <w:tr2bl w:val="nil"/>
            </w:tcBorders>
            <w:shd w:val="solid" w:color="FFFFFF"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max. 25 %</w:t>
            </w:r>
          </w:p>
        </w:tc>
      </w:tr>
      <w:tr>
        <w:trPr>
          <w:trHeight w:val="255"/>
        </w:trPr>
        <w:tc>
          <w:tcPr>
            <w:tcW w:w="3407" w:type="dxa"/>
            <w:tcBorders>
              <w:top w:val="nil"/>
              <w:left w:val="nil"/>
              <w:bottom w:val="nil"/>
              <w:right w:val="nil"/>
              <w:tl2br w:val="nil"/>
              <w:tr2bl w:val="nil"/>
            </w:tcBorders>
            <w:tcMar>
              <w:left w:w="60" w:type="dxa"/>
              <w:right w:w="60" w:type="dxa"/>
            </w:tcMar>
            <w:vAlign w:val="center"/>
          </w:tcPr>
          <w:p>
            <w:pPr>
              <w:pStyle w:val="DMETW36692BIPKMT"/>
              <w:rPr>
                <w:rFonts w:ascii="Verdana" w:eastAsia="Verdana" w:hAnsi="Verdana" w:cs="Verdana"/>
                <w:noProof/>
                <w:color w:val="000000"/>
                <w:sz w:val="16"/>
              </w:rPr>
            </w:pPr>
          </w:p>
        </w:tc>
        <w:tc>
          <w:tcPr>
            <w:tcW w:w="1271"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lang w:bidi="en-GB"/>
              </w:rPr>
            </w:pPr>
          </w:p>
        </w:tc>
      </w:tr>
      <w:tr>
        <w:trPr>
          <w:trHeight w:val="255"/>
        </w:trPr>
        <w:tc>
          <w:tcPr>
            <w:tcW w:w="3407" w:type="dxa"/>
            <w:tcBorders>
              <w:top w:val="nil"/>
              <w:left w:val="nil"/>
              <w:bottom w:val="nil"/>
              <w:right w:val="nil"/>
              <w:tl2br w:val="nil"/>
              <w:tr2bl w:val="nil"/>
            </w:tcBorders>
            <w:shd w:val="solid" w:color="CCE1EA" w:fill="FFFFFF"/>
            <w:tcMar>
              <w:left w:w="60" w:type="dxa"/>
              <w:right w:w="60" w:type="dxa"/>
            </w:tcMar>
            <w:vAlign w:val="center"/>
          </w:tcPr>
          <w:p>
            <w:pPr>
              <w:pStyle w:val="DMETW36692BIPKMT"/>
              <w:rPr>
                <w:rFonts w:ascii="Verdana" w:eastAsia="Verdana" w:hAnsi="Verdana" w:cs="Verdana"/>
                <w:b/>
                <w:noProof/>
                <w:color w:val="000000"/>
                <w:sz w:val="16"/>
              </w:rPr>
            </w:pPr>
            <w:r>
              <w:rPr>
                <w:rFonts w:ascii="Verdana" w:hAnsi="Verdana"/>
                <w:b/>
                <w:noProof/>
                <w:color w:val="000000"/>
                <w:sz w:val="16"/>
              </w:rPr>
              <w:t>Frais de représentation</w:t>
            </w:r>
          </w:p>
        </w:tc>
        <w:tc>
          <w:tcPr>
            <w:tcW w:w="1271"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Remboursés</w:t>
            </w: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Remboursés</w:t>
            </w: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Remboursés</w:t>
            </w: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s.o.</w:t>
            </w: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s.o.</w:t>
            </w:r>
          </w:p>
        </w:tc>
      </w:tr>
      <w:tr>
        <w:trPr>
          <w:trHeight w:val="255"/>
        </w:trPr>
        <w:tc>
          <w:tcPr>
            <w:tcW w:w="3407" w:type="dxa"/>
            <w:tcBorders>
              <w:top w:val="nil"/>
              <w:left w:val="nil"/>
              <w:bottom w:val="nil"/>
              <w:right w:val="nil"/>
              <w:tl2br w:val="nil"/>
              <w:tr2bl w:val="nil"/>
            </w:tcBorders>
            <w:tcMar>
              <w:left w:w="60" w:type="dxa"/>
              <w:right w:w="60" w:type="dxa"/>
            </w:tcMar>
            <w:vAlign w:val="center"/>
          </w:tcPr>
          <w:p>
            <w:pPr>
              <w:pStyle w:val="DMETW36692BIPKMT"/>
              <w:rPr>
                <w:rFonts w:ascii="Verdana" w:eastAsia="Verdana" w:hAnsi="Verdana" w:cs="Verdana"/>
                <w:noProof/>
                <w:color w:val="000000"/>
                <w:sz w:val="16"/>
              </w:rPr>
            </w:pPr>
          </w:p>
        </w:tc>
        <w:tc>
          <w:tcPr>
            <w:tcW w:w="1271"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lang w:bidi="en-GB"/>
              </w:rPr>
            </w:pPr>
          </w:p>
        </w:tc>
      </w:tr>
      <w:tr>
        <w:trPr>
          <w:trHeight w:val="255"/>
        </w:trPr>
        <w:tc>
          <w:tcPr>
            <w:tcW w:w="3407" w:type="dxa"/>
            <w:tcBorders>
              <w:top w:val="nil"/>
              <w:left w:val="nil"/>
              <w:bottom w:val="nil"/>
              <w:right w:val="nil"/>
              <w:tl2br w:val="nil"/>
              <w:tr2bl w:val="nil"/>
            </w:tcBorders>
            <w:shd w:val="solid" w:color="CCE1EA" w:fill="FFFFFF"/>
            <w:tcMar>
              <w:left w:w="60" w:type="dxa"/>
              <w:right w:w="60" w:type="dxa"/>
            </w:tcMar>
            <w:vAlign w:val="center"/>
          </w:tcPr>
          <w:p>
            <w:pPr>
              <w:pStyle w:val="DMETW36692BIPKMT"/>
              <w:rPr>
                <w:rFonts w:ascii="Verdana" w:eastAsia="Verdana" w:hAnsi="Verdana" w:cs="Verdana"/>
                <w:b/>
                <w:noProof/>
                <w:color w:val="000000"/>
                <w:sz w:val="16"/>
              </w:rPr>
            </w:pPr>
            <w:r>
              <w:rPr>
                <w:rFonts w:ascii="Verdana" w:hAnsi="Verdana"/>
                <w:b/>
                <w:noProof/>
                <w:color w:val="000000"/>
                <w:sz w:val="16"/>
              </w:rPr>
              <w:t>Entrée en fonction:</w:t>
            </w:r>
          </w:p>
        </w:tc>
        <w:tc>
          <w:tcPr>
            <w:tcW w:w="1271"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lang w:bidi="en-GB"/>
              </w:rPr>
            </w:pPr>
          </w:p>
        </w:tc>
      </w:tr>
      <w:tr>
        <w:trPr>
          <w:trHeight w:val="255"/>
        </w:trPr>
        <w:tc>
          <w:tcPr>
            <w:tcW w:w="3407" w:type="dxa"/>
            <w:tcBorders>
              <w:top w:val="nil"/>
              <w:left w:val="nil"/>
              <w:bottom w:val="nil"/>
              <w:right w:val="nil"/>
              <w:tl2br w:val="nil"/>
              <w:tr2bl w:val="nil"/>
            </w:tcBorders>
            <w:tcMar>
              <w:left w:w="60" w:type="dxa"/>
              <w:right w:w="60" w:type="dxa"/>
            </w:tcMar>
            <w:vAlign w:val="center"/>
          </w:tcPr>
          <w:p>
            <w:pPr>
              <w:pStyle w:val="DMETW36692BIPKMT"/>
              <w:rPr>
                <w:rFonts w:ascii="Verdana" w:eastAsia="Verdana" w:hAnsi="Verdana" w:cs="Verdana"/>
                <w:noProof/>
                <w:color w:val="000000"/>
                <w:sz w:val="16"/>
              </w:rPr>
            </w:pPr>
            <w:r>
              <w:rPr>
                <w:rFonts w:ascii="Verdana" w:hAnsi="Verdana"/>
                <w:noProof/>
                <w:color w:val="000000"/>
                <w:sz w:val="16"/>
              </w:rPr>
              <w:t>Frais d’installation</w:t>
            </w:r>
          </w:p>
        </w:tc>
        <w:tc>
          <w:tcPr>
            <w:tcW w:w="1271"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71 721,82</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64 965,42 - 67 564,04</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51 972,34 - 58 468,88</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56 130,12 - 59 768,20</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Remboursés</w:t>
            </w:r>
          </w:p>
        </w:tc>
      </w:tr>
      <w:tr>
        <w:trPr>
          <w:trHeight w:val="255"/>
        </w:trPr>
        <w:tc>
          <w:tcPr>
            <w:tcW w:w="3407" w:type="dxa"/>
            <w:tcBorders>
              <w:top w:val="nil"/>
              <w:left w:val="nil"/>
              <w:bottom w:val="nil"/>
              <w:right w:val="nil"/>
              <w:tl2br w:val="nil"/>
              <w:tr2bl w:val="nil"/>
            </w:tcBorders>
            <w:shd w:val="solid" w:color="FFFFFF" w:fill="FFFFFF"/>
            <w:tcMar>
              <w:left w:w="60" w:type="dxa"/>
              <w:right w:w="60" w:type="dxa"/>
            </w:tcMar>
            <w:vAlign w:val="center"/>
          </w:tcPr>
          <w:p>
            <w:pPr>
              <w:pStyle w:val="DMETW36692BIPKMT"/>
              <w:rPr>
                <w:rFonts w:ascii="Verdana" w:eastAsia="Verdana" w:hAnsi="Verdana" w:cs="Verdana"/>
                <w:noProof/>
                <w:color w:val="000000"/>
                <w:sz w:val="16"/>
              </w:rPr>
            </w:pPr>
            <w:r>
              <w:rPr>
                <w:rFonts w:ascii="Verdana" w:hAnsi="Verdana"/>
                <w:noProof/>
                <w:color w:val="000000"/>
                <w:sz w:val="16"/>
              </w:rPr>
              <w:t>Frais de voyage de la famille</w:t>
            </w:r>
          </w:p>
        </w:tc>
        <w:tc>
          <w:tcPr>
            <w:tcW w:w="1271" w:type="dxa"/>
            <w:tcBorders>
              <w:top w:val="nil"/>
              <w:left w:val="nil"/>
              <w:bottom w:val="nil"/>
              <w:right w:val="nil"/>
              <w:tl2br w:val="nil"/>
              <w:tr2bl w:val="nil"/>
            </w:tcBorders>
            <w:shd w:val="solid" w:color="FFFFFF"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Remboursés</w:t>
            </w:r>
          </w:p>
        </w:tc>
        <w:tc>
          <w:tcPr>
            <w:tcW w:w="1270" w:type="dxa"/>
            <w:tcBorders>
              <w:top w:val="nil"/>
              <w:left w:val="nil"/>
              <w:bottom w:val="nil"/>
              <w:right w:val="nil"/>
              <w:tl2br w:val="nil"/>
              <w:tr2bl w:val="nil"/>
            </w:tcBorders>
            <w:shd w:val="solid" w:color="FFFFFF"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Remboursés</w:t>
            </w:r>
          </w:p>
        </w:tc>
        <w:tc>
          <w:tcPr>
            <w:tcW w:w="1270" w:type="dxa"/>
            <w:tcBorders>
              <w:top w:val="nil"/>
              <w:left w:val="nil"/>
              <w:bottom w:val="nil"/>
              <w:right w:val="nil"/>
              <w:tl2br w:val="nil"/>
              <w:tr2bl w:val="nil"/>
            </w:tcBorders>
            <w:shd w:val="solid" w:color="FFFFFF"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Remboursés</w:t>
            </w:r>
          </w:p>
        </w:tc>
        <w:tc>
          <w:tcPr>
            <w:tcW w:w="1270" w:type="dxa"/>
            <w:tcBorders>
              <w:top w:val="nil"/>
              <w:left w:val="nil"/>
              <w:bottom w:val="nil"/>
              <w:right w:val="nil"/>
              <w:tl2br w:val="nil"/>
              <w:tr2bl w:val="nil"/>
            </w:tcBorders>
            <w:shd w:val="solid" w:color="FFFFFF"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Remboursés</w:t>
            </w:r>
          </w:p>
        </w:tc>
        <w:tc>
          <w:tcPr>
            <w:tcW w:w="1270" w:type="dxa"/>
            <w:tcBorders>
              <w:top w:val="nil"/>
              <w:left w:val="nil"/>
              <w:bottom w:val="nil"/>
              <w:right w:val="nil"/>
              <w:tl2br w:val="nil"/>
              <w:tr2bl w:val="nil"/>
            </w:tcBorders>
            <w:shd w:val="solid" w:color="FFFFFF"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Remboursés</w:t>
            </w:r>
          </w:p>
        </w:tc>
      </w:tr>
      <w:tr>
        <w:trPr>
          <w:trHeight w:val="255"/>
        </w:trPr>
        <w:tc>
          <w:tcPr>
            <w:tcW w:w="3407" w:type="dxa"/>
            <w:tcBorders>
              <w:top w:val="nil"/>
              <w:left w:val="nil"/>
              <w:bottom w:val="nil"/>
              <w:right w:val="nil"/>
              <w:tl2br w:val="nil"/>
              <w:tr2bl w:val="nil"/>
            </w:tcBorders>
            <w:shd w:val="solid" w:color="FFFFFF" w:fill="FFFFFF"/>
            <w:tcMar>
              <w:left w:w="60" w:type="dxa"/>
              <w:right w:w="60" w:type="dxa"/>
            </w:tcMar>
            <w:vAlign w:val="center"/>
          </w:tcPr>
          <w:p>
            <w:pPr>
              <w:pStyle w:val="DMETW36692BIPKMT"/>
              <w:rPr>
                <w:rFonts w:ascii="Verdana" w:eastAsia="Verdana" w:hAnsi="Verdana" w:cs="Verdana"/>
                <w:noProof/>
                <w:color w:val="000000"/>
                <w:sz w:val="16"/>
              </w:rPr>
            </w:pPr>
            <w:r>
              <w:rPr>
                <w:rFonts w:ascii="Verdana" w:hAnsi="Verdana"/>
                <w:noProof/>
                <w:color w:val="000000"/>
                <w:sz w:val="16"/>
              </w:rPr>
              <w:t>Frais de déménagement</w:t>
            </w:r>
          </w:p>
        </w:tc>
        <w:tc>
          <w:tcPr>
            <w:tcW w:w="1271" w:type="dxa"/>
            <w:tcBorders>
              <w:top w:val="nil"/>
              <w:left w:val="nil"/>
              <w:bottom w:val="nil"/>
              <w:right w:val="nil"/>
              <w:tl2br w:val="nil"/>
              <w:tr2bl w:val="nil"/>
            </w:tcBorders>
            <w:shd w:val="solid" w:color="FFFFFF"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Remboursés</w:t>
            </w:r>
          </w:p>
        </w:tc>
        <w:tc>
          <w:tcPr>
            <w:tcW w:w="1270" w:type="dxa"/>
            <w:tcBorders>
              <w:top w:val="nil"/>
              <w:left w:val="nil"/>
              <w:bottom w:val="nil"/>
              <w:right w:val="nil"/>
              <w:tl2br w:val="nil"/>
              <w:tr2bl w:val="nil"/>
            </w:tcBorders>
            <w:shd w:val="solid" w:color="FFFFFF"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Remboursés</w:t>
            </w:r>
          </w:p>
        </w:tc>
        <w:tc>
          <w:tcPr>
            <w:tcW w:w="1270" w:type="dxa"/>
            <w:tcBorders>
              <w:top w:val="nil"/>
              <w:left w:val="nil"/>
              <w:bottom w:val="nil"/>
              <w:right w:val="nil"/>
              <w:tl2br w:val="nil"/>
              <w:tr2bl w:val="nil"/>
            </w:tcBorders>
            <w:shd w:val="solid" w:color="FFFFFF"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Remboursés</w:t>
            </w:r>
          </w:p>
        </w:tc>
        <w:tc>
          <w:tcPr>
            <w:tcW w:w="1270" w:type="dxa"/>
            <w:tcBorders>
              <w:top w:val="nil"/>
              <w:left w:val="nil"/>
              <w:bottom w:val="nil"/>
              <w:right w:val="nil"/>
              <w:tl2br w:val="nil"/>
              <w:tr2bl w:val="nil"/>
            </w:tcBorders>
            <w:shd w:val="solid" w:color="FFFFFF"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Remboursés</w:t>
            </w:r>
          </w:p>
        </w:tc>
        <w:tc>
          <w:tcPr>
            <w:tcW w:w="1270" w:type="dxa"/>
            <w:tcBorders>
              <w:top w:val="nil"/>
              <w:left w:val="nil"/>
              <w:bottom w:val="nil"/>
              <w:right w:val="nil"/>
              <w:tl2br w:val="nil"/>
              <w:tr2bl w:val="nil"/>
            </w:tcBorders>
            <w:shd w:val="solid" w:color="FFFFFF"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Remboursés</w:t>
            </w:r>
          </w:p>
        </w:tc>
      </w:tr>
      <w:tr>
        <w:trPr>
          <w:trHeight w:val="255"/>
        </w:trPr>
        <w:tc>
          <w:tcPr>
            <w:tcW w:w="3407" w:type="dxa"/>
            <w:tcBorders>
              <w:top w:val="nil"/>
              <w:left w:val="nil"/>
              <w:bottom w:val="nil"/>
              <w:right w:val="nil"/>
              <w:tl2br w:val="nil"/>
              <w:tr2bl w:val="nil"/>
            </w:tcBorders>
            <w:tcMar>
              <w:left w:w="60" w:type="dxa"/>
              <w:right w:w="60" w:type="dxa"/>
            </w:tcMar>
            <w:vAlign w:val="center"/>
          </w:tcPr>
          <w:p>
            <w:pPr>
              <w:pStyle w:val="DMETW36692BIPKMT"/>
              <w:rPr>
                <w:rFonts w:ascii="Verdana" w:eastAsia="Verdana" w:hAnsi="Verdana" w:cs="Verdana"/>
                <w:noProof/>
                <w:color w:val="000000"/>
                <w:sz w:val="16"/>
              </w:rPr>
            </w:pPr>
          </w:p>
        </w:tc>
        <w:tc>
          <w:tcPr>
            <w:tcW w:w="1271"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lang w:bidi="en-GB"/>
              </w:rPr>
            </w:pPr>
          </w:p>
        </w:tc>
      </w:tr>
      <w:tr>
        <w:trPr>
          <w:trHeight w:val="255"/>
        </w:trPr>
        <w:tc>
          <w:tcPr>
            <w:tcW w:w="3407" w:type="dxa"/>
            <w:tcBorders>
              <w:top w:val="nil"/>
              <w:left w:val="nil"/>
              <w:bottom w:val="nil"/>
              <w:right w:val="nil"/>
              <w:tl2br w:val="nil"/>
              <w:tr2bl w:val="nil"/>
            </w:tcBorders>
            <w:shd w:val="solid" w:color="CCE1EA" w:fill="FFFFFF"/>
            <w:tcMar>
              <w:left w:w="60" w:type="dxa"/>
              <w:right w:w="60" w:type="dxa"/>
            </w:tcMar>
            <w:vAlign w:val="center"/>
          </w:tcPr>
          <w:p>
            <w:pPr>
              <w:pStyle w:val="DMETW36692BIPKMT"/>
              <w:rPr>
                <w:rFonts w:ascii="Verdana" w:eastAsia="Verdana" w:hAnsi="Verdana" w:cs="Verdana"/>
                <w:b/>
                <w:noProof/>
                <w:color w:val="000000"/>
                <w:sz w:val="16"/>
              </w:rPr>
            </w:pPr>
            <w:r>
              <w:rPr>
                <w:rFonts w:ascii="Verdana" w:hAnsi="Verdana"/>
                <w:b/>
                <w:noProof/>
                <w:color w:val="000000"/>
                <w:sz w:val="16"/>
              </w:rPr>
              <w:t>Cessation de fonctions:</w:t>
            </w:r>
          </w:p>
        </w:tc>
        <w:tc>
          <w:tcPr>
            <w:tcW w:w="1271"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lang w:bidi="en-GB"/>
              </w:rPr>
            </w:pPr>
          </w:p>
        </w:tc>
      </w:tr>
      <w:tr>
        <w:trPr>
          <w:trHeight w:val="255"/>
        </w:trPr>
        <w:tc>
          <w:tcPr>
            <w:tcW w:w="3407" w:type="dxa"/>
            <w:tcBorders>
              <w:top w:val="nil"/>
              <w:left w:val="nil"/>
              <w:bottom w:val="nil"/>
              <w:right w:val="nil"/>
              <w:tl2br w:val="nil"/>
              <w:tr2bl w:val="nil"/>
            </w:tcBorders>
            <w:tcMar>
              <w:left w:w="60" w:type="dxa"/>
              <w:right w:w="60" w:type="dxa"/>
            </w:tcMar>
            <w:vAlign w:val="center"/>
          </w:tcPr>
          <w:p>
            <w:pPr>
              <w:pStyle w:val="DMETW36692BIPKMT"/>
              <w:rPr>
                <w:rFonts w:ascii="Verdana" w:eastAsia="Verdana" w:hAnsi="Verdana" w:cs="Verdana"/>
                <w:noProof/>
                <w:color w:val="000000"/>
                <w:sz w:val="16"/>
              </w:rPr>
            </w:pPr>
            <w:r>
              <w:rPr>
                <w:rFonts w:ascii="Verdana" w:hAnsi="Verdana"/>
                <w:noProof/>
                <w:color w:val="000000"/>
                <w:sz w:val="16"/>
              </w:rPr>
              <w:t>Frais de réinstallation</w:t>
            </w:r>
          </w:p>
        </w:tc>
        <w:tc>
          <w:tcPr>
            <w:tcW w:w="1271"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35 860,91</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32 482,71 - 33 782,02</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25 986,17 - 29 234,44</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28 065,06 - 29 884,10</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Remboursés</w:t>
            </w:r>
          </w:p>
        </w:tc>
      </w:tr>
      <w:tr>
        <w:trPr>
          <w:trHeight w:val="255"/>
        </w:trPr>
        <w:tc>
          <w:tcPr>
            <w:tcW w:w="3407" w:type="dxa"/>
            <w:tcBorders>
              <w:top w:val="nil"/>
              <w:left w:val="nil"/>
              <w:bottom w:val="nil"/>
              <w:right w:val="nil"/>
              <w:tl2br w:val="nil"/>
              <w:tr2bl w:val="nil"/>
            </w:tcBorders>
            <w:tcMar>
              <w:left w:w="60" w:type="dxa"/>
              <w:right w:w="60" w:type="dxa"/>
            </w:tcMar>
            <w:vAlign w:val="center"/>
          </w:tcPr>
          <w:p>
            <w:pPr>
              <w:pStyle w:val="DMETW36692BIPKMT"/>
              <w:rPr>
                <w:rFonts w:ascii="Verdana" w:eastAsia="Verdana" w:hAnsi="Verdana" w:cs="Verdana"/>
                <w:noProof/>
                <w:color w:val="000000"/>
                <w:sz w:val="16"/>
              </w:rPr>
            </w:pPr>
            <w:r>
              <w:rPr>
                <w:rFonts w:ascii="Verdana" w:hAnsi="Verdana"/>
                <w:noProof/>
                <w:color w:val="000000"/>
                <w:sz w:val="16"/>
              </w:rPr>
              <w:t>Frais de voyage de la famille</w:t>
            </w:r>
          </w:p>
        </w:tc>
        <w:tc>
          <w:tcPr>
            <w:tcW w:w="1271"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Remboursés</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Remboursés</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Remboursés</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Remboursés</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Remboursés</w:t>
            </w:r>
          </w:p>
        </w:tc>
      </w:tr>
      <w:tr>
        <w:trPr>
          <w:trHeight w:val="255"/>
        </w:trPr>
        <w:tc>
          <w:tcPr>
            <w:tcW w:w="3407" w:type="dxa"/>
            <w:tcBorders>
              <w:top w:val="nil"/>
              <w:left w:val="nil"/>
              <w:bottom w:val="nil"/>
              <w:right w:val="nil"/>
              <w:tl2br w:val="nil"/>
              <w:tr2bl w:val="nil"/>
            </w:tcBorders>
            <w:tcMar>
              <w:left w:w="60" w:type="dxa"/>
              <w:right w:w="60" w:type="dxa"/>
            </w:tcMar>
            <w:vAlign w:val="center"/>
          </w:tcPr>
          <w:p>
            <w:pPr>
              <w:pStyle w:val="DMETW36692BIPKMT"/>
              <w:rPr>
                <w:rFonts w:ascii="Verdana" w:eastAsia="Verdana" w:hAnsi="Verdana" w:cs="Verdana"/>
                <w:noProof/>
                <w:color w:val="000000"/>
                <w:sz w:val="16"/>
              </w:rPr>
            </w:pPr>
            <w:r>
              <w:rPr>
                <w:rFonts w:ascii="Verdana" w:hAnsi="Verdana"/>
                <w:noProof/>
                <w:color w:val="000000"/>
                <w:sz w:val="16"/>
              </w:rPr>
              <w:t>Frais de déménagement</w:t>
            </w:r>
          </w:p>
        </w:tc>
        <w:tc>
          <w:tcPr>
            <w:tcW w:w="1271"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Remboursés</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Remboursés</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Remboursés</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Remboursés</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Remboursés</w:t>
            </w:r>
          </w:p>
        </w:tc>
      </w:tr>
      <w:tr>
        <w:trPr>
          <w:trHeight w:val="255"/>
        </w:trPr>
        <w:tc>
          <w:tcPr>
            <w:tcW w:w="3407" w:type="dxa"/>
            <w:tcBorders>
              <w:top w:val="nil"/>
              <w:left w:val="nil"/>
              <w:bottom w:val="nil"/>
              <w:right w:val="nil"/>
              <w:tl2br w:val="nil"/>
              <w:tr2bl w:val="nil"/>
            </w:tcBorders>
            <w:tcMar>
              <w:left w:w="60" w:type="dxa"/>
              <w:right w:w="60" w:type="dxa"/>
            </w:tcMar>
            <w:vAlign w:val="center"/>
          </w:tcPr>
          <w:p>
            <w:pPr>
              <w:pStyle w:val="DMETW36692BIPKMT"/>
              <w:rPr>
                <w:rFonts w:ascii="Verdana" w:eastAsia="Verdana" w:hAnsi="Verdana" w:cs="Verdana"/>
                <w:noProof/>
                <w:color w:val="000000"/>
                <w:sz w:val="16"/>
              </w:rPr>
            </w:pPr>
            <w:r>
              <w:rPr>
                <w:rFonts w:ascii="Verdana" w:hAnsi="Verdana"/>
                <w:noProof/>
                <w:color w:val="000000"/>
                <w:sz w:val="16"/>
              </w:rPr>
              <w:t>Transition (% du traitement)**</w:t>
            </w:r>
          </w:p>
        </w:tc>
        <w:tc>
          <w:tcPr>
            <w:tcW w:w="1271"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40 % - 65 %</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40 % - 65 %</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40 % - 65 %</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40 % - 65 %</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s.o.</w:t>
            </w:r>
          </w:p>
        </w:tc>
      </w:tr>
      <w:tr>
        <w:trPr>
          <w:trHeight w:val="255"/>
        </w:trPr>
        <w:tc>
          <w:tcPr>
            <w:tcW w:w="3407" w:type="dxa"/>
            <w:tcBorders>
              <w:top w:val="nil"/>
              <w:left w:val="nil"/>
              <w:bottom w:val="nil"/>
              <w:right w:val="nil"/>
              <w:tl2br w:val="nil"/>
              <w:tr2bl w:val="nil"/>
            </w:tcBorders>
            <w:tcMar>
              <w:left w:w="60" w:type="dxa"/>
              <w:right w:w="60" w:type="dxa"/>
            </w:tcMar>
            <w:vAlign w:val="center"/>
          </w:tcPr>
          <w:p>
            <w:pPr>
              <w:pStyle w:val="DMETW36692BIPKMT"/>
              <w:rPr>
                <w:rFonts w:ascii="Verdana" w:eastAsia="Verdana" w:hAnsi="Verdana" w:cs="Verdana"/>
                <w:noProof/>
                <w:color w:val="000000"/>
                <w:sz w:val="16"/>
              </w:rPr>
            </w:pPr>
            <w:r>
              <w:rPr>
                <w:rFonts w:ascii="Verdana" w:hAnsi="Verdana"/>
                <w:noProof/>
                <w:color w:val="000000"/>
                <w:sz w:val="16"/>
              </w:rPr>
              <w:t>Assurance maladie</w:t>
            </w:r>
          </w:p>
        </w:tc>
        <w:tc>
          <w:tcPr>
            <w:tcW w:w="1271"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Couverts</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Couverts</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Couverts</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Couverts</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Couverts</w:t>
            </w:r>
          </w:p>
        </w:tc>
      </w:tr>
      <w:tr>
        <w:trPr>
          <w:trHeight w:val="255"/>
        </w:trPr>
        <w:tc>
          <w:tcPr>
            <w:tcW w:w="3407" w:type="dxa"/>
            <w:tcBorders>
              <w:top w:val="nil"/>
              <w:left w:val="nil"/>
              <w:bottom w:val="nil"/>
              <w:right w:val="nil"/>
              <w:tl2br w:val="nil"/>
              <w:tr2bl w:val="nil"/>
            </w:tcBorders>
            <w:tcMar>
              <w:left w:w="60" w:type="dxa"/>
              <w:right w:w="60" w:type="dxa"/>
            </w:tcMar>
            <w:vAlign w:val="center"/>
          </w:tcPr>
          <w:p>
            <w:pPr>
              <w:pStyle w:val="DMETW36692BIPKMT"/>
              <w:rPr>
                <w:rFonts w:ascii="Verdana" w:eastAsia="Verdana" w:hAnsi="Verdana" w:cs="Verdana"/>
                <w:noProof/>
                <w:color w:val="000000"/>
                <w:sz w:val="16"/>
              </w:rPr>
            </w:pPr>
          </w:p>
        </w:tc>
        <w:tc>
          <w:tcPr>
            <w:tcW w:w="1271"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lang w:bidi="en-GB"/>
              </w:rPr>
            </w:pPr>
          </w:p>
        </w:tc>
      </w:tr>
      <w:tr>
        <w:trPr>
          <w:trHeight w:val="255"/>
        </w:trPr>
        <w:tc>
          <w:tcPr>
            <w:tcW w:w="3407" w:type="dxa"/>
            <w:tcBorders>
              <w:top w:val="nil"/>
              <w:left w:val="nil"/>
              <w:bottom w:val="nil"/>
              <w:right w:val="nil"/>
              <w:tl2br w:val="nil"/>
              <w:tr2bl w:val="nil"/>
            </w:tcBorders>
            <w:shd w:val="solid" w:color="CCE1EA" w:fill="FFFFFF"/>
            <w:tcMar>
              <w:left w:w="60" w:type="dxa"/>
              <w:right w:w="60" w:type="dxa"/>
            </w:tcMar>
            <w:vAlign w:val="center"/>
          </w:tcPr>
          <w:p>
            <w:pPr>
              <w:pStyle w:val="DMETW36692BIPKMT"/>
              <w:rPr>
                <w:rFonts w:ascii="Verdana" w:eastAsia="Verdana" w:hAnsi="Verdana" w:cs="Verdana"/>
                <w:b/>
                <w:noProof/>
                <w:color w:val="000000"/>
                <w:sz w:val="16"/>
              </w:rPr>
            </w:pPr>
            <w:r>
              <w:rPr>
                <w:rFonts w:ascii="Verdana" w:hAnsi="Verdana"/>
                <w:b/>
                <w:noProof/>
                <w:color w:val="000000"/>
                <w:sz w:val="16"/>
              </w:rPr>
              <w:t>Pension (% traitement, avant impôts)</w:t>
            </w:r>
          </w:p>
        </w:tc>
        <w:tc>
          <w:tcPr>
            <w:tcW w:w="1271"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max. 70 %</w:t>
            </w: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max. 70 %</w:t>
            </w: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max. 70 %</w:t>
            </w: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max. 70 %</w:t>
            </w: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max. 70 %</w:t>
            </w:r>
          </w:p>
        </w:tc>
      </w:tr>
      <w:tr>
        <w:trPr>
          <w:trHeight w:val="255"/>
        </w:trPr>
        <w:tc>
          <w:tcPr>
            <w:tcW w:w="3407" w:type="dxa"/>
            <w:tcBorders>
              <w:top w:val="nil"/>
              <w:left w:val="nil"/>
              <w:bottom w:val="nil"/>
              <w:right w:val="nil"/>
              <w:tl2br w:val="nil"/>
              <w:tr2bl w:val="nil"/>
            </w:tcBorders>
            <w:shd w:val="solid" w:color="CCE1EA" w:fill="FFFFFF"/>
            <w:tcMar>
              <w:left w:w="60" w:type="dxa"/>
              <w:right w:w="60" w:type="dxa"/>
            </w:tcMar>
            <w:vAlign w:val="center"/>
          </w:tcPr>
          <w:p>
            <w:pPr>
              <w:pStyle w:val="DMETW36692BIPKMT"/>
              <w:rPr>
                <w:rFonts w:ascii="Verdana" w:eastAsia="Verdana" w:hAnsi="Verdana" w:cs="Verdana"/>
                <w:b/>
                <w:noProof/>
                <w:color w:val="000000"/>
                <w:sz w:val="16"/>
              </w:rPr>
            </w:pPr>
          </w:p>
        </w:tc>
        <w:tc>
          <w:tcPr>
            <w:tcW w:w="1271"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lang w:bidi="en-GB"/>
              </w:rPr>
            </w:pPr>
          </w:p>
        </w:tc>
      </w:tr>
      <w:tr>
        <w:trPr>
          <w:trHeight w:val="255"/>
        </w:trPr>
        <w:tc>
          <w:tcPr>
            <w:tcW w:w="3407" w:type="dxa"/>
            <w:tcBorders>
              <w:top w:val="nil"/>
              <w:left w:val="nil"/>
              <w:bottom w:val="nil"/>
              <w:right w:val="nil"/>
              <w:tl2br w:val="nil"/>
              <w:tr2bl w:val="nil"/>
            </w:tcBorders>
            <w:shd w:val="solid" w:color="CCE1EA" w:fill="FFFFFF"/>
            <w:tcMar>
              <w:left w:w="60" w:type="dxa"/>
              <w:right w:w="60" w:type="dxa"/>
            </w:tcMar>
            <w:vAlign w:val="center"/>
          </w:tcPr>
          <w:p>
            <w:pPr>
              <w:pStyle w:val="DMETW36692BIPKMT"/>
              <w:rPr>
                <w:rFonts w:ascii="Verdana" w:eastAsia="Verdana" w:hAnsi="Verdana" w:cs="Verdana"/>
                <w:b/>
                <w:noProof/>
                <w:color w:val="000000"/>
                <w:sz w:val="16"/>
              </w:rPr>
            </w:pPr>
            <w:r>
              <w:rPr>
                <w:rFonts w:ascii="Verdana" w:hAnsi="Verdana"/>
                <w:b/>
                <w:noProof/>
                <w:color w:val="000000"/>
                <w:sz w:val="16"/>
              </w:rPr>
              <w:t>Déductions:</w:t>
            </w:r>
          </w:p>
        </w:tc>
        <w:tc>
          <w:tcPr>
            <w:tcW w:w="1271"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lang w:bidi="en-GB"/>
              </w:rPr>
            </w:pPr>
          </w:p>
        </w:tc>
      </w:tr>
      <w:tr>
        <w:trPr>
          <w:trHeight w:val="255"/>
        </w:trPr>
        <w:tc>
          <w:tcPr>
            <w:tcW w:w="3407" w:type="dxa"/>
            <w:tcBorders>
              <w:top w:val="nil"/>
              <w:left w:val="nil"/>
              <w:bottom w:val="nil"/>
              <w:right w:val="nil"/>
              <w:tl2br w:val="nil"/>
              <w:tr2bl w:val="nil"/>
            </w:tcBorders>
            <w:tcMar>
              <w:left w:w="60" w:type="dxa"/>
              <w:right w:w="60" w:type="dxa"/>
            </w:tcMar>
            <w:vAlign w:val="center"/>
          </w:tcPr>
          <w:p>
            <w:pPr>
              <w:pStyle w:val="DMETW36692BIPKMT"/>
              <w:rPr>
                <w:rFonts w:ascii="Verdana" w:eastAsia="Verdana" w:hAnsi="Verdana" w:cs="Verdana"/>
                <w:noProof/>
                <w:color w:val="000000"/>
                <w:sz w:val="16"/>
              </w:rPr>
            </w:pPr>
            <w:r>
              <w:rPr>
                <w:rFonts w:ascii="Verdana" w:hAnsi="Verdana"/>
                <w:noProof/>
                <w:color w:val="000000"/>
                <w:sz w:val="16"/>
              </w:rPr>
              <w:t>Impôt de l’Union</w:t>
            </w:r>
          </w:p>
        </w:tc>
        <w:tc>
          <w:tcPr>
            <w:tcW w:w="1271"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8 % - 45 %</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8 % - 45 %</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8 % - 45 %</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8 % - 45 %</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8 % - 45 %</w:t>
            </w:r>
          </w:p>
        </w:tc>
      </w:tr>
      <w:tr>
        <w:trPr>
          <w:trHeight w:val="255"/>
        </w:trPr>
        <w:tc>
          <w:tcPr>
            <w:tcW w:w="3407" w:type="dxa"/>
            <w:tcBorders>
              <w:top w:val="nil"/>
              <w:left w:val="nil"/>
              <w:bottom w:val="nil"/>
              <w:right w:val="nil"/>
              <w:tl2br w:val="nil"/>
              <w:tr2bl w:val="nil"/>
            </w:tcBorders>
            <w:tcMar>
              <w:left w:w="60" w:type="dxa"/>
              <w:right w:w="60" w:type="dxa"/>
            </w:tcMar>
            <w:vAlign w:val="center"/>
          </w:tcPr>
          <w:p>
            <w:pPr>
              <w:pStyle w:val="DMETW36692BIPKMT"/>
              <w:rPr>
                <w:rFonts w:ascii="Verdana" w:eastAsia="Verdana" w:hAnsi="Verdana" w:cs="Verdana"/>
                <w:noProof/>
                <w:color w:val="000000"/>
                <w:sz w:val="16"/>
              </w:rPr>
            </w:pPr>
            <w:r>
              <w:rPr>
                <w:rFonts w:ascii="Verdana" w:hAnsi="Verdana"/>
                <w:noProof/>
                <w:color w:val="000000"/>
                <w:sz w:val="16"/>
              </w:rPr>
              <w:t>Assurance maladie (% du traitement)</w:t>
            </w:r>
          </w:p>
        </w:tc>
        <w:tc>
          <w:tcPr>
            <w:tcW w:w="1271"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1,7 %</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1,7 %</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1,7 %</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1,7 %</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1,7 %</w:t>
            </w:r>
          </w:p>
        </w:tc>
      </w:tr>
      <w:tr>
        <w:trPr>
          <w:trHeight w:val="255"/>
        </w:trPr>
        <w:tc>
          <w:tcPr>
            <w:tcW w:w="3407" w:type="dxa"/>
            <w:tcBorders>
              <w:top w:val="nil"/>
              <w:left w:val="nil"/>
              <w:bottom w:val="nil"/>
              <w:right w:val="nil"/>
              <w:tl2br w:val="nil"/>
              <w:tr2bl w:val="nil"/>
            </w:tcBorders>
            <w:shd w:val="solid" w:color="FFFFFF" w:fill="FFFFFF"/>
            <w:tcMar>
              <w:left w:w="60" w:type="dxa"/>
              <w:right w:w="60" w:type="dxa"/>
            </w:tcMar>
            <w:vAlign w:val="center"/>
          </w:tcPr>
          <w:p>
            <w:pPr>
              <w:pStyle w:val="DMETW36692BIPKMT"/>
              <w:rPr>
                <w:rFonts w:ascii="Verdana" w:eastAsia="Verdana" w:hAnsi="Verdana" w:cs="Verdana"/>
                <w:noProof/>
                <w:color w:val="000000"/>
                <w:sz w:val="16"/>
              </w:rPr>
            </w:pPr>
            <w:r>
              <w:rPr>
                <w:rFonts w:ascii="Verdana" w:hAnsi="Verdana"/>
                <w:noProof/>
                <w:color w:val="000000"/>
                <w:sz w:val="16"/>
              </w:rPr>
              <w:t>Prélèvement spécial sur le traitement</w:t>
            </w:r>
          </w:p>
        </w:tc>
        <w:tc>
          <w:tcPr>
            <w:tcW w:w="1271" w:type="dxa"/>
            <w:tcBorders>
              <w:top w:val="nil"/>
              <w:left w:val="nil"/>
              <w:bottom w:val="nil"/>
              <w:right w:val="nil"/>
              <w:tl2br w:val="nil"/>
              <w:tr2bl w:val="nil"/>
            </w:tcBorders>
            <w:shd w:val="solid" w:color="FFFFFF"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7 %</w:t>
            </w:r>
          </w:p>
        </w:tc>
        <w:tc>
          <w:tcPr>
            <w:tcW w:w="1270" w:type="dxa"/>
            <w:tcBorders>
              <w:top w:val="nil"/>
              <w:left w:val="nil"/>
              <w:bottom w:val="nil"/>
              <w:right w:val="nil"/>
              <w:tl2br w:val="nil"/>
              <w:tr2bl w:val="nil"/>
            </w:tcBorders>
            <w:shd w:val="solid" w:color="FFFFFF"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7 %</w:t>
            </w:r>
          </w:p>
        </w:tc>
        <w:tc>
          <w:tcPr>
            <w:tcW w:w="1270" w:type="dxa"/>
            <w:tcBorders>
              <w:top w:val="nil"/>
              <w:left w:val="nil"/>
              <w:bottom w:val="nil"/>
              <w:right w:val="nil"/>
              <w:tl2br w:val="nil"/>
              <w:tr2bl w:val="nil"/>
            </w:tcBorders>
            <w:shd w:val="solid" w:color="FFFFFF"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7 %</w:t>
            </w:r>
          </w:p>
        </w:tc>
        <w:tc>
          <w:tcPr>
            <w:tcW w:w="1270" w:type="dxa"/>
            <w:tcBorders>
              <w:top w:val="nil"/>
              <w:left w:val="nil"/>
              <w:bottom w:val="nil"/>
              <w:right w:val="nil"/>
              <w:tl2br w:val="nil"/>
              <w:tr2bl w:val="nil"/>
            </w:tcBorders>
            <w:shd w:val="solid" w:color="FFFFFF"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7 %</w:t>
            </w:r>
          </w:p>
        </w:tc>
        <w:tc>
          <w:tcPr>
            <w:tcW w:w="1270" w:type="dxa"/>
            <w:tcBorders>
              <w:top w:val="nil"/>
              <w:left w:val="nil"/>
              <w:bottom w:val="nil"/>
              <w:right w:val="nil"/>
              <w:tl2br w:val="nil"/>
              <w:tr2bl w:val="nil"/>
            </w:tcBorders>
            <w:shd w:val="solid" w:color="FFFFFF"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6-7 %</w:t>
            </w:r>
          </w:p>
        </w:tc>
      </w:tr>
      <w:tr>
        <w:trPr>
          <w:trHeight w:val="255"/>
        </w:trPr>
        <w:tc>
          <w:tcPr>
            <w:tcW w:w="3407" w:type="dxa"/>
            <w:tcBorders>
              <w:top w:val="nil"/>
              <w:left w:val="nil"/>
              <w:bottom w:val="nil"/>
              <w:right w:val="nil"/>
              <w:tl2br w:val="nil"/>
              <w:tr2bl w:val="nil"/>
            </w:tcBorders>
            <w:shd w:val="solid" w:color="FFFFFF" w:fill="FFFFFF"/>
            <w:tcMar>
              <w:left w:w="60" w:type="dxa"/>
              <w:right w:w="60" w:type="dxa"/>
            </w:tcMar>
            <w:vAlign w:val="center"/>
          </w:tcPr>
          <w:p>
            <w:pPr>
              <w:pStyle w:val="DMETW36692BIPKMT"/>
              <w:rPr>
                <w:rFonts w:ascii="Verdana" w:eastAsia="Verdana" w:hAnsi="Verdana" w:cs="Verdana"/>
                <w:noProof/>
                <w:color w:val="000000"/>
                <w:sz w:val="16"/>
              </w:rPr>
            </w:pPr>
            <w:r>
              <w:rPr>
                <w:rFonts w:ascii="Verdana" w:hAnsi="Verdana"/>
                <w:noProof/>
                <w:color w:val="000000"/>
                <w:sz w:val="16"/>
              </w:rPr>
              <w:t>Cotisation pensions</w:t>
            </w:r>
          </w:p>
        </w:tc>
        <w:tc>
          <w:tcPr>
            <w:tcW w:w="1271" w:type="dxa"/>
            <w:tcBorders>
              <w:top w:val="nil"/>
              <w:left w:val="nil"/>
              <w:bottom w:val="nil"/>
              <w:right w:val="nil"/>
              <w:tl2br w:val="nil"/>
              <w:tr2bl w:val="nil"/>
            </w:tcBorders>
            <w:shd w:val="solid" w:color="FFFFFF"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s.o.</w:t>
            </w:r>
          </w:p>
        </w:tc>
        <w:tc>
          <w:tcPr>
            <w:tcW w:w="1270" w:type="dxa"/>
            <w:tcBorders>
              <w:top w:val="nil"/>
              <w:left w:val="nil"/>
              <w:bottom w:val="nil"/>
              <w:right w:val="nil"/>
              <w:tl2br w:val="nil"/>
              <w:tr2bl w:val="nil"/>
            </w:tcBorders>
            <w:shd w:val="solid" w:color="FFFFFF"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s.o.</w:t>
            </w:r>
          </w:p>
        </w:tc>
        <w:tc>
          <w:tcPr>
            <w:tcW w:w="1270" w:type="dxa"/>
            <w:tcBorders>
              <w:top w:val="nil"/>
              <w:left w:val="nil"/>
              <w:bottom w:val="nil"/>
              <w:right w:val="nil"/>
              <w:tl2br w:val="nil"/>
              <w:tr2bl w:val="nil"/>
            </w:tcBorders>
            <w:shd w:val="solid" w:color="FFFFFF"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s.o.</w:t>
            </w:r>
          </w:p>
        </w:tc>
        <w:tc>
          <w:tcPr>
            <w:tcW w:w="1270" w:type="dxa"/>
            <w:tcBorders>
              <w:top w:val="nil"/>
              <w:left w:val="nil"/>
              <w:bottom w:val="nil"/>
              <w:right w:val="nil"/>
              <w:tl2br w:val="nil"/>
              <w:tr2bl w:val="nil"/>
            </w:tcBorders>
            <w:shd w:val="solid" w:color="FFFFFF"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s.o.</w:t>
            </w:r>
          </w:p>
        </w:tc>
        <w:tc>
          <w:tcPr>
            <w:tcW w:w="1270" w:type="dxa"/>
            <w:tcBorders>
              <w:top w:val="nil"/>
              <w:left w:val="nil"/>
              <w:bottom w:val="nil"/>
              <w:right w:val="nil"/>
              <w:tl2br w:val="nil"/>
              <w:tr2bl w:val="nil"/>
            </w:tcBorders>
            <w:shd w:val="solid" w:color="FFFFFF"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13,10 %</w:t>
            </w:r>
          </w:p>
        </w:tc>
      </w:tr>
      <w:tr>
        <w:trPr>
          <w:trHeight w:val="255"/>
        </w:trPr>
        <w:tc>
          <w:tcPr>
            <w:tcW w:w="3407" w:type="dxa"/>
            <w:tcBorders>
              <w:top w:val="nil"/>
              <w:left w:val="nil"/>
              <w:bottom w:val="nil"/>
              <w:right w:val="nil"/>
              <w:tl2br w:val="nil"/>
              <w:tr2bl w:val="nil"/>
            </w:tcBorders>
            <w:shd w:val="solid" w:color="CCE1EA" w:fill="FFFFFF"/>
            <w:tcMar>
              <w:left w:w="60" w:type="dxa"/>
              <w:right w:w="60" w:type="dxa"/>
            </w:tcMar>
            <w:vAlign w:val="center"/>
          </w:tcPr>
          <w:p>
            <w:pPr>
              <w:pStyle w:val="DMETW36692BIPKMT"/>
              <w:rPr>
                <w:rFonts w:ascii="Verdana" w:eastAsia="Verdana" w:hAnsi="Verdana" w:cs="Verdana"/>
                <w:b/>
                <w:noProof/>
                <w:color w:val="000000"/>
                <w:sz w:val="16"/>
              </w:rPr>
            </w:pPr>
            <w:r>
              <w:rPr>
                <w:rFonts w:ascii="Verdana" w:hAnsi="Verdana"/>
                <w:b/>
                <w:noProof/>
                <w:color w:val="000000"/>
                <w:sz w:val="16"/>
              </w:rPr>
              <w:t>Nombre de personnes en fin d’exercice</w:t>
            </w:r>
          </w:p>
        </w:tc>
        <w:tc>
          <w:tcPr>
            <w:tcW w:w="1271"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b/>
                <w:i/>
                <w:noProof/>
                <w:color w:val="000000"/>
                <w:sz w:val="16"/>
              </w:rPr>
            </w:pPr>
            <w:r>
              <w:rPr>
                <w:rFonts w:ascii="Verdana" w:hAnsi="Verdana"/>
                <w:b/>
                <w:i/>
                <w:noProof/>
                <w:color w:val="000000"/>
                <w:sz w:val="16"/>
              </w:rPr>
              <w:t>3</w:t>
            </w: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b/>
                <w:i/>
                <w:noProof/>
                <w:color w:val="000000"/>
                <w:sz w:val="16"/>
              </w:rPr>
            </w:pPr>
            <w:r>
              <w:rPr>
                <w:rFonts w:ascii="Verdana" w:hAnsi="Verdana"/>
                <w:b/>
                <w:i/>
                <w:noProof/>
                <w:color w:val="000000"/>
                <w:sz w:val="16"/>
              </w:rPr>
              <w:t>8</w:t>
            </w: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b/>
                <w:i/>
                <w:noProof/>
                <w:color w:val="000000"/>
                <w:sz w:val="16"/>
              </w:rPr>
            </w:pPr>
            <w:r>
              <w:rPr>
                <w:rFonts w:ascii="Verdana" w:hAnsi="Verdana"/>
                <w:b/>
                <w:i/>
                <w:noProof/>
                <w:color w:val="000000"/>
                <w:sz w:val="16"/>
              </w:rPr>
              <w:t>93</w:t>
            </w: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b/>
                <w:i/>
                <w:noProof/>
                <w:color w:val="000000"/>
                <w:sz w:val="16"/>
              </w:rPr>
            </w:pPr>
            <w:r>
              <w:rPr>
                <w:rFonts w:ascii="Verdana" w:hAnsi="Verdana"/>
                <w:b/>
                <w:i/>
                <w:noProof/>
                <w:color w:val="000000"/>
                <w:sz w:val="16"/>
              </w:rPr>
              <w:t>27</w:t>
            </w: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b/>
                <w:i/>
                <w:noProof/>
                <w:color w:val="000000"/>
                <w:sz w:val="16"/>
              </w:rPr>
            </w:pPr>
            <w:r>
              <w:rPr>
                <w:rFonts w:ascii="Verdana" w:hAnsi="Verdana"/>
                <w:b/>
                <w:i/>
                <w:noProof/>
                <w:color w:val="000000"/>
                <w:sz w:val="16"/>
              </w:rPr>
              <w:t>116</w:t>
            </w:r>
          </w:p>
        </w:tc>
      </w:tr>
      <w:tr>
        <w:trPr>
          <w:trHeight w:val="255"/>
        </w:trPr>
        <w:tc>
          <w:tcPr>
            <w:tcW w:w="3407" w:type="dxa"/>
            <w:gridSpan w:val="6"/>
            <w:tcBorders>
              <w:top w:val="nil"/>
              <w:left w:val="nil"/>
              <w:bottom w:val="nil"/>
              <w:right w:val="nil"/>
              <w:tl2br w:val="nil"/>
              <w:tr2bl w:val="nil"/>
            </w:tcBorders>
            <w:shd w:val="solid" w:color="FFFFFF" w:fill="FFFFFF"/>
            <w:tcMar>
              <w:left w:w="60" w:type="dxa"/>
              <w:right w:w="60" w:type="dxa"/>
            </w:tcMar>
            <w:vAlign w:val="center"/>
          </w:tcPr>
          <w:p>
            <w:pPr>
              <w:pStyle w:val="DMETW36692BIPKMT"/>
              <w:rPr>
                <w:rFonts w:ascii="Verdana" w:eastAsia="Verdana" w:hAnsi="Verdana" w:cs="Verdana"/>
                <w:i/>
                <w:noProof/>
                <w:color w:val="000000"/>
                <w:sz w:val="16"/>
              </w:rPr>
            </w:pPr>
            <w:r>
              <w:rPr>
                <w:rFonts w:ascii="Verdana" w:hAnsi="Verdana"/>
                <w:i/>
                <w:noProof/>
                <w:color w:val="000000"/>
                <w:sz w:val="16"/>
              </w:rPr>
              <w:t>* Avec application d’un coefficient correcteur («cc»).</w:t>
            </w:r>
          </w:p>
        </w:tc>
      </w:tr>
      <w:tr>
        <w:trPr>
          <w:trHeight w:val="255"/>
        </w:trPr>
        <w:tc>
          <w:tcPr>
            <w:tcW w:w="3407" w:type="dxa"/>
            <w:gridSpan w:val="6"/>
            <w:tcBorders>
              <w:top w:val="nil"/>
              <w:left w:val="nil"/>
              <w:bottom w:val="nil"/>
              <w:right w:val="nil"/>
              <w:tl2br w:val="nil"/>
              <w:tr2bl w:val="nil"/>
            </w:tcBorders>
            <w:shd w:val="solid" w:color="FFFFFF" w:fill="FFFFFF"/>
            <w:tcMar>
              <w:left w:w="60" w:type="dxa"/>
              <w:right w:w="60" w:type="dxa"/>
            </w:tcMar>
            <w:vAlign w:val="center"/>
          </w:tcPr>
          <w:p>
            <w:pPr>
              <w:pStyle w:val="DMETW36692BIPKMT"/>
              <w:rPr>
                <w:rFonts w:ascii="Verdana" w:eastAsia="Verdana" w:hAnsi="Verdana" w:cs="Verdana"/>
                <w:i/>
                <w:noProof/>
                <w:color w:val="000000"/>
                <w:sz w:val="16"/>
              </w:rPr>
            </w:pPr>
            <w:r>
              <w:rPr>
                <w:rFonts w:ascii="Verdana" w:hAnsi="Verdana"/>
                <w:i/>
                <w:noProof/>
                <w:color w:val="000000"/>
                <w:sz w:val="16"/>
              </w:rPr>
              <w:t>** Payée pendant les 3 premières années suivant le départ.</w:t>
            </w:r>
          </w:p>
        </w:tc>
      </w:tr>
      <w:bookmarkEnd w:id="242"/>
    </w:tbl>
    <w:p>
      <w:pPr>
        <w:pStyle w:val="DGTextstand-alone"/>
        <w:sectPr>
          <w:headerReference w:type="default" r:id="rId139"/>
          <w:footerReference w:type="default" r:id="rId140"/>
          <w:pgSz w:w="11906" w:h="16838"/>
          <w:pgMar w:top="1134" w:right="1134" w:bottom="1134" w:left="1134" w:header="709" w:footer="709" w:gutter="0"/>
          <w:cols w:space="708"/>
          <w:docGrid w:linePitch="360"/>
        </w:sectPr>
      </w:pPr>
    </w:p>
    <w:p>
      <w:pPr>
        <w:pStyle w:val="HEADER1NOTES"/>
        <w:numPr>
          <w:ilvl w:val="0"/>
          <w:numId w:val="15"/>
        </w:numPr>
        <w:rPr>
          <w:rFonts w:eastAsia="Calibri"/>
          <w:noProof/>
        </w:rPr>
      </w:pPr>
      <w:bookmarkStart w:id="244" w:name="_Toc237350940"/>
      <w:bookmarkStart w:id="245" w:name="_DMBM_36724"/>
      <w:r>
        <w:rPr>
          <w:noProof/>
        </w:rPr>
        <w:lastRenderedPageBreak/>
        <w:t>ÉVÉNEMENTS POSTÉRIEURS À LA DATE DE CLÔTURE</w:t>
      </w:r>
      <w:bookmarkEnd w:id="244"/>
    </w:p>
    <w:p>
      <w:pPr>
        <w:pStyle w:val="DGTextstand-alone"/>
      </w:pPr>
      <w:r>
        <w:t>À la date de la signature des présents comptes, aucune question importante ou requérant la production d’informations distinctes sous cette rubrique n’a été portée à l’attention du comptable de la Commission. Les comptes et les notes annexes ont été préparés à l’aide des données les plus récentes, comme il ressort des informations présentées.</w:t>
      </w:r>
    </w:p>
    <w:bookmarkEnd w:id="245"/>
    <w:p>
      <w:pPr>
        <w:pStyle w:val="DGTextstand-alone"/>
        <w:sectPr>
          <w:headerReference w:type="default" r:id="rId141"/>
          <w:footerReference w:type="default" r:id="rId142"/>
          <w:pgSz w:w="11906" w:h="16838"/>
          <w:pgMar w:top="1134" w:right="1134" w:bottom="1134" w:left="1134" w:header="709" w:footer="709" w:gutter="0"/>
          <w:cols w:space="708"/>
          <w:docGrid w:linePitch="360"/>
        </w:sectPr>
      </w:pPr>
    </w:p>
    <w:p>
      <w:pPr>
        <w:pStyle w:val="HEADER1NOTES"/>
        <w:numPr>
          <w:ilvl w:val="0"/>
          <w:numId w:val="15"/>
        </w:numPr>
        <w:rPr>
          <w:noProof/>
        </w:rPr>
      </w:pPr>
      <w:bookmarkStart w:id="246" w:name="_Toc237350941"/>
      <w:bookmarkStart w:id="247" w:name="_DMBM_36674"/>
      <w:r>
        <w:rPr>
          <w:noProof/>
        </w:rPr>
        <w:lastRenderedPageBreak/>
        <w:t>PÉRIMÈTRE DE CONSOLIDATION</w:t>
      </w:r>
      <w:bookmarkEnd w:id="246"/>
    </w:p>
    <w:tbl>
      <w:tblPr>
        <w:tblW w:w="5303" w:type="pct"/>
        <w:tblInd w:w="-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7"/>
        <w:gridCol w:w="4962"/>
      </w:tblGrid>
      <w:tr>
        <w:trPr>
          <w:trHeight w:val="255"/>
        </w:trPr>
        <w:tc>
          <w:tcPr>
            <w:tcW w:w="5387" w:type="dxa"/>
            <w:gridSpan w:val="2"/>
            <w:tcBorders>
              <w:top w:val="nil"/>
              <w:left w:val="nil"/>
              <w:bottom w:val="nil"/>
              <w:right w:val="nil"/>
              <w:tl2br w:val="nil"/>
              <w:tr2bl w:val="nil"/>
            </w:tcBorders>
            <w:shd w:val="solid" w:color="016794" w:fill="FFFFFF"/>
            <w:tcMar>
              <w:left w:w="60" w:type="dxa"/>
              <w:right w:w="60" w:type="dxa"/>
            </w:tcMar>
            <w:vAlign w:val="center"/>
          </w:tcPr>
          <w:p>
            <w:pPr>
              <w:pStyle w:val="DMETW36740BIPCE"/>
              <w:rPr>
                <w:rFonts w:ascii="Verdana" w:eastAsia="Verdana" w:hAnsi="Verdana" w:cs="Verdana"/>
                <w:b/>
                <w:noProof/>
                <w:color w:val="FFFFFF"/>
              </w:rPr>
            </w:pPr>
            <w:bookmarkStart w:id="248" w:name="DOC_TBL00107_1_1"/>
            <w:bookmarkEnd w:id="248"/>
            <w:r>
              <w:rPr>
                <w:rFonts w:ascii="Verdana" w:hAnsi="Verdana"/>
                <w:b/>
                <w:noProof/>
                <w:color w:val="FFFFFF"/>
              </w:rPr>
              <w:t>A. ENTITÉS CONTRÔLÉES (54)</w:t>
            </w:r>
          </w:p>
        </w:tc>
      </w:tr>
      <w:tr>
        <w:trPr>
          <w:trHeight w:val="255"/>
        </w:trPr>
        <w:tc>
          <w:tcPr>
            <w:tcW w:w="5387" w:type="dxa"/>
            <w:gridSpan w:val="2"/>
            <w:tcBorders>
              <w:top w:val="nil"/>
              <w:left w:val="nil"/>
              <w:bottom w:val="nil"/>
              <w:right w:val="nil"/>
              <w:tl2br w:val="nil"/>
              <w:tr2bl w:val="nil"/>
            </w:tcBorders>
            <w:shd w:val="solid" w:color="CCE1EA" w:fill="FFFFFF"/>
            <w:tcMar>
              <w:left w:w="60" w:type="dxa"/>
              <w:right w:w="60" w:type="dxa"/>
            </w:tcMar>
            <w:vAlign w:val="center"/>
          </w:tcPr>
          <w:p>
            <w:pPr>
              <w:pStyle w:val="DMETW36740BIPCE"/>
              <w:rPr>
                <w:rFonts w:ascii="Verdana" w:eastAsia="Verdana" w:hAnsi="Verdana" w:cs="Verdana"/>
                <w:b/>
                <w:noProof/>
                <w:color w:val="000000"/>
                <w:sz w:val="18"/>
              </w:rPr>
            </w:pPr>
            <w:r>
              <w:rPr>
                <w:rFonts w:ascii="Verdana" w:hAnsi="Verdana"/>
                <w:b/>
                <w:noProof/>
                <w:color w:val="000000"/>
                <w:sz w:val="18"/>
              </w:rPr>
              <w:t>1. Institutions et organes consultatifs (11)</w:t>
            </w:r>
          </w:p>
        </w:tc>
      </w:tr>
      <w:tr>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Conseil de l’Union européenne</w:t>
            </w:r>
          </w:p>
        </w:tc>
        <w:tc>
          <w:tcPr>
            <w:tcW w:w="4962"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Contrôleur européen de la protection des données</w:t>
            </w:r>
          </w:p>
        </w:tc>
      </w:tr>
      <w:tr>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Cour de justice de l’Union européenne</w:t>
            </w:r>
          </w:p>
        </w:tc>
        <w:tc>
          <w:tcPr>
            <w:tcW w:w="4962"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Comité économique et social européen</w:t>
            </w:r>
          </w:p>
        </w:tc>
      </w:tr>
      <w:tr>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Commission européenne</w:t>
            </w:r>
          </w:p>
        </w:tc>
        <w:tc>
          <w:tcPr>
            <w:tcW w:w="4962"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Service européen pour l’action extérieure</w:t>
            </w:r>
          </w:p>
        </w:tc>
      </w:tr>
      <w:tr>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Comité européen des régions</w:t>
            </w:r>
          </w:p>
        </w:tc>
        <w:tc>
          <w:tcPr>
            <w:tcW w:w="4962"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Médiateur européen</w:t>
            </w:r>
          </w:p>
        </w:tc>
      </w:tr>
      <w:tr>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Conseil européen</w:t>
            </w:r>
          </w:p>
        </w:tc>
        <w:tc>
          <w:tcPr>
            <w:tcW w:w="4962"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Parlement européen</w:t>
            </w:r>
          </w:p>
        </w:tc>
      </w:tr>
      <w:tr>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Cour des comptes européenne</w:t>
            </w:r>
          </w:p>
        </w:tc>
        <w:tc>
          <w:tcPr>
            <w:tcW w:w="4962"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lang w:bidi="en-GB"/>
              </w:rPr>
            </w:pPr>
          </w:p>
        </w:tc>
      </w:tr>
      <w:tr>
        <w:trPr>
          <w:trHeight w:val="164"/>
        </w:trPr>
        <w:tc>
          <w:tcPr>
            <w:tcW w:w="5387"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noProof/>
                <w:color w:val="000000"/>
                <w:sz w:val="18"/>
              </w:rPr>
            </w:pPr>
          </w:p>
        </w:tc>
        <w:tc>
          <w:tcPr>
            <w:tcW w:w="4962"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noProof/>
                <w:color w:val="000000"/>
                <w:sz w:val="18"/>
                <w:lang w:bidi="en-GB"/>
              </w:rPr>
            </w:pPr>
          </w:p>
        </w:tc>
      </w:tr>
      <w:tr>
        <w:trPr>
          <w:trHeight w:val="255"/>
        </w:trPr>
        <w:tc>
          <w:tcPr>
            <w:tcW w:w="5387" w:type="dxa"/>
            <w:gridSpan w:val="2"/>
            <w:tcBorders>
              <w:top w:val="nil"/>
              <w:left w:val="nil"/>
              <w:bottom w:val="nil"/>
              <w:right w:val="nil"/>
              <w:tl2br w:val="nil"/>
              <w:tr2bl w:val="nil"/>
            </w:tcBorders>
            <w:shd w:val="solid" w:color="CCE1EA" w:fill="FFFFFF"/>
            <w:tcMar>
              <w:left w:w="60" w:type="dxa"/>
              <w:right w:w="60" w:type="dxa"/>
            </w:tcMar>
            <w:vAlign w:val="center"/>
          </w:tcPr>
          <w:p>
            <w:pPr>
              <w:pStyle w:val="DMETW36740BIPCE"/>
              <w:rPr>
                <w:rFonts w:ascii="Verdana" w:eastAsia="Verdana" w:hAnsi="Verdana" w:cs="Verdana"/>
                <w:b/>
                <w:noProof/>
                <w:color w:val="000000"/>
                <w:sz w:val="18"/>
              </w:rPr>
            </w:pPr>
            <w:r>
              <w:rPr>
                <w:rFonts w:ascii="Verdana" w:hAnsi="Verdana"/>
                <w:b/>
                <w:noProof/>
                <w:color w:val="000000"/>
                <w:sz w:val="18"/>
              </w:rPr>
              <w:t>2. Agences et autres organismes de l’UE (41)</w:t>
            </w:r>
          </w:p>
        </w:tc>
      </w:tr>
      <w:tr>
        <w:trPr>
          <w:trHeight w:val="255"/>
        </w:trPr>
        <w:tc>
          <w:tcPr>
            <w:tcW w:w="5387"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b/>
                <w:i/>
                <w:noProof/>
                <w:color w:val="000000"/>
                <w:sz w:val="18"/>
              </w:rPr>
            </w:pPr>
            <w:r>
              <w:rPr>
                <w:rFonts w:ascii="Verdana" w:hAnsi="Verdana"/>
                <w:b/>
                <w:i/>
                <w:noProof/>
                <w:color w:val="000000"/>
                <w:sz w:val="18"/>
              </w:rPr>
              <w:t>2.1. Agences exécutives (6)</w:t>
            </w:r>
          </w:p>
        </w:tc>
        <w:tc>
          <w:tcPr>
            <w:tcW w:w="4962"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noProof/>
                <w:color w:val="000000"/>
                <w:sz w:val="18"/>
                <w:lang w:bidi="en-GB"/>
              </w:rPr>
            </w:pPr>
          </w:p>
        </w:tc>
      </w:tr>
      <w:tr>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 xml:space="preserve">Agence exécutive européenne pour le climat, les infrastructures et l’environnement (CINEA) </w:t>
            </w:r>
          </w:p>
        </w:tc>
        <w:tc>
          <w:tcPr>
            <w:tcW w:w="4962"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Agence exécutive pour le Conseil européen de l’innovation et les PME (Eismea)</w:t>
            </w:r>
          </w:p>
        </w:tc>
      </w:tr>
      <w:tr>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Agence exécutive européenne pour l’éducation et la culture (EACEA)</w:t>
            </w:r>
          </w:p>
        </w:tc>
        <w:tc>
          <w:tcPr>
            <w:tcW w:w="4962"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Agence exécutive du Conseil européen de la recherche (ERCEA)</w:t>
            </w:r>
          </w:p>
        </w:tc>
      </w:tr>
      <w:tr>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 xml:space="preserve">Agence exécutive européenne pour la santé et le numérique (HaDEA) </w:t>
            </w:r>
          </w:p>
        </w:tc>
        <w:tc>
          <w:tcPr>
            <w:tcW w:w="4962"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Agence exécutive européenne pour la recherche (REA)</w:t>
            </w:r>
          </w:p>
        </w:tc>
      </w:tr>
      <w:tr>
        <w:trPr>
          <w:trHeight w:val="249"/>
        </w:trPr>
        <w:tc>
          <w:tcPr>
            <w:tcW w:w="5387"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noProof/>
                <w:color w:val="000000"/>
                <w:sz w:val="18"/>
              </w:rPr>
            </w:pPr>
          </w:p>
        </w:tc>
        <w:tc>
          <w:tcPr>
            <w:tcW w:w="4962"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lang w:bidi="en-GB"/>
              </w:rPr>
            </w:pPr>
          </w:p>
        </w:tc>
      </w:tr>
      <w:tr>
        <w:trPr>
          <w:trHeight w:val="255"/>
        </w:trPr>
        <w:tc>
          <w:tcPr>
            <w:tcW w:w="5387"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b/>
                <w:i/>
                <w:noProof/>
                <w:color w:val="000000"/>
                <w:sz w:val="18"/>
              </w:rPr>
            </w:pPr>
            <w:r>
              <w:rPr>
                <w:rFonts w:ascii="Verdana" w:hAnsi="Verdana"/>
                <w:b/>
                <w:i/>
                <w:noProof/>
                <w:color w:val="000000"/>
                <w:sz w:val="18"/>
              </w:rPr>
              <w:t>2.2. Agences décentralisées et autres organismes (35)</w:t>
            </w:r>
          </w:p>
        </w:tc>
        <w:tc>
          <w:tcPr>
            <w:tcW w:w="4962"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lang w:bidi="en-GB"/>
              </w:rPr>
            </w:pPr>
          </w:p>
        </w:tc>
      </w:tr>
      <w:tr>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Agence de soutien à l’Organe des régulateurs européens des communications électroniques (Office de l’ORECE)</w:t>
            </w:r>
          </w:p>
        </w:tc>
        <w:tc>
          <w:tcPr>
            <w:tcW w:w="4962"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 xml:space="preserve">Parquet européen </w:t>
            </w:r>
          </w:p>
        </w:tc>
      </w:tr>
      <w:tr>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Office communautaire des variétés végétales (OCVV)</w:t>
            </w:r>
          </w:p>
        </w:tc>
        <w:tc>
          <w:tcPr>
            <w:tcW w:w="4962"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Autorité européenne des marchés financiers (AEMF)</w:t>
            </w:r>
          </w:p>
        </w:tc>
      </w:tr>
      <w:tr>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Agence européenne pour la sécurité et la santé au travail (EU-OSHA)</w:t>
            </w:r>
          </w:p>
        </w:tc>
        <w:tc>
          <w:tcPr>
            <w:tcW w:w="4962"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Fondation européenne pour la formation (ETF)</w:t>
            </w:r>
          </w:p>
        </w:tc>
      </w:tr>
      <w:tr>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Autorité bancaire européenne (ABE)</w:t>
            </w:r>
          </w:p>
        </w:tc>
        <w:tc>
          <w:tcPr>
            <w:tcW w:w="4962"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Agence de l’Union européenne pour l’asile (EUAA)</w:t>
            </w:r>
          </w:p>
        </w:tc>
      </w:tr>
      <w:tr>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Agence européenne de garde-frontières et de garde-côtes (Frontex)</w:t>
            </w:r>
          </w:p>
        </w:tc>
        <w:tc>
          <w:tcPr>
            <w:tcW w:w="4962"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Agence de l’Union européenne pour la coopération judiciaire en matière pénale (Eurojust)</w:t>
            </w:r>
          </w:p>
        </w:tc>
      </w:tr>
      <w:tr>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Centre européen de prévention et de contrôle des maladies (ECDC)</w:t>
            </w:r>
          </w:p>
        </w:tc>
        <w:tc>
          <w:tcPr>
            <w:tcW w:w="4962"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Agence de l’Union européenne pour la cybersécurité (ENISA)</w:t>
            </w:r>
          </w:p>
        </w:tc>
      </w:tr>
      <w:tr>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Centre européen pour le développement de la formation professionnelle (Cedefop)</w:t>
            </w:r>
          </w:p>
        </w:tc>
        <w:tc>
          <w:tcPr>
            <w:tcW w:w="4962"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Agence des droits fondamentaux de l’Union européenne (FRA)</w:t>
            </w:r>
          </w:p>
        </w:tc>
      </w:tr>
      <w:tr>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Agence européenne des produits chimiques (ECHA)</w:t>
            </w:r>
          </w:p>
        </w:tc>
        <w:tc>
          <w:tcPr>
            <w:tcW w:w="4962"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Agence de l’Union européenne pour la coopération des services répressifs (Europol)</w:t>
            </w:r>
          </w:p>
        </w:tc>
      </w:tr>
      <w:tr>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Agence européenne pour l’environnement (AEE)</w:t>
            </w:r>
          </w:p>
        </w:tc>
        <w:tc>
          <w:tcPr>
            <w:tcW w:w="4962"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Agence de l'Union européenne pour la formation des services répressifs (CEPOL)</w:t>
            </w:r>
          </w:p>
        </w:tc>
      </w:tr>
      <w:tr>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Agence européenne de contrôle des pêches (AECP)</w:t>
            </w:r>
          </w:p>
        </w:tc>
        <w:tc>
          <w:tcPr>
            <w:tcW w:w="4962"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Agence de l’Union européenne pour les chemins de fer (ERA)</w:t>
            </w:r>
          </w:p>
        </w:tc>
      </w:tr>
      <w:tr>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Autorité européenne de sécurité des aliments (EFSA)</w:t>
            </w:r>
          </w:p>
        </w:tc>
        <w:tc>
          <w:tcPr>
            <w:tcW w:w="4962"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Agence de l’Union européenne pour la coopération des régulateurs de l’énergie (ACER)</w:t>
            </w:r>
          </w:p>
        </w:tc>
      </w:tr>
      <w:tr>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Fondation européenne pour l’amélioration des conditions de vie et de travail (Eurofound)</w:t>
            </w:r>
          </w:p>
        </w:tc>
        <w:tc>
          <w:tcPr>
            <w:tcW w:w="4962"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Agence de l’Union européenne pour la gestion opérationnelle des systèmes d’information à grande échelle au sein de l’espace de liberté, de sécurité et de justice (eu-LISA)</w:t>
            </w:r>
          </w:p>
        </w:tc>
      </w:tr>
      <w:tr>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Institut européen pour l’égalité entre les hommes et les femmes (EIGE)</w:t>
            </w:r>
          </w:p>
        </w:tc>
        <w:tc>
          <w:tcPr>
            <w:tcW w:w="4962"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Agence de l’Union européenne pour le programme spatial (EUSPA)</w:t>
            </w:r>
          </w:p>
        </w:tc>
      </w:tr>
      <w:tr>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Autorité européenne des assurances et des pensions professionnelles (AEAPP)</w:t>
            </w:r>
          </w:p>
        </w:tc>
        <w:tc>
          <w:tcPr>
            <w:tcW w:w="4962"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Agence européenne de la sécurité aérienne (AESA)</w:t>
            </w:r>
          </w:p>
        </w:tc>
      </w:tr>
      <w:tr>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Entreprise commune européenne pour ITER et le développement de l’énergie de fusion («Fusion for Energy»)</w:t>
            </w:r>
          </w:p>
        </w:tc>
        <w:tc>
          <w:tcPr>
            <w:tcW w:w="4962"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Agence de l’Union européenne sur les drogues (EUDA)</w:t>
            </w:r>
          </w:p>
        </w:tc>
      </w:tr>
      <w:tr>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 xml:space="preserve">Autorité européenne du travail (AET) </w:t>
            </w:r>
          </w:p>
        </w:tc>
        <w:tc>
          <w:tcPr>
            <w:tcW w:w="4962"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Office de l’Union européenne pour la propriété intellectuelle (OUEPI)</w:t>
            </w:r>
          </w:p>
        </w:tc>
      </w:tr>
      <w:tr>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Agence européenne pour la sécurité maritime (AESM)</w:t>
            </w:r>
          </w:p>
        </w:tc>
        <w:tc>
          <w:tcPr>
            <w:tcW w:w="4962"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Centre de traduction des organes de l’Union européenne (CdT)</w:t>
            </w:r>
          </w:p>
        </w:tc>
      </w:tr>
      <w:tr>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Agence européenne des médicaments (EMA)</w:t>
            </w:r>
          </w:p>
        </w:tc>
        <w:tc>
          <w:tcPr>
            <w:tcW w:w="4962"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lang w:bidi="en-GB"/>
              </w:rPr>
            </w:pPr>
          </w:p>
        </w:tc>
      </w:tr>
      <w:tr>
        <w:trPr>
          <w:trHeight w:val="249"/>
        </w:trPr>
        <w:tc>
          <w:tcPr>
            <w:tcW w:w="5387" w:type="dxa"/>
            <w:gridSpan w:val="2"/>
            <w:tcBorders>
              <w:top w:val="nil"/>
              <w:left w:val="nil"/>
              <w:bottom w:val="nil"/>
              <w:right w:val="nil"/>
              <w:tl2br w:val="nil"/>
              <w:tr2bl w:val="nil"/>
            </w:tcBorders>
            <w:shd w:val="solid" w:color="CCE1EA" w:fill="FFFFFF"/>
            <w:tcMar>
              <w:left w:w="60" w:type="dxa"/>
              <w:right w:w="60" w:type="dxa"/>
            </w:tcMar>
            <w:vAlign w:val="center"/>
          </w:tcPr>
          <w:p>
            <w:pPr>
              <w:pStyle w:val="DMETW36740BIPCE"/>
              <w:rPr>
                <w:rFonts w:ascii="Verdana" w:eastAsia="Verdana" w:hAnsi="Verdana" w:cs="Verdana"/>
                <w:b/>
                <w:noProof/>
                <w:color w:val="000000"/>
                <w:sz w:val="18"/>
              </w:rPr>
            </w:pPr>
            <w:r>
              <w:rPr>
                <w:rFonts w:ascii="Verdana" w:hAnsi="Verdana"/>
                <w:b/>
                <w:noProof/>
                <w:color w:val="000000"/>
                <w:sz w:val="18"/>
              </w:rPr>
              <w:t>3. Autres entités contrôlées (2)</w:t>
            </w:r>
          </w:p>
        </w:tc>
      </w:tr>
      <w:tr>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Communauté européenne du charbon et de l’acier en liquidation (CECA en liq.)</w:t>
            </w:r>
          </w:p>
        </w:tc>
        <w:tc>
          <w:tcPr>
            <w:tcW w:w="4962" w:type="dxa"/>
            <w:tcBorders>
              <w:top w:val="nil"/>
              <w:left w:val="nil"/>
              <w:bottom w:val="nil"/>
              <w:right w:val="nil"/>
              <w:tl2br w:val="nil"/>
              <w:tr2bl w:val="nil"/>
            </w:tcBorders>
            <w:shd w:val="solid" w:color="FFFFFF" w:fill="FFFFFF"/>
            <w:tcMar>
              <w:left w:w="60" w:type="dxa"/>
              <w:right w:w="60" w:type="dxa"/>
            </w:tcMar>
          </w:tcPr>
          <w:p>
            <w:pPr>
              <w:pStyle w:val="DMETW36740BIPCE"/>
              <w:rPr>
                <w:rFonts w:ascii="Verdana" w:eastAsia="Verdana" w:hAnsi="Verdana" w:cs="Verdana"/>
                <w:i/>
                <w:noProof/>
                <w:color w:val="000000"/>
                <w:sz w:val="18"/>
              </w:rPr>
            </w:pPr>
            <w:r>
              <w:rPr>
                <w:rFonts w:ascii="Verdana" w:hAnsi="Verdana"/>
                <w:i/>
                <w:noProof/>
                <w:color w:val="000000"/>
                <w:sz w:val="18"/>
              </w:rPr>
              <w:t>Institut européen d’innovation et de technologie (EIT)</w:t>
            </w:r>
          </w:p>
        </w:tc>
      </w:tr>
      <w:tr>
        <w:trPr>
          <w:trHeight w:val="255"/>
        </w:trPr>
        <w:tc>
          <w:tcPr>
            <w:tcW w:w="5387" w:type="dxa"/>
            <w:gridSpan w:val="2"/>
            <w:tcBorders>
              <w:top w:val="nil"/>
              <w:left w:val="nil"/>
              <w:bottom w:val="nil"/>
              <w:right w:val="nil"/>
              <w:tl2br w:val="nil"/>
              <w:tr2bl w:val="nil"/>
            </w:tcBorders>
            <w:shd w:val="solid" w:color="016794" w:fill="FFFFFF"/>
            <w:tcMar>
              <w:left w:w="60" w:type="dxa"/>
              <w:right w:w="60" w:type="dxa"/>
            </w:tcMar>
            <w:vAlign w:val="center"/>
          </w:tcPr>
          <w:p>
            <w:pPr>
              <w:pStyle w:val="DMETW36740BIPCE"/>
              <w:rPr>
                <w:rFonts w:ascii="Verdana" w:eastAsia="Verdana" w:hAnsi="Verdana" w:cs="Verdana"/>
                <w:b/>
                <w:noProof/>
                <w:color w:val="FFFFFF"/>
              </w:rPr>
            </w:pPr>
            <w:r>
              <w:rPr>
                <w:rFonts w:ascii="Verdana" w:hAnsi="Verdana"/>
                <w:b/>
                <w:noProof/>
                <w:color w:val="FFFFFF"/>
              </w:rPr>
              <w:lastRenderedPageBreak/>
              <w:t>B. ENTITÉS ASSOCIÉES (1)</w:t>
            </w:r>
          </w:p>
        </w:tc>
      </w:tr>
      <w:tr>
        <w:trPr>
          <w:trHeight w:val="284"/>
        </w:trPr>
        <w:tc>
          <w:tcPr>
            <w:tcW w:w="5387" w:type="dxa"/>
            <w:tcBorders>
              <w:top w:val="nil"/>
              <w:left w:val="nil"/>
              <w:bottom w:val="nil"/>
              <w:right w:val="nil"/>
              <w:tl2br w:val="nil"/>
              <w:tr2bl w:val="nil"/>
            </w:tcBorders>
            <w:shd w:val="solid" w:color="FFFFFF" w:fill="FFFFFF"/>
            <w:tcMar>
              <w:left w:w="60" w:type="dxa"/>
              <w:right w:w="60" w:type="dxa"/>
            </w:tcMar>
          </w:tcPr>
          <w:p>
            <w:pPr>
              <w:pStyle w:val="DMETW36740BIPCE"/>
              <w:rPr>
                <w:rFonts w:ascii="Verdana" w:eastAsia="Verdana" w:hAnsi="Verdana" w:cs="Verdana"/>
                <w:i/>
                <w:noProof/>
                <w:color w:val="000000"/>
                <w:sz w:val="18"/>
              </w:rPr>
            </w:pPr>
            <w:r>
              <w:rPr>
                <w:rFonts w:ascii="Verdana" w:hAnsi="Verdana"/>
                <w:i/>
                <w:noProof/>
                <w:color w:val="000000"/>
                <w:sz w:val="18"/>
              </w:rPr>
              <w:t>Fonds européen d’investissement (FEI)</w:t>
            </w:r>
          </w:p>
        </w:tc>
        <w:tc>
          <w:tcPr>
            <w:tcW w:w="4962"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noProof/>
                <w:color w:val="000000"/>
                <w:sz w:val="18"/>
              </w:rPr>
            </w:pPr>
          </w:p>
        </w:tc>
      </w:tr>
    </w:tbl>
    <w:p>
      <w:pPr>
        <w:pStyle w:val="HEADER5"/>
        <w:rPr>
          <w:noProof/>
        </w:rPr>
      </w:pPr>
    </w:p>
    <w:p>
      <w:pPr>
        <w:pBdr>
          <w:top w:val="nil"/>
          <w:left w:val="nil"/>
          <w:bottom w:val="nil"/>
          <w:right w:val="nil"/>
          <w:between w:val="nil"/>
          <w:bar w:val="nil"/>
        </w:pBdr>
        <w:spacing w:after="200" w:line="276" w:lineRule="auto"/>
        <w:rPr>
          <w:rFonts w:ascii="Verdana" w:hAnsi="Verdana"/>
          <w:noProof/>
          <w:color w:val="016794"/>
          <w:sz w:val="18"/>
          <w:szCs w:val="18"/>
        </w:rPr>
      </w:pPr>
      <w:r>
        <w:rPr>
          <w:noProof/>
        </w:rPr>
        <w:br w:type="page"/>
      </w:r>
    </w:p>
    <w:p>
      <w:pPr>
        <w:pStyle w:val="HEADER5"/>
        <w:rPr>
          <w:noProof/>
        </w:rPr>
      </w:pPr>
      <w:r>
        <w:rPr>
          <w:noProof/>
        </w:rPr>
        <w:lastRenderedPageBreak/>
        <w:t>ENTITÉS MINEURES</w:t>
      </w:r>
    </w:p>
    <w:p>
      <w:pPr>
        <w:pStyle w:val="DGTextstand-alone"/>
      </w:pPr>
      <w:r>
        <w:t>Les entités ci-dessous n’ont pas été consolidées au moyen de la méthode de la mise en équivalence dans les états financiers consolidés 2025 de l’Union en raison de leur caractère non significatif:</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58"/>
      </w:tblGrid>
      <w:tr>
        <w:trPr>
          <w:trHeight w:hRule="exact" w:val="255"/>
        </w:trPr>
        <w:tc>
          <w:tcPr>
            <w:tcW w:w="9758" w:type="dxa"/>
            <w:tcBorders>
              <w:top w:val="nil"/>
              <w:left w:val="nil"/>
              <w:bottom w:val="nil"/>
              <w:right w:val="nil"/>
              <w:tl2br w:val="nil"/>
              <w:tr2bl w:val="nil"/>
            </w:tcBorders>
            <w:shd w:val="solid" w:color="016794" w:fill="FFFFFF"/>
            <w:tcMar>
              <w:left w:w="60" w:type="dxa"/>
              <w:right w:w="60" w:type="dxa"/>
            </w:tcMar>
            <w:vAlign w:val="center"/>
          </w:tcPr>
          <w:p>
            <w:pPr>
              <w:rPr>
                <w:rFonts w:ascii="Verdana" w:eastAsia="Verdana" w:hAnsi="Verdana" w:cs="Verdana"/>
                <w:b/>
                <w:noProof/>
                <w:color w:val="FFFFFF"/>
              </w:rPr>
            </w:pPr>
            <w:r>
              <w:rPr>
                <w:rFonts w:ascii="Verdana" w:hAnsi="Verdana"/>
                <w:b/>
                <w:noProof/>
                <w:color w:val="FFFFFF"/>
                <w:sz w:val="20"/>
              </w:rPr>
              <w:t>ENTITÉS MINEURES (11)</w:t>
            </w:r>
          </w:p>
        </w:tc>
      </w:tr>
      <w:tr>
        <w:trPr>
          <w:trHeight w:val="284"/>
        </w:trPr>
        <w:tc>
          <w:tcPr>
            <w:tcW w:w="9758" w:type="dxa"/>
            <w:tcBorders>
              <w:top w:val="nil"/>
              <w:left w:val="nil"/>
              <w:bottom w:val="nil"/>
              <w:right w:val="nil"/>
              <w:tl2br w:val="nil"/>
              <w:tr2bl w:val="nil"/>
            </w:tcBorders>
            <w:shd w:val="solid" w:color="FFFFFF" w:fill="FFFFFF"/>
            <w:tcMar>
              <w:left w:w="60" w:type="dxa"/>
              <w:right w:w="60" w:type="dxa"/>
            </w:tcMar>
            <w:vAlign w:val="bottom"/>
          </w:tcPr>
          <w:p>
            <w:pPr>
              <w:rPr>
                <w:rFonts w:ascii="Verdana" w:hAnsi="Verdana" w:cs="Verdana"/>
                <w:i/>
                <w:noProof/>
                <w:color w:val="000000"/>
                <w:sz w:val="18"/>
              </w:rPr>
            </w:pPr>
            <w:r>
              <w:rPr>
                <w:rFonts w:ascii="Verdana" w:hAnsi="Verdana"/>
                <w:i/>
                <w:noProof/>
                <w:color w:val="000000"/>
                <w:sz w:val="18"/>
              </w:rPr>
              <w:t>Entreprise commune «Semi-conducteurs»</w:t>
            </w:r>
          </w:p>
        </w:tc>
      </w:tr>
      <w:tr>
        <w:trPr>
          <w:trHeight w:val="284"/>
        </w:trPr>
        <w:tc>
          <w:tcPr>
            <w:tcW w:w="9758" w:type="dxa"/>
            <w:tcBorders>
              <w:top w:val="nil"/>
              <w:left w:val="nil"/>
              <w:bottom w:val="nil"/>
              <w:right w:val="nil"/>
              <w:tl2br w:val="nil"/>
              <w:tr2bl w:val="nil"/>
            </w:tcBorders>
            <w:shd w:val="solid" w:color="FFFFFF" w:fill="FFFFFF"/>
            <w:tcMar>
              <w:left w:w="60" w:type="dxa"/>
              <w:right w:w="60" w:type="dxa"/>
            </w:tcMar>
            <w:vAlign w:val="bottom"/>
          </w:tcPr>
          <w:p>
            <w:pPr>
              <w:rPr>
                <w:rFonts w:ascii="Verdana" w:hAnsi="Verdana" w:cs="Verdana"/>
                <w:i/>
                <w:noProof/>
                <w:color w:val="000000"/>
                <w:sz w:val="18"/>
              </w:rPr>
            </w:pPr>
            <w:r>
              <w:rPr>
                <w:rFonts w:ascii="Verdana" w:hAnsi="Verdana"/>
                <w:i/>
                <w:noProof/>
                <w:color w:val="000000"/>
                <w:sz w:val="18"/>
              </w:rPr>
              <w:t>Entreprise commune «Une Europe fondée sur la bioéconomie circulaire»</w:t>
            </w:r>
          </w:p>
        </w:tc>
      </w:tr>
      <w:tr>
        <w:trPr>
          <w:trHeight w:val="284"/>
        </w:trPr>
        <w:tc>
          <w:tcPr>
            <w:tcW w:w="9758" w:type="dxa"/>
            <w:tcBorders>
              <w:top w:val="nil"/>
              <w:left w:val="nil"/>
              <w:bottom w:val="nil"/>
              <w:right w:val="nil"/>
              <w:tl2br w:val="nil"/>
              <w:tr2bl w:val="nil"/>
            </w:tcBorders>
            <w:shd w:val="solid" w:color="FFFFFF" w:fill="FFFFFF"/>
            <w:tcMar>
              <w:left w:w="60" w:type="dxa"/>
              <w:right w:w="60" w:type="dxa"/>
            </w:tcMar>
            <w:vAlign w:val="bottom"/>
          </w:tcPr>
          <w:p>
            <w:pPr>
              <w:rPr>
                <w:rFonts w:ascii="Verdana" w:hAnsi="Verdana" w:cs="Verdana"/>
                <w:i/>
                <w:noProof/>
                <w:color w:val="000000"/>
                <w:sz w:val="18"/>
              </w:rPr>
            </w:pPr>
            <w:r>
              <w:rPr>
                <w:rFonts w:ascii="Verdana" w:hAnsi="Verdana"/>
                <w:i/>
                <w:noProof/>
                <w:color w:val="000000"/>
                <w:sz w:val="18"/>
              </w:rPr>
              <w:t>Entreprise commune «Aviation propre»</w:t>
            </w:r>
          </w:p>
        </w:tc>
      </w:tr>
      <w:tr>
        <w:trPr>
          <w:trHeight w:val="284"/>
        </w:trPr>
        <w:tc>
          <w:tcPr>
            <w:tcW w:w="9758" w:type="dxa"/>
            <w:tcBorders>
              <w:top w:val="nil"/>
              <w:left w:val="nil"/>
              <w:bottom w:val="nil"/>
              <w:right w:val="nil"/>
              <w:tl2br w:val="nil"/>
              <w:tr2bl w:val="nil"/>
            </w:tcBorders>
            <w:shd w:val="solid" w:color="FFFFFF" w:fill="FFFFFF"/>
            <w:tcMar>
              <w:left w:w="60" w:type="dxa"/>
              <w:right w:w="60" w:type="dxa"/>
            </w:tcMar>
            <w:vAlign w:val="center"/>
          </w:tcPr>
          <w:p>
            <w:pPr>
              <w:rPr>
                <w:rFonts w:ascii="Verdana" w:hAnsi="Verdana" w:cs="Verdana"/>
                <w:i/>
                <w:noProof/>
                <w:color w:val="000000"/>
                <w:sz w:val="18"/>
              </w:rPr>
            </w:pPr>
            <w:r>
              <w:rPr>
                <w:rFonts w:ascii="Verdana" w:hAnsi="Verdana"/>
                <w:i/>
                <w:noProof/>
                <w:color w:val="000000"/>
                <w:sz w:val="18"/>
              </w:rPr>
              <w:t>Entreprise commune «Hydrogène propre»</w:t>
            </w:r>
          </w:p>
        </w:tc>
      </w:tr>
      <w:tr>
        <w:trPr>
          <w:trHeight w:val="148"/>
        </w:trPr>
        <w:tc>
          <w:tcPr>
            <w:tcW w:w="9758" w:type="dxa"/>
            <w:tcBorders>
              <w:top w:val="nil"/>
              <w:left w:val="nil"/>
              <w:bottom w:val="nil"/>
              <w:right w:val="nil"/>
              <w:tl2br w:val="nil"/>
              <w:tr2bl w:val="nil"/>
            </w:tcBorders>
            <w:shd w:val="solid" w:color="FFFFFF" w:fill="FFFFFF"/>
            <w:tcMar>
              <w:left w:w="60" w:type="dxa"/>
              <w:right w:w="60" w:type="dxa"/>
            </w:tcMar>
            <w:vAlign w:val="bottom"/>
          </w:tcPr>
          <w:p>
            <w:pPr>
              <w:rPr>
                <w:rFonts w:ascii="Verdana" w:hAnsi="Verdana" w:cs="Verdana"/>
                <w:i/>
                <w:noProof/>
                <w:color w:val="000000"/>
                <w:sz w:val="18"/>
              </w:rPr>
            </w:pPr>
            <w:r>
              <w:rPr>
                <w:rFonts w:ascii="Verdana" w:hAnsi="Verdana"/>
                <w:i/>
                <w:noProof/>
                <w:color w:val="000000"/>
                <w:sz w:val="18"/>
              </w:rPr>
              <w:t>Entreprise commune «Système ferroviaire européen»</w:t>
            </w:r>
          </w:p>
        </w:tc>
      </w:tr>
      <w:tr>
        <w:trPr>
          <w:trHeight w:val="284"/>
        </w:trPr>
        <w:tc>
          <w:tcPr>
            <w:tcW w:w="9758" w:type="dxa"/>
            <w:tcBorders>
              <w:top w:val="nil"/>
              <w:left w:val="nil"/>
              <w:bottom w:val="nil"/>
              <w:right w:val="nil"/>
              <w:tl2br w:val="nil"/>
              <w:tr2bl w:val="nil"/>
            </w:tcBorders>
            <w:shd w:val="solid" w:color="FFFFFF" w:fill="FFFFFF"/>
            <w:tcMar>
              <w:left w:w="60" w:type="dxa"/>
              <w:right w:w="60" w:type="dxa"/>
            </w:tcMar>
            <w:vAlign w:val="bottom"/>
          </w:tcPr>
          <w:p>
            <w:pPr>
              <w:rPr>
                <w:rFonts w:ascii="Verdana" w:hAnsi="Verdana" w:cs="Verdana"/>
                <w:i/>
                <w:noProof/>
                <w:color w:val="000000"/>
                <w:sz w:val="18"/>
              </w:rPr>
            </w:pPr>
            <w:r>
              <w:rPr>
                <w:rFonts w:ascii="Verdana" w:hAnsi="Verdana"/>
                <w:i/>
                <w:noProof/>
                <w:color w:val="000000"/>
                <w:sz w:val="18"/>
              </w:rPr>
              <w:t>Centre de compétences européen en matière de cybersécurité</w:t>
            </w:r>
          </w:p>
        </w:tc>
      </w:tr>
      <w:tr>
        <w:trPr>
          <w:trHeight w:val="284"/>
        </w:trPr>
        <w:tc>
          <w:tcPr>
            <w:tcW w:w="9758" w:type="dxa"/>
            <w:tcBorders>
              <w:top w:val="nil"/>
              <w:left w:val="nil"/>
              <w:bottom w:val="nil"/>
              <w:right w:val="nil"/>
              <w:tl2br w:val="nil"/>
              <w:tr2bl w:val="nil"/>
            </w:tcBorders>
            <w:shd w:val="solid" w:color="FFFFFF" w:fill="FFFFFF"/>
            <w:tcMar>
              <w:left w:w="60" w:type="dxa"/>
              <w:right w:w="60" w:type="dxa"/>
            </w:tcMar>
            <w:vAlign w:val="bottom"/>
          </w:tcPr>
          <w:p>
            <w:pPr>
              <w:rPr>
                <w:rFonts w:ascii="Verdana" w:hAnsi="Verdana" w:cs="Verdana"/>
                <w:i/>
                <w:noProof/>
                <w:color w:val="000000"/>
                <w:sz w:val="18"/>
              </w:rPr>
            </w:pPr>
            <w:r>
              <w:rPr>
                <w:rFonts w:ascii="Verdana" w:hAnsi="Verdana"/>
                <w:i/>
                <w:noProof/>
                <w:color w:val="000000"/>
                <w:sz w:val="18"/>
              </w:rPr>
              <w:t>Entreprise commune pour le calcul à haute performance européen (EC EuroHPC)</w:t>
            </w:r>
          </w:p>
        </w:tc>
      </w:tr>
      <w:tr>
        <w:trPr>
          <w:trHeight w:val="284"/>
        </w:trPr>
        <w:tc>
          <w:tcPr>
            <w:tcW w:w="9758" w:type="dxa"/>
            <w:tcBorders>
              <w:top w:val="nil"/>
              <w:left w:val="nil"/>
              <w:bottom w:val="nil"/>
              <w:right w:val="nil"/>
              <w:tl2br w:val="nil"/>
              <w:tr2bl w:val="nil"/>
            </w:tcBorders>
            <w:shd w:val="solid" w:color="FFFFFF" w:fill="FFFFFF"/>
            <w:tcMar>
              <w:left w:w="60" w:type="dxa"/>
              <w:right w:w="60" w:type="dxa"/>
            </w:tcMar>
            <w:vAlign w:val="bottom"/>
          </w:tcPr>
          <w:p>
            <w:pPr>
              <w:rPr>
                <w:rFonts w:ascii="Verdana" w:hAnsi="Verdana" w:cs="Verdana"/>
                <w:i/>
                <w:noProof/>
                <w:color w:val="000000"/>
                <w:sz w:val="18"/>
              </w:rPr>
            </w:pPr>
            <w:r>
              <w:rPr>
                <w:rFonts w:ascii="Verdana" w:hAnsi="Verdana"/>
                <w:i/>
                <w:noProof/>
                <w:color w:val="000000"/>
                <w:sz w:val="18"/>
              </w:rPr>
              <w:t>Entreprise commune «EDCTP3 pour la santé mondiale» (EC GH EDCP3)</w:t>
            </w:r>
          </w:p>
        </w:tc>
      </w:tr>
      <w:tr>
        <w:trPr>
          <w:trHeight w:val="284"/>
        </w:trPr>
        <w:tc>
          <w:tcPr>
            <w:tcW w:w="9758" w:type="dxa"/>
            <w:tcBorders>
              <w:top w:val="nil"/>
              <w:left w:val="nil"/>
              <w:bottom w:val="nil"/>
              <w:right w:val="nil"/>
              <w:tl2br w:val="nil"/>
              <w:tr2bl w:val="nil"/>
            </w:tcBorders>
            <w:shd w:val="solid" w:color="FFFFFF" w:fill="FFFFFF"/>
            <w:tcMar>
              <w:left w:w="60" w:type="dxa"/>
              <w:right w:w="60" w:type="dxa"/>
            </w:tcMar>
            <w:vAlign w:val="bottom"/>
          </w:tcPr>
          <w:p>
            <w:pPr>
              <w:rPr>
                <w:rFonts w:ascii="Verdana" w:hAnsi="Verdana" w:cs="Verdana"/>
                <w:i/>
                <w:noProof/>
                <w:color w:val="000000"/>
                <w:sz w:val="18"/>
              </w:rPr>
            </w:pPr>
            <w:r>
              <w:rPr>
                <w:rFonts w:ascii="Verdana" w:hAnsi="Verdana"/>
                <w:i/>
                <w:noProof/>
                <w:color w:val="000000"/>
                <w:sz w:val="18"/>
              </w:rPr>
              <w:t>Entreprise commune «Initiative en matière de santé innovante»</w:t>
            </w:r>
          </w:p>
        </w:tc>
      </w:tr>
      <w:tr>
        <w:trPr>
          <w:trHeight w:val="284"/>
        </w:trPr>
        <w:tc>
          <w:tcPr>
            <w:tcW w:w="9758" w:type="dxa"/>
            <w:tcBorders>
              <w:top w:val="nil"/>
              <w:left w:val="nil"/>
              <w:bottom w:val="nil"/>
              <w:right w:val="nil"/>
              <w:tl2br w:val="nil"/>
              <w:tr2bl w:val="nil"/>
            </w:tcBorders>
            <w:shd w:val="solid" w:color="FFFFFF" w:fill="FFFFFF"/>
            <w:tcMar>
              <w:left w:w="60" w:type="dxa"/>
              <w:right w:w="60" w:type="dxa"/>
            </w:tcMar>
            <w:vAlign w:val="bottom"/>
          </w:tcPr>
          <w:p>
            <w:pPr>
              <w:rPr>
                <w:rFonts w:ascii="Verdana" w:hAnsi="Verdana" w:cs="Verdana"/>
                <w:i/>
                <w:noProof/>
                <w:color w:val="000000"/>
                <w:sz w:val="18"/>
              </w:rPr>
            </w:pPr>
            <w:r>
              <w:rPr>
                <w:rFonts w:ascii="Verdana" w:hAnsi="Verdana"/>
                <w:i/>
                <w:noProof/>
                <w:color w:val="000000"/>
                <w:sz w:val="18"/>
              </w:rPr>
              <w:t>Entreprise commune «Recherche sur la gestion du trafic aérien dans le ciel unique européen 3»</w:t>
            </w:r>
          </w:p>
        </w:tc>
      </w:tr>
      <w:tr>
        <w:trPr>
          <w:trHeight w:val="284"/>
        </w:trPr>
        <w:tc>
          <w:tcPr>
            <w:tcW w:w="9758" w:type="dxa"/>
            <w:tcBorders>
              <w:top w:val="nil"/>
              <w:left w:val="nil"/>
              <w:bottom w:val="nil"/>
              <w:right w:val="nil"/>
              <w:tl2br w:val="nil"/>
              <w:tr2bl w:val="nil"/>
            </w:tcBorders>
            <w:shd w:val="solid" w:color="FFFFFF" w:fill="FFFFFF"/>
            <w:tcMar>
              <w:left w:w="60" w:type="dxa"/>
              <w:right w:w="60" w:type="dxa"/>
            </w:tcMar>
            <w:vAlign w:val="bottom"/>
          </w:tcPr>
          <w:p>
            <w:pPr>
              <w:rPr>
                <w:rFonts w:ascii="Verdana" w:hAnsi="Verdana" w:cs="Verdana"/>
                <w:i/>
                <w:noProof/>
                <w:color w:val="000000"/>
                <w:sz w:val="18"/>
              </w:rPr>
            </w:pPr>
            <w:r>
              <w:rPr>
                <w:rFonts w:ascii="Verdana" w:hAnsi="Verdana"/>
                <w:i/>
                <w:noProof/>
                <w:color w:val="000000"/>
                <w:sz w:val="18"/>
              </w:rPr>
              <w:t>Entreprise commune «Réseaux et services intelligents»</w:t>
            </w:r>
          </w:p>
        </w:tc>
      </w:tr>
    </w:tbl>
    <w:p>
      <w:pPr>
        <w:pStyle w:val="DGTextstand-alone"/>
      </w:pPr>
      <w:r>
        <w:t>Les comptes annuels des entités précitées peuvent être consultés sur leurs sites internet respectifs.</w:t>
      </w:r>
    </w:p>
    <w:bookmarkEnd w:id="247"/>
    <w:p>
      <w:pPr>
        <w:pStyle w:val="DGTextstand-alone"/>
        <w:sectPr>
          <w:headerReference w:type="default" r:id="rId143"/>
          <w:footerReference w:type="default" r:id="rId144"/>
          <w:pgSz w:w="11906" w:h="16838"/>
          <w:pgMar w:top="1134" w:right="1134" w:bottom="1134" w:left="1134" w:header="709" w:footer="709" w:gutter="0"/>
          <w:cols w:space="708"/>
          <w:docGrid w:linePitch="360"/>
        </w:sectPr>
      </w:pPr>
    </w:p>
    <w:p>
      <w:pPr>
        <w:pStyle w:val="FinancialYear"/>
        <w:rPr>
          <w:noProof/>
        </w:rPr>
      </w:pPr>
      <w:bookmarkStart w:id="249" w:name="_DMBM_36744"/>
    </w:p>
    <w:p>
      <w:pPr>
        <w:pStyle w:val="FinancialYear"/>
        <w:rPr>
          <w:noProof/>
        </w:rPr>
      </w:pPr>
    </w:p>
    <w:p>
      <w:pPr>
        <w:pStyle w:val="FIRSTCHAPTERPAGE2"/>
      </w:pPr>
    </w:p>
    <w:p>
      <w:pPr>
        <w:pStyle w:val="FIRSTCHAPTERPAGE2"/>
      </w:pPr>
    </w:p>
    <w:p>
      <w:pPr>
        <w:pStyle w:val="FIRSTCHAPTERPAGE2"/>
      </w:pPr>
    </w:p>
    <w:p>
      <w:pPr>
        <w:pStyle w:val="FIRSTCHAPTERPAGE2"/>
      </w:pPr>
    </w:p>
    <w:p>
      <w:pPr>
        <w:pStyle w:val="FIRSTCHAPTERPAGE"/>
        <w:rPr>
          <w:noProof/>
        </w:rPr>
      </w:pPr>
      <w:bookmarkStart w:id="250" w:name="_Toc390968562"/>
      <w:bookmarkStart w:id="251" w:name="_Toc237348412"/>
      <w:r>
        <w:rPr>
          <w:noProof/>
        </w:rPr>
        <w:t>ÉTATS SUR L’EXÉCUTION BUDGÉTAIRE ET NOTES ANNEXES</w:t>
      </w:r>
      <w:bookmarkEnd w:id="250"/>
      <w:bookmarkEnd w:id="251"/>
    </w:p>
    <w:p>
      <w:pPr>
        <w:pStyle w:val="FIRSTCHAPTERPAGE2"/>
      </w:pPr>
    </w:p>
    <w:p>
      <w:pPr>
        <w:pStyle w:val="FIRSTCHAPTERPAGE2"/>
      </w:pPr>
    </w:p>
    <w:p>
      <w:pPr>
        <w:pStyle w:val="FIRSTCHAPTERPAGE2"/>
      </w:pPr>
    </w:p>
    <w:p>
      <w:pPr>
        <w:pStyle w:val="FIRSTCHAPTERPAGE2"/>
      </w:pPr>
    </w:p>
    <w:p>
      <w:pPr>
        <w:pStyle w:val="FIRSTCHAPTERPAGE2"/>
      </w:pPr>
    </w:p>
    <w:p>
      <w:pPr>
        <w:pStyle w:val="TOPHEADERNOTE"/>
        <w:rPr>
          <w:noProof/>
        </w:rPr>
        <w:sectPr>
          <w:headerReference w:type="default" r:id="rId145"/>
          <w:footerReference w:type="default" r:id="rId146"/>
          <w:pgSz w:w="11907" w:h="16840" w:code="9"/>
          <w:pgMar w:top="1134" w:right="1134" w:bottom="1134" w:left="1134" w:header="709" w:footer="709" w:gutter="0"/>
          <w:cols w:space="708"/>
          <w:docGrid w:linePitch="360"/>
        </w:sectPr>
      </w:pPr>
      <w:r>
        <w:rPr>
          <w:noProof/>
        </w:rPr>
        <w:t>Des écarts peuvent sembler exister entre certaines données financières des tableaux figurant ci-dessous lorsqu’elles sont additionnées car les chiffres sont arrondis au million d’euros.</w:t>
      </w:r>
      <w:bookmarkEnd w:id="249"/>
    </w:p>
    <w:p>
      <w:pPr>
        <w:pStyle w:val="HEADERTABLE"/>
        <w:rPr>
          <w:noProof/>
        </w:rPr>
      </w:pPr>
      <w:bookmarkStart w:id="252" w:name="_DMBM_36736"/>
      <w:r>
        <w:rPr>
          <w:noProof/>
        </w:rPr>
        <w:lastRenderedPageBreak/>
        <w:t>SOMMAIRE</w:t>
      </w:r>
    </w:p>
    <w:p>
      <w:pPr>
        <w:pStyle w:val="HEADERTABLE"/>
        <w:rPr>
          <w:noProof/>
        </w:rPr>
      </w:pPr>
    </w:p>
    <w:p>
      <w:pPr>
        <w:pStyle w:val="TOC1"/>
        <w:tabs>
          <w:tab w:val="left" w:pos="480"/>
          <w:tab w:val="right" w:leader="dot" w:pos="9629"/>
        </w:tabs>
        <w:rPr>
          <w:rFonts w:asciiTheme="minorHAnsi" w:eastAsiaTheme="minorEastAsia" w:hAnsiTheme="minorHAnsi" w:cstheme="minorBidi"/>
          <w:noProof/>
          <w:color w:val="auto"/>
          <w:kern w:val="2"/>
          <w:sz w:val="24"/>
          <w:lang w:val="en-IE" w:eastAsia="en-IE"/>
          <w14:ligatures w14:val="standardContextual"/>
        </w:rPr>
      </w:pPr>
      <w:r>
        <w:rPr>
          <w:caps/>
          <w:noProof/>
          <w:color w:val="016894"/>
          <w:sz w:val="20"/>
        </w:rPr>
        <w:fldChar w:fldCharType="begin"/>
      </w:r>
      <w:r>
        <w:rPr>
          <w:caps/>
          <w:noProof/>
          <w:color w:val="016894"/>
          <w:sz w:val="20"/>
        </w:rPr>
        <w:instrText xml:space="preserve"> TOC \o "1-3" \h \z \t "HEADER_TITLE_2;1;HEADER 1_Part BUDG;1;HEADER 2_Part BUDG;2" </w:instrText>
      </w:r>
      <w:r>
        <w:rPr>
          <w:caps/>
          <w:noProof/>
          <w:color w:val="016894"/>
          <w:sz w:val="20"/>
        </w:rPr>
        <w:fldChar w:fldCharType="separate"/>
      </w:r>
      <w:hyperlink w:anchor="_Toc237349619" w:history="1">
        <w:r>
          <w:rPr>
            <w:rStyle w:val="Hyperlink"/>
            <w:rFonts w:eastAsia="Calibri"/>
            <w:noProof/>
            <w14:scene3d>
              <w14:camera w14:prst="orthographicFront"/>
              <w14:lightRig w14:rig="threePt" w14:dir="t">
                <w14:rot w14:lat="0" w14:lon="0" w14:rev="0"/>
              </w14:lightRig>
            </w14:scene3d>
            <w14:props3d w14:extrusionH="0" w14:contourW="0" w14:prstMaterial="warmMatte"/>
          </w:rPr>
          <w:t>1.</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RÉSULTAT DE L’EXÉCUTION DU BUDGET DE L’UE</w:t>
        </w:r>
        <w:r>
          <w:rPr>
            <w:noProof/>
            <w:webHidden/>
          </w:rPr>
          <w:tab/>
        </w:r>
        <w:r>
          <w:rPr>
            <w:noProof/>
            <w:webHidden/>
          </w:rPr>
          <w:fldChar w:fldCharType="begin"/>
        </w:r>
        <w:r>
          <w:rPr>
            <w:noProof/>
            <w:webHidden/>
          </w:rPr>
          <w:instrText xml:space="preserve"> PAGEREF _Toc237349619 \h </w:instrText>
        </w:r>
        <w:r>
          <w:rPr>
            <w:noProof/>
            <w:webHidden/>
          </w:rPr>
        </w:r>
        <w:r>
          <w:rPr>
            <w:noProof/>
            <w:webHidden/>
          </w:rPr>
          <w:fldChar w:fldCharType="separate"/>
        </w:r>
        <w:r>
          <w:rPr>
            <w:noProof/>
            <w:webHidden/>
          </w:rPr>
          <w:t>177</w:t>
        </w:r>
        <w:r>
          <w:rPr>
            <w:noProof/>
            <w:webHidden/>
          </w:rPr>
          <w:fldChar w:fldCharType="end"/>
        </w:r>
      </w:hyperlink>
    </w:p>
    <w:p>
      <w:pPr>
        <w:pStyle w:val="TOC1"/>
        <w:tabs>
          <w:tab w:val="left" w:pos="48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349620" w:history="1">
        <w:r>
          <w:rPr>
            <w:rStyle w:val="Hyperlink"/>
            <w:rFonts w:eastAsia="Calibri"/>
            <w:noProof/>
            <w14:scene3d>
              <w14:camera w14:prst="orthographicFront"/>
              <w14:lightRig w14:rig="threePt" w14:dir="t">
                <w14:rot w14:lat="0" w14:lon="0" w14:rev="0"/>
              </w14:lightRig>
            </w14:scene3d>
            <w14:props3d w14:extrusionH="0" w14:contourW="0" w14:prstMaterial="warmMatte"/>
          </w:rPr>
          <w:t>2.</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COMPARAISONS ENTRE LES PRÉVISIONS BUDGÉTAIRES ET LES DONNÉES EFFECTIVES</w:t>
        </w:r>
        <w:r>
          <w:rPr>
            <w:noProof/>
            <w:webHidden/>
          </w:rPr>
          <w:tab/>
        </w:r>
        <w:r>
          <w:rPr>
            <w:noProof/>
            <w:webHidden/>
          </w:rPr>
          <w:fldChar w:fldCharType="begin"/>
        </w:r>
        <w:r>
          <w:rPr>
            <w:noProof/>
            <w:webHidden/>
          </w:rPr>
          <w:instrText xml:space="preserve"> PAGEREF _Toc237349620 \h </w:instrText>
        </w:r>
        <w:r>
          <w:rPr>
            <w:noProof/>
            <w:webHidden/>
          </w:rPr>
        </w:r>
        <w:r>
          <w:rPr>
            <w:noProof/>
            <w:webHidden/>
          </w:rPr>
          <w:fldChar w:fldCharType="separate"/>
        </w:r>
        <w:r>
          <w:rPr>
            <w:noProof/>
            <w:webHidden/>
          </w:rPr>
          <w:t>178</w:t>
        </w:r>
        <w:r>
          <w:rPr>
            <w:noProof/>
            <w:webHidden/>
          </w:rPr>
          <w:fldChar w:fldCharType="end"/>
        </w:r>
      </w:hyperlink>
    </w:p>
    <w:p>
      <w:pPr>
        <w:pStyle w:val="TOC1"/>
        <w:tabs>
          <w:tab w:val="left" w:pos="48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349621" w:history="1">
        <w:r>
          <w:rPr>
            <w:rStyle w:val="Hyperlink"/>
            <w:noProof/>
            <w14:scene3d>
              <w14:camera w14:prst="orthographicFront"/>
              <w14:lightRig w14:rig="threePt" w14:dir="t">
                <w14:rot w14:lat="0" w14:lon="0" w14:rev="0"/>
              </w14:lightRig>
            </w14:scene3d>
            <w14:props3d w14:extrusionH="0" w14:contourW="0" w14:prstMaterial="warmMatte"/>
          </w:rPr>
          <w:t>3.</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NOTES RELATIVES AUX ÉTATS SUR L’EXÉCUTION BUDGÉTAIRE</w:t>
        </w:r>
        <w:r>
          <w:rPr>
            <w:noProof/>
            <w:webHidden/>
          </w:rPr>
          <w:tab/>
        </w:r>
        <w:r>
          <w:rPr>
            <w:noProof/>
            <w:webHidden/>
          </w:rPr>
          <w:fldChar w:fldCharType="begin"/>
        </w:r>
        <w:r>
          <w:rPr>
            <w:noProof/>
            <w:webHidden/>
          </w:rPr>
          <w:instrText xml:space="preserve"> PAGEREF _Toc237349621 \h </w:instrText>
        </w:r>
        <w:r>
          <w:rPr>
            <w:noProof/>
            <w:webHidden/>
          </w:rPr>
        </w:r>
        <w:r>
          <w:rPr>
            <w:noProof/>
            <w:webHidden/>
          </w:rPr>
          <w:fldChar w:fldCharType="separate"/>
        </w:r>
        <w:r>
          <w:rPr>
            <w:noProof/>
            <w:webHidden/>
          </w:rPr>
          <w:t>180</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349622" w:history="1">
        <w:r>
          <w:rPr>
            <w:rStyle w:val="Hyperlink"/>
            <w:noProof/>
          </w:rPr>
          <w:t>3.1.</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LE CADRE BUDGÉTAIRE DE l’UE</w:t>
        </w:r>
        <w:r>
          <w:rPr>
            <w:noProof/>
            <w:webHidden/>
          </w:rPr>
          <w:tab/>
        </w:r>
        <w:r>
          <w:rPr>
            <w:noProof/>
            <w:webHidden/>
          </w:rPr>
          <w:fldChar w:fldCharType="begin"/>
        </w:r>
        <w:r>
          <w:rPr>
            <w:noProof/>
            <w:webHidden/>
          </w:rPr>
          <w:instrText xml:space="preserve"> PAGEREF _Toc237349622 \h </w:instrText>
        </w:r>
        <w:r>
          <w:rPr>
            <w:noProof/>
            <w:webHidden/>
          </w:rPr>
        </w:r>
        <w:r>
          <w:rPr>
            <w:noProof/>
            <w:webHidden/>
          </w:rPr>
          <w:fldChar w:fldCharType="separate"/>
        </w:r>
        <w:r>
          <w:rPr>
            <w:noProof/>
            <w:webHidden/>
          </w:rPr>
          <w:t>180</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349623" w:history="1">
        <w:r>
          <w:rPr>
            <w:rStyle w:val="Hyperlink"/>
            <w:noProof/>
          </w:rPr>
          <w:t>3.2.</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CADRE FINANCIER PLURIANNUEL 2021-2027</w:t>
        </w:r>
        <w:r>
          <w:rPr>
            <w:noProof/>
            <w:webHidden/>
          </w:rPr>
          <w:tab/>
        </w:r>
        <w:r>
          <w:rPr>
            <w:noProof/>
            <w:webHidden/>
          </w:rPr>
          <w:fldChar w:fldCharType="begin"/>
        </w:r>
        <w:r>
          <w:rPr>
            <w:noProof/>
            <w:webHidden/>
          </w:rPr>
          <w:instrText xml:space="preserve"> PAGEREF _Toc237349623 \h </w:instrText>
        </w:r>
        <w:r>
          <w:rPr>
            <w:noProof/>
            <w:webHidden/>
          </w:rPr>
        </w:r>
        <w:r>
          <w:rPr>
            <w:noProof/>
            <w:webHidden/>
          </w:rPr>
          <w:fldChar w:fldCharType="separate"/>
        </w:r>
        <w:r>
          <w:rPr>
            <w:noProof/>
            <w:webHidden/>
          </w:rPr>
          <w:t>180</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349624" w:history="1">
        <w:r>
          <w:rPr>
            <w:rStyle w:val="Hyperlink"/>
            <w:noProof/>
          </w:rPr>
          <w:t>3.3.</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RUBRIQUES DÉTAILLÉES DU CFP (PROGRAMMES)</w:t>
        </w:r>
        <w:r>
          <w:rPr>
            <w:noProof/>
            <w:webHidden/>
          </w:rPr>
          <w:tab/>
        </w:r>
        <w:r>
          <w:rPr>
            <w:noProof/>
            <w:webHidden/>
          </w:rPr>
          <w:fldChar w:fldCharType="begin"/>
        </w:r>
        <w:r>
          <w:rPr>
            <w:noProof/>
            <w:webHidden/>
          </w:rPr>
          <w:instrText xml:space="preserve"> PAGEREF _Toc237349624 \h </w:instrText>
        </w:r>
        <w:r>
          <w:rPr>
            <w:noProof/>
            <w:webHidden/>
          </w:rPr>
        </w:r>
        <w:r>
          <w:rPr>
            <w:noProof/>
            <w:webHidden/>
          </w:rPr>
          <w:fldChar w:fldCharType="separate"/>
        </w:r>
        <w:r>
          <w:rPr>
            <w:noProof/>
            <w:webHidden/>
          </w:rPr>
          <w:t>184</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349625" w:history="1">
        <w:r>
          <w:rPr>
            <w:rStyle w:val="Hyperlink"/>
            <w:noProof/>
          </w:rPr>
          <w:t>3.4.</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NextGenerationEU</w:t>
        </w:r>
        <w:r>
          <w:rPr>
            <w:noProof/>
            <w:webHidden/>
          </w:rPr>
          <w:tab/>
        </w:r>
        <w:r>
          <w:rPr>
            <w:noProof/>
            <w:webHidden/>
          </w:rPr>
          <w:fldChar w:fldCharType="begin"/>
        </w:r>
        <w:r>
          <w:rPr>
            <w:noProof/>
            <w:webHidden/>
          </w:rPr>
          <w:instrText xml:space="preserve"> PAGEREF _Toc237349625 \h </w:instrText>
        </w:r>
        <w:r>
          <w:rPr>
            <w:noProof/>
            <w:webHidden/>
          </w:rPr>
        </w:r>
        <w:r>
          <w:rPr>
            <w:noProof/>
            <w:webHidden/>
          </w:rPr>
          <w:fldChar w:fldCharType="separate"/>
        </w:r>
        <w:r>
          <w:rPr>
            <w:noProof/>
            <w:webHidden/>
          </w:rPr>
          <w:t>184</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349626" w:history="1">
        <w:r>
          <w:rPr>
            <w:rStyle w:val="Hyperlink"/>
            <w:noProof/>
          </w:rPr>
          <w:t>3.5.</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BUDGET ANNUEL</w:t>
        </w:r>
        <w:r>
          <w:rPr>
            <w:noProof/>
            <w:webHidden/>
          </w:rPr>
          <w:tab/>
        </w:r>
        <w:r>
          <w:rPr>
            <w:noProof/>
            <w:webHidden/>
          </w:rPr>
          <w:fldChar w:fldCharType="begin"/>
        </w:r>
        <w:r>
          <w:rPr>
            <w:noProof/>
            <w:webHidden/>
          </w:rPr>
          <w:instrText xml:space="preserve"> PAGEREF _Toc237349626 \h </w:instrText>
        </w:r>
        <w:r>
          <w:rPr>
            <w:noProof/>
            <w:webHidden/>
          </w:rPr>
        </w:r>
        <w:r>
          <w:rPr>
            <w:noProof/>
            <w:webHidden/>
          </w:rPr>
          <w:fldChar w:fldCharType="separate"/>
        </w:r>
        <w:r>
          <w:rPr>
            <w:noProof/>
            <w:webHidden/>
          </w:rPr>
          <w:t>185</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349627" w:history="1">
        <w:r>
          <w:rPr>
            <w:rStyle w:val="Hyperlink"/>
            <w:noProof/>
          </w:rPr>
          <w:t>3.6.</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RECETTES</w:t>
        </w:r>
        <w:r>
          <w:rPr>
            <w:noProof/>
            <w:webHidden/>
          </w:rPr>
          <w:tab/>
        </w:r>
        <w:r>
          <w:rPr>
            <w:noProof/>
            <w:webHidden/>
          </w:rPr>
          <w:fldChar w:fldCharType="begin"/>
        </w:r>
        <w:r>
          <w:rPr>
            <w:noProof/>
            <w:webHidden/>
          </w:rPr>
          <w:instrText xml:space="preserve"> PAGEREF _Toc237349627 \h </w:instrText>
        </w:r>
        <w:r>
          <w:rPr>
            <w:noProof/>
            <w:webHidden/>
          </w:rPr>
        </w:r>
        <w:r>
          <w:rPr>
            <w:noProof/>
            <w:webHidden/>
          </w:rPr>
          <w:fldChar w:fldCharType="separate"/>
        </w:r>
        <w:r>
          <w:rPr>
            <w:noProof/>
            <w:webHidden/>
          </w:rPr>
          <w:t>187</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349628" w:history="1">
        <w:r>
          <w:rPr>
            <w:rStyle w:val="Hyperlink"/>
            <w:noProof/>
          </w:rPr>
          <w:t>3.7.</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CALCUL DU RÉSULTAT DE L’EXÉCUTION DU BUDGET</w:t>
        </w:r>
        <w:r>
          <w:rPr>
            <w:noProof/>
            <w:webHidden/>
          </w:rPr>
          <w:tab/>
        </w:r>
        <w:r>
          <w:rPr>
            <w:noProof/>
            <w:webHidden/>
          </w:rPr>
          <w:fldChar w:fldCharType="begin"/>
        </w:r>
        <w:r>
          <w:rPr>
            <w:noProof/>
            <w:webHidden/>
          </w:rPr>
          <w:instrText xml:space="preserve"> PAGEREF _Toc237349628 \h </w:instrText>
        </w:r>
        <w:r>
          <w:rPr>
            <w:noProof/>
            <w:webHidden/>
          </w:rPr>
        </w:r>
        <w:r>
          <w:rPr>
            <w:noProof/>
            <w:webHidden/>
          </w:rPr>
          <w:fldChar w:fldCharType="separate"/>
        </w:r>
        <w:r>
          <w:rPr>
            <w:noProof/>
            <w:webHidden/>
          </w:rPr>
          <w:t>189</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349629" w:history="1">
        <w:r>
          <w:rPr>
            <w:rStyle w:val="Hyperlink"/>
            <w:noProof/>
          </w:rPr>
          <w:t>3.8.</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RAPPROCHEMENT ENTRE LE RÉSULTAT ÉCONOMIQUE ET LE RÉSULTAT DE L’EXÉCUTION DU BUDGET</w:t>
        </w:r>
        <w:r>
          <w:rPr>
            <w:noProof/>
            <w:webHidden/>
          </w:rPr>
          <w:tab/>
        </w:r>
        <w:r>
          <w:rPr>
            <w:noProof/>
            <w:webHidden/>
          </w:rPr>
          <w:fldChar w:fldCharType="begin"/>
        </w:r>
        <w:r>
          <w:rPr>
            <w:noProof/>
            <w:webHidden/>
          </w:rPr>
          <w:instrText xml:space="preserve"> PAGEREF _Toc237349629 \h </w:instrText>
        </w:r>
        <w:r>
          <w:rPr>
            <w:noProof/>
            <w:webHidden/>
          </w:rPr>
        </w:r>
        <w:r>
          <w:rPr>
            <w:noProof/>
            <w:webHidden/>
          </w:rPr>
          <w:fldChar w:fldCharType="separate"/>
        </w:r>
        <w:r>
          <w:rPr>
            <w:noProof/>
            <w:webHidden/>
          </w:rPr>
          <w:t>191</w:t>
        </w:r>
        <w:r>
          <w:rPr>
            <w:noProof/>
            <w:webHidden/>
          </w:rPr>
          <w:fldChar w:fldCharType="end"/>
        </w:r>
      </w:hyperlink>
    </w:p>
    <w:p>
      <w:pPr>
        <w:pStyle w:val="TOC1"/>
        <w:tabs>
          <w:tab w:val="left" w:pos="48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349630" w:history="1">
        <w:r>
          <w:rPr>
            <w:rStyle w:val="Hyperlink"/>
            <w:noProof/>
            <w14:scene3d>
              <w14:camera w14:prst="orthographicFront"/>
              <w14:lightRig w14:rig="threePt" w14:dir="t">
                <w14:rot w14:lat="0" w14:lon="0" w14:rev="0"/>
              </w14:lightRig>
            </w14:scene3d>
            <w14:props3d w14:extrusionH="0" w14:contourW="0" w14:prstMaterial="warmMatte"/>
          </w:rPr>
          <w:t>4.</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EXÉCUTION DU BUDGET 2025 DE L’UE</w:t>
        </w:r>
        <w:r>
          <w:rPr>
            <w:noProof/>
            <w:webHidden/>
          </w:rPr>
          <w:tab/>
        </w:r>
        <w:r>
          <w:rPr>
            <w:noProof/>
            <w:webHidden/>
          </w:rPr>
          <w:fldChar w:fldCharType="begin"/>
        </w:r>
        <w:r>
          <w:rPr>
            <w:noProof/>
            <w:webHidden/>
          </w:rPr>
          <w:instrText xml:space="preserve"> PAGEREF _Toc237349630 \h </w:instrText>
        </w:r>
        <w:r>
          <w:rPr>
            <w:noProof/>
            <w:webHidden/>
          </w:rPr>
        </w:r>
        <w:r>
          <w:rPr>
            <w:noProof/>
            <w:webHidden/>
          </w:rPr>
          <w:fldChar w:fldCharType="separate"/>
        </w:r>
        <w:r>
          <w:rPr>
            <w:noProof/>
            <w:webHidden/>
          </w:rPr>
          <w:t>193</w:t>
        </w:r>
        <w:r>
          <w:rPr>
            <w:noProof/>
            <w:webHidden/>
          </w:rPr>
          <w:fldChar w:fldCharType="end"/>
        </w:r>
      </w:hyperlink>
    </w:p>
    <w:p>
      <w:pPr>
        <w:pStyle w:val="TOC1"/>
        <w:tabs>
          <w:tab w:val="left" w:pos="48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349631" w:history="1">
        <w:r>
          <w:rPr>
            <w:rStyle w:val="Hyperlink"/>
            <w:noProof/>
            <w14:scene3d>
              <w14:camera w14:prst="orthographicFront"/>
              <w14:lightRig w14:rig="threePt" w14:dir="t">
                <w14:rot w14:lat="0" w14:lon="0" w14:rev="0"/>
              </w14:lightRig>
            </w14:scene3d>
            <w14:props3d w14:extrusionH="0" w14:contourW="0" w14:prstMaterial="warmMatte"/>
          </w:rPr>
          <w:t>5.</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EXÉCUTION DU BUDGET DE L’UE EN RECETTES</w:t>
        </w:r>
        <w:r>
          <w:rPr>
            <w:noProof/>
            <w:webHidden/>
          </w:rPr>
          <w:tab/>
        </w:r>
        <w:r>
          <w:rPr>
            <w:noProof/>
            <w:webHidden/>
          </w:rPr>
          <w:fldChar w:fldCharType="begin"/>
        </w:r>
        <w:r>
          <w:rPr>
            <w:noProof/>
            <w:webHidden/>
          </w:rPr>
          <w:instrText xml:space="preserve"> PAGEREF _Toc237349631 \h </w:instrText>
        </w:r>
        <w:r>
          <w:rPr>
            <w:noProof/>
            <w:webHidden/>
          </w:rPr>
        </w:r>
        <w:r>
          <w:rPr>
            <w:noProof/>
            <w:webHidden/>
          </w:rPr>
          <w:fldChar w:fldCharType="separate"/>
        </w:r>
        <w:r>
          <w:rPr>
            <w:noProof/>
            <w:webHidden/>
          </w:rPr>
          <w:t>194</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349632" w:history="1">
        <w:r>
          <w:rPr>
            <w:rStyle w:val="Hyperlink"/>
            <w:noProof/>
          </w:rPr>
          <w:t>5.1.</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SYNTHÈSE DE L’EXÉCUTION DU BUDGET DE L’UE EN RECETTES</w:t>
        </w:r>
        <w:r>
          <w:rPr>
            <w:noProof/>
            <w:webHidden/>
          </w:rPr>
          <w:tab/>
        </w:r>
        <w:r>
          <w:rPr>
            <w:noProof/>
            <w:webHidden/>
          </w:rPr>
          <w:fldChar w:fldCharType="begin"/>
        </w:r>
        <w:r>
          <w:rPr>
            <w:noProof/>
            <w:webHidden/>
          </w:rPr>
          <w:instrText xml:space="preserve"> PAGEREF _Toc237349632 \h </w:instrText>
        </w:r>
        <w:r>
          <w:rPr>
            <w:noProof/>
            <w:webHidden/>
          </w:rPr>
        </w:r>
        <w:r>
          <w:rPr>
            <w:noProof/>
            <w:webHidden/>
          </w:rPr>
          <w:fldChar w:fldCharType="separate"/>
        </w:r>
        <w:r>
          <w:rPr>
            <w:noProof/>
            <w:webHidden/>
          </w:rPr>
          <w:t>194</w:t>
        </w:r>
        <w:r>
          <w:rPr>
            <w:noProof/>
            <w:webHidden/>
          </w:rPr>
          <w:fldChar w:fldCharType="end"/>
        </w:r>
      </w:hyperlink>
    </w:p>
    <w:p>
      <w:pPr>
        <w:pStyle w:val="TOC1"/>
        <w:tabs>
          <w:tab w:val="left" w:pos="48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349633" w:history="1">
        <w:r>
          <w:rPr>
            <w:rStyle w:val="Hyperlink"/>
            <w:noProof/>
            <w14:scene3d>
              <w14:camera w14:prst="orthographicFront"/>
              <w14:lightRig w14:rig="threePt" w14:dir="t">
                <w14:rot w14:lat="0" w14:lon="0" w14:rev="0"/>
              </w14:lightRig>
            </w14:scene3d>
            <w14:props3d w14:extrusionH="0" w14:contourW="0" w14:prstMaterial="warmMatte"/>
          </w:rPr>
          <w:t>6.</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EXÉCUTION DU BUDGET DE L'UE EN DÉPENSES</w:t>
        </w:r>
        <w:r>
          <w:rPr>
            <w:noProof/>
            <w:webHidden/>
          </w:rPr>
          <w:tab/>
        </w:r>
        <w:r>
          <w:rPr>
            <w:noProof/>
            <w:webHidden/>
          </w:rPr>
          <w:fldChar w:fldCharType="begin"/>
        </w:r>
        <w:r>
          <w:rPr>
            <w:noProof/>
            <w:webHidden/>
          </w:rPr>
          <w:instrText xml:space="preserve"> PAGEREF _Toc237349633 \h </w:instrText>
        </w:r>
        <w:r>
          <w:rPr>
            <w:noProof/>
            <w:webHidden/>
          </w:rPr>
        </w:r>
        <w:r>
          <w:rPr>
            <w:noProof/>
            <w:webHidden/>
          </w:rPr>
          <w:fldChar w:fldCharType="separate"/>
        </w:r>
        <w:r>
          <w:rPr>
            <w:noProof/>
            <w:webHidden/>
          </w:rPr>
          <w:t>195</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349634" w:history="1">
        <w:r>
          <w:rPr>
            <w:rStyle w:val="Hyperlink"/>
            <w:noProof/>
          </w:rPr>
          <w:t>6.1.</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CFP: VENTILATION ET ÉVOLUTION DES CRÉDITS D’ENGAGEMENT ET DE PAIEMENT</w:t>
        </w:r>
        <w:r>
          <w:rPr>
            <w:noProof/>
            <w:webHidden/>
          </w:rPr>
          <w:tab/>
        </w:r>
        <w:r>
          <w:rPr>
            <w:noProof/>
            <w:webHidden/>
          </w:rPr>
          <w:fldChar w:fldCharType="begin"/>
        </w:r>
        <w:r>
          <w:rPr>
            <w:noProof/>
            <w:webHidden/>
          </w:rPr>
          <w:instrText xml:space="preserve"> PAGEREF _Toc237349634 \h </w:instrText>
        </w:r>
        <w:r>
          <w:rPr>
            <w:noProof/>
            <w:webHidden/>
          </w:rPr>
        </w:r>
        <w:r>
          <w:rPr>
            <w:noProof/>
            <w:webHidden/>
          </w:rPr>
          <w:fldChar w:fldCharType="separate"/>
        </w:r>
        <w:r>
          <w:rPr>
            <w:noProof/>
            <w:webHidden/>
          </w:rPr>
          <w:t>195</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349635" w:history="1">
        <w:r>
          <w:rPr>
            <w:rStyle w:val="Hyperlink"/>
            <w:noProof/>
          </w:rPr>
          <w:t>6.2.</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CFP: EXÉCUTION DES CRÉDITS D’ENGAGEMENT</w:t>
        </w:r>
        <w:r>
          <w:rPr>
            <w:noProof/>
            <w:webHidden/>
          </w:rPr>
          <w:tab/>
        </w:r>
        <w:r>
          <w:rPr>
            <w:noProof/>
            <w:webHidden/>
          </w:rPr>
          <w:fldChar w:fldCharType="begin"/>
        </w:r>
        <w:r>
          <w:rPr>
            <w:noProof/>
            <w:webHidden/>
          </w:rPr>
          <w:instrText xml:space="preserve"> PAGEREF _Toc237349635 \h </w:instrText>
        </w:r>
        <w:r>
          <w:rPr>
            <w:noProof/>
            <w:webHidden/>
          </w:rPr>
        </w:r>
        <w:r>
          <w:rPr>
            <w:noProof/>
            <w:webHidden/>
          </w:rPr>
          <w:fldChar w:fldCharType="separate"/>
        </w:r>
        <w:r>
          <w:rPr>
            <w:noProof/>
            <w:webHidden/>
          </w:rPr>
          <w:t>196</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349636" w:history="1">
        <w:r>
          <w:rPr>
            <w:rStyle w:val="Hyperlink"/>
            <w:noProof/>
          </w:rPr>
          <w:t>6.3.</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CFP: EXÉCUTION DES CRÉDITS DE PAIEMENT</w:t>
        </w:r>
        <w:r>
          <w:rPr>
            <w:noProof/>
            <w:webHidden/>
          </w:rPr>
          <w:tab/>
        </w:r>
        <w:r>
          <w:rPr>
            <w:noProof/>
            <w:webHidden/>
          </w:rPr>
          <w:fldChar w:fldCharType="begin"/>
        </w:r>
        <w:r>
          <w:rPr>
            <w:noProof/>
            <w:webHidden/>
          </w:rPr>
          <w:instrText xml:space="preserve"> PAGEREF _Toc237349636 \h </w:instrText>
        </w:r>
        <w:r>
          <w:rPr>
            <w:noProof/>
            <w:webHidden/>
          </w:rPr>
        </w:r>
        <w:r>
          <w:rPr>
            <w:noProof/>
            <w:webHidden/>
          </w:rPr>
          <w:fldChar w:fldCharType="separate"/>
        </w:r>
        <w:r>
          <w:rPr>
            <w:noProof/>
            <w:webHidden/>
          </w:rPr>
          <w:t>197</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349637" w:history="1">
        <w:r>
          <w:rPr>
            <w:rStyle w:val="Hyperlink"/>
            <w:noProof/>
          </w:rPr>
          <w:t>6.4.</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CFP: ÉVOLUTION DES ENGAGEMENTS RESTANT À LIQUIDER (RAL)</w:t>
        </w:r>
        <w:r>
          <w:rPr>
            <w:noProof/>
            <w:webHidden/>
          </w:rPr>
          <w:tab/>
        </w:r>
        <w:r>
          <w:rPr>
            <w:noProof/>
            <w:webHidden/>
          </w:rPr>
          <w:fldChar w:fldCharType="begin"/>
        </w:r>
        <w:r>
          <w:rPr>
            <w:noProof/>
            <w:webHidden/>
          </w:rPr>
          <w:instrText xml:space="preserve"> PAGEREF _Toc237349637 \h </w:instrText>
        </w:r>
        <w:r>
          <w:rPr>
            <w:noProof/>
            <w:webHidden/>
          </w:rPr>
        </w:r>
        <w:r>
          <w:rPr>
            <w:noProof/>
            <w:webHidden/>
          </w:rPr>
          <w:fldChar w:fldCharType="separate"/>
        </w:r>
        <w:r>
          <w:rPr>
            <w:noProof/>
            <w:webHidden/>
          </w:rPr>
          <w:t>198</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349638" w:history="1">
        <w:r>
          <w:rPr>
            <w:rStyle w:val="Hyperlink"/>
            <w:noProof/>
          </w:rPr>
          <w:t>6.5.</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CFP: ENGAGEMENTS RESTANT À LIQUIDER PAR ANNÉE D’ORIGINE</w:t>
        </w:r>
        <w:r>
          <w:rPr>
            <w:noProof/>
            <w:webHidden/>
          </w:rPr>
          <w:tab/>
        </w:r>
        <w:r>
          <w:rPr>
            <w:noProof/>
            <w:webHidden/>
          </w:rPr>
          <w:fldChar w:fldCharType="begin"/>
        </w:r>
        <w:r>
          <w:rPr>
            <w:noProof/>
            <w:webHidden/>
          </w:rPr>
          <w:instrText xml:space="preserve"> PAGEREF _Toc237349638 \h </w:instrText>
        </w:r>
        <w:r>
          <w:rPr>
            <w:noProof/>
            <w:webHidden/>
          </w:rPr>
        </w:r>
        <w:r>
          <w:rPr>
            <w:noProof/>
            <w:webHidden/>
          </w:rPr>
          <w:fldChar w:fldCharType="separate"/>
        </w:r>
        <w:r>
          <w:rPr>
            <w:noProof/>
            <w:webHidden/>
          </w:rPr>
          <w:t>199</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349639" w:history="1">
        <w:r>
          <w:rPr>
            <w:rStyle w:val="Hyperlink"/>
            <w:noProof/>
          </w:rPr>
          <w:t>6.6.</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CFP DÉTAILLÉ: COMPOSITION ET ÉVOLUTION DES CRÉDITS D’ENGAGEMENT ET DE PAIEMENT</w:t>
        </w:r>
        <w:r>
          <w:rPr>
            <w:noProof/>
            <w:webHidden/>
          </w:rPr>
          <w:tab/>
        </w:r>
        <w:r>
          <w:rPr>
            <w:noProof/>
            <w:webHidden/>
          </w:rPr>
          <w:fldChar w:fldCharType="begin"/>
        </w:r>
        <w:r>
          <w:rPr>
            <w:noProof/>
            <w:webHidden/>
          </w:rPr>
          <w:instrText xml:space="preserve"> PAGEREF _Toc237349639 \h </w:instrText>
        </w:r>
        <w:r>
          <w:rPr>
            <w:noProof/>
            <w:webHidden/>
          </w:rPr>
        </w:r>
        <w:r>
          <w:rPr>
            <w:noProof/>
            <w:webHidden/>
          </w:rPr>
          <w:fldChar w:fldCharType="separate"/>
        </w:r>
        <w:r>
          <w:rPr>
            <w:noProof/>
            <w:webHidden/>
          </w:rPr>
          <w:t>200</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349640" w:history="1">
        <w:r>
          <w:rPr>
            <w:rStyle w:val="Hyperlink"/>
            <w:noProof/>
          </w:rPr>
          <w:t>6.7.</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CFP DÉTAILLÉ: EXÉCUTION DES CRÉDITS D’ENGAGEMENT</w:t>
        </w:r>
        <w:r>
          <w:rPr>
            <w:noProof/>
            <w:webHidden/>
          </w:rPr>
          <w:tab/>
        </w:r>
        <w:r>
          <w:rPr>
            <w:noProof/>
            <w:webHidden/>
          </w:rPr>
          <w:fldChar w:fldCharType="begin"/>
        </w:r>
        <w:r>
          <w:rPr>
            <w:noProof/>
            <w:webHidden/>
          </w:rPr>
          <w:instrText xml:space="preserve"> PAGEREF _Toc237349640 \h </w:instrText>
        </w:r>
        <w:r>
          <w:rPr>
            <w:noProof/>
            <w:webHidden/>
          </w:rPr>
        </w:r>
        <w:r>
          <w:rPr>
            <w:noProof/>
            <w:webHidden/>
          </w:rPr>
          <w:fldChar w:fldCharType="separate"/>
        </w:r>
        <w:r>
          <w:rPr>
            <w:noProof/>
            <w:webHidden/>
          </w:rPr>
          <w:t>206</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349641" w:history="1">
        <w:r>
          <w:rPr>
            <w:rStyle w:val="Hyperlink"/>
            <w:noProof/>
          </w:rPr>
          <w:t>6.8.</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CFP DÉTAILLÉ: EXÉCUTION DES CRÉDITS DE PAIEMENT</w:t>
        </w:r>
        <w:r>
          <w:rPr>
            <w:noProof/>
            <w:webHidden/>
          </w:rPr>
          <w:tab/>
        </w:r>
        <w:r>
          <w:rPr>
            <w:noProof/>
            <w:webHidden/>
          </w:rPr>
          <w:fldChar w:fldCharType="begin"/>
        </w:r>
        <w:r>
          <w:rPr>
            <w:noProof/>
            <w:webHidden/>
          </w:rPr>
          <w:instrText xml:space="preserve"> PAGEREF _Toc237349641 \h </w:instrText>
        </w:r>
        <w:r>
          <w:rPr>
            <w:noProof/>
            <w:webHidden/>
          </w:rPr>
        </w:r>
        <w:r>
          <w:rPr>
            <w:noProof/>
            <w:webHidden/>
          </w:rPr>
          <w:fldChar w:fldCharType="separate"/>
        </w:r>
        <w:r>
          <w:rPr>
            <w:noProof/>
            <w:webHidden/>
          </w:rPr>
          <w:t>218</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349642" w:history="1">
        <w:r>
          <w:rPr>
            <w:rStyle w:val="Hyperlink"/>
            <w:noProof/>
          </w:rPr>
          <w:t>6.9.</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CFP DÉTAILLÉ: ÉVOLUTION DES ENGAGEMENTS RESTANT À LIQUIDER (RAL)</w:t>
        </w:r>
        <w:r>
          <w:rPr>
            <w:noProof/>
            <w:webHidden/>
          </w:rPr>
          <w:tab/>
        </w:r>
        <w:r>
          <w:rPr>
            <w:noProof/>
            <w:webHidden/>
          </w:rPr>
          <w:fldChar w:fldCharType="begin"/>
        </w:r>
        <w:r>
          <w:rPr>
            <w:noProof/>
            <w:webHidden/>
          </w:rPr>
          <w:instrText xml:space="preserve"> PAGEREF _Toc237349642 \h </w:instrText>
        </w:r>
        <w:r>
          <w:rPr>
            <w:noProof/>
            <w:webHidden/>
          </w:rPr>
        </w:r>
        <w:r>
          <w:rPr>
            <w:noProof/>
            <w:webHidden/>
          </w:rPr>
          <w:fldChar w:fldCharType="separate"/>
        </w:r>
        <w:r>
          <w:rPr>
            <w:noProof/>
            <w:webHidden/>
          </w:rPr>
          <w:t>226</w:t>
        </w:r>
        <w:r>
          <w:rPr>
            <w:noProof/>
            <w:webHidden/>
          </w:rPr>
          <w:fldChar w:fldCharType="end"/>
        </w:r>
      </w:hyperlink>
    </w:p>
    <w:p>
      <w:pPr>
        <w:pStyle w:val="TOC2"/>
        <w:tabs>
          <w:tab w:val="left" w:pos="120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349643" w:history="1">
        <w:r>
          <w:rPr>
            <w:rStyle w:val="Hyperlink"/>
            <w:noProof/>
          </w:rPr>
          <w:t>6.10.</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CFP DÉTAILLÉ: ENGAGEMENTS RESTANT À LIQUIDER PAR ANNÉE D’ORIGINE</w:t>
        </w:r>
        <w:r>
          <w:rPr>
            <w:noProof/>
            <w:webHidden/>
          </w:rPr>
          <w:tab/>
        </w:r>
        <w:r>
          <w:rPr>
            <w:noProof/>
            <w:webHidden/>
          </w:rPr>
          <w:fldChar w:fldCharType="begin"/>
        </w:r>
        <w:r>
          <w:rPr>
            <w:noProof/>
            <w:webHidden/>
          </w:rPr>
          <w:instrText xml:space="preserve"> PAGEREF _Toc237349643 \h </w:instrText>
        </w:r>
        <w:r>
          <w:rPr>
            <w:noProof/>
            <w:webHidden/>
          </w:rPr>
        </w:r>
        <w:r>
          <w:rPr>
            <w:noProof/>
            <w:webHidden/>
          </w:rPr>
          <w:fldChar w:fldCharType="separate"/>
        </w:r>
        <w:r>
          <w:rPr>
            <w:noProof/>
            <w:webHidden/>
          </w:rPr>
          <w:t>232</w:t>
        </w:r>
        <w:r>
          <w:rPr>
            <w:noProof/>
            <w:webHidden/>
          </w:rPr>
          <w:fldChar w:fldCharType="end"/>
        </w:r>
      </w:hyperlink>
    </w:p>
    <w:p>
      <w:pPr>
        <w:pStyle w:val="TOC1"/>
        <w:tabs>
          <w:tab w:val="left" w:pos="48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349644" w:history="1">
        <w:r>
          <w:rPr>
            <w:rStyle w:val="Hyperlink"/>
            <w:noProof/>
            <w14:scene3d>
              <w14:camera w14:prst="orthographicFront"/>
              <w14:lightRig w14:rig="threePt" w14:dir="t">
                <w14:rot w14:lat="0" w14:lon="0" w14:rev="0"/>
              </w14:lightRig>
            </w14:scene3d>
            <w14:props3d w14:extrusionH="0" w14:contourW="0" w14:prstMaterial="warmMatte"/>
          </w:rPr>
          <w:t>7.</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EXÉCUTION DU BUDGET PAR INSTITUTION</w:t>
        </w:r>
        <w:r>
          <w:rPr>
            <w:noProof/>
            <w:webHidden/>
          </w:rPr>
          <w:tab/>
        </w:r>
        <w:r>
          <w:rPr>
            <w:noProof/>
            <w:webHidden/>
          </w:rPr>
          <w:fldChar w:fldCharType="begin"/>
        </w:r>
        <w:r>
          <w:rPr>
            <w:noProof/>
            <w:webHidden/>
          </w:rPr>
          <w:instrText xml:space="preserve"> PAGEREF _Toc237349644 \h </w:instrText>
        </w:r>
        <w:r>
          <w:rPr>
            <w:noProof/>
            <w:webHidden/>
          </w:rPr>
        </w:r>
        <w:r>
          <w:rPr>
            <w:noProof/>
            <w:webHidden/>
          </w:rPr>
          <w:fldChar w:fldCharType="separate"/>
        </w:r>
        <w:r>
          <w:rPr>
            <w:noProof/>
            <w:webHidden/>
          </w:rPr>
          <w:t>237</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349645" w:history="1">
        <w:r>
          <w:rPr>
            <w:rStyle w:val="Hyperlink"/>
            <w:noProof/>
          </w:rPr>
          <w:t>7.1.</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EXÉCUTION DU BUDGET EN RECETTES</w:t>
        </w:r>
        <w:r>
          <w:rPr>
            <w:noProof/>
            <w:webHidden/>
          </w:rPr>
          <w:tab/>
        </w:r>
        <w:r>
          <w:rPr>
            <w:noProof/>
            <w:webHidden/>
          </w:rPr>
          <w:fldChar w:fldCharType="begin"/>
        </w:r>
        <w:r>
          <w:rPr>
            <w:noProof/>
            <w:webHidden/>
          </w:rPr>
          <w:instrText xml:space="preserve"> PAGEREF _Toc237349645 \h </w:instrText>
        </w:r>
        <w:r>
          <w:rPr>
            <w:noProof/>
            <w:webHidden/>
          </w:rPr>
        </w:r>
        <w:r>
          <w:rPr>
            <w:noProof/>
            <w:webHidden/>
          </w:rPr>
          <w:fldChar w:fldCharType="separate"/>
        </w:r>
        <w:r>
          <w:rPr>
            <w:noProof/>
            <w:webHidden/>
          </w:rPr>
          <w:t>237</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349646" w:history="1">
        <w:r>
          <w:rPr>
            <w:rStyle w:val="Hyperlink"/>
            <w:noProof/>
          </w:rPr>
          <w:t>7.2.</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EXÉCUTION DES CRÉDITS D’ENGAGEMENT</w:t>
        </w:r>
        <w:r>
          <w:rPr>
            <w:noProof/>
            <w:webHidden/>
          </w:rPr>
          <w:tab/>
        </w:r>
        <w:r>
          <w:rPr>
            <w:noProof/>
            <w:webHidden/>
          </w:rPr>
          <w:fldChar w:fldCharType="begin"/>
        </w:r>
        <w:r>
          <w:rPr>
            <w:noProof/>
            <w:webHidden/>
          </w:rPr>
          <w:instrText xml:space="preserve"> PAGEREF _Toc237349646 \h </w:instrText>
        </w:r>
        <w:r>
          <w:rPr>
            <w:noProof/>
            <w:webHidden/>
          </w:rPr>
        </w:r>
        <w:r>
          <w:rPr>
            <w:noProof/>
            <w:webHidden/>
          </w:rPr>
          <w:fldChar w:fldCharType="separate"/>
        </w:r>
        <w:r>
          <w:rPr>
            <w:noProof/>
            <w:webHidden/>
          </w:rPr>
          <w:t>239</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349647" w:history="1">
        <w:r>
          <w:rPr>
            <w:rStyle w:val="Hyperlink"/>
            <w:noProof/>
          </w:rPr>
          <w:t>7.3.</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EXÉCUTION DES CRÉDITS DE PAIEMENT</w:t>
        </w:r>
        <w:r>
          <w:rPr>
            <w:noProof/>
            <w:webHidden/>
          </w:rPr>
          <w:tab/>
        </w:r>
        <w:r>
          <w:rPr>
            <w:noProof/>
            <w:webHidden/>
          </w:rPr>
          <w:fldChar w:fldCharType="begin"/>
        </w:r>
        <w:r>
          <w:rPr>
            <w:noProof/>
            <w:webHidden/>
          </w:rPr>
          <w:instrText xml:space="preserve"> PAGEREF _Toc237349647 \h </w:instrText>
        </w:r>
        <w:r>
          <w:rPr>
            <w:noProof/>
            <w:webHidden/>
          </w:rPr>
        </w:r>
        <w:r>
          <w:rPr>
            <w:noProof/>
            <w:webHidden/>
          </w:rPr>
          <w:fldChar w:fldCharType="separate"/>
        </w:r>
        <w:r>
          <w:rPr>
            <w:noProof/>
            <w:webHidden/>
          </w:rPr>
          <w:t>240</w:t>
        </w:r>
        <w:r>
          <w:rPr>
            <w:noProof/>
            <w:webHidden/>
          </w:rPr>
          <w:fldChar w:fldCharType="end"/>
        </w:r>
      </w:hyperlink>
    </w:p>
    <w:p>
      <w:pPr>
        <w:pStyle w:val="TOC1"/>
        <w:tabs>
          <w:tab w:val="left" w:pos="48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349648" w:history="1">
        <w:r>
          <w:rPr>
            <w:rStyle w:val="Hyperlink"/>
            <w:noProof/>
            <w14:scene3d>
              <w14:camera w14:prst="orthographicFront"/>
              <w14:lightRig w14:rig="threePt" w14:dir="t">
                <w14:rot w14:lat="0" w14:lon="0" w14:rev="0"/>
              </w14:lightRig>
            </w14:scene3d>
            <w14:props3d w14:extrusionH="0" w14:contourW="0" w14:prstMaterial="warmMatte"/>
          </w:rPr>
          <w:t>8.</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EXÉCUTION DES BUDGETS DES AGENCES</w:t>
        </w:r>
        <w:r>
          <w:rPr>
            <w:noProof/>
            <w:webHidden/>
          </w:rPr>
          <w:tab/>
        </w:r>
        <w:r>
          <w:rPr>
            <w:noProof/>
            <w:webHidden/>
          </w:rPr>
          <w:fldChar w:fldCharType="begin"/>
        </w:r>
        <w:r>
          <w:rPr>
            <w:noProof/>
            <w:webHidden/>
          </w:rPr>
          <w:instrText xml:space="preserve"> PAGEREF _Toc237349648 \h </w:instrText>
        </w:r>
        <w:r>
          <w:rPr>
            <w:noProof/>
            <w:webHidden/>
          </w:rPr>
        </w:r>
        <w:r>
          <w:rPr>
            <w:noProof/>
            <w:webHidden/>
          </w:rPr>
          <w:fldChar w:fldCharType="separate"/>
        </w:r>
        <w:r>
          <w:rPr>
            <w:noProof/>
            <w:webHidden/>
          </w:rPr>
          <w:t>241</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349649" w:history="1">
        <w:r>
          <w:rPr>
            <w:rStyle w:val="Hyperlink"/>
            <w:noProof/>
          </w:rPr>
          <w:t>8.1.</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RECETTES BUDGÉTAIRES</w:t>
        </w:r>
        <w:r>
          <w:rPr>
            <w:noProof/>
            <w:webHidden/>
          </w:rPr>
          <w:tab/>
        </w:r>
        <w:r>
          <w:rPr>
            <w:noProof/>
            <w:webHidden/>
          </w:rPr>
          <w:fldChar w:fldCharType="begin"/>
        </w:r>
        <w:r>
          <w:rPr>
            <w:noProof/>
            <w:webHidden/>
          </w:rPr>
          <w:instrText xml:space="preserve"> PAGEREF _Toc237349649 \h </w:instrText>
        </w:r>
        <w:r>
          <w:rPr>
            <w:noProof/>
            <w:webHidden/>
          </w:rPr>
        </w:r>
        <w:r>
          <w:rPr>
            <w:noProof/>
            <w:webHidden/>
          </w:rPr>
          <w:fldChar w:fldCharType="separate"/>
        </w:r>
        <w:r>
          <w:rPr>
            <w:noProof/>
            <w:webHidden/>
          </w:rPr>
          <w:t>241</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349650" w:history="1">
        <w:r>
          <w:rPr>
            <w:rStyle w:val="Hyperlink"/>
            <w:noProof/>
          </w:rPr>
          <w:t>8.2.</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CRÉDITS D’ENGAGEMENT ET DE PAIEMENT PAR AGENCE</w:t>
        </w:r>
        <w:r>
          <w:rPr>
            <w:noProof/>
            <w:webHidden/>
          </w:rPr>
          <w:tab/>
        </w:r>
        <w:r>
          <w:rPr>
            <w:noProof/>
            <w:webHidden/>
          </w:rPr>
          <w:fldChar w:fldCharType="begin"/>
        </w:r>
        <w:r>
          <w:rPr>
            <w:noProof/>
            <w:webHidden/>
          </w:rPr>
          <w:instrText xml:space="preserve"> PAGEREF _Toc237349650 \h </w:instrText>
        </w:r>
        <w:r>
          <w:rPr>
            <w:noProof/>
            <w:webHidden/>
          </w:rPr>
        </w:r>
        <w:r>
          <w:rPr>
            <w:noProof/>
            <w:webHidden/>
          </w:rPr>
          <w:fldChar w:fldCharType="separate"/>
        </w:r>
        <w:r>
          <w:rPr>
            <w:noProof/>
            <w:webHidden/>
          </w:rPr>
          <w:t>242</w:t>
        </w:r>
        <w:r>
          <w:rPr>
            <w:noProof/>
            <w:webHidden/>
          </w:rPr>
          <w:fldChar w:fldCharType="end"/>
        </w:r>
      </w:hyperlink>
    </w:p>
    <w:p>
      <w:pPr>
        <w:pStyle w:val="Textstand-alone"/>
        <w:sectPr>
          <w:headerReference w:type="default" r:id="rId147"/>
          <w:footerReference w:type="default" r:id="rId148"/>
          <w:pgSz w:w="11907" w:h="16840"/>
          <w:pgMar w:top="1134" w:right="1134" w:bottom="1134" w:left="1134" w:header="709" w:footer="709" w:gutter="0"/>
          <w:cols w:space="708"/>
          <w:docGrid w:linePitch="360"/>
        </w:sectPr>
      </w:pPr>
      <w:r>
        <w:rPr>
          <w:caps/>
          <w:color w:val="016894"/>
          <w:sz w:val="20"/>
        </w:rPr>
        <w:fldChar w:fldCharType="end"/>
      </w:r>
      <w:bookmarkEnd w:id="252"/>
    </w:p>
    <w:p>
      <w:pPr>
        <w:pStyle w:val="HEADER1PartBUDG"/>
        <w:rPr>
          <w:rFonts w:eastAsia="Calibri"/>
          <w:noProof/>
        </w:rPr>
      </w:pPr>
      <w:bookmarkStart w:id="253" w:name="_DMBM_36785"/>
      <w:r>
        <w:rPr>
          <w:noProof/>
        </w:rPr>
        <w:lastRenderedPageBreak/>
        <w:t xml:space="preserve"> </w:t>
      </w:r>
      <w:bookmarkStart w:id="254" w:name="_Toc237349619"/>
      <w:r>
        <w:rPr>
          <w:noProof/>
        </w:rPr>
        <w:t>RÉSULTAT DE L’EXÉCUTION DU BUDGET DE L’UE</w:t>
      </w:r>
      <w:bookmarkEnd w:id="2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
        <w:gridCol w:w="6707"/>
        <w:gridCol w:w="1186"/>
        <w:gridCol w:w="1186"/>
      </w:tblGrid>
      <w:tr>
        <w:trPr>
          <w:trHeight w:hRule="exact" w:val="284"/>
        </w:trPr>
        <w:tc>
          <w:tcPr>
            <w:tcW w:w="680" w:type="dxa"/>
            <w:tcBorders>
              <w:top w:val="nil"/>
              <w:left w:val="nil"/>
              <w:bottom w:val="nil"/>
              <w:right w:val="nil"/>
              <w:tl2br w:val="nil"/>
              <w:tr2bl w:val="nil"/>
            </w:tcBorders>
            <w:tcMar>
              <w:left w:w="60" w:type="dxa"/>
              <w:right w:w="60" w:type="dxa"/>
            </w:tcMar>
            <w:vAlign w:val="center"/>
          </w:tcPr>
          <w:p>
            <w:pPr>
              <w:pStyle w:val="DMETW36691BIPBudgetresult"/>
              <w:jc w:val="right"/>
              <w:rPr>
                <w:rFonts w:ascii="Verdana" w:eastAsia="Verdana" w:hAnsi="Verdana" w:cs="Verdana"/>
                <w:i/>
                <w:noProof/>
                <w:color w:val="000000"/>
                <w:sz w:val="16"/>
              </w:rPr>
            </w:pPr>
            <w:bookmarkStart w:id="255" w:name="DOC_TBL00108_1_1"/>
            <w:bookmarkEnd w:id="255"/>
          </w:p>
        </w:tc>
        <w:tc>
          <w:tcPr>
            <w:tcW w:w="6707" w:type="dxa"/>
            <w:tcBorders>
              <w:top w:val="nil"/>
              <w:left w:val="nil"/>
              <w:bottom w:val="nil"/>
              <w:right w:val="nil"/>
              <w:tl2br w:val="nil"/>
              <w:tr2bl w:val="nil"/>
            </w:tcBorders>
            <w:tcMar>
              <w:left w:w="60" w:type="dxa"/>
              <w:right w:w="60" w:type="dxa"/>
            </w:tcMar>
            <w:vAlign w:val="center"/>
          </w:tcPr>
          <w:p>
            <w:pPr>
              <w:pStyle w:val="DMETW36691BIPBudgetresult"/>
              <w:jc w:val="right"/>
              <w:rPr>
                <w:rFonts w:ascii="Verdana" w:eastAsia="Verdana" w:hAnsi="Verdana" w:cs="Verdana"/>
                <w:i/>
                <w:noProof/>
                <w:color w:val="000000"/>
                <w:sz w:val="16"/>
              </w:rPr>
            </w:pPr>
          </w:p>
        </w:tc>
        <w:tc>
          <w:tcPr>
            <w:tcW w:w="1186" w:type="dxa"/>
            <w:tcBorders>
              <w:top w:val="nil"/>
              <w:left w:val="nil"/>
              <w:bottom w:val="nil"/>
              <w:right w:val="nil"/>
              <w:tl2br w:val="nil"/>
              <w:tr2bl w:val="nil"/>
            </w:tcBorders>
            <w:tcMar>
              <w:left w:w="60" w:type="dxa"/>
              <w:right w:w="60" w:type="dxa"/>
            </w:tcMar>
            <w:vAlign w:val="center"/>
          </w:tcPr>
          <w:p>
            <w:pPr>
              <w:pStyle w:val="DMETW36691BIPBudgetresult"/>
              <w:jc w:val="right"/>
              <w:rPr>
                <w:rFonts w:ascii="Verdana" w:eastAsia="Verdana" w:hAnsi="Verdana" w:cs="Verdana"/>
                <w:i/>
                <w:noProof/>
                <w:color w:val="000000"/>
                <w:sz w:val="16"/>
              </w:rPr>
            </w:pPr>
          </w:p>
        </w:tc>
        <w:tc>
          <w:tcPr>
            <w:tcW w:w="1186" w:type="dxa"/>
            <w:tcBorders>
              <w:top w:val="nil"/>
              <w:left w:val="nil"/>
              <w:bottom w:val="nil"/>
              <w:right w:val="nil"/>
              <w:tl2br w:val="nil"/>
              <w:tr2bl w:val="nil"/>
            </w:tcBorders>
            <w:tcMar>
              <w:left w:w="60" w:type="dxa"/>
              <w:right w:w="60" w:type="dxa"/>
            </w:tcMar>
            <w:vAlign w:val="center"/>
          </w:tcPr>
          <w:p>
            <w:pPr>
              <w:pStyle w:val="DMETW36691BIPBudgetresult"/>
              <w:jc w:val="right"/>
              <w:rPr>
                <w:rFonts w:ascii="Verdana" w:eastAsia="Verdana" w:hAnsi="Verdana" w:cs="Verdana"/>
                <w:i/>
                <w:noProof/>
                <w:color w:val="000000"/>
                <w:sz w:val="16"/>
              </w:rPr>
            </w:pPr>
            <w:r>
              <w:rPr>
                <w:rFonts w:ascii="Verdana" w:hAnsi="Verdana"/>
                <w:i/>
                <w:noProof/>
                <w:color w:val="000000"/>
                <w:sz w:val="16"/>
              </w:rPr>
              <w:t>en Mio EUR</w:t>
            </w:r>
          </w:p>
        </w:tc>
      </w:tr>
      <w:tr>
        <w:trPr>
          <w:trHeight w:hRule="exact" w:val="366"/>
        </w:trPr>
        <w:tc>
          <w:tcPr>
            <w:tcW w:w="680" w:type="dxa"/>
            <w:tcBorders>
              <w:top w:val="nil"/>
              <w:left w:val="nil"/>
              <w:bottom w:val="nil"/>
              <w:right w:val="nil"/>
              <w:tl2br w:val="nil"/>
              <w:tr2bl w:val="nil"/>
            </w:tcBorders>
            <w:shd w:val="solid" w:color="016794" w:fill="FFFFFF"/>
            <w:tcMar>
              <w:left w:w="60" w:type="dxa"/>
              <w:right w:w="60" w:type="dxa"/>
            </w:tcMar>
            <w:vAlign w:val="center"/>
          </w:tcPr>
          <w:p>
            <w:pPr>
              <w:pStyle w:val="DMETW36691BIPBudgetresult"/>
              <w:jc w:val="center"/>
              <w:rPr>
                <w:rFonts w:ascii="Verdana" w:eastAsia="Verdana" w:hAnsi="Verdana" w:cs="Verdana"/>
                <w:noProof/>
                <w:color w:val="FFFFFF"/>
                <w:sz w:val="16"/>
              </w:rPr>
            </w:pPr>
            <w:r>
              <w:rPr>
                <w:rFonts w:ascii="Verdana" w:hAnsi="Verdana"/>
                <w:noProof/>
                <w:color w:val="FFFFFF"/>
                <w:sz w:val="16"/>
              </w:rPr>
              <w:t>Note</w:t>
            </w:r>
          </w:p>
        </w:tc>
        <w:tc>
          <w:tcPr>
            <w:tcW w:w="6707" w:type="dxa"/>
            <w:tcBorders>
              <w:top w:val="nil"/>
              <w:left w:val="nil"/>
              <w:bottom w:val="nil"/>
              <w:right w:val="nil"/>
              <w:tl2br w:val="nil"/>
              <w:tr2bl w:val="nil"/>
            </w:tcBorders>
            <w:shd w:val="solid" w:color="016794" w:fill="FFFFFF"/>
            <w:tcMar>
              <w:left w:w="60" w:type="dxa"/>
              <w:right w:w="60" w:type="dxa"/>
            </w:tcMar>
            <w:vAlign w:val="center"/>
          </w:tcPr>
          <w:p>
            <w:pPr>
              <w:pStyle w:val="DMETW36691BIPBudgetresult"/>
              <w:jc w:val="right"/>
              <w:rPr>
                <w:rFonts w:ascii="Verdana" w:eastAsia="Verdana" w:hAnsi="Verdana" w:cs="Verdana"/>
                <w:noProof/>
                <w:color w:val="FFFFFF"/>
                <w:sz w:val="16"/>
              </w:rPr>
            </w:pPr>
          </w:p>
        </w:tc>
        <w:tc>
          <w:tcPr>
            <w:tcW w:w="1186" w:type="dxa"/>
            <w:tcBorders>
              <w:top w:val="nil"/>
              <w:left w:val="nil"/>
              <w:bottom w:val="nil"/>
              <w:right w:val="nil"/>
              <w:tl2br w:val="nil"/>
              <w:tr2bl w:val="nil"/>
            </w:tcBorders>
            <w:shd w:val="solid" w:color="016794" w:fill="FFFFFF"/>
            <w:tcMar>
              <w:left w:w="60" w:type="dxa"/>
              <w:right w:w="60" w:type="dxa"/>
            </w:tcMar>
            <w:vAlign w:val="center"/>
          </w:tcPr>
          <w:p>
            <w:pPr>
              <w:pStyle w:val="DMETW36691BIPBudgetresult"/>
              <w:jc w:val="right"/>
              <w:rPr>
                <w:rFonts w:ascii="Verdana" w:eastAsia="Verdana" w:hAnsi="Verdana" w:cs="Verdana"/>
                <w:noProof/>
                <w:color w:val="FFFFFF"/>
                <w:sz w:val="16"/>
              </w:rPr>
            </w:pPr>
            <w:r>
              <w:rPr>
                <w:rFonts w:ascii="Verdana" w:hAnsi="Verdana"/>
                <w:noProof/>
                <w:color w:val="FFFFFF"/>
                <w:sz w:val="16"/>
              </w:rPr>
              <w:t>2025</w:t>
            </w:r>
          </w:p>
        </w:tc>
        <w:tc>
          <w:tcPr>
            <w:tcW w:w="1186" w:type="dxa"/>
            <w:tcBorders>
              <w:top w:val="nil"/>
              <w:left w:val="nil"/>
              <w:bottom w:val="nil"/>
              <w:right w:val="nil"/>
              <w:tl2br w:val="nil"/>
              <w:tr2bl w:val="nil"/>
            </w:tcBorders>
            <w:shd w:val="solid" w:color="016794" w:fill="FFFFFF"/>
            <w:tcMar>
              <w:left w:w="60" w:type="dxa"/>
              <w:right w:w="60" w:type="dxa"/>
            </w:tcMar>
            <w:vAlign w:val="center"/>
          </w:tcPr>
          <w:p>
            <w:pPr>
              <w:pStyle w:val="DMETW36691BIPBudgetresult"/>
              <w:jc w:val="center"/>
              <w:rPr>
                <w:rFonts w:ascii="Verdana" w:eastAsia="Verdana" w:hAnsi="Verdana" w:cs="Verdana"/>
                <w:noProof/>
                <w:color w:val="FFFFFF"/>
                <w:sz w:val="16"/>
              </w:rPr>
            </w:pPr>
            <w:r>
              <w:rPr>
                <w:rFonts w:ascii="Verdana" w:hAnsi="Verdana"/>
                <w:noProof/>
                <w:color w:val="FFFFFF"/>
                <w:sz w:val="16"/>
              </w:rPr>
              <w:t>2024</w:t>
            </w:r>
          </w:p>
        </w:tc>
      </w:tr>
      <w:tr>
        <w:trPr>
          <w:trHeight w:hRule="exact" w:val="284"/>
        </w:trPr>
        <w:tc>
          <w:tcPr>
            <w:tcW w:w="680" w:type="dxa"/>
            <w:tcBorders>
              <w:top w:val="nil"/>
              <w:left w:val="nil"/>
              <w:bottom w:val="nil"/>
              <w:right w:val="nil"/>
              <w:tl2br w:val="nil"/>
              <w:tr2bl w:val="nil"/>
            </w:tcBorders>
            <w:tcMar>
              <w:left w:w="60" w:type="dxa"/>
              <w:right w:w="60" w:type="dxa"/>
            </w:tcMar>
            <w:vAlign w:val="center"/>
          </w:tcPr>
          <w:p>
            <w:pPr>
              <w:pStyle w:val="DMETW36691BIPBudgetresult"/>
              <w:jc w:val="center"/>
              <w:rPr>
                <w:rFonts w:ascii="Verdana" w:eastAsia="Verdana" w:hAnsi="Verdana" w:cs="Verdana"/>
                <w:noProof/>
                <w:color w:val="000000"/>
                <w:sz w:val="16"/>
              </w:rPr>
            </w:pPr>
            <w:r>
              <w:rPr>
                <w:rFonts w:ascii="Verdana" w:hAnsi="Verdana"/>
                <w:noProof/>
                <w:color w:val="000000"/>
                <w:sz w:val="16"/>
              </w:rPr>
              <w:t>a</w:t>
            </w:r>
          </w:p>
        </w:tc>
        <w:tc>
          <w:tcPr>
            <w:tcW w:w="6707" w:type="dxa"/>
            <w:tcBorders>
              <w:top w:val="nil"/>
              <w:left w:val="nil"/>
              <w:bottom w:val="nil"/>
              <w:right w:val="nil"/>
              <w:tl2br w:val="nil"/>
              <w:tr2bl w:val="nil"/>
            </w:tcBorders>
            <w:tcMar>
              <w:left w:w="60" w:type="dxa"/>
              <w:right w:w="60" w:type="dxa"/>
            </w:tcMar>
            <w:vAlign w:val="center"/>
          </w:tcPr>
          <w:p>
            <w:pPr>
              <w:pStyle w:val="DMETW36691BIPBudgetresult"/>
              <w:rPr>
                <w:rFonts w:ascii="Verdana" w:eastAsia="Verdana" w:hAnsi="Verdana" w:cs="Verdana"/>
                <w:noProof/>
                <w:color w:val="000000"/>
                <w:sz w:val="16"/>
              </w:rPr>
            </w:pPr>
            <w:r>
              <w:rPr>
                <w:rFonts w:ascii="Verdana" w:hAnsi="Verdana"/>
                <w:noProof/>
                <w:color w:val="000000"/>
                <w:sz w:val="16"/>
              </w:rPr>
              <w:t>Recettes de l’exercice</w:t>
            </w:r>
          </w:p>
        </w:tc>
        <w:tc>
          <w:tcPr>
            <w:tcW w:w="1186" w:type="dxa"/>
            <w:tcBorders>
              <w:top w:val="nil"/>
              <w:left w:val="nil"/>
              <w:bottom w:val="nil"/>
              <w:right w:val="nil"/>
              <w:tl2br w:val="nil"/>
              <w:tr2bl w:val="nil"/>
            </w:tcBorders>
            <w:tcMar>
              <w:left w:w="60" w:type="dxa"/>
              <w:right w:w="60" w:type="dxa"/>
            </w:tcMar>
            <w:vAlign w:val="center"/>
          </w:tcPr>
          <w:p>
            <w:pPr>
              <w:pStyle w:val="DMETW36691BIPBudgetresult"/>
              <w:jc w:val="right"/>
              <w:rPr>
                <w:rFonts w:ascii="Verdana" w:eastAsia="Verdana" w:hAnsi="Verdana" w:cs="Verdana"/>
                <w:noProof/>
                <w:color w:val="000000"/>
                <w:sz w:val="16"/>
              </w:rPr>
            </w:pPr>
            <w:r>
              <w:rPr>
                <w:rFonts w:ascii="Verdana" w:hAnsi="Verdana"/>
                <w:noProof/>
                <w:color w:val="000000"/>
                <w:sz w:val="16"/>
              </w:rPr>
              <w:t>224 398</w:t>
            </w:r>
          </w:p>
        </w:tc>
        <w:tc>
          <w:tcPr>
            <w:tcW w:w="1186" w:type="dxa"/>
            <w:tcBorders>
              <w:top w:val="nil"/>
              <w:left w:val="nil"/>
              <w:bottom w:val="nil"/>
              <w:right w:val="nil"/>
              <w:tl2br w:val="nil"/>
              <w:tr2bl w:val="nil"/>
            </w:tcBorders>
            <w:tcMar>
              <w:left w:w="60" w:type="dxa"/>
              <w:right w:w="60" w:type="dxa"/>
            </w:tcMar>
            <w:vAlign w:val="center"/>
          </w:tcPr>
          <w:p>
            <w:pPr>
              <w:pStyle w:val="DMETW36691BIPBudgetresult"/>
              <w:jc w:val="right"/>
              <w:rPr>
                <w:rFonts w:ascii="Verdana" w:eastAsia="Verdana" w:hAnsi="Verdana" w:cs="Verdana"/>
                <w:noProof/>
                <w:color w:val="000000"/>
                <w:sz w:val="16"/>
              </w:rPr>
            </w:pPr>
            <w:r>
              <w:rPr>
                <w:rFonts w:ascii="Verdana" w:hAnsi="Verdana"/>
                <w:noProof/>
                <w:color w:val="000000"/>
                <w:sz w:val="16"/>
              </w:rPr>
              <w:t>250 609</w:t>
            </w:r>
          </w:p>
        </w:tc>
      </w:tr>
      <w:tr>
        <w:trPr>
          <w:trHeight w:hRule="exact" w:val="284"/>
        </w:trPr>
        <w:tc>
          <w:tcPr>
            <w:tcW w:w="680" w:type="dxa"/>
            <w:tcBorders>
              <w:top w:val="nil"/>
              <w:left w:val="nil"/>
              <w:bottom w:val="nil"/>
              <w:right w:val="nil"/>
              <w:tl2br w:val="nil"/>
              <w:tr2bl w:val="nil"/>
            </w:tcBorders>
            <w:tcMar>
              <w:left w:w="60" w:type="dxa"/>
              <w:right w:w="60" w:type="dxa"/>
            </w:tcMar>
            <w:vAlign w:val="center"/>
          </w:tcPr>
          <w:p>
            <w:pPr>
              <w:pStyle w:val="DMETW36691BIPBudgetresult"/>
              <w:jc w:val="center"/>
              <w:rPr>
                <w:rFonts w:ascii="Verdana" w:eastAsia="Verdana" w:hAnsi="Verdana" w:cs="Verdana"/>
                <w:noProof/>
                <w:color w:val="000000"/>
                <w:sz w:val="16"/>
              </w:rPr>
            </w:pPr>
            <w:r>
              <w:rPr>
                <w:rFonts w:ascii="Verdana" w:hAnsi="Verdana"/>
                <w:noProof/>
                <w:color w:val="000000"/>
                <w:sz w:val="16"/>
              </w:rPr>
              <w:t>b</w:t>
            </w:r>
          </w:p>
        </w:tc>
        <w:tc>
          <w:tcPr>
            <w:tcW w:w="6707" w:type="dxa"/>
            <w:tcBorders>
              <w:top w:val="nil"/>
              <w:left w:val="nil"/>
              <w:bottom w:val="nil"/>
              <w:right w:val="nil"/>
              <w:tl2br w:val="nil"/>
              <w:tr2bl w:val="nil"/>
            </w:tcBorders>
            <w:tcMar>
              <w:left w:w="60" w:type="dxa"/>
              <w:right w:w="60" w:type="dxa"/>
            </w:tcMar>
            <w:vAlign w:val="center"/>
          </w:tcPr>
          <w:p>
            <w:pPr>
              <w:pStyle w:val="DMETW36691BIPBudgetresult"/>
              <w:rPr>
                <w:rFonts w:ascii="Verdana" w:eastAsia="Verdana" w:hAnsi="Verdana" w:cs="Verdana"/>
                <w:noProof/>
                <w:color w:val="000000"/>
                <w:sz w:val="16"/>
              </w:rPr>
            </w:pPr>
            <w:r>
              <w:rPr>
                <w:rFonts w:ascii="Verdana" w:hAnsi="Verdana"/>
                <w:noProof/>
                <w:color w:val="000000"/>
                <w:sz w:val="16"/>
              </w:rPr>
              <w:t>Paiements sur crédits de l'exercice</w:t>
            </w:r>
          </w:p>
        </w:tc>
        <w:tc>
          <w:tcPr>
            <w:tcW w:w="1186" w:type="dxa"/>
            <w:tcBorders>
              <w:top w:val="nil"/>
              <w:left w:val="nil"/>
              <w:bottom w:val="nil"/>
              <w:right w:val="nil"/>
              <w:tl2br w:val="nil"/>
              <w:tr2bl w:val="nil"/>
            </w:tcBorders>
            <w:tcMar>
              <w:left w:w="60" w:type="dxa"/>
              <w:right w:w="60" w:type="dxa"/>
            </w:tcMar>
            <w:vAlign w:val="center"/>
          </w:tcPr>
          <w:p>
            <w:pPr>
              <w:pStyle w:val="DMETW36691BIPBudgetresult"/>
              <w:jc w:val="right"/>
              <w:rPr>
                <w:rFonts w:ascii="Verdana" w:eastAsia="Verdana" w:hAnsi="Verdana" w:cs="Verdana"/>
                <w:noProof/>
                <w:color w:val="000000"/>
                <w:sz w:val="16"/>
              </w:rPr>
            </w:pPr>
            <w:r>
              <w:rPr>
                <w:rFonts w:ascii="Verdana" w:hAnsi="Verdana"/>
                <w:noProof/>
                <w:color w:val="000000"/>
                <w:sz w:val="16"/>
              </w:rPr>
              <w:t>(212 797)</w:t>
            </w:r>
          </w:p>
        </w:tc>
        <w:tc>
          <w:tcPr>
            <w:tcW w:w="1186" w:type="dxa"/>
            <w:tcBorders>
              <w:top w:val="nil"/>
              <w:left w:val="nil"/>
              <w:bottom w:val="nil"/>
              <w:right w:val="nil"/>
              <w:tl2br w:val="nil"/>
              <w:tr2bl w:val="nil"/>
            </w:tcBorders>
            <w:tcMar>
              <w:left w:w="60" w:type="dxa"/>
              <w:right w:w="60" w:type="dxa"/>
            </w:tcMar>
            <w:vAlign w:val="center"/>
          </w:tcPr>
          <w:p>
            <w:pPr>
              <w:pStyle w:val="DMETW36691BIPBudgetresult"/>
              <w:jc w:val="right"/>
              <w:rPr>
                <w:rFonts w:ascii="Verdana" w:eastAsia="Verdana" w:hAnsi="Verdana" w:cs="Verdana"/>
                <w:noProof/>
                <w:color w:val="000000"/>
                <w:sz w:val="16"/>
              </w:rPr>
            </w:pPr>
            <w:r>
              <w:rPr>
                <w:rFonts w:ascii="Verdana" w:hAnsi="Verdana"/>
                <w:noProof/>
                <w:color w:val="000000"/>
                <w:sz w:val="16"/>
              </w:rPr>
              <w:t>(244 309)</w:t>
            </w:r>
          </w:p>
        </w:tc>
      </w:tr>
      <w:tr>
        <w:trPr>
          <w:trHeight w:hRule="exact" w:val="284"/>
        </w:trPr>
        <w:tc>
          <w:tcPr>
            <w:tcW w:w="680" w:type="dxa"/>
            <w:tcBorders>
              <w:top w:val="nil"/>
              <w:left w:val="nil"/>
              <w:bottom w:val="nil"/>
              <w:right w:val="nil"/>
              <w:tl2br w:val="nil"/>
              <w:tr2bl w:val="nil"/>
            </w:tcBorders>
            <w:tcMar>
              <w:left w:w="60" w:type="dxa"/>
              <w:right w:w="60" w:type="dxa"/>
            </w:tcMar>
            <w:vAlign w:val="center"/>
          </w:tcPr>
          <w:p>
            <w:pPr>
              <w:pStyle w:val="DMETW36691BIPBudgetresult"/>
              <w:jc w:val="center"/>
              <w:rPr>
                <w:rFonts w:ascii="Verdana" w:eastAsia="Verdana" w:hAnsi="Verdana" w:cs="Verdana"/>
                <w:noProof/>
                <w:color w:val="000000"/>
                <w:sz w:val="16"/>
              </w:rPr>
            </w:pPr>
            <w:r>
              <w:rPr>
                <w:rFonts w:ascii="Verdana" w:hAnsi="Verdana"/>
                <w:noProof/>
                <w:color w:val="000000"/>
                <w:sz w:val="16"/>
              </w:rPr>
              <w:t>c</w:t>
            </w:r>
          </w:p>
        </w:tc>
        <w:tc>
          <w:tcPr>
            <w:tcW w:w="6707" w:type="dxa"/>
            <w:tcBorders>
              <w:top w:val="nil"/>
              <w:left w:val="nil"/>
              <w:bottom w:val="nil"/>
              <w:right w:val="nil"/>
              <w:tl2br w:val="nil"/>
              <w:tr2bl w:val="nil"/>
            </w:tcBorders>
            <w:tcMar>
              <w:left w:w="60" w:type="dxa"/>
              <w:right w:w="60" w:type="dxa"/>
            </w:tcMar>
            <w:vAlign w:val="center"/>
          </w:tcPr>
          <w:p>
            <w:pPr>
              <w:pStyle w:val="DMETW36691BIPBudgetresult"/>
              <w:rPr>
                <w:rFonts w:ascii="Verdana" w:eastAsia="Verdana" w:hAnsi="Verdana" w:cs="Verdana"/>
                <w:noProof/>
                <w:color w:val="000000"/>
                <w:sz w:val="16"/>
              </w:rPr>
            </w:pPr>
            <w:r>
              <w:rPr>
                <w:rFonts w:ascii="Verdana" w:hAnsi="Verdana"/>
                <w:noProof/>
                <w:color w:val="000000"/>
                <w:sz w:val="16"/>
              </w:rPr>
              <w:t>Crédits de paiement reportés à l’exercice N+1</w:t>
            </w:r>
          </w:p>
        </w:tc>
        <w:tc>
          <w:tcPr>
            <w:tcW w:w="1186" w:type="dxa"/>
            <w:tcBorders>
              <w:top w:val="nil"/>
              <w:left w:val="nil"/>
              <w:bottom w:val="nil"/>
              <w:right w:val="nil"/>
              <w:tl2br w:val="nil"/>
              <w:tr2bl w:val="nil"/>
            </w:tcBorders>
            <w:tcMar>
              <w:left w:w="60" w:type="dxa"/>
              <w:right w:w="60" w:type="dxa"/>
            </w:tcMar>
            <w:vAlign w:val="center"/>
          </w:tcPr>
          <w:p>
            <w:pPr>
              <w:pStyle w:val="DMETW36691BIPBudgetresult"/>
              <w:jc w:val="right"/>
              <w:rPr>
                <w:rFonts w:ascii="Verdana" w:eastAsia="Verdana" w:hAnsi="Verdana" w:cs="Verdana"/>
                <w:noProof/>
                <w:color w:val="000000"/>
                <w:sz w:val="16"/>
              </w:rPr>
            </w:pPr>
            <w:r>
              <w:rPr>
                <w:rFonts w:ascii="Verdana" w:hAnsi="Verdana"/>
                <w:noProof/>
                <w:color w:val="000000"/>
                <w:sz w:val="16"/>
              </w:rPr>
              <w:t>(6 087)</w:t>
            </w:r>
          </w:p>
        </w:tc>
        <w:tc>
          <w:tcPr>
            <w:tcW w:w="1186" w:type="dxa"/>
            <w:tcBorders>
              <w:top w:val="nil"/>
              <w:left w:val="nil"/>
              <w:bottom w:val="nil"/>
              <w:right w:val="nil"/>
              <w:tl2br w:val="nil"/>
              <w:tr2bl w:val="nil"/>
            </w:tcBorders>
            <w:tcMar>
              <w:left w:w="60" w:type="dxa"/>
              <w:right w:w="60" w:type="dxa"/>
            </w:tcMar>
            <w:vAlign w:val="center"/>
          </w:tcPr>
          <w:p>
            <w:pPr>
              <w:pStyle w:val="DMETW36691BIPBudgetresult"/>
              <w:jc w:val="right"/>
              <w:rPr>
                <w:rFonts w:ascii="Verdana" w:eastAsia="Verdana" w:hAnsi="Verdana" w:cs="Verdana"/>
                <w:noProof/>
                <w:color w:val="000000"/>
                <w:sz w:val="16"/>
              </w:rPr>
            </w:pPr>
            <w:r>
              <w:rPr>
                <w:rFonts w:ascii="Verdana" w:hAnsi="Verdana"/>
                <w:noProof/>
                <w:color w:val="000000"/>
                <w:sz w:val="16"/>
              </w:rPr>
              <w:t>(3 848)</w:t>
            </w:r>
          </w:p>
        </w:tc>
      </w:tr>
      <w:tr>
        <w:trPr>
          <w:trHeight w:hRule="exact" w:val="284"/>
        </w:trPr>
        <w:tc>
          <w:tcPr>
            <w:tcW w:w="680" w:type="dxa"/>
            <w:tcBorders>
              <w:top w:val="nil"/>
              <w:left w:val="nil"/>
              <w:bottom w:val="nil"/>
              <w:right w:val="nil"/>
              <w:tl2br w:val="nil"/>
              <w:tr2bl w:val="nil"/>
            </w:tcBorders>
            <w:tcMar>
              <w:left w:w="60" w:type="dxa"/>
              <w:right w:w="60" w:type="dxa"/>
            </w:tcMar>
            <w:vAlign w:val="center"/>
          </w:tcPr>
          <w:p>
            <w:pPr>
              <w:pStyle w:val="DMETW36691BIPBudgetresult"/>
              <w:jc w:val="center"/>
              <w:rPr>
                <w:rFonts w:ascii="Verdana" w:eastAsia="Verdana" w:hAnsi="Verdana" w:cs="Verdana"/>
                <w:noProof/>
                <w:color w:val="000000"/>
                <w:sz w:val="16"/>
              </w:rPr>
            </w:pPr>
            <w:r>
              <w:rPr>
                <w:rFonts w:ascii="Verdana" w:hAnsi="Verdana"/>
                <w:noProof/>
                <w:color w:val="000000"/>
                <w:sz w:val="16"/>
              </w:rPr>
              <w:t>d</w:t>
            </w:r>
          </w:p>
        </w:tc>
        <w:tc>
          <w:tcPr>
            <w:tcW w:w="6707" w:type="dxa"/>
            <w:tcBorders>
              <w:top w:val="nil"/>
              <w:left w:val="nil"/>
              <w:bottom w:val="nil"/>
              <w:right w:val="nil"/>
              <w:tl2br w:val="nil"/>
              <w:tr2bl w:val="nil"/>
            </w:tcBorders>
            <w:tcMar>
              <w:left w:w="60" w:type="dxa"/>
              <w:right w:w="60" w:type="dxa"/>
            </w:tcMar>
            <w:vAlign w:val="center"/>
          </w:tcPr>
          <w:p>
            <w:pPr>
              <w:pStyle w:val="DMETW36691BIPBudgetresult"/>
              <w:rPr>
                <w:rFonts w:ascii="Verdana" w:eastAsia="Verdana" w:hAnsi="Verdana" w:cs="Verdana"/>
                <w:noProof/>
                <w:color w:val="000000"/>
                <w:sz w:val="16"/>
              </w:rPr>
            </w:pPr>
            <w:r>
              <w:rPr>
                <w:rFonts w:ascii="Verdana" w:hAnsi="Verdana"/>
                <w:noProof/>
                <w:color w:val="000000"/>
                <w:sz w:val="16"/>
              </w:rPr>
              <w:t>Annulation de crédits inutilisés reportés de l’exercice N-1</w:t>
            </w:r>
          </w:p>
        </w:tc>
        <w:tc>
          <w:tcPr>
            <w:tcW w:w="1186" w:type="dxa"/>
            <w:tcBorders>
              <w:top w:val="nil"/>
              <w:left w:val="nil"/>
              <w:bottom w:val="nil"/>
              <w:right w:val="nil"/>
              <w:tl2br w:val="nil"/>
              <w:tr2bl w:val="nil"/>
            </w:tcBorders>
            <w:tcMar>
              <w:left w:w="60" w:type="dxa"/>
              <w:right w:w="60" w:type="dxa"/>
            </w:tcMar>
            <w:vAlign w:val="center"/>
          </w:tcPr>
          <w:p>
            <w:pPr>
              <w:pStyle w:val="DMETW36691BIPBudgetresult"/>
              <w:jc w:val="right"/>
              <w:rPr>
                <w:rFonts w:ascii="Verdana" w:eastAsia="Verdana" w:hAnsi="Verdana" w:cs="Verdana"/>
                <w:noProof/>
                <w:color w:val="000000"/>
                <w:sz w:val="16"/>
              </w:rPr>
            </w:pPr>
            <w:r>
              <w:rPr>
                <w:rFonts w:ascii="Verdana" w:hAnsi="Verdana"/>
                <w:noProof/>
                <w:color w:val="000000"/>
                <w:sz w:val="16"/>
              </w:rPr>
              <w:t>273</w:t>
            </w:r>
          </w:p>
        </w:tc>
        <w:tc>
          <w:tcPr>
            <w:tcW w:w="1186" w:type="dxa"/>
            <w:tcBorders>
              <w:top w:val="nil"/>
              <w:left w:val="nil"/>
              <w:bottom w:val="nil"/>
              <w:right w:val="nil"/>
              <w:tl2br w:val="nil"/>
              <w:tr2bl w:val="nil"/>
            </w:tcBorders>
            <w:tcMar>
              <w:left w:w="60" w:type="dxa"/>
              <w:right w:w="60" w:type="dxa"/>
            </w:tcMar>
            <w:vAlign w:val="center"/>
          </w:tcPr>
          <w:p>
            <w:pPr>
              <w:pStyle w:val="DMETW36691BIPBudgetresult"/>
              <w:jc w:val="right"/>
              <w:rPr>
                <w:rFonts w:ascii="Verdana" w:eastAsia="Verdana" w:hAnsi="Verdana" w:cs="Verdana"/>
                <w:noProof/>
                <w:color w:val="000000"/>
                <w:sz w:val="16"/>
              </w:rPr>
            </w:pPr>
            <w:r>
              <w:rPr>
                <w:rFonts w:ascii="Verdana" w:hAnsi="Verdana"/>
                <w:noProof/>
                <w:color w:val="000000"/>
                <w:sz w:val="16"/>
              </w:rPr>
              <w:t>  334</w:t>
            </w:r>
          </w:p>
        </w:tc>
      </w:tr>
      <w:tr>
        <w:trPr>
          <w:trHeight w:hRule="exact" w:val="284"/>
        </w:trPr>
        <w:tc>
          <w:tcPr>
            <w:tcW w:w="680" w:type="dxa"/>
            <w:tcBorders>
              <w:top w:val="nil"/>
              <w:left w:val="nil"/>
              <w:bottom w:val="nil"/>
              <w:right w:val="nil"/>
              <w:tl2br w:val="nil"/>
              <w:tr2bl w:val="nil"/>
            </w:tcBorders>
            <w:tcMar>
              <w:left w:w="60" w:type="dxa"/>
              <w:right w:w="60" w:type="dxa"/>
            </w:tcMar>
            <w:vAlign w:val="center"/>
          </w:tcPr>
          <w:p>
            <w:pPr>
              <w:pStyle w:val="DMETW36691BIPBudgetresult"/>
              <w:jc w:val="center"/>
              <w:rPr>
                <w:rFonts w:ascii="Verdana" w:eastAsia="Verdana" w:hAnsi="Verdana" w:cs="Verdana"/>
                <w:noProof/>
                <w:color w:val="000000"/>
                <w:sz w:val="16"/>
              </w:rPr>
            </w:pPr>
            <w:r>
              <w:rPr>
                <w:rFonts w:ascii="Verdana" w:hAnsi="Verdana"/>
                <w:noProof/>
                <w:color w:val="000000"/>
                <w:sz w:val="16"/>
              </w:rPr>
              <w:t>e</w:t>
            </w:r>
          </w:p>
        </w:tc>
        <w:tc>
          <w:tcPr>
            <w:tcW w:w="6707" w:type="dxa"/>
            <w:tcBorders>
              <w:top w:val="nil"/>
              <w:left w:val="nil"/>
              <w:bottom w:val="nil"/>
              <w:right w:val="nil"/>
              <w:tl2br w:val="nil"/>
              <w:tr2bl w:val="nil"/>
            </w:tcBorders>
            <w:tcMar>
              <w:left w:w="60" w:type="dxa"/>
              <w:right w:w="60" w:type="dxa"/>
            </w:tcMar>
            <w:vAlign w:val="center"/>
          </w:tcPr>
          <w:p>
            <w:pPr>
              <w:pStyle w:val="DMETW36691BIPBudgetresult"/>
              <w:rPr>
                <w:rFonts w:ascii="Verdana" w:eastAsia="Verdana" w:hAnsi="Verdana" w:cs="Verdana"/>
                <w:i/>
                <w:noProof/>
                <w:color w:val="000000"/>
                <w:sz w:val="16"/>
              </w:rPr>
            </w:pPr>
            <w:r>
              <w:rPr>
                <w:rFonts w:ascii="Verdana" w:hAnsi="Verdana"/>
                <w:i/>
                <w:noProof/>
                <w:color w:val="000000"/>
                <w:sz w:val="16"/>
              </w:rPr>
              <w:t>Évolution des recettes affectées (B)-(A)</w:t>
            </w:r>
          </w:p>
        </w:tc>
        <w:tc>
          <w:tcPr>
            <w:tcW w:w="1186" w:type="dxa"/>
            <w:tcBorders>
              <w:top w:val="nil"/>
              <w:left w:val="nil"/>
              <w:bottom w:val="nil"/>
              <w:right w:val="nil"/>
              <w:tl2br w:val="nil"/>
              <w:tr2bl w:val="nil"/>
            </w:tcBorders>
            <w:tcMar>
              <w:left w:w="60" w:type="dxa"/>
              <w:right w:w="60" w:type="dxa"/>
            </w:tcMar>
            <w:vAlign w:val="center"/>
          </w:tcPr>
          <w:p>
            <w:pPr>
              <w:pStyle w:val="DMETW36691BIPBudgetresult"/>
              <w:jc w:val="right"/>
              <w:rPr>
                <w:rFonts w:ascii="Verdana" w:eastAsia="Verdana" w:hAnsi="Verdana" w:cs="Verdana"/>
                <w:noProof/>
                <w:color w:val="000000"/>
                <w:sz w:val="16"/>
              </w:rPr>
            </w:pPr>
            <w:r>
              <w:rPr>
                <w:rFonts w:ascii="Verdana" w:hAnsi="Verdana"/>
                <w:noProof/>
                <w:color w:val="000000"/>
                <w:sz w:val="16"/>
              </w:rPr>
              <w:t>(3 579)</w:t>
            </w:r>
          </w:p>
        </w:tc>
        <w:tc>
          <w:tcPr>
            <w:tcW w:w="1186" w:type="dxa"/>
            <w:tcBorders>
              <w:top w:val="nil"/>
              <w:left w:val="nil"/>
              <w:bottom w:val="nil"/>
              <w:right w:val="nil"/>
              <w:tl2br w:val="nil"/>
              <w:tr2bl w:val="nil"/>
            </w:tcBorders>
            <w:tcMar>
              <w:left w:w="60" w:type="dxa"/>
              <w:right w:w="60" w:type="dxa"/>
            </w:tcMar>
            <w:vAlign w:val="center"/>
          </w:tcPr>
          <w:p>
            <w:pPr>
              <w:pStyle w:val="DMETW36691BIPBudgetresult"/>
              <w:jc w:val="right"/>
              <w:rPr>
                <w:rFonts w:ascii="Verdana" w:eastAsia="Verdana" w:hAnsi="Verdana" w:cs="Verdana"/>
                <w:noProof/>
                <w:color w:val="000000"/>
                <w:sz w:val="16"/>
              </w:rPr>
            </w:pPr>
            <w:r>
              <w:rPr>
                <w:rFonts w:ascii="Verdana" w:hAnsi="Verdana"/>
                <w:noProof/>
                <w:color w:val="000000"/>
                <w:sz w:val="16"/>
              </w:rPr>
              <w:t>(1 486)</w:t>
            </w:r>
          </w:p>
        </w:tc>
      </w:tr>
      <w:tr>
        <w:trPr>
          <w:trHeight w:hRule="exact" w:val="284"/>
        </w:trPr>
        <w:tc>
          <w:tcPr>
            <w:tcW w:w="680" w:type="dxa"/>
            <w:tcBorders>
              <w:top w:val="nil"/>
              <w:left w:val="nil"/>
              <w:bottom w:val="nil"/>
              <w:right w:val="nil"/>
              <w:tl2br w:val="nil"/>
              <w:tr2bl w:val="nil"/>
            </w:tcBorders>
            <w:tcMar>
              <w:left w:w="60" w:type="dxa"/>
              <w:right w:w="60" w:type="dxa"/>
            </w:tcMar>
            <w:vAlign w:val="center"/>
          </w:tcPr>
          <w:p>
            <w:pPr>
              <w:pStyle w:val="DMETW36691BIPBudgetresult"/>
              <w:jc w:val="center"/>
              <w:rPr>
                <w:rFonts w:ascii="Verdana" w:eastAsia="Verdana" w:hAnsi="Verdana" w:cs="Verdana"/>
                <w:noProof/>
                <w:color w:val="000000"/>
                <w:sz w:val="16"/>
              </w:rPr>
            </w:pPr>
          </w:p>
        </w:tc>
        <w:tc>
          <w:tcPr>
            <w:tcW w:w="6707" w:type="dxa"/>
            <w:tcBorders>
              <w:top w:val="nil"/>
              <w:left w:val="nil"/>
              <w:bottom w:val="nil"/>
              <w:right w:val="nil"/>
              <w:tl2br w:val="nil"/>
              <w:tr2bl w:val="nil"/>
            </w:tcBorders>
            <w:tcMar>
              <w:left w:w="60" w:type="dxa"/>
              <w:right w:w="60" w:type="dxa"/>
            </w:tcMar>
            <w:vAlign w:val="center"/>
          </w:tcPr>
          <w:p>
            <w:pPr>
              <w:pStyle w:val="DMETW36691BIPBudgetresult"/>
              <w:rPr>
                <w:rFonts w:ascii="Verdana" w:eastAsia="Verdana" w:hAnsi="Verdana" w:cs="Verdana"/>
                <w:i/>
                <w:noProof/>
                <w:color w:val="000000"/>
                <w:sz w:val="16"/>
              </w:rPr>
            </w:pPr>
            <w:r>
              <w:rPr>
                <w:rFonts w:ascii="Verdana" w:hAnsi="Verdana"/>
                <w:i/>
                <w:noProof/>
                <w:color w:val="000000"/>
                <w:sz w:val="16"/>
              </w:rPr>
              <w:t xml:space="preserve">     Crédits inutilisés à la fin de l’exercice (A)</w:t>
            </w:r>
          </w:p>
        </w:tc>
        <w:tc>
          <w:tcPr>
            <w:tcW w:w="1186" w:type="dxa"/>
            <w:tcBorders>
              <w:top w:val="nil"/>
              <w:left w:val="nil"/>
              <w:bottom w:val="nil"/>
              <w:right w:val="nil"/>
              <w:tl2br w:val="nil"/>
              <w:tr2bl w:val="nil"/>
            </w:tcBorders>
            <w:tcMar>
              <w:left w:w="60" w:type="dxa"/>
              <w:right w:w="60" w:type="dxa"/>
            </w:tcMar>
            <w:vAlign w:val="center"/>
          </w:tcPr>
          <w:p>
            <w:pPr>
              <w:pStyle w:val="DMETW36691BIPBudgetresult"/>
              <w:jc w:val="right"/>
              <w:rPr>
                <w:rFonts w:ascii="Verdana" w:eastAsia="Verdana" w:hAnsi="Verdana" w:cs="Verdana"/>
                <w:noProof/>
                <w:color w:val="000000"/>
                <w:sz w:val="16"/>
              </w:rPr>
            </w:pPr>
            <w:r>
              <w:rPr>
                <w:rFonts w:ascii="Verdana" w:hAnsi="Verdana"/>
                <w:noProof/>
                <w:color w:val="000000"/>
                <w:sz w:val="16"/>
              </w:rPr>
              <w:t>28 271</w:t>
            </w:r>
          </w:p>
        </w:tc>
        <w:tc>
          <w:tcPr>
            <w:tcW w:w="1186" w:type="dxa"/>
            <w:tcBorders>
              <w:top w:val="nil"/>
              <w:left w:val="nil"/>
              <w:bottom w:val="nil"/>
              <w:right w:val="nil"/>
              <w:tl2br w:val="nil"/>
              <w:tr2bl w:val="nil"/>
            </w:tcBorders>
            <w:tcMar>
              <w:left w:w="60" w:type="dxa"/>
              <w:right w:w="60" w:type="dxa"/>
            </w:tcMar>
            <w:vAlign w:val="center"/>
          </w:tcPr>
          <w:p>
            <w:pPr>
              <w:pStyle w:val="DMETW36691BIPBudgetresult"/>
              <w:jc w:val="right"/>
              <w:rPr>
                <w:rFonts w:ascii="Verdana" w:eastAsia="Verdana" w:hAnsi="Verdana" w:cs="Verdana"/>
                <w:noProof/>
                <w:color w:val="000000"/>
                <w:sz w:val="16"/>
              </w:rPr>
            </w:pPr>
            <w:r>
              <w:rPr>
                <w:rFonts w:ascii="Verdana" w:hAnsi="Verdana"/>
                <w:noProof/>
                <w:color w:val="000000"/>
                <w:sz w:val="16"/>
              </w:rPr>
              <w:t> 24 692</w:t>
            </w:r>
          </w:p>
        </w:tc>
      </w:tr>
      <w:tr>
        <w:trPr>
          <w:trHeight w:hRule="exact" w:val="284"/>
        </w:trPr>
        <w:tc>
          <w:tcPr>
            <w:tcW w:w="680" w:type="dxa"/>
            <w:tcBorders>
              <w:top w:val="nil"/>
              <w:left w:val="nil"/>
              <w:bottom w:val="nil"/>
              <w:right w:val="nil"/>
              <w:tl2br w:val="nil"/>
              <w:tr2bl w:val="nil"/>
            </w:tcBorders>
            <w:tcMar>
              <w:left w:w="60" w:type="dxa"/>
              <w:right w:w="60" w:type="dxa"/>
            </w:tcMar>
            <w:vAlign w:val="center"/>
          </w:tcPr>
          <w:p>
            <w:pPr>
              <w:pStyle w:val="DMETW36691BIPBudgetresult"/>
              <w:jc w:val="center"/>
              <w:rPr>
                <w:rFonts w:ascii="Verdana" w:eastAsia="Verdana" w:hAnsi="Verdana" w:cs="Verdana"/>
                <w:noProof/>
                <w:color w:val="000000"/>
                <w:sz w:val="16"/>
              </w:rPr>
            </w:pPr>
          </w:p>
        </w:tc>
        <w:tc>
          <w:tcPr>
            <w:tcW w:w="6707" w:type="dxa"/>
            <w:tcBorders>
              <w:top w:val="nil"/>
              <w:left w:val="nil"/>
              <w:bottom w:val="nil"/>
              <w:right w:val="nil"/>
              <w:tl2br w:val="nil"/>
              <w:tr2bl w:val="nil"/>
            </w:tcBorders>
            <w:tcMar>
              <w:left w:w="60" w:type="dxa"/>
              <w:right w:w="60" w:type="dxa"/>
            </w:tcMar>
            <w:vAlign w:val="center"/>
          </w:tcPr>
          <w:p>
            <w:pPr>
              <w:pStyle w:val="DMETW36691BIPBudgetresult"/>
              <w:rPr>
                <w:rFonts w:ascii="Verdana" w:eastAsia="Verdana" w:hAnsi="Verdana" w:cs="Verdana"/>
                <w:i/>
                <w:noProof/>
                <w:color w:val="000000"/>
                <w:sz w:val="16"/>
              </w:rPr>
            </w:pPr>
            <w:r>
              <w:rPr>
                <w:rFonts w:ascii="Verdana" w:hAnsi="Verdana"/>
                <w:i/>
                <w:noProof/>
                <w:color w:val="000000"/>
                <w:sz w:val="16"/>
              </w:rPr>
              <w:t xml:space="preserve">     Crédits inutilisés à la fin de l’exercice précédent (B)</w:t>
            </w:r>
          </w:p>
        </w:tc>
        <w:tc>
          <w:tcPr>
            <w:tcW w:w="1186" w:type="dxa"/>
            <w:tcBorders>
              <w:top w:val="nil"/>
              <w:left w:val="nil"/>
              <w:bottom w:val="nil"/>
              <w:right w:val="nil"/>
              <w:tl2br w:val="nil"/>
              <w:tr2bl w:val="nil"/>
            </w:tcBorders>
            <w:tcMar>
              <w:left w:w="60" w:type="dxa"/>
              <w:right w:w="60" w:type="dxa"/>
            </w:tcMar>
            <w:vAlign w:val="center"/>
          </w:tcPr>
          <w:p>
            <w:pPr>
              <w:pStyle w:val="DMETW36691BIPBudgetresult"/>
              <w:jc w:val="right"/>
              <w:rPr>
                <w:rFonts w:ascii="Verdana" w:eastAsia="Verdana" w:hAnsi="Verdana" w:cs="Verdana"/>
                <w:noProof/>
                <w:color w:val="000000"/>
                <w:sz w:val="16"/>
              </w:rPr>
            </w:pPr>
            <w:r>
              <w:rPr>
                <w:rFonts w:ascii="Verdana" w:hAnsi="Verdana"/>
                <w:noProof/>
                <w:color w:val="000000"/>
                <w:sz w:val="16"/>
              </w:rPr>
              <w:t>24 692</w:t>
            </w:r>
          </w:p>
        </w:tc>
        <w:tc>
          <w:tcPr>
            <w:tcW w:w="1186" w:type="dxa"/>
            <w:tcBorders>
              <w:top w:val="nil"/>
              <w:left w:val="nil"/>
              <w:bottom w:val="nil"/>
              <w:right w:val="nil"/>
              <w:tl2br w:val="nil"/>
              <w:tr2bl w:val="nil"/>
            </w:tcBorders>
            <w:tcMar>
              <w:left w:w="60" w:type="dxa"/>
              <w:right w:w="60" w:type="dxa"/>
            </w:tcMar>
            <w:vAlign w:val="center"/>
          </w:tcPr>
          <w:p>
            <w:pPr>
              <w:pStyle w:val="DMETW36691BIPBudgetresult"/>
              <w:jc w:val="right"/>
              <w:rPr>
                <w:rFonts w:ascii="Verdana" w:eastAsia="Verdana" w:hAnsi="Verdana" w:cs="Verdana"/>
                <w:noProof/>
                <w:color w:val="000000"/>
                <w:sz w:val="16"/>
              </w:rPr>
            </w:pPr>
            <w:r>
              <w:rPr>
                <w:rFonts w:ascii="Verdana" w:hAnsi="Verdana"/>
                <w:noProof/>
                <w:color w:val="000000"/>
                <w:sz w:val="16"/>
              </w:rPr>
              <w:t> 23 206</w:t>
            </w:r>
          </w:p>
        </w:tc>
      </w:tr>
      <w:tr>
        <w:trPr>
          <w:trHeight w:hRule="exact" w:val="270"/>
        </w:trPr>
        <w:tc>
          <w:tcPr>
            <w:tcW w:w="680" w:type="dxa"/>
            <w:tcBorders>
              <w:top w:val="nil"/>
              <w:left w:val="nil"/>
              <w:bottom w:val="nil"/>
              <w:right w:val="nil"/>
              <w:tl2br w:val="nil"/>
              <w:tr2bl w:val="nil"/>
            </w:tcBorders>
            <w:tcMar>
              <w:left w:w="60" w:type="dxa"/>
              <w:right w:w="60" w:type="dxa"/>
            </w:tcMar>
            <w:vAlign w:val="center"/>
          </w:tcPr>
          <w:p>
            <w:pPr>
              <w:pStyle w:val="DMETW36691BIPBudgetresult"/>
              <w:jc w:val="center"/>
              <w:rPr>
                <w:rFonts w:ascii="Verdana" w:eastAsia="Verdana" w:hAnsi="Verdana" w:cs="Verdana"/>
                <w:noProof/>
                <w:color w:val="000000"/>
                <w:sz w:val="16"/>
              </w:rPr>
            </w:pPr>
            <w:r>
              <w:rPr>
                <w:rFonts w:ascii="Verdana" w:hAnsi="Verdana"/>
                <w:noProof/>
                <w:color w:val="000000"/>
                <w:sz w:val="16"/>
              </w:rPr>
              <w:t>f</w:t>
            </w:r>
          </w:p>
        </w:tc>
        <w:tc>
          <w:tcPr>
            <w:tcW w:w="6707" w:type="dxa"/>
            <w:tcBorders>
              <w:top w:val="nil"/>
              <w:left w:val="nil"/>
              <w:bottom w:val="nil"/>
              <w:right w:val="nil"/>
              <w:tl2br w:val="nil"/>
              <w:tr2bl w:val="nil"/>
            </w:tcBorders>
            <w:tcMar>
              <w:left w:w="60" w:type="dxa"/>
              <w:right w:w="60" w:type="dxa"/>
            </w:tcMar>
            <w:vAlign w:val="center"/>
          </w:tcPr>
          <w:p>
            <w:pPr>
              <w:pStyle w:val="DMETW36691BIPBudgetresult"/>
              <w:rPr>
                <w:rFonts w:ascii="Verdana" w:eastAsia="Verdana" w:hAnsi="Verdana" w:cs="Verdana"/>
                <w:i/>
                <w:noProof/>
                <w:color w:val="000000"/>
                <w:sz w:val="16"/>
              </w:rPr>
            </w:pPr>
            <w:r>
              <w:rPr>
                <w:rFonts w:ascii="Verdana" w:hAnsi="Verdana"/>
                <w:i/>
                <w:noProof/>
                <w:color w:val="000000"/>
                <w:sz w:val="16"/>
              </w:rPr>
              <w:t>Différences de change de l’exercice</w:t>
            </w:r>
          </w:p>
        </w:tc>
        <w:tc>
          <w:tcPr>
            <w:tcW w:w="1186" w:type="dxa"/>
            <w:tcBorders>
              <w:top w:val="nil"/>
              <w:left w:val="nil"/>
              <w:bottom w:val="nil"/>
              <w:right w:val="nil"/>
              <w:tl2br w:val="nil"/>
              <w:tr2bl w:val="nil"/>
            </w:tcBorders>
            <w:tcMar>
              <w:left w:w="60" w:type="dxa"/>
              <w:right w:w="60" w:type="dxa"/>
            </w:tcMar>
            <w:vAlign w:val="center"/>
          </w:tcPr>
          <w:p>
            <w:pPr>
              <w:pStyle w:val="DMETW36691BIPBudgetresult"/>
              <w:jc w:val="right"/>
              <w:rPr>
                <w:rFonts w:ascii="Verdana" w:eastAsia="Verdana" w:hAnsi="Verdana" w:cs="Verdana"/>
                <w:noProof/>
                <w:color w:val="000000"/>
                <w:sz w:val="16"/>
              </w:rPr>
            </w:pPr>
            <w:r>
              <w:rPr>
                <w:rFonts w:ascii="Verdana" w:hAnsi="Verdana"/>
                <w:noProof/>
                <w:color w:val="000000"/>
                <w:sz w:val="16"/>
              </w:rPr>
              <w:t>(130)</w:t>
            </w:r>
          </w:p>
        </w:tc>
        <w:tc>
          <w:tcPr>
            <w:tcW w:w="1186" w:type="dxa"/>
            <w:tcBorders>
              <w:top w:val="nil"/>
              <w:left w:val="nil"/>
              <w:bottom w:val="nil"/>
              <w:right w:val="nil"/>
              <w:tl2br w:val="nil"/>
              <w:tr2bl w:val="nil"/>
            </w:tcBorders>
            <w:tcMar>
              <w:left w:w="60" w:type="dxa"/>
              <w:right w:w="60" w:type="dxa"/>
            </w:tcMar>
            <w:vAlign w:val="center"/>
          </w:tcPr>
          <w:p>
            <w:pPr>
              <w:pStyle w:val="DMETW36691BIPBudgetresult"/>
              <w:jc w:val="right"/>
              <w:rPr>
                <w:rFonts w:ascii="Verdana" w:eastAsia="Verdana" w:hAnsi="Verdana" w:cs="Verdana"/>
                <w:noProof/>
                <w:color w:val="000000"/>
                <w:sz w:val="16"/>
              </w:rPr>
            </w:pPr>
            <w:r>
              <w:rPr>
                <w:rFonts w:ascii="Verdana" w:hAnsi="Verdana"/>
                <w:noProof/>
                <w:color w:val="000000"/>
                <w:sz w:val="16"/>
              </w:rPr>
              <w:t>  44</w:t>
            </w:r>
          </w:p>
        </w:tc>
      </w:tr>
      <w:tr>
        <w:trPr>
          <w:trHeight w:hRule="exact" w:val="388"/>
        </w:trPr>
        <w:tc>
          <w:tcPr>
            <w:tcW w:w="680" w:type="dxa"/>
            <w:tcBorders>
              <w:top w:val="nil"/>
              <w:left w:val="nil"/>
              <w:bottom w:val="nil"/>
              <w:right w:val="nil"/>
              <w:tl2br w:val="nil"/>
              <w:tr2bl w:val="nil"/>
            </w:tcBorders>
            <w:shd w:val="solid" w:color="CCE1EB" w:fill="FFFFFF"/>
            <w:tcMar>
              <w:left w:w="60" w:type="dxa"/>
              <w:right w:w="60" w:type="dxa"/>
            </w:tcMar>
            <w:vAlign w:val="center"/>
          </w:tcPr>
          <w:p>
            <w:pPr>
              <w:pStyle w:val="DMETW36691BIPBudgetresult"/>
              <w:jc w:val="center"/>
              <w:rPr>
                <w:rFonts w:ascii="Verdana" w:eastAsia="Verdana" w:hAnsi="Verdana" w:cs="Verdana"/>
                <w:b/>
                <w:noProof/>
                <w:color w:val="000000"/>
                <w:sz w:val="16"/>
              </w:rPr>
            </w:pPr>
          </w:p>
        </w:tc>
        <w:tc>
          <w:tcPr>
            <w:tcW w:w="6707" w:type="dxa"/>
            <w:tcBorders>
              <w:top w:val="nil"/>
              <w:left w:val="nil"/>
              <w:bottom w:val="nil"/>
              <w:right w:val="nil"/>
              <w:tl2br w:val="nil"/>
              <w:tr2bl w:val="nil"/>
            </w:tcBorders>
            <w:shd w:val="solid" w:color="CCE1EB" w:fill="FFFFFF"/>
            <w:tcMar>
              <w:left w:w="60" w:type="dxa"/>
              <w:right w:w="60" w:type="dxa"/>
            </w:tcMar>
            <w:vAlign w:val="center"/>
          </w:tcPr>
          <w:p>
            <w:pPr>
              <w:pStyle w:val="DMETW36691BIPBudgetresult"/>
              <w:rPr>
                <w:rFonts w:ascii="Verdana" w:eastAsia="Verdana" w:hAnsi="Verdana" w:cs="Verdana"/>
                <w:b/>
                <w:noProof/>
                <w:color w:val="000000"/>
                <w:sz w:val="16"/>
              </w:rPr>
            </w:pPr>
            <w:r>
              <w:rPr>
                <w:rFonts w:ascii="Verdana" w:hAnsi="Verdana"/>
                <w:b/>
                <w:noProof/>
                <w:color w:val="000000"/>
                <w:sz w:val="16"/>
              </w:rPr>
              <w:t>Résultat de l’exécution du budget</w:t>
            </w:r>
          </w:p>
        </w:tc>
        <w:tc>
          <w:tcPr>
            <w:tcW w:w="1186" w:type="dxa"/>
            <w:tcBorders>
              <w:top w:val="nil"/>
              <w:left w:val="nil"/>
              <w:bottom w:val="nil"/>
              <w:right w:val="nil"/>
              <w:tl2br w:val="nil"/>
              <w:tr2bl w:val="nil"/>
            </w:tcBorders>
            <w:shd w:val="solid" w:color="CCE1EB" w:fill="FFFFFF"/>
            <w:tcMar>
              <w:left w:w="60" w:type="dxa"/>
              <w:right w:w="60" w:type="dxa"/>
            </w:tcMar>
            <w:vAlign w:val="center"/>
          </w:tcPr>
          <w:p>
            <w:pPr>
              <w:pStyle w:val="DMETW36691BIPBudgetresult"/>
              <w:jc w:val="right"/>
              <w:rPr>
                <w:rFonts w:ascii="Verdana" w:eastAsia="Verdana" w:hAnsi="Verdana" w:cs="Verdana"/>
                <w:b/>
                <w:noProof/>
                <w:color w:val="000000"/>
                <w:sz w:val="16"/>
              </w:rPr>
            </w:pPr>
            <w:r>
              <w:rPr>
                <w:rFonts w:ascii="Verdana" w:hAnsi="Verdana"/>
                <w:b/>
                <w:noProof/>
                <w:color w:val="000000"/>
                <w:sz w:val="16"/>
              </w:rPr>
              <w:t>2 078</w:t>
            </w:r>
          </w:p>
        </w:tc>
        <w:tc>
          <w:tcPr>
            <w:tcW w:w="1186" w:type="dxa"/>
            <w:tcBorders>
              <w:top w:val="nil"/>
              <w:left w:val="nil"/>
              <w:bottom w:val="nil"/>
              <w:right w:val="nil"/>
              <w:tl2br w:val="nil"/>
              <w:tr2bl w:val="nil"/>
            </w:tcBorders>
            <w:shd w:val="solid" w:color="CCE1EB" w:fill="FFFFFF"/>
            <w:tcMar>
              <w:left w:w="60" w:type="dxa"/>
              <w:right w:w="60" w:type="dxa"/>
            </w:tcMar>
            <w:vAlign w:val="center"/>
          </w:tcPr>
          <w:p>
            <w:pPr>
              <w:pStyle w:val="DMETW36691BIPBudgetresult"/>
              <w:jc w:val="right"/>
              <w:rPr>
                <w:rFonts w:ascii="Verdana" w:eastAsia="Verdana" w:hAnsi="Verdana" w:cs="Verdana"/>
                <w:b/>
                <w:noProof/>
                <w:color w:val="000000"/>
                <w:sz w:val="16"/>
              </w:rPr>
            </w:pPr>
            <w:r>
              <w:rPr>
                <w:rFonts w:ascii="Verdana" w:hAnsi="Verdana"/>
                <w:b/>
                <w:noProof/>
                <w:color w:val="000000"/>
                <w:sz w:val="16"/>
              </w:rPr>
              <w:t> 1 345</w:t>
            </w:r>
          </w:p>
        </w:tc>
      </w:tr>
    </w:tbl>
    <w:p>
      <w:pPr>
        <w:pStyle w:val="DGTextstand-alone"/>
      </w:pPr>
    </w:p>
    <w:p>
      <w:pPr>
        <w:pStyle w:val="DGTextstand-alone"/>
      </w:pPr>
      <w:r>
        <w:t>Le résultat de l’exécution du budget de l’UE est restitué aux États membres au cours de l’exercice suivant: il est porté en déduction des montants dont ils sont redevables pour cet exercice. Il est calculé conformément aux dispositions de l’article 1er, paragraphe 1, du règlement (UE, Euratom) nº 608/2014 du Conseil portant mesures d’exécution du système des ressources propres. De plus amples informations figurent à la section </w:t>
      </w:r>
      <w:r>
        <w:rPr>
          <w:b/>
        </w:rPr>
        <w:t>3.7</w:t>
      </w:r>
      <w:r>
        <w:t xml:space="preserve"> «Calcul du résultat de l’exécution du budget».</w:t>
      </w:r>
    </w:p>
    <w:p>
      <w:pPr>
        <w:pStyle w:val="DGTextstand-alone"/>
        <w:numPr>
          <w:ilvl w:val="1"/>
          <w:numId w:val="25"/>
        </w:numPr>
      </w:pPr>
      <w:r>
        <w:t>Recettes de l’exercice: tableau 5.1 «Synthèse de l’exécution du budget de l’UE en recettes», colonne 8 «Total» (recettes).</w:t>
      </w:r>
    </w:p>
    <w:p>
      <w:pPr>
        <w:pStyle w:val="DGTextstand-alone"/>
        <w:numPr>
          <w:ilvl w:val="1"/>
          <w:numId w:val="25"/>
        </w:numPr>
      </w:pPr>
      <w:r>
        <w:t>Paiements sur crédits de l'exercice: tableau 6.3 «CFP: exécution des crédits de paiement», colonne 2 «Paiements exécutés sur budget définitif adopté» et colonne 4 «Paiements exécutés sur recettes affectées».</w:t>
      </w:r>
    </w:p>
    <w:p>
      <w:pPr>
        <w:pStyle w:val="DGTextstand-alone"/>
        <w:numPr>
          <w:ilvl w:val="1"/>
          <w:numId w:val="25"/>
        </w:numPr>
      </w:pPr>
      <w:r>
        <w:t>Crédits de paiement reportés à l’exercice N+1: tableau 6.3 «CFP: exécution des crédits de paiement», colonne 7 «Reports de droit» et colonne 8 «Reports par décision».</w:t>
      </w:r>
    </w:p>
    <w:p>
      <w:pPr>
        <w:pStyle w:val="DGTextstand-alone"/>
        <w:numPr>
          <w:ilvl w:val="1"/>
          <w:numId w:val="25"/>
        </w:numPr>
      </w:pPr>
      <w:r>
        <w:t>Annulation de crédits de paiement inutilisés reportés de l’exercice N-1: il est tenu compte du montant des crédits de paiement reportés (de droit et par décision) à la fin de l’exercice précédent et des «Paiements exécutés sur crédits reportés» de l’exercice en cours, voir colonne 3 du tableau 6.3 «CFP: exécution des crédits de paiement».</w:t>
      </w:r>
    </w:p>
    <w:p>
      <w:pPr>
        <w:pStyle w:val="DGTextstand-alone"/>
        <w:numPr>
          <w:ilvl w:val="1"/>
          <w:numId w:val="25"/>
        </w:numPr>
      </w:pPr>
      <w:r>
        <w:t>Évolution du total des crédits issus de recettes affectées en fin d’exercice: calcul de la différence entre le montant des crédits issus de recettes affectées à la fin de l’exercice précédent (plus) et le montant des crédits issus de recettes affectées à la fin de l’exercice en cours (voir colonne 8 du tableau 6.3 «CFP: exécution des crédits de paiement» – moins) pour obtenir la variation nette des recettes affectées de l’exercice en cours.</w:t>
      </w:r>
    </w:p>
    <w:p>
      <w:pPr>
        <w:pStyle w:val="DGTextstand-alone"/>
        <w:numPr>
          <w:ilvl w:val="1"/>
          <w:numId w:val="25"/>
        </w:numPr>
      </w:pPr>
      <w:r>
        <w:t>Les différences de change comprennent les différences de change réalisées et non réalisées.</w:t>
      </w:r>
    </w:p>
    <w:p>
      <w:pPr>
        <w:pStyle w:val="DGTextstand-alone"/>
      </w:pPr>
    </w:p>
    <w:p>
      <w:pPr>
        <w:pStyle w:val="DGTextstand-alone"/>
      </w:pPr>
      <w:r>
        <w:br w:type="page"/>
      </w:r>
    </w:p>
    <w:p>
      <w:pPr>
        <w:pStyle w:val="HEADER1PartBUDG"/>
        <w:rPr>
          <w:rFonts w:eastAsia="Calibri"/>
          <w:noProof/>
        </w:rPr>
      </w:pPr>
      <w:bookmarkStart w:id="256" w:name="_Toc237349620"/>
      <w:r>
        <w:rPr>
          <w:noProof/>
        </w:rPr>
        <w:lastRenderedPageBreak/>
        <w:t>COMPARAISONS ENTRE LES PRÉVISIONS BUDGÉTAIRES ET LES DONNÉES EFFECTIVES</w:t>
      </w:r>
      <w:bookmarkEnd w:id="256"/>
    </w:p>
    <w:p>
      <w:pPr>
        <w:pStyle w:val="HEADERTITLE"/>
        <w:spacing w:before="480"/>
        <w:rPr>
          <w:rFonts w:eastAsia="Calibri"/>
        </w:rPr>
      </w:pPr>
      <w:r>
        <w:t>Recettes budgétaires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3"/>
        <w:gridCol w:w="4643"/>
        <w:gridCol w:w="1112"/>
        <w:gridCol w:w="1117"/>
        <w:gridCol w:w="1117"/>
        <w:gridCol w:w="1117"/>
      </w:tblGrid>
      <w:tr>
        <w:trPr>
          <w:trHeight w:val="255"/>
        </w:trPr>
        <w:tc>
          <w:tcPr>
            <w:tcW w:w="50" w:type="dxa"/>
            <w:gridSpan w:val="6"/>
            <w:tcBorders>
              <w:top w:val="nil"/>
              <w:left w:val="nil"/>
              <w:bottom w:val="nil"/>
              <w:right w:val="nil"/>
              <w:tl2br w:val="nil"/>
              <w:tr2bl w:val="nil"/>
            </w:tcBorders>
            <w:tcMar>
              <w:left w:w="60" w:type="dxa"/>
              <w:right w:w="60" w:type="dxa"/>
            </w:tcMar>
            <w:vAlign w:val="center"/>
          </w:tcPr>
          <w:p>
            <w:pPr>
              <w:pStyle w:val="DMETW36691BIPStatementofcomparisonRevenue"/>
              <w:jc w:val="right"/>
              <w:rPr>
                <w:rFonts w:ascii="Verdana" w:eastAsia="Verdana" w:hAnsi="Verdana" w:cs="Verdana"/>
                <w:i/>
                <w:noProof/>
                <w:color w:val="000000"/>
                <w:sz w:val="16"/>
              </w:rPr>
            </w:pPr>
            <w:bookmarkStart w:id="257" w:name="DOC_TBL00109_1_1"/>
            <w:bookmarkEnd w:id="257"/>
            <w:r>
              <w:rPr>
                <w:rFonts w:ascii="Verdana" w:hAnsi="Verdana"/>
                <w:i/>
                <w:noProof/>
                <w:color w:val="000000"/>
                <w:sz w:val="16"/>
              </w:rPr>
              <w:t>en Mio EUR</w:t>
            </w:r>
          </w:p>
        </w:tc>
      </w:tr>
      <w:tr>
        <w:trPr>
          <w:trHeight w:val="255"/>
        </w:trPr>
        <w:tc>
          <w:tcPr>
            <w:tcW w:w="50" w:type="dxa"/>
            <w:gridSpan w:val="2"/>
            <w:tcBorders>
              <w:top w:val="nil"/>
              <w:left w:val="nil"/>
              <w:bottom w:val="nil"/>
              <w:right w:val="nil"/>
              <w:tl2br w:val="nil"/>
              <w:tr2bl w:val="nil"/>
            </w:tcBorders>
            <w:shd w:val="solid" w:color="016794" w:fill="FFFFFF"/>
            <w:tcMar>
              <w:left w:w="60" w:type="dxa"/>
              <w:right w:w="60" w:type="dxa"/>
            </w:tcMar>
            <w:vAlign w:val="center"/>
          </w:tcPr>
          <w:p>
            <w:pPr>
              <w:pStyle w:val="DMETW36691BIPStatementofcomparisonRevenue"/>
              <w:jc w:val="center"/>
              <w:rPr>
                <w:rFonts w:ascii="Verdana" w:eastAsia="Verdana" w:hAnsi="Verdana" w:cs="Verdana"/>
                <w:noProof/>
                <w:color w:val="FFFFFF"/>
                <w:sz w:val="16"/>
              </w:rPr>
            </w:pPr>
            <w:r>
              <w:rPr>
                <w:rFonts w:ascii="Verdana" w:hAnsi="Verdana"/>
                <w:noProof/>
                <w:color w:val="FFFFFF"/>
                <w:sz w:val="16"/>
              </w:rPr>
              <w:t>Titre</w:t>
            </w:r>
          </w:p>
        </w:tc>
        <w:tc>
          <w:tcPr>
            <w:tcW w:w="238" w:type="dxa"/>
            <w:tcBorders>
              <w:top w:val="nil"/>
              <w:left w:val="nil"/>
              <w:bottom w:val="nil"/>
              <w:right w:val="nil"/>
              <w:tl2br w:val="nil"/>
              <w:tr2bl w:val="nil"/>
            </w:tcBorders>
            <w:shd w:val="solid" w:color="016794" w:fill="FFFFFF"/>
            <w:tcMar>
              <w:left w:w="60" w:type="dxa"/>
              <w:right w:w="60" w:type="dxa"/>
            </w:tcMar>
            <w:vAlign w:val="center"/>
          </w:tcPr>
          <w:p>
            <w:pPr>
              <w:pStyle w:val="DMETW36691BIPStatementofcomparisonRevenue"/>
              <w:jc w:val="center"/>
              <w:rPr>
                <w:rFonts w:ascii="Verdana" w:eastAsia="Verdana" w:hAnsi="Verdana" w:cs="Verdana"/>
                <w:noProof/>
                <w:color w:val="FFFFFF"/>
                <w:sz w:val="16"/>
              </w:rPr>
            </w:pPr>
            <w:r>
              <w:rPr>
                <w:rFonts w:ascii="Verdana" w:hAnsi="Verdana"/>
                <w:noProof/>
                <w:color w:val="FFFFFF"/>
                <w:sz w:val="16"/>
              </w:rPr>
              <w:t>Budget initial adopté</w:t>
            </w:r>
          </w:p>
        </w:tc>
        <w:tc>
          <w:tcPr>
            <w:tcW w:w="239" w:type="dxa"/>
            <w:tcBorders>
              <w:top w:val="nil"/>
              <w:left w:val="nil"/>
              <w:bottom w:val="nil"/>
              <w:right w:val="nil"/>
              <w:tl2br w:val="nil"/>
              <w:tr2bl w:val="nil"/>
            </w:tcBorders>
            <w:shd w:val="solid" w:color="016794" w:fill="FFFFFF"/>
            <w:tcMar>
              <w:left w:w="60" w:type="dxa"/>
              <w:right w:w="60" w:type="dxa"/>
            </w:tcMar>
            <w:vAlign w:val="center"/>
          </w:tcPr>
          <w:p>
            <w:pPr>
              <w:pStyle w:val="DMETW36691BIPStatementofcomparisonRevenue"/>
              <w:jc w:val="center"/>
              <w:rPr>
                <w:rFonts w:ascii="Verdana" w:eastAsia="Verdana" w:hAnsi="Verdana" w:cs="Verdana"/>
                <w:noProof/>
                <w:color w:val="FFFFFF"/>
                <w:sz w:val="16"/>
              </w:rPr>
            </w:pPr>
            <w:r>
              <w:rPr>
                <w:rFonts w:ascii="Verdana" w:hAnsi="Verdana"/>
                <w:noProof/>
                <w:color w:val="FFFFFF"/>
                <w:sz w:val="16"/>
              </w:rPr>
              <w:t>Budget définitif adopté</w:t>
            </w:r>
          </w:p>
        </w:tc>
        <w:tc>
          <w:tcPr>
            <w:tcW w:w="239" w:type="dxa"/>
            <w:tcBorders>
              <w:top w:val="nil"/>
              <w:left w:val="nil"/>
              <w:bottom w:val="nil"/>
              <w:right w:val="nil"/>
              <w:tl2br w:val="nil"/>
              <w:tr2bl w:val="nil"/>
            </w:tcBorders>
            <w:shd w:val="solid" w:color="016794" w:fill="FFFFFF"/>
            <w:tcMar>
              <w:left w:w="60" w:type="dxa"/>
              <w:right w:w="60" w:type="dxa"/>
            </w:tcMar>
            <w:vAlign w:val="center"/>
          </w:tcPr>
          <w:p>
            <w:pPr>
              <w:pStyle w:val="DMETW36691BIPStatementofcomparisonRevenue"/>
              <w:jc w:val="center"/>
              <w:rPr>
                <w:rFonts w:ascii="Verdana" w:eastAsia="Verdana" w:hAnsi="Verdana" w:cs="Verdana"/>
                <w:noProof/>
                <w:color w:val="FFFFFF"/>
                <w:sz w:val="16"/>
              </w:rPr>
            </w:pPr>
            <w:r>
              <w:rPr>
                <w:rFonts w:ascii="Verdana" w:hAnsi="Verdana"/>
                <w:noProof/>
                <w:color w:val="FFFFFF"/>
                <w:sz w:val="16"/>
              </w:rPr>
              <w:t>Droits constatés</w:t>
            </w:r>
          </w:p>
        </w:tc>
        <w:tc>
          <w:tcPr>
            <w:tcW w:w="239" w:type="dxa"/>
            <w:tcBorders>
              <w:top w:val="nil"/>
              <w:left w:val="nil"/>
              <w:bottom w:val="nil"/>
              <w:right w:val="nil"/>
              <w:tl2br w:val="nil"/>
              <w:tr2bl w:val="nil"/>
            </w:tcBorders>
            <w:shd w:val="solid" w:color="016794" w:fill="FFFFFF"/>
            <w:tcMar>
              <w:left w:w="60" w:type="dxa"/>
              <w:right w:w="60" w:type="dxa"/>
            </w:tcMar>
            <w:vAlign w:val="center"/>
          </w:tcPr>
          <w:p>
            <w:pPr>
              <w:pStyle w:val="DMETW36691BIPStatementofcomparisonRevenue"/>
              <w:jc w:val="center"/>
              <w:rPr>
                <w:rFonts w:ascii="Verdana" w:eastAsia="Verdana" w:hAnsi="Verdana" w:cs="Verdana"/>
                <w:noProof/>
                <w:color w:val="FFFFFF"/>
                <w:sz w:val="16"/>
              </w:rPr>
            </w:pPr>
            <w:r>
              <w:rPr>
                <w:rFonts w:ascii="Verdana" w:hAnsi="Verdana"/>
                <w:noProof/>
                <w:color w:val="FFFFFF"/>
                <w:sz w:val="16"/>
              </w:rPr>
              <w:t>Recettes</w:t>
            </w:r>
          </w:p>
        </w:tc>
      </w:tr>
      <w:tr>
        <w:trPr>
          <w:trHeight w:val="255"/>
        </w:trPr>
        <w:tc>
          <w:tcPr>
            <w:tcW w:w="50" w:type="dxa"/>
            <w:tcBorders>
              <w:top w:val="nil"/>
              <w:left w:val="nil"/>
              <w:bottom w:val="nil"/>
              <w:right w:val="nil"/>
              <w:tl2br w:val="nil"/>
              <w:tr2bl w:val="nil"/>
            </w:tcBorders>
            <w:tcMar>
              <w:left w:w="60" w:type="dxa"/>
              <w:right w:w="60" w:type="dxa"/>
            </w:tcMar>
            <w:vAlign w:val="center"/>
          </w:tcPr>
          <w:p>
            <w:pPr>
              <w:pStyle w:val="DMETW36691BIPStatementofcomparisonRevenue"/>
              <w:rPr>
                <w:rFonts w:ascii="Verdana" w:eastAsia="Verdana" w:hAnsi="Verdana" w:cs="Verdana"/>
                <w:noProof/>
                <w:color w:val="000000"/>
                <w:sz w:val="16"/>
              </w:rPr>
            </w:pPr>
            <w:r>
              <w:rPr>
                <w:rFonts w:ascii="Verdana" w:hAnsi="Verdana"/>
                <w:noProof/>
                <w:color w:val="000000"/>
                <w:sz w:val="16"/>
              </w:rPr>
              <w:t>1</w:t>
            </w:r>
          </w:p>
        </w:tc>
        <w:tc>
          <w:tcPr>
            <w:tcW w:w="994" w:type="dxa"/>
            <w:tcBorders>
              <w:top w:val="nil"/>
              <w:left w:val="nil"/>
              <w:bottom w:val="nil"/>
              <w:right w:val="nil"/>
              <w:tl2br w:val="nil"/>
              <w:tr2bl w:val="nil"/>
            </w:tcBorders>
            <w:tcMar>
              <w:left w:w="60" w:type="dxa"/>
              <w:right w:w="60" w:type="dxa"/>
            </w:tcMar>
            <w:vAlign w:val="center"/>
          </w:tcPr>
          <w:p>
            <w:pPr>
              <w:pStyle w:val="DMETW36691BIPStatementofcomparisonRevenue"/>
              <w:jc w:val="right"/>
              <w:rPr>
                <w:rFonts w:ascii="Verdana" w:eastAsia="Verdana" w:hAnsi="Verdana" w:cs="Verdana"/>
                <w:noProof/>
                <w:color w:val="000000"/>
                <w:sz w:val="16"/>
              </w:rPr>
            </w:pPr>
            <w:r>
              <w:rPr>
                <w:rFonts w:ascii="Verdana" w:hAnsi="Verdana"/>
                <w:noProof/>
                <w:color w:val="000000"/>
                <w:sz w:val="16"/>
              </w:rPr>
              <w:t>Ressources propres</w:t>
            </w:r>
          </w:p>
        </w:tc>
        <w:tc>
          <w:tcPr>
            <w:tcW w:w="238" w:type="dxa"/>
            <w:tcBorders>
              <w:top w:val="nil"/>
              <w:left w:val="nil"/>
              <w:bottom w:val="nil"/>
              <w:right w:val="nil"/>
              <w:tl2br w:val="nil"/>
              <w:tr2bl w:val="nil"/>
            </w:tcBorders>
            <w:tcMar>
              <w:left w:w="60" w:type="dxa"/>
              <w:right w:w="60" w:type="dxa"/>
            </w:tcMar>
            <w:vAlign w:val="center"/>
          </w:tcPr>
          <w:p>
            <w:pPr>
              <w:pStyle w:val="DMETW36691BIPStatementofcomparisonRevenue"/>
              <w:jc w:val="right"/>
              <w:rPr>
                <w:rFonts w:ascii="Verdana" w:eastAsia="Verdana" w:hAnsi="Verdana" w:cs="Verdana"/>
                <w:noProof/>
                <w:color w:val="000000"/>
                <w:sz w:val="16"/>
              </w:rPr>
            </w:pPr>
            <w:r>
              <w:rPr>
                <w:rFonts w:ascii="Verdana" w:hAnsi="Verdana"/>
                <w:noProof/>
                <w:color w:val="000000"/>
                <w:sz w:val="16"/>
              </w:rPr>
              <w:t>151 161</w:t>
            </w:r>
          </w:p>
        </w:tc>
        <w:tc>
          <w:tcPr>
            <w:tcW w:w="239" w:type="dxa"/>
            <w:tcBorders>
              <w:top w:val="nil"/>
              <w:left w:val="nil"/>
              <w:bottom w:val="nil"/>
              <w:right w:val="nil"/>
              <w:tl2br w:val="nil"/>
              <w:tr2bl w:val="nil"/>
            </w:tcBorders>
            <w:tcMar>
              <w:left w:w="60" w:type="dxa"/>
              <w:right w:w="60" w:type="dxa"/>
            </w:tcMar>
            <w:vAlign w:val="center"/>
          </w:tcPr>
          <w:p>
            <w:pPr>
              <w:pStyle w:val="DMETW36691BIPStatementofcomparisonRevenue"/>
              <w:jc w:val="right"/>
              <w:rPr>
                <w:rFonts w:ascii="Verdana" w:eastAsia="Verdana" w:hAnsi="Verdana" w:cs="Verdana"/>
                <w:noProof/>
                <w:color w:val="000000"/>
                <w:sz w:val="16"/>
              </w:rPr>
            </w:pPr>
            <w:r>
              <w:rPr>
                <w:rFonts w:ascii="Verdana" w:hAnsi="Verdana"/>
                <w:noProof/>
                <w:color w:val="000000"/>
                <w:sz w:val="16"/>
              </w:rPr>
              <w:t>154 322</w:t>
            </w:r>
          </w:p>
        </w:tc>
        <w:tc>
          <w:tcPr>
            <w:tcW w:w="239" w:type="dxa"/>
            <w:tcBorders>
              <w:top w:val="nil"/>
              <w:left w:val="nil"/>
              <w:bottom w:val="nil"/>
              <w:right w:val="nil"/>
              <w:tl2br w:val="nil"/>
              <w:tr2bl w:val="nil"/>
            </w:tcBorders>
            <w:tcMar>
              <w:left w:w="60" w:type="dxa"/>
              <w:right w:w="60" w:type="dxa"/>
            </w:tcMar>
            <w:vAlign w:val="center"/>
          </w:tcPr>
          <w:p>
            <w:pPr>
              <w:pStyle w:val="DMETW36691BIPStatementofcomparisonRevenue"/>
              <w:jc w:val="right"/>
              <w:rPr>
                <w:rFonts w:ascii="Verdana" w:eastAsia="Verdana" w:hAnsi="Verdana" w:cs="Verdana"/>
                <w:noProof/>
                <w:color w:val="000000"/>
                <w:sz w:val="16"/>
              </w:rPr>
            </w:pPr>
            <w:r>
              <w:rPr>
                <w:rFonts w:ascii="Verdana" w:hAnsi="Verdana"/>
                <w:noProof/>
                <w:color w:val="000000"/>
                <w:sz w:val="16"/>
              </w:rPr>
              <w:t>155 448</w:t>
            </w:r>
          </w:p>
        </w:tc>
        <w:tc>
          <w:tcPr>
            <w:tcW w:w="239" w:type="dxa"/>
            <w:tcBorders>
              <w:top w:val="nil"/>
              <w:left w:val="nil"/>
              <w:bottom w:val="nil"/>
              <w:right w:val="nil"/>
              <w:tl2br w:val="nil"/>
              <w:tr2bl w:val="nil"/>
            </w:tcBorders>
            <w:tcMar>
              <w:left w:w="60" w:type="dxa"/>
              <w:right w:w="60" w:type="dxa"/>
            </w:tcMar>
            <w:vAlign w:val="center"/>
          </w:tcPr>
          <w:p>
            <w:pPr>
              <w:pStyle w:val="DMETW36691BIPStatementofcomparisonRevenue"/>
              <w:jc w:val="right"/>
              <w:rPr>
                <w:rFonts w:ascii="Verdana" w:eastAsia="Verdana" w:hAnsi="Verdana" w:cs="Verdana"/>
                <w:noProof/>
                <w:color w:val="000000"/>
                <w:sz w:val="16"/>
              </w:rPr>
            </w:pPr>
            <w:r>
              <w:rPr>
                <w:rFonts w:ascii="Verdana" w:hAnsi="Verdana"/>
                <w:noProof/>
                <w:color w:val="000000"/>
                <w:sz w:val="16"/>
              </w:rPr>
              <w:t>155 418</w:t>
            </w:r>
          </w:p>
        </w:tc>
      </w:tr>
      <w:tr>
        <w:trPr>
          <w:trHeight w:val="255"/>
        </w:trPr>
        <w:tc>
          <w:tcPr>
            <w:tcW w:w="50" w:type="dxa"/>
            <w:tcBorders>
              <w:top w:val="nil"/>
              <w:left w:val="nil"/>
              <w:bottom w:val="nil"/>
              <w:right w:val="nil"/>
              <w:tl2br w:val="nil"/>
              <w:tr2bl w:val="nil"/>
            </w:tcBorders>
            <w:tcMar>
              <w:left w:w="60" w:type="dxa"/>
              <w:right w:w="60" w:type="dxa"/>
            </w:tcMar>
            <w:vAlign w:val="center"/>
          </w:tcPr>
          <w:p>
            <w:pPr>
              <w:pStyle w:val="DMETW36691BIPStatementofcomparisonRevenue"/>
              <w:rPr>
                <w:rFonts w:ascii="Verdana" w:eastAsia="Verdana" w:hAnsi="Verdana" w:cs="Verdana"/>
                <w:noProof/>
                <w:color w:val="000000"/>
                <w:sz w:val="16"/>
              </w:rPr>
            </w:pPr>
            <w:r>
              <w:rPr>
                <w:rFonts w:ascii="Verdana" w:hAnsi="Verdana"/>
                <w:noProof/>
                <w:color w:val="000000"/>
                <w:sz w:val="16"/>
              </w:rPr>
              <w:t>2</w:t>
            </w:r>
          </w:p>
        </w:tc>
        <w:tc>
          <w:tcPr>
            <w:tcW w:w="994" w:type="dxa"/>
            <w:tcBorders>
              <w:top w:val="nil"/>
              <w:left w:val="nil"/>
              <w:bottom w:val="nil"/>
              <w:right w:val="nil"/>
              <w:tl2br w:val="nil"/>
              <w:tr2bl w:val="nil"/>
            </w:tcBorders>
            <w:tcMar>
              <w:left w:w="60" w:type="dxa"/>
              <w:right w:w="60" w:type="dxa"/>
            </w:tcMar>
            <w:vAlign w:val="center"/>
          </w:tcPr>
          <w:p>
            <w:pPr>
              <w:pStyle w:val="DMETW36691BIPStatementofcomparisonRevenue"/>
              <w:jc w:val="right"/>
              <w:rPr>
                <w:rFonts w:ascii="Verdana" w:eastAsia="Verdana" w:hAnsi="Verdana" w:cs="Verdana"/>
                <w:noProof/>
                <w:color w:val="000000"/>
                <w:sz w:val="16"/>
              </w:rPr>
            </w:pPr>
            <w:r>
              <w:rPr>
                <w:rFonts w:ascii="Verdana" w:hAnsi="Verdana"/>
                <w:noProof/>
                <w:color w:val="000000"/>
                <w:sz w:val="16"/>
              </w:rPr>
              <w:t>Excédents, soldes et ajustements</w:t>
            </w:r>
          </w:p>
        </w:tc>
        <w:tc>
          <w:tcPr>
            <w:tcW w:w="238" w:type="dxa"/>
            <w:tcBorders>
              <w:top w:val="nil"/>
              <w:left w:val="nil"/>
              <w:bottom w:val="nil"/>
              <w:right w:val="nil"/>
              <w:tl2br w:val="nil"/>
              <w:tr2bl w:val="nil"/>
            </w:tcBorders>
            <w:tcMar>
              <w:left w:w="60" w:type="dxa"/>
              <w:right w:w="60" w:type="dxa"/>
            </w:tcMar>
            <w:vAlign w:val="center"/>
          </w:tcPr>
          <w:p>
            <w:pPr>
              <w:pStyle w:val="DMETW36691BIPStatementofcomparisonRevenue"/>
              <w:jc w:val="right"/>
              <w:rPr>
                <w:rFonts w:ascii="Verdana" w:eastAsia="Verdana" w:hAnsi="Verdana" w:cs="Verdana"/>
                <w:noProof/>
                <w:color w:val="000000"/>
                <w:sz w:val="16"/>
              </w:rPr>
            </w:pPr>
            <w:r>
              <w:rPr>
                <w:rFonts w:ascii="Verdana" w:hAnsi="Verdana"/>
                <w:noProof/>
                <w:color w:val="000000"/>
                <w:sz w:val="16"/>
              </w:rPr>
              <w:t>–</w:t>
            </w:r>
          </w:p>
        </w:tc>
        <w:tc>
          <w:tcPr>
            <w:tcW w:w="239" w:type="dxa"/>
            <w:tcBorders>
              <w:top w:val="nil"/>
              <w:left w:val="nil"/>
              <w:bottom w:val="nil"/>
              <w:right w:val="nil"/>
              <w:tl2br w:val="nil"/>
              <w:tr2bl w:val="nil"/>
            </w:tcBorders>
            <w:tcMar>
              <w:left w:w="60" w:type="dxa"/>
              <w:right w:w="60" w:type="dxa"/>
            </w:tcMar>
            <w:vAlign w:val="center"/>
          </w:tcPr>
          <w:p>
            <w:pPr>
              <w:pStyle w:val="DMETW36691BIPStatementofcomparisonRevenue"/>
              <w:jc w:val="right"/>
              <w:rPr>
                <w:rFonts w:ascii="Verdana" w:eastAsia="Verdana" w:hAnsi="Verdana" w:cs="Verdana"/>
                <w:noProof/>
                <w:color w:val="000000"/>
                <w:sz w:val="16"/>
              </w:rPr>
            </w:pPr>
            <w:r>
              <w:rPr>
                <w:rFonts w:ascii="Verdana" w:hAnsi="Verdana"/>
                <w:noProof/>
                <w:color w:val="000000"/>
                <w:sz w:val="16"/>
              </w:rPr>
              <w:t>1 345</w:t>
            </w:r>
          </w:p>
        </w:tc>
        <w:tc>
          <w:tcPr>
            <w:tcW w:w="239" w:type="dxa"/>
            <w:tcBorders>
              <w:top w:val="nil"/>
              <w:left w:val="nil"/>
              <w:bottom w:val="nil"/>
              <w:right w:val="nil"/>
              <w:tl2br w:val="nil"/>
              <w:tr2bl w:val="nil"/>
            </w:tcBorders>
            <w:tcMar>
              <w:left w:w="60" w:type="dxa"/>
              <w:right w:w="60" w:type="dxa"/>
            </w:tcMar>
            <w:vAlign w:val="center"/>
          </w:tcPr>
          <w:p>
            <w:pPr>
              <w:pStyle w:val="DMETW36691BIPStatementofcomparisonRevenue"/>
              <w:jc w:val="right"/>
              <w:rPr>
                <w:rFonts w:ascii="Verdana" w:eastAsia="Verdana" w:hAnsi="Verdana" w:cs="Verdana"/>
                <w:noProof/>
                <w:color w:val="000000"/>
                <w:sz w:val="16"/>
              </w:rPr>
            </w:pPr>
            <w:r>
              <w:rPr>
                <w:rFonts w:ascii="Verdana" w:hAnsi="Verdana"/>
                <w:noProof/>
                <w:color w:val="000000"/>
                <w:sz w:val="16"/>
              </w:rPr>
              <w:t>1 362</w:t>
            </w:r>
          </w:p>
        </w:tc>
        <w:tc>
          <w:tcPr>
            <w:tcW w:w="239" w:type="dxa"/>
            <w:tcBorders>
              <w:top w:val="nil"/>
              <w:left w:val="nil"/>
              <w:bottom w:val="nil"/>
              <w:right w:val="nil"/>
              <w:tl2br w:val="nil"/>
              <w:tr2bl w:val="nil"/>
            </w:tcBorders>
            <w:tcMar>
              <w:left w:w="60" w:type="dxa"/>
              <w:right w:w="60" w:type="dxa"/>
            </w:tcMar>
            <w:vAlign w:val="center"/>
          </w:tcPr>
          <w:p>
            <w:pPr>
              <w:pStyle w:val="DMETW36691BIPStatementofcomparisonRevenue"/>
              <w:jc w:val="right"/>
              <w:rPr>
                <w:rFonts w:ascii="Verdana" w:eastAsia="Verdana" w:hAnsi="Verdana" w:cs="Verdana"/>
                <w:noProof/>
                <w:color w:val="000000"/>
                <w:sz w:val="16"/>
              </w:rPr>
            </w:pPr>
            <w:r>
              <w:rPr>
                <w:rFonts w:ascii="Verdana" w:hAnsi="Verdana"/>
                <w:noProof/>
                <w:color w:val="000000"/>
                <w:sz w:val="16"/>
              </w:rPr>
              <w:t>1 362</w:t>
            </w:r>
          </w:p>
        </w:tc>
      </w:tr>
      <w:tr>
        <w:trPr>
          <w:trHeight w:val="255"/>
        </w:trPr>
        <w:tc>
          <w:tcPr>
            <w:tcW w:w="50" w:type="dxa"/>
            <w:tcBorders>
              <w:top w:val="nil"/>
              <w:left w:val="nil"/>
              <w:bottom w:val="nil"/>
              <w:right w:val="nil"/>
              <w:tl2br w:val="nil"/>
              <w:tr2bl w:val="nil"/>
            </w:tcBorders>
            <w:tcMar>
              <w:left w:w="60" w:type="dxa"/>
              <w:right w:w="60" w:type="dxa"/>
            </w:tcMar>
            <w:vAlign w:val="center"/>
          </w:tcPr>
          <w:p>
            <w:pPr>
              <w:pStyle w:val="DMETW36691BIPStatementofcomparisonRevenue"/>
              <w:rPr>
                <w:rFonts w:ascii="Verdana" w:eastAsia="Verdana" w:hAnsi="Verdana" w:cs="Verdana"/>
                <w:i/>
                <w:noProof/>
                <w:color w:val="000000"/>
                <w:sz w:val="16"/>
              </w:rPr>
            </w:pPr>
            <w:r>
              <w:rPr>
                <w:rFonts w:ascii="Verdana" w:hAnsi="Verdana"/>
                <w:i/>
                <w:noProof/>
                <w:color w:val="000000"/>
                <w:sz w:val="16"/>
              </w:rPr>
              <w:t>3</w:t>
            </w:r>
          </w:p>
        </w:tc>
        <w:tc>
          <w:tcPr>
            <w:tcW w:w="994" w:type="dxa"/>
            <w:tcBorders>
              <w:top w:val="nil"/>
              <w:left w:val="nil"/>
              <w:bottom w:val="nil"/>
              <w:right w:val="nil"/>
              <w:tl2br w:val="nil"/>
              <w:tr2bl w:val="nil"/>
            </w:tcBorders>
            <w:tcMar>
              <w:left w:w="60" w:type="dxa"/>
              <w:right w:w="60" w:type="dxa"/>
            </w:tcMar>
            <w:vAlign w:val="center"/>
          </w:tcPr>
          <w:p>
            <w:pPr>
              <w:pStyle w:val="DMETW36691BIPStatementofcomparisonRevenue"/>
              <w:jc w:val="right"/>
              <w:rPr>
                <w:rFonts w:ascii="Verdana" w:eastAsia="Verdana" w:hAnsi="Verdana" w:cs="Verdana"/>
                <w:i/>
                <w:noProof/>
                <w:color w:val="000000"/>
                <w:sz w:val="16"/>
              </w:rPr>
            </w:pPr>
            <w:r>
              <w:rPr>
                <w:rFonts w:ascii="Verdana" w:hAnsi="Verdana"/>
                <w:i/>
                <w:noProof/>
                <w:color w:val="000000"/>
                <w:sz w:val="16"/>
              </w:rPr>
              <w:t>Recettes administratives</w:t>
            </w:r>
          </w:p>
        </w:tc>
        <w:tc>
          <w:tcPr>
            <w:tcW w:w="238" w:type="dxa"/>
            <w:tcBorders>
              <w:top w:val="nil"/>
              <w:left w:val="nil"/>
              <w:bottom w:val="nil"/>
              <w:right w:val="nil"/>
              <w:tl2br w:val="nil"/>
              <w:tr2bl w:val="nil"/>
            </w:tcBorders>
            <w:tcMar>
              <w:left w:w="60" w:type="dxa"/>
              <w:right w:w="60" w:type="dxa"/>
            </w:tcMar>
            <w:vAlign w:val="center"/>
          </w:tcPr>
          <w:p>
            <w:pPr>
              <w:pStyle w:val="DMETW36691BIPStatementofcomparisonRevenue"/>
              <w:jc w:val="right"/>
              <w:rPr>
                <w:rFonts w:ascii="Verdana" w:eastAsia="Verdana" w:hAnsi="Verdana" w:cs="Verdana"/>
                <w:i/>
                <w:noProof/>
                <w:color w:val="000000"/>
                <w:sz w:val="16"/>
              </w:rPr>
            </w:pPr>
            <w:r>
              <w:rPr>
                <w:rFonts w:ascii="Verdana" w:hAnsi="Verdana"/>
                <w:i/>
                <w:noProof/>
                <w:color w:val="000000"/>
                <w:sz w:val="16"/>
              </w:rPr>
              <w:t>2 425</w:t>
            </w:r>
          </w:p>
        </w:tc>
        <w:tc>
          <w:tcPr>
            <w:tcW w:w="239" w:type="dxa"/>
            <w:tcBorders>
              <w:top w:val="nil"/>
              <w:left w:val="nil"/>
              <w:bottom w:val="nil"/>
              <w:right w:val="nil"/>
              <w:tl2br w:val="nil"/>
              <w:tr2bl w:val="nil"/>
            </w:tcBorders>
            <w:tcMar>
              <w:left w:w="60" w:type="dxa"/>
              <w:right w:w="60" w:type="dxa"/>
            </w:tcMar>
            <w:vAlign w:val="center"/>
          </w:tcPr>
          <w:p>
            <w:pPr>
              <w:pStyle w:val="DMETW36691BIPStatementofcomparisonRevenue"/>
              <w:jc w:val="right"/>
              <w:rPr>
                <w:rFonts w:ascii="Verdana" w:eastAsia="Verdana" w:hAnsi="Verdana" w:cs="Verdana"/>
                <w:i/>
                <w:noProof/>
                <w:color w:val="000000"/>
                <w:sz w:val="16"/>
              </w:rPr>
            </w:pPr>
            <w:r>
              <w:rPr>
                <w:rFonts w:ascii="Verdana" w:hAnsi="Verdana"/>
                <w:i/>
                <w:noProof/>
                <w:color w:val="000000"/>
                <w:sz w:val="16"/>
              </w:rPr>
              <w:t>2 425</w:t>
            </w:r>
          </w:p>
        </w:tc>
        <w:tc>
          <w:tcPr>
            <w:tcW w:w="239" w:type="dxa"/>
            <w:tcBorders>
              <w:top w:val="nil"/>
              <w:left w:val="nil"/>
              <w:bottom w:val="nil"/>
              <w:right w:val="nil"/>
              <w:tl2br w:val="nil"/>
              <w:tr2bl w:val="nil"/>
            </w:tcBorders>
            <w:tcMar>
              <w:left w:w="60" w:type="dxa"/>
              <w:right w:w="60" w:type="dxa"/>
            </w:tcMar>
            <w:vAlign w:val="center"/>
          </w:tcPr>
          <w:p>
            <w:pPr>
              <w:pStyle w:val="DMETW36691BIPStatementofcomparisonRevenue"/>
              <w:jc w:val="right"/>
              <w:rPr>
                <w:rFonts w:ascii="Verdana" w:eastAsia="Verdana" w:hAnsi="Verdana" w:cs="Verdana"/>
                <w:i/>
                <w:noProof/>
                <w:color w:val="000000"/>
                <w:sz w:val="16"/>
              </w:rPr>
            </w:pPr>
            <w:r>
              <w:rPr>
                <w:rFonts w:ascii="Verdana" w:hAnsi="Verdana"/>
                <w:i/>
                <w:noProof/>
                <w:color w:val="000000"/>
                <w:sz w:val="16"/>
              </w:rPr>
              <w:t>3 272</w:t>
            </w:r>
          </w:p>
        </w:tc>
        <w:tc>
          <w:tcPr>
            <w:tcW w:w="239" w:type="dxa"/>
            <w:tcBorders>
              <w:top w:val="nil"/>
              <w:left w:val="nil"/>
              <w:bottom w:val="nil"/>
              <w:right w:val="nil"/>
              <w:tl2br w:val="nil"/>
              <w:tr2bl w:val="nil"/>
            </w:tcBorders>
            <w:tcMar>
              <w:left w:w="60" w:type="dxa"/>
              <w:right w:w="60" w:type="dxa"/>
            </w:tcMar>
            <w:vAlign w:val="center"/>
          </w:tcPr>
          <w:p>
            <w:pPr>
              <w:pStyle w:val="DMETW36691BIPStatementofcomparisonRevenue"/>
              <w:jc w:val="right"/>
              <w:rPr>
                <w:rFonts w:ascii="Verdana" w:eastAsia="Verdana" w:hAnsi="Verdana" w:cs="Verdana"/>
                <w:i/>
                <w:noProof/>
                <w:color w:val="000000"/>
                <w:sz w:val="16"/>
              </w:rPr>
            </w:pPr>
            <w:r>
              <w:rPr>
                <w:rFonts w:ascii="Verdana" w:hAnsi="Verdana"/>
                <w:i/>
                <w:noProof/>
                <w:color w:val="000000"/>
                <w:sz w:val="16"/>
              </w:rPr>
              <w:t>3 226</w:t>
            </w:r>
          </w:p>
        </w:tc>
      </w:tr>
      <w:tr>
        <w:trPr>
          <w:trHeight w:val="255"/>
        </w:trPr>
        <w:tc>
          <w:tcPr>
            <w:tcW w:w="50" w:type="dxa"/>
            <w:tcBorders>
              <w:top w:val="nil"/>
              <w:left w:val="nil"/>
              <w:bottom w:val="nil"/>
              <w:right w:val="nil"/>
              <w:tl2br w:val="nil"/>
              <w:tr2bl w:val="nil"/>
            </w:tcBorders>
            <w:tcMar>
              <w:left w:w="60" w:type="dxa"/>
              <w:right w:w="60" w:type="dxa"/>
            </w:tcMar>
            <w:vAlign w:val="center"/>
          </w:tcPr>
          <w:p>
            <w:pPr>
              <w:pStyle w:val="DMETW36691BIPStatementofcomparisonRevenue"/>
              <w:rPr>
                <w:rFonts w:ascii="Verdana" w:eastAsia="Verdana" w:hAnsi="Verdana" w:cs="Verdana"/>
                <w:i/>
                <w:noProof/>
                <w:color w:val="000000"/>
                <w:sz w:val="16"/>
              </w:rPr>
            </w:pPr>
            <w:r>
              <w:rPr>
                <w:rFonts w:ascii="Verdana" w:hAnsi="Verdana"/>
                <w:i/>
                <w:noProof/>
                <w:color w:val="000000"/>
                <w:sz w:val="16"/>
              </w:rPr>
              <w:t>4</w:t>
            </w:r>
          </w:p>
        </w:tc>
        <w:tc>
          <w:tcPr>
            <w:tcW w:w="994" w:type="dxa"/>
            <w:tcBorders>
              <w:top w:val="nil"/>
              <w:left w:val="nil"/>
              <w:bottom w:val="nil"/>
              <w:right w:val="nil"/>
              <w:tl2br w:val="nil"/>
              <w:tr2bl w:val="nil"/>
            </w:tcBorders>
            <w:tcMar>
              <w:left w:w="60" w:type="dxa"/>
              <w:right w:w="60" w:type="dxa"/>
            </w:tcMar>
            <w:vAlign w:val="center"/>
          </w:tcPr>
          <w:p>
            <w:pPr>
              <w:pStyle w:val="DMETW36691BIPStatementofcomparisonRevenue"/>
              <w:jc w:val="right"/>
              <w:rPr>
                <w:rFonts w:ascii="Verdana" w:eastAsia="Verdana" w:hAnsi="Verdana" w:cs="Verdana"/>
                <w:i/>
                <w:noProof/>
                <w:color w:val="000000"/>
                <w:sz w:val="16"/>
              </w:rPr>
            </w:pPr>
            <w:r>
              <w:rPr>
                <w:rFonts w:ascii="Verdana" w:hAnsi="Verdana"/>
                <w:i/>
                <w:noProof/>
                <w:color w:val="000000"/>
                <w:sz w:val="16"/>
              </w:rPr>
              <w:t>Produit financier, intérêts de retard et amendes</w:t>
            </w:r>
          </w:p>
        </w:tc>
        <w:tc>
          <w:tcPr>
            <w:tcW w:w="238" w:type="dxa"/>
            <w:tcBorders>
              <w:top w:val="nil"/>
              <w:left w:val="nil"/>
              <w:bottom w:val="nil"/>
              <w:right w:val="nil"/>
              <w:tl2br w:val="nil"/>
              <w:tr2bl w:val="nil"/>
            </w:tcBorders>
            <w:tcMar>
              <w:left w:w="60" w:type="dxa"/>
              <w:right w:w="60" w:type="dxa"/>
            </w:tcMar>
            <w:vAlign w:val="center"/>
          </w:tcPr>
          <w:p>
            <w:pPr>
              <w:pStyle w:val="DMETW36691BIPStatementofcomparisonRevenue"/>
              <w:jc w:val="right"/>
              <w:rPr>
                <w:rFonts w:ascii="Verdana" w:eastAsia="Verdana" w:hAnsi="Verdana" w:cs="Verdana"/>
                <w:i/>
                <w:noProof/>
                <w:color w:val="000000"/>
                <w:sz w:val="16"/>
              </w:rPr>
            </w:pPr>
            <w:r>
              <w:rPr>
                <w:rFonts w:ascii="Verdana" w:hAnsi="Verdana"/>
                <w:i/>
                <w:noProof/>
                <w:color w:val="000000"/>
                <w:sz w:val="16"/>
              </w:rPr>
              <w:t xml:space="preserve"> 183</w:t>
            </w:r>
          </w:p>
        </w:tc>
        <w:tc>
          <w:tcPr>
            <w:tcW w:w="239" w:type="dxa"/>
            <w:tcBorders>
              <w:top w:val="nil"/>
              <w:left w:val="nil"/>
              <w:bottom w:val="nil"/>
              <w:right w:val="nil"/>
              <w:tl2br w:val="nil"/>
              <w:tr2bl w:val="nil"/>
            </w:tcBorders>
            <w:tcMar>
              <w:left w:w="60" w:type="dxa"/>
              <w:right w:w="60" w:type="dxa"/>
            </w:tcMar>
            <w:vAlign w:val="center"/>
          </w:tcPr>
          <w:p>
            <w:pPr>
              <w:pStyle w:val="DMETW36691BIPStatementofcomparisonRevenue"/>
              <w:jc w:val="right"/>
              <w:rPr>
                <w:rFonts w:ascii="Verdana" w:eastAsia="Verdana" w:hAnsi="Verdana" w:cs="Verdana"/>
                <w:i/>
                <w:noProof/>
                <w:color w:val="000000"/>
                <w:sz w:val="16"/>
              </w:rPr>
            </w:pPr>
            <w:r>
              <w:rPr>
                <w:rFonts w:ascii="Verdana" w:hAnsi="Verdana"/>
                <w:i/>
                <w:noProof/>
                <w:color w:val="000000"/>
                <w:sz w:val="16"/>
              </w:rPr>
              <w:t>1 659</w:t>
            </w:r>
          </w:p>
        </w:tc>
        <w:tc>
          <w:tcPr>
            <w:tcW w:w="239" w:type="dxa"/>
            <w:tcBorders>
              <w:top w:val="nil"/>
              <w:left w:val="nil"/>
              <w:bottom w:val="nil"/>
              <w:right w:val="nil"/>
              <w:tl2br w:val="nil"/>
              <w:tr2bl w:val="nil"/>
            </w:tcBorders>
            <w:tcMar>
              <w:left w:w="60" w:type="dxa"/>
              <w:right w:w="60" w:type="dxa"/>
            </w:tcMar>
            <w:vAlign w:val="center"/>
          </w:tcPr>
          <w:p>
            <w:pPr>
              <w:pStyle w:val="DMETW36691BIPStatementofcomparisonRevenue"/>
              <w:jc w:val="right"/>
              <w:rPr>
                <w:rFonts w:ascii="Verdana" w:eastAsia="Verdana" w:hAnsi="Verdana" w:cs="Verdana"/>
                <w:i/>
                <w:noProof/>
                <w:color w:val="000000"/>
                <w:sz w:val="16"/>
              </w:rPr>
            </w:pPr>
            <w:r>
              <w:rPr>
                <w:rFonts w:ascii="Verdana" w:hAnsi="Verdana"/>
                <w:i/>
                <w:noProof/>
                <w:color w:val="000000"/>
                <w:sz w:val="16"/>
              </w:rPr>
              <w:t>18 874</w:t>
            </w:r>
          </w:p>
        </w:tc>
        <w:tc>
          <w:tcPr>
            <w:tcW w:w="239" w:type="dxa"/>
            <w:tcBorders>
              <w:top w:val="nil"/>
              <w:left w:val="nil"/>
              <w:bottom w:val="nil"/>
              <w:right w:val="nil"/>
              <w:tl2br w:val="nil"/>
              <w:tr2bl w:val="nil"/>
            </w:tcBorders>
            <w:tcMar>
              <w:left w:w="60" w:type="dxa"/>
              <w:right w:w="60" w:type="dxa"/>
            </w:tcMar>
            <w:vAlign w:val="center"/>
          </w:tcPr>
          <w:p>
            <w:pPr>
              <w:pStyle w:val="DMETW36691BIPStatementofcomparisonRevenue"/>
              <w:jc w:val="right"/>
              <w:rPr>
                <w:rFonts w:ascii="Verdana" w:eastAsia="Verdana" w:hAnsi="Verdana" w:cs="Verdana"/>
                <w:i/>
                <w:noProof/>
                <w:color w:val="000000"/>
                <w:sz w:val="16"/>
              </w:rPr>
            </w:pPr>
            <w:r>
              <w:rPr>
                <w:rFonts w:ascii="Verdana" w:hAnsi="Verdana"/>
                <w:i/>
                <w:noProof/>
                <w:color w:val="000000"/>
                <w:sz w:val="16"/>
              </w:rPr>
              <w:t>2 618</w:t>
            </w:r>
          </w:p>
        </w:tc>
      </w:tr>
      <w:tr>
        <w:trPr>
          <w:trHeight w:val="255"/>
        </w:trPr>
        <w:tc>
          <w:tcPr>
            <w:tcW w:w="50" w:type="dxa"/>
            <w:tcBorders>
              <w:top w:val="nil"/>
              <w:left w:val="nil"/>
              <w:bottom w:val="nil"/>
              <w:right w:val="nil"/>
              <w:tl2br w:val="nil"/>
              <w:tr2bl w:val="nil"/>
            </w:tcBorders>
            <w:tcMar>
              <w:left w:w="60" w:type="dxa"/>
              <w:right w:w="60" w:type="dxa"/>
            </w:tcMar>
            <w:vAlign w:val="center"/>
          </w:tcPr>
          <w:p>
            <w:pPr>
              <w:pStyle w:val="DMETW36691BIPStatementofcomparisonRevenue"/>
              <w:rPr>
                <w:rFonts w:ascii="Verdana" w:eastAsia="Verdana" w:hAnsi="Verdana" w:cs="Verdana"/>
                <w:i/>
                <w:noProof/>
                <w:color w:val="000000"/>
                <w:sz w:val="16"/>
              </w:rPr>
            </w:pPr>
            <w:r>
              <w:rPr>
                <w:rFonts w:ascii="Verdana" w:hAnsi="Verdana"/>
                <w:i/>
                <w:noProof/>
                <w:color w:val="000000"/>
                <w:sz w:val="16"/>
              </w:rPr>
              <w:t>5</w:t>
            </w:r>
          </w:p>
        </w:tc>
        <w:tc>
          <w:tcPr>
            <w:tcW w:w="994" w:type="dxa"/>
            <w:tcBorders>
              <w:top w:val="nil"/>
              <w:left w:val="nil"/>
              <w:bottom w:val="nil"/>
              <w:right w:val="nil"/>
              <w:tl2br w:val="nil"/>
              <w:tr2bl w:val="nil"/>
            </w:tcBorders>
            <w:tcMar>
              <w:left w:w="60" w:type="dxa"/>
              <w:right w:w="60" w:type="dxa"/>
            </w:tcMar>
            <w:vAlign w:val="center"/>
          </w:tcPr>
          <w:p>
            <w:pPr>
              <w:pStyle w:val="DMETW36691BIPStatementofcomparisonRevenue"/>
              <w:jc w:val="right"/>
              <w:rPr>
                <w:rFonts w:ascii="Verdana" w:eastAsia="Verdana" w:hAnsi="Verdana" w:cs="Verdana"/>
                <w:i/>
                <w:noProof/>
                <w:color w:val="000000"/>
                <w:sz w:val="16"/>
              </w:rPr>
            </w:pPr>
            <w:r>
              <w:rPr>
                <w:rFonts w:ascii="Verdana" w:hAnsi="Verdana"/>
                <w:i/>
                <w:noProof/>
                <w:color w:val="000000"/>
                <w:sz w:val="16"/>
              </w:rPr>
              <w:t>Garanties budgétaires, opérations d’emprunt et de prêt</w:t>
            </w:r>
          </w:p>
        </w:tc>
        <w:tc>
          <w:tcPr>
            <w:tcW w:w="238" w:type="dxa"/>
            <w:tcBorders>
              <w:top w:val="nil"/>
              <w:left w:val="nil"/>
              <w:bottom w:val="nil"/>
              <w:right w:val="nil"/>
              <w:tl2br w:val="nil"/>
              <w:tr2bl w:val="nil"/>
            </w:tcBorders>
            <w:tcMar>
              <w:left w:w="60" w:type="dxa"/>
              <w:right w:w="60" w:type="dxa"/>
            </w:tcMar>
            <w:vAlign w:val="center"/>
          </w:tcPr>
          <w:p>
            <w:pPr>
              <w:pStyle w:val="DMETW36691BIPStatementofcomparisonRevenue"/>
              <w:jc w:val="right"/>
              <w:rPr>
                <w:rFonts w:ascii="Verdana" w:eastAsia="Verdana" w:hAnsi="Verdana" w:cs="Verdana"/>
                <w:i/>
                <w:noProof/>
                <w:color w:val="000000"/>
                <w:sz w:val="16"/>
              </w:rPr>
            </w:pPr>
            <w:r>
              <w:rPr>
                <w:rFonts w:ascii="Verdana" w:hAnsi="Verdana"/>
                <w:i/>
                <w:noProof/>
                <w:color w:val="000000"/>
                <w:sz w:val="16"/>
              </w:rPr>
              <w:t>–</w:t>
            </w:r>
          </w:p>
        </w:tc>
        <w:tc>
          <w:tcPr>
            <w:tcW w:w="239" w:type="dxa"/>
            <w:tcBorders>
              <w:top w:val="nil"/>
              <w:left w:val="nil"/>
              <w:bottom w:val="nil"/>
              <w:right w:val="nil"/>
              <w:tl2br w:val="nil"/>
              <w:tr2bl w:val="nil"/>
            </w:tcBorders>
            <w:tcMar>
              <w:left w:w="60" w:type="dxa"/>
              <w:right w:w="60" w:type="dxa"/>
            </w:tcMar>
            <w:vAlign w:val="center"/>
          </w:tcPr>
          <w:p>
            <w:pPr>
              <w:pStyle w:val="DMETW36691BIPStatementofcomparisonRevenue"/>
              <w:jc w:val="right"/>
              <w:rPr>
                <w:rFonts w:ascii="Verdana" w:eastAsia="Verdana" w:hAnsi="Verdana" w:cs="Verdana"/>
                <w:i/>
                <w:noProof/>
                <w:color w:val="000000"/>
                <w:sz w:val="16"/>
              </w:rPr>
            </w:pPr>
            <w:r>
              <w:rPr>
                <w:rFonts w:ascii="Verdana" w:hAnsi="Verdana"/>
                <w:i/>
                <w:noProof/>
                <w:color w:val="000000"/>
                <w:sz w:val="16"/>
              </w:rPr>
              <w:t>–</w:t>
            </w:r>
          </w:p>
        </w:tc>
        <w:tc>
          <w:tcPr>
            <w:tcW w:w="239" w:type="dxa"/>
            <w:tcBorders>
              <w:top w:val="nil"/>
              <w:left w:val="nil"/>
              <w:bottom w:val="nil"/>
              <w:right w:val="nil"/>
              <w:tl2br w:val="nil"/>
              <w:tr2bl w:val="nil"/>
            </w:tcBorders>
            <w:tcMar>
              <w:left w:w="60" w:type="dxa"/>
              <w:right w:w="60" w:type="dxa"/>
            </w:tcMar>
            <w:vAlign w:val="center"/>
          </w:tcPr>
          <w:p>
            <w:pPr>
              <w:pStyle w:val="DMETW36691BIPStatementofcomparisonRevenue"/>
              <w:jc w:val="right"/>
              <w:rPr>
                <w:rFonts w:ascii="Verdana" w:eastAsia="Verdana" w:hAnsi="Verdana" w:cs="Verdana"/>
                <w:i/>
                <w:noProof/>
                <w:color w:val="000000"/>
                <w:sz w:val="16"/>
              </w:rPr>
            </w:pPr>
            <w:r>
              <w:rPr>
                <w:rFonts w:ascii="Verdana" w:hAnsi="Verdana"/>
                <w:i/>
                <w:noProof/>
                <w:color w:val="000000"/>
                <w:sz w:val="16"/>
              </w:rPr>
              <w:t>40 815</w:t>
            </w:r>
          </w:p>
        </w:tc>
        <w:tc>
          <w:tcPr>
            <w:tcW w:w="239" w:type="dxa"/>
            <w:tcBorders>
              <w:top w:val="nil"/>
              <w:left w:val="nil"/>
              <w:bottom w:val="nil"/>
              <w:right w:val="nil"/>
              <w:tl2br w:val="nil"/>
              <w:tr2bl w:val="nil"/>
            </w:tcBorders>
            <w:tcMar>
              <w:left w:w="60" w:type="dxa"/>
              <w:right w:w="60" w:type="dxa"/>
            </w:tcMar>
            <w:vAlign w:val="center"/>
          </w:tcPr>
          <w:p>
            <w:pPr>
              <w:pStyle w:val="DMETW36691BIPStatementofcomparisonRevenue"/>
              <w:jc w:val="right"/>
              <w:rPr>
                <w:rFonts w:ascii="Verdana" w:eastAsia="Verdana" w:hAnsi="Verdana" w:cs="Verdana"/>
                <w:i/>
                <w:noProof/>
                <w:color w:val="000000"/>
                <w:sz w:val="16"/>
              </w:rPr>
            </w:pPr>
            <w:r>
              <w:rPr>
                <w:rFonts w:ascii="Verdana" w:hAnsi="Verdana"/>
                <w:i/>
                <w:noProof/>
                <w:color w:val="000000"/>
                <w:sz w:val="16"/>
              </w:rPr>
              <w:t>40 766</w:t>
            </w:r>
          </w:p>
        </w:tc>
      </w:tr>
      <w:tr>
        <w:trPr>
          <w:trHeight w:val="255"/>
        </w:trPr>
        <w:tc>
          <w:tcPr>
            <w:tcW w:w="50" w:type="dxa"/>
            <w:tcBorders>
              <w:top w:val="nil"/>
              <w:left w:val="nil"/>
              <w:bottom w:val="nil"/>
              <w:right w:val="nil"/>
              <w:tl2br w:val="nil"/>
              <w:tr2bl w:val="nil"/>
            </w:tcBorders>
            <w:tcMar>
              <w:left w:w="60" w:type="dxa"/>
              <w:right w:w="60" w:type="dxa"/>
            </w:tcMar>
            <w:vAlign w:val="center"/>
          </w:tcPr>
          <w:p>
            <w:pPr>
              <w:pStyle w:val="DMETW36691BIPStatementofcomparisonRevenue"/>
              <w:rPr>
                <w:rFonts w:ascii="Verdana" w:eastAsia="Verdana" w:hAnsi="Verdana" w:cs="Verdana"/>
                <w:i/>
                <w:noProof/>
                <w:color w:val="000000"/>
                <w:sz w:val="16"/>
              </w:rPr>
            </w:pPr>
            <w:r>
              <w:rPr>
                <w:rFonts w:ascii="Verdana" w:hAnsi="Verdana"/>
                <w:i/>
                <w:noProof/>
                <w:color w:val="000000"/>
                <w:sz w:val="16"/>
              </w:rPr>
              <w:t>6</w:t>
            </w:r>
          </w:p>
        </w:tc>
        <w:tc>
          <w:tcPr>
            <w:tcW w:w="994" w:type="dxa"/>
            <w:tcBorders>
              <w:top w:val="nil"/>
              <w:left w:val="nil"/>
              <w:bottom w:val="nil"/>
              <w:right w:val="nil"/>
              <w:tl2br w:val="nil"/>
              <w:tr2bl w:val="nil"/>
            </w:tcBorders>
            <w:tcMar>
              <w:left w:w="60" w:type="dxa"/>
              <w:right w:w="60" w:type="dxa"/>
            </w:tcMar>
            <w:vAlign w:val="center"/>
          </w:tcPr>
          <w:p>
            <w:pPr>
              <w:pStyle w:val="DMETW36691BIPStatementofcomparisonRevenue"/>
              <w:jc w:val="right"/>
              <w:rPr>
                <w:rFonts w:ascii="Verdana" w:eastAsia="Verdana" w:hAnsi="Verdana" w:cs="Verdana"/>
                <w:i/>
                <w:noProof/>
                <w:color w:val="000000"/>
                <w:sz w:val="16"/>
              </w:rPr>
            </w:pPr>
            <w:r>
              <w:rPr>
                <w:rFonts w:ascii="Verdana" w:hAnsi="Verdana"/>
                <w:i/>
                <w:noProof/>
                <w:color w:val="000000"/>
                <w:sz w:val="16"/>
              </w:rPr>
              <w:t>Recettes, contributions et restitutions liées aux politiques de l’Union</w:t>
            </w:r>
          </w:p>
        </w:tc>
        <w:tc>
          <w:tcPr>
            <w:tcW w:w="238" w:type="dxa"/>
            <w:tcBorders>
              <w:top w:val="nil"/>
              <w:left w:val="nil"/>
              <w:bottom w:val="nil"/>
              <w:right w:val="nil"/>
              <w:tl2br w:val="nil"/>
              <w:tr2bl w:val="nil"/>
            </w:tcBorders>
            <w:tcMar>
              <w:left w:w="60" w:type="dxa"/>
              <w:right w:w="60" w:type="dxa"/>
            </w:tcMar>
            <w:vAlign w:val="center"/>
          </w:tcPr>
          <w:p>
            <w:pPr>
              <w:pStyle w:val="DMETW36691BIPStatementofcomparisonRevenue"/>
              <w:jc w:val="right"/>
              <w:rPr>
                <w:rFonts w:ascii="Verdana" w:eastAsia="Verdana" w:hAnsi="Verdana" w:cs="Verdana"/>
                <w:i/>
                <w:noProof/>
                <w:color w:val="000000"/>
                <w:sz w:val="16"/>
              </w:rPr>
            </w:pPr>
            <w:r>
              <w:rPr>
                <w:rFonts w:ascii="Verdana" w:hAnsi="Verdana"/>
                <w:i/>
                <w:noProof/>
                <w:color w:val="000000"/>
                <w:sz w:val="16"/>
              </w:rPr>
              <w:t>1 440</w:t>
            </w:r>
          </w:p>
        </w:tc>
        <w:tc>
          <w:tcPr>
            <w:tcW w:w="239" w:type="dxa"/>
            <w:tcBorders>
              <w:top w:val="nil"/>
              <w:left w:val="nil"/>
              <w:bottom w:val="nil"/>
              <w:right w:val="nil"/>
              <w:tl2br w:val="nil"/>
              <w:tr2bl w:val="nil"/>
            </w:tcBorders>
            <w:tcMar>
              <w:left w:w="60" w:type="dxa"/>
              <w:right w:w="60" w:type="dxa"/>
            </w:tcMar>
            <w:vAlign w:val="center"/>
          </w:tcPr>
          <w:p>
            <w:pPr>
              <w:pStyle w:val="DMETW36691BIPStatementofcomparisonRevenue"/>
              <w:jc w:val="right"/>
              <w:rPr>
                <w:rFonts w:ascii="Verdana" w:eastAsia="Verdana" w:hAnsi="Verdana" w:cs="Verdana"/>
                <w:i/>
                <w:noProof/>
                <w:color w:val="000000"/>
                <w:sz w:val="16"/>
              </w:rPr>
            </w:pPr>
            <w:r>
              <w:rPr>
                <w:rFonts w:ascii="Verdana" w:hAnsi="Verdana"/>
                <w:i/>
                <w:noProof/>
                <w:color w:val="000000"/>
                <w:sz w:val="16"/>
              </w:rPr>
              <w:t>1 412</w:t>
            </w:r>
          </w:p>
        </w:tc>
        <w:tc>
          <w:tcPr>
            <w:tcW w:w="239" w:type="dxa"/>
            <w:tcBorders>
              <w:top w:val="nil"/>
              <w:left w:val="nil"/>
              <w:bottom w:val="nil"/>
              <w:right w:val="nil"/>
              <w:tl2br w:val="nil"/>
              <w:tr2bl w:val="nil"/>
            </w:tcBorders>
            <w:tcMar>
              <w:left w:w="60" w:type="dxa"/>
              <w:right w:w="60" w:type="dxa"/>
            </w:tcMar>
            <w:vAlign w:val="center"/>
          </w:tcPr>
          <w:p>
            <w:pPr>
              <w:pStyle w:val="DMETW36691BIPStatementofcomparisonRevenue"/>
              <w:jc w:val="right"/>
              <w:rPr>
                <w:rFonts w:ascii="Verdana" w:eastAsia="Verdana" w:hAnsi="Verdana" w:cs="Verdana"/>
                <w:i/>
                <w:noProof/>
                <w:color w:val="000000"/>
                <w:sz w:val="16"/>
              </w:rPr>
            </w:pPr>
            <w:r>
              <w:rPr>
                <w:rFonts w:ascii="Verdana" w:hAnsi="Verdana"/>
                <w:i/>
                <w:noProof/>
                <w:color w:val="000000"/>
                <w:sz w:val="16"/>
              </w:rPr>
              <w:t>24 016</w:t>
            </w:r>
          </w:p>
        </w:tc>
        <w:tc>
          <w:tcPr>
            <w:tcW w:w="239" w:type="dxa"/>
            <w:tcBorders>
              <w:top w:val="nil"/>
              <w:left w:val="nil"/>
              <w:bottom w:val="nil"/>
              <w:right w:val="nil"/>
              <w:tl2br w:val="nil"/>
              <w:tr2bl w:val="nil"/>
            </w:tcBorders>
            <w:tcMar>
              <w:left w:w="60" w:type="dxa"/>
              <w:right w:w="60" w:type="dxa"/>
            </w:tcMar>
            <w:vAlign w:val="center"/>
          </w:tcPr>
          <w:p>
            <w:pPr>
              <w:pStyle w:val="DMETW36691BIPStatementofcomparisonRevenue"/>
              <w:jc w:val="right"/>
              <w:rPr>
                <w:rFonts w:ascii="Verdana" w:eastAsia="Verdana" w:hAnsi="Verdana" w:cs="Verdana"/>
                <w:i/>
                <w:noProof/>
                <w:color w:val="000000"/>
                <w:sz w:val="16"/>
              </w:rPr>
            </w:pPr>
            <w:r>
              <w:rPr>
                <w:rFonts w:ascii="Verdana" w:hAnsi="Verdana"/>
                <w:i/>
                <w:noProof/>
                <w:color w:val="000000"/>
                <w:sz w:val="16"/>
              </w:rPr>
              <w:t>21 008</w:t>
            </w:r>
          </w:p>
        </w:tc>
      </w:tr>
      <w:tr>
        <w:trPr>
          <w:trHeight w:val="255"/>
        </w:trPr>
        <w:tc>
          <w:tcPr>
            <w:tcW w:w="50" w:type="dxa"/>
            <w:tcBorders>
              <w:top w:val="nil"/>
              <w:left w:val="nil"/>
              <w:bottom w:val="nil"/>
              <w:right w:val="nil"/>
              <w:tl2br w:val="nil"/>
              <w:tr2bl w:val="nil"/>
            </w:tcBorders>
            <w:shd w:val="solid" w:color="CCE1EB" w:fill="FFFFFF"/>
            <w:tcMar>
              <w:left w:w="60" w:type="dxa"/>
              <w:right w:w="60" w:type="dxa"/>
            </w:tcMar>
            <w:vAlign w:val="center"/>
          </w:tcPr>
          <w:p>
            <w:pPr>
              <w:pStyle w:val="DMETW36691BIPStatementofcomparisonRevenue"/>
              <w:jc w:val="right"/>
              <w:rPr>
                <w:rFonts w:ascii="Verdana" w:eastAsia="Verdana" w:hAnsi="Verdana" w:cs="Verdana"/>
                <w:b/>
                <w:noProof/>
                <w:color w:val="000000"/>
                <w:sz w:val="16"/>
              </w:rPr>
            </w:pPr>
          </w:p>
        </w:tc>
        <w:tc>
          <w:tcPr>
            <w:tcW w:w="994" w:type="dxa"/>
            <w:tcBorders>
              <w:top w:val="nil"/>
              <w:left w:val="nil"/>
              <w:bottom w:val="nil"/>
              <w:right w:val="nil"/>
              <w:tl2br w:val="nil"/>
              <w:tr2bl w:val="nil"/>
            </w:tcBorders>
            <w:shd w:val="solid" w:color="CCE1EB" w:fill="FFFFFF"/>
            <w:tcMar>
              <w:left w:w="60" w:type="dxa"/>
              <w:right w:w="60" w:type="dxa"/>
            </w:tcMar>
            <w:vAlign w:val="center"/>
          </w:tcPr>
          <w:p>
            <w:pPr>
              <w:pStyle w:val="DMETW36691BIPStatementofcomparisonRevenue"/>
              <w:jc w:val="right"/>
              <w:rPr>
                <w:rFonts w:ascii="Verdana" w:eastAsia="Verdana" w:hAnsi="Verdana" w:cs="Verdana"/>
                <w:b/>
                <w:noProof/>
                <w:color w:val="000000"/>
                <w:sz w:val="16"/>
              </w:rPr>
            </w:pPr>
            <w:r>
              <w:rPr>
                <w:rFonts w:ascii="Verdana" w:hAnsi="Verdana"/>
                <w:b/>
                <w:noProof/>
                <w:color w:val="000000"/>
                <w:sz w:val="16"/>
              </w:rPr>
              <w:t>Total</w:t>
            </w:r>
          </w:p>
        </w:tc>
        <w:tc>
          <w:tcPr>
            <w:tcW w:w="238" w:type="dxa"/>
            <w:tcBorders>
              <w:top w:val="nil"/>
              <w:left w:val="nil"/>
              <w:bottom w:val="nil"/>
              <w:right w:val="nil"/>
              <w:tl2br w:val="nil"/>
              <w:tr2bl w:val="nil"/>
            </w:tcBorders>
            <w:shd w:val="solid" w:color="CCE1EB" w:fill="FFFFFF"/>
            <w:tcMar>
              <w:left w:w="60" w:type="dxa"/>
              <w:right w:w="60" w:type="dxa"/>
            </w:tcMar>
            <w:vAlign w:val="center"/>
          </w:tcPr>
          <w:p>
            <w:pPr>
              <w:pStyle w:val="DMETW36691BIPStatementofcomparisonRevenue"/>
              <w:jc w:val="right"/>
              <w:rPr>
                <w:rFonts w:ascii="Verdana" w:eastAsia="Verdana" w:hAnsi="Verdana" w:cs="Verdana"/>
                <w:b/>
                <w:noProof/>
                <w:color w:val="000000"/>
                <w:sz w:val="16"/>
              </w:rPr>
            </w:pPr>
            <w:r>
              <w:rPr>
                <w:rFonts w:ascii="Verdana" w:hAnsi="Verdana"/>
                <w:b/>
                <w:noProof/>
                <w:color w:val="000000"/>
                <w:sz w:val="16"/>
              </w:rPr>
              <w:t>155 209</w:t>
            </w:r>
          </w:p>
        </w:tc>
        <w:tc>
          <w:tcPr>
            <w:tcW w:w="239" w:type="dxa"/>
            <w:tcBorders>
              <w:top w:val="nil"/>
              <w:left w:val="nil"/>
              <w:bottom w:val="nil"/>
              <w:right w:val="nil"/>
              <w:tl2br w:val="nil"/>
              <w:tr2bl w:val="nil"/>
            </w:tcBorders>
            <w:shd w:val="solid" w:color="CCE1EB" w:fill="FFFFFF"/>
            <w:tcMar>
              <w:left w:w="60" w:type="dxa"/>
              <w:right w:w="60" w:type="dxa"/>
            </w:tcMar>
            <w:vAlign w:val="center"/>
          </w:tcPr>
          <w:p>
            <w:pPr>
              <w:pStyle w:val="DMETW36691BIPStatementofcomparisonRevenue"/>
              <w:jc w:val="right"/>
              <w:rPr>
                <w:rFonts w:ascii="Verdana" w:eastAsia="Verdana" w:hAnsi="Verdana" w:cs="Verdana"/>
                <w:b/>
                <w:noProof/>
                <w:color w:val="000000"/>
                <w:sz w:val="16"/>
              </w:rPr>
            </w:pPr>
            <w:r>
              <w:rPr>
                <w:rFonts w:ascii="Verdana" w:hAnsi="Verdana"/>
                <w:b/>
                <w:noProof/>
                <w:color w:val="000000"/>
                <w:sz w:val="16"/>
              </w:rPr>
              <w:t>161 163</w:t>
            </w:r>
          </w:p>
        </w:tc>
        <w:tc>
          <w:tcPr>
            <w:tcW w:w="239" w:type="dxa"/>
            <w:tcBorders>
              <w:top w:val="nil"/>
              <w:left w:val="nil"/>
              <w:bottom w:val="nil"/>
              <w:right w:val="nil"/>
              <w:tl2br w:val="nil"/>
              <w:tr2bl w:val="nil"/>
            </w:tcBorders>
            <w:shd w:val="solid" w:color="CCE1EB" w:fill="FFFFFF"/>
            <w:tcMar>
              <w:left w:w="60" w:type="dxa"/>
              <w:right w:w="60" w:type="dxa"/>
            </w:tcMar>
            <w:vAlign w:val="center"/>
          </w:tcPr>
          <w:p>
            <w:pPr>
              <w:pStyle w:val="DMETW36691BIPStatementofcomparisonRevenue"/>
              <w:jc w:val="right"/>
              <w:rPr>
                <w:rFonts w:ascii="Verdana" w:eastAsia="Verdana" w:hAnsi="Verdana" w:cs="Verdana"/>
                <w:b/>
                <w:noProof/>
                <w:color w:val="000000"/>
                <w:sz w:val="16"/>
              </w:rPr>
            </w:pPr>
            <w:r>
              <w:rPr>
                <w:rFonts w:ascii="Verdana" w:hAnsi="Verdana"/>
                <w:b/>
                <w:noProof/>
                <w:color w:val="000000"/>
                <w:sz w:val="16"/>
              </w:rPr>
              <w:t>243 787</w:t>
            </w:r>
          </w:p>
        </w:tc>
        <w:tc>
          <w:tcPr>
            <w:tcW w:w="239" w:type="dxa"/>
            <w:tcBorders>
              <w:top w:val="nil"/>
              <w:left w:val="nil"/>
              <w:bottom w:val="nil"/>
              <w:right w:val="nil"/>
              <w:tl2br w:val="nil"/>
              <w:tr2bl w:val="nil"/>
            </w:tcBorders>
            <w:shd w:val="solid" w:color="CCE1EB" w:fill="FFFFFF"/>
            <w:tcMar>
              <w:left w:w="60" w:type="dxa"/>
              <w:right w:w="60" w:type="dxa"/>
            </w:tcMar>
            <w:vAlign w:val="center"/>
          </w:tcPr>
          <w:p>
            <w:pPr>
              <w:pStyle w:val="DMETW36691BIPStatementofcomparisonRevenue"/>
              <w:jc w:val="right"/>
              <w:rPr>
                <w:rFonts w:ascii="Verdana" w:eastAsia="Verdana" w:hAnsi="Verdana" w:cs="Verdana"/>
                <w:b/>
                <w:noProof/>
                <w:color w:val="000000"/>
                <w:sz w:val="16"/>
              </w:rPr>
            </w:pPr>
            <w:r>
              <w:rPr>
                <w:rFonts w:ascii="Verdana" w:hAnsi="Verdana"/>
                <w:b/>
                <w:noProof/>
                <w:color w:val="000000"/>
                <w:sz w:val="16"/>
              </w:rPr>
              <w:t>224 398</w:t>
            </w:r>
          </w:p>
        </w:tc>
      </w:tr>
      <w:tr>
        <w:trPr>
          <w:trHeight w:val="255"/>
        </w:trPr>
        <w:tc>
          <w:tcPr>
            <w:tcW w:w="50" w:type="dxa"/>
            <w:tcBorders>
              <w:top w:val="nil"/>
              <w:left w:val="nil"/>
              <w:bottom w:val="nil"/>
              <w:right w:val="nil"/>
              <w:tl2br w:val="nil"/>
              <w:tr2bl w:val="nil"/>
            </w:tcBorders>
            <w:shd w:val="solid" w:color="CCE1EB" w:fill="FFFFFF"/>
            <w:tcMar>
              <w:left w:w="60" w:type="dxa"/>
              <w:right w:w="60" w:type="dxa"/>
            </w:tcMar>
            <w:vAlign w:val="center"/>
          </w:tcPr>
          <w:p>
            <w:pPr>
              <w:pStyle w:val="DMETW36691BIPStatementofcomparisonRevenue"/>
              <w:rPr>
                <w:rFonts w:ascii="Verdana" w:eastAsia="Verdana" w:hAnsi="Verdana" w:cs="Verdana"/>
                <w:i/>
                <w:noProof/>
                <w:color w:val="000000"/>
                <w:sz w:val="16"/>
              </w:rPr>
            </w:pPr>
          </w:p>
        </w:tc>
        <w:tc>
          <w:tcPr>
            <w:tcW w:w="994" w:type="dxa"/>
            <w:tcBorders>
              <w:top w:val="nil"/>
              <w:left w:val="nil"/>
              <w:bottom w:val="nil"/>
              <w:right w:val="nil"/>
              <w:tl2br w:val="nil"/>
              <w:tr2bl w:val="nil"/>
            </w:tcBorders>
            <w:shd w:val="solid" w:color="CCE1EB" w:fill="FFFFFF"/>
            <w:tcMar>
              <w:left w:w="60" w:type="dxa"/>
              <w:right w:w="60" w:type="dxa"/>
            </w:tcMar>
            <w:vAlign w:val="center"/>
          </w:tcPr>
          <w:p>
            <w:pPr>
              <w:pStyle w:val="DMETW36691BIPStatementofcomparisonRevenue"/>
              <w:rPr>
                <w:rFonts w:ascii="Verdana" w:eastAsia="Verdana" w:hAnsi="Verdana" w:cs="Verdana"/>
                <w:i/>
                <w:noProof/>
                <w:color w:val="000000"/>
                <w:sz w:val="16"/>
              </w:rPr>
            </w:pPr>
            <w:r>
              <w:rPr>
                <w:rFonts w:ascii="Verdana" w:hAnsi="Verdana"/>
                <w:i/>
                <w:noProof/>
                <w:color w:val="000000"/>
                <w:sz w:val="16"/>
              </w:rPr>
              <w:t xml:space="preserve">     dont NextGenerationEU (NGEU)</w:t>
            </w:r>
          </w:p>
        </w:tc>
        <w:tc>
          <w:tcPr>
            <w:tcW w:w="238" w:type="dxa"/>
            <w:tcBorders>
              <w:top w:val="nil"/>
              <w:left w:val="nil"/>
              <w:bottom w:val="nil"/>
              <w:right w:val="nil"/>
              <w:tl2br w:val="nil"/>
              <w:tr2bl w:val="nil"/>
            </w:tcBorders>
            <w:shd w:val="solid" w:color="CCE1EB" w:fill="FFFFFF"/>
            <w:tcMar>
              <w:left w:w="60" w:type="dxa"/>
              <w:right w:w="60" w:type="dxa"/>
            </w:tcMar>
            <w:vAlign w:val="center"/>
          </w:tcPr>
          <w:p>
            <w:pPr>
              <w:pStyle w:val="DMETW36691BIPStatementofcomparisonRevenue"/>
              <w:jc w:val="right"/>
              <w:rPr>
                <w:rFonts w:ascii="Verdana" w:eastAsia="Verdana" w:hAnsi="Verdana" w:cs="Verdana"/>
                <w:i/>
                <w:noProof/>
                <w:color w:val="000000"/>
                <w:sz w:val="16"/>
              </w:rPr>
            </w:pPr>
            <w:r>
              <w:rPr>
                <w:rFonts w:ascii="Verdana" w:hAnsi="Verdana"/>
                <w:i/>
                <w:noProof/>
                <w:color w:val="000000"/>
                <w:sz w:val="16"/>
              </w:rPr>
              <w:t>-</w:t>
            </w:r>
          </w:p>
        </w:tc>
        <w:tc>
          <w:tcPr>
            <w:tcW w:w="239" w:type="dxa"/>
            <w:tcBorders>
              <w:top w:val="nil"/>
              <w:left w:val="nil"/>
              <w:bottom w:val="nil"/>
              <w:right w:val="nil"/>
              <w:tl2br w:val="nil"/>
              <w:tr2bl w:val="nil"/>
            </w:tcBorders>
            <w:shd w:val="solid" w:color="CCE1EB" w:fill="FFFFFF"/>
            <w:tcMar>
              <w:left w:w="60" w:type="dxa"/>
              <w:right w:w="60" w:type="dxa"/>
            </w:tcMar>
            <w:vAlign w:val="center"/>
          </w:tcPr>
          <w:p>
            <w:pPr>
              <w:pStyle w:val="DMETW36691BIPStatementofcomparisonRevenue"/>
              <w:jc w:val="right"/>
              <w:rPr>
                <w:rFonts w:ascii="Verdana" w:eastAsia="Verdana" w:hAnsi="Verdana" w:cs="Verdana"/>
                <w:i/>
                <w:noProof/>
                <w:color w:val="000000"/>
                <w:sz w:val="16"/>
              </w:rPr>
            </w:pPr>
            <w:r>
              <w:rPr>
                <w:rFonts w:ascii="Verdana" w:hAnsi="Verdana"/>
                <w:i/>
                <w:noProof/>
                <w:color w:val="000000"/>
                <w:sz w:val="16"/>
              </w:rPr>
              <w:t>-</w:t>
            </w:r>
          </w:p>
        </w:tc>
        <w:tc>
          <w:tcPr>
            <w:tcW w:w="239" w:type="dxa"/>
            <w:tcBorders>
              <w:top w:val="nil"/>
              <w:left w:val="nil"/>
              <w:bottom w:val="nil"/>
              <w:right w:val="nil"/>
              <w:tl2br w:val="nil"/>
              <w:tr2bl w:val="nil"/>
            </w:tcBorders>
            <w:shd w:val="solid" w:color="CCE1EB" w:fill="FFFFFF"/>
            <w:tcMar>
              <w:left w:w="60" w:type="dxa"/>
              <w:right w:w="60" w:type="dxa"/>
            </w:tcMar>
            <w:vAlign w:val="center"/>
          </w:tcPr>
          <w:p>
            <w:pPr>
              <w:pStyle w:val="DMETW36691BIPStatementofcomparisonRevenue"/>
              <w:jc w:val="right"/>
              <w:rPr>
                <w:rFonts w:ascii="Verdana" w:eastAsia="Verdana" w:hAnsi="Verdana" w:cs="Verdana"/>
                <w:i/>
                <w:noProof/>
                <w:color w:val="000000"/>
                <w:sz w:val="16"/>
              </w:rPr>
            </w:pPr>
            <w:r>
              <w:rPr>
                <w:rFonts w:ascii="Verdana" w:hAnsi="Verdana"/>
                <w:i/>
                <w:noProof/>
                <w:color w:val="000000"/>
                <w:sz w:val="16"/>
              </w:rPr>
              <w:t>40 219</w:t>
            </w:r>
          </w:p>
        </w:tc>
        <w:tc>
          <w:tcPr>
            <w:tcW w:w="239" w:type="dxa"/>
            <w:tcBorders>
              <w:top w:val="nil"/>
              <w:left w:val="nil"/>
              <w:bottom w:val="nil"/>
              <w:right w:val="nil"/>
              <w:tl2br w:val="nil"/>
              <w:tr2bl w:val="nil"/>
            </w:tcBorders>
            <w:shd w:val="solid" w:color="CCE1EB" w:fill="FFFFFF"/>
            <w:tcMar>
              <w:left w:w="60" w:type="dxa"/>
              <w:right w:w="60" w:type="dxa"/>
            </w:tcMar>
            <w:vAlign w:val="center"/>
          </w:tcPr>
          <w:p>
            <w:pPr>
              <w:pStyle w:val="DMETW36691BIPStatementofcomparisonRevenue"/>
              <w:jc w:val="right"/>
              <w:rPr>
                <w:rFonts w:ascii="Verdana" w:eastAsia="Verdana" w:hAnsi="Verdana" w:cs="Verdana"/>
                <w:i/>
                <w:noProof/>
                <w:color w:val="000000"/>
                <w:sz w:val="16"/>
              </w:rPr>
            </w:pPr>
            <w:r>
              <w:rPr>
                <w:rFonts w:ascii="Verdana" w:hAnsi="Verdana"/>
                <w:i/>
                <w:noProof/>
                <w:color w:val="000000"/>
                <w:sz w:val="16"/>
              </w:rPr>
              <w:t>40 213</w:t>
            </w:r>
          </w:p>
        </w:tc>
      </w:tr>
    </w:tbl>
    <w:p>
      <w:pPr>
        <w:pStyle w:val="Textstand-alone"/>
      </w:pPr>
    </w:p>
    <w:p>
      <w:pPr>
        <w:pStyle w:val="HEADERTITLE"/>
        <w:spacing w:before="480"/>
      </w:pPr>
      <w:r>
        <w:t>Dépenses budgétaires: engagements par rubrique du cadre financier pluriannuel (CFP)</w:t>
      </w:r>
    </w:p>
    <w:tbl>
      <w:tblPr>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5"/>
        <w:gridCol w:w="4575"/>
        <w:gridCol w:w="1350"/>
        <w:gridCol w:w="1350"/>
        <w:gridCol w:w="1350"/>
        <w:gridCol w:w="960"/>
      </w:tblGrid>
      <w:tr>
        <w:trPr>
          <w:cantSplit/>
          <w:trHeight w:val="96"/>
        </w:trPr>
        <w:tc>
          <w:tcPr>
            <w:tcW w:w="1035" w:type="dxa"/>
            <w:gridSpan w:val="6"/>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i/>
                <w:noProof/>
                <w:color w:val="000000"/>
                <w:sz w:val="16"/>
              </w:rPr>
            </w:pPr>
            <w:bookmarkStart w:id="258" w:name="DOC_TBL00110_1_1"/>
            <w:bookmarkEnd w:id="258"/>
            <w:r>
              <w:rPr>
                <w:rFonts w:ascii="Verdana" w:hAnsi="Verdana"/>
                <w:i/>
                <w:noProof/>
                <w:color w:val="000000"/>
                <w:sz w:val="16"/>
              </w:rPr>
              <w:t>en Mio EUR</w:t>
            </w:r>
          </w:p>
        </w:tc>
      </w:tr>
      <w:tr>
        <w:trPr>
          <w:cantSplit/>
          <w:trHeight w:val="255"/>
        </w:trPr>
        <w:tc>
          <w:tcPr>
            <w:tcW w:w="1035" w:type="dxa"/>
            <w:gridSpan w:val="2"/>
            <w:tcBorders>
              <w:top w:val="nil"/>
              <w:left w:val="nil"/>
              <w:bottom w:val="nil"/>
              <w:right w:val="nil"/>
              <w:tl2br w:val="nil"/>
              <w:tr2bl w:val="nil"/>
            </w:tcBorders>
            <w:shd w:val="solid" w:color="016794" w:fill="FFFFFF"/>
            <w:tcMar>
              <w:left w:w="60" w:type="dxa"/>
              <w:right w:w="60" w:type="dxa"/>
            </w:tcMar>
            <w:vAlign w:val="center"/>
          </w:tcPr>
          <w:p>
            <w:pPr>
              <w:pStyle w:val="DMETW36691BIPStatementofcomparisonCommitments"/>
              <w:jc w:val="center"/>
              <w:rPr>
                <w:rFonts w:ascii="Verdana" w:eastAsia="Verdana" w:hAnsi="Verdana" w:cs="Verdana"/>
                <w:noProof/>
                <w:color w:val="FFFFFF"/>
                <w:sz w:val="16"/>
              </w:rPr>
            </w:pPr>
            <w:r>
              <w:rPr>
                <w:rFonts w:ascii="Verdana" w:hAnsi="Verdana"/>
                <w:noProof/>
                <w:color w:val="FFFFFF"/>
                <w:sz w:val="16"/>
              </w:rPr>
              <w:t>Rubrique du CFP</w:t>
            </w:r>
          </w:p>
        </w:tc>
        <w:tc>
          <w:tcPr>
            <w:tcW w:w="1350" w:type="dxa"/>
            <w:tcBorders>
              <w:top w:val="nil"/>
              <w:left w:val="nil"/>
              <w:bottom w:val="nil"/>
              <w:right w:val="nil"/>
              <w:tl2br w:val="nil"/>
              <w:tr2bl w:val="nil"/>
            </w:tcBorders>
            <w:shd w:val="solid" w:color="016794" w:fill="FFFFFF"/>
            <w:tcMar>
              <w:left w:w="60" w:type="dxa"/>
              <w:right w:w="60" w:type="dxa"/>
            </w:tcMar>
            <w:vAlign w:val="center"/>
          </w:tcPr>
          <w:p>
            <w:pPr>
              <w:pStyle w:val="DMETW36691BIPStatementofcomparisonCommitments"/>
              <w:jc w:val="center"/>
              <w:rPr>
                <w:rFonts w:ascii="Verdana" w:eastAsia="Verdana" w:hAnsi="Verdana" w:cs="Verdana"/>
                <w:noProof/>
                <w:color w:val="FFFFFF"/>
                <w:sz w:val="16"/>
              </w:rPr>
            </w:pPr>
            <w:r>
              <w:rPr>
                <w:rFonts w:ascii="Verdana" w:hAnsi="Verdana"/>
                <w:noProof/>
                <w:color w:val="FFFFFF"/>
                <w:sz w:val="16"/>
              </w:rPr>
              <w:t>Budget initial adopté</w:t>
            </w:r>
          </w:p>
        </w:tc>
        <w:tc>
          <w:tcPr>
            <w:tcW w:w="1350" w:type="dxa"/>
            <w:tcBorders>
              <w:top w:val="nil"/>
              <w:left w:val="nil"/>
              <w:bottom w:val="nil"/>
              <w:right w:val="nil"/>
              <w:tl2br w:val="nil"/>
              <w:tr2bl w:val="nil"/>
            </w:tcBorders>
            <w:shd w:val="solid" w:color="016794" w:fill="FFFFFF"/>
            <w:tcMar>
              <w:left w:w="60" w:type="dxa"/>
              <w:right w:w="60" w:type="dxa"/>
            </w:tcMar>
            <w:vAlign w:val="center"/>
          </w:tcPr>
          <w:p>
            <w:pPr>
              <w:pStyle w:val="DMETW36691BIPStatementofcomparisonCommitments"/>
              <w:jc w:val="center"/>
              <w:rPr>
                <w:rFonts w:ascii="Verdana" w:eastAsia="Verdana" w:hAnsi="Verdana" w:cs="Verdana"/>
                <w:noProof/>
                <w:color w:val="FFFFFF"/>
                <w:sz w:val="16"/>
              </w:rPr>
            </w:pPr>
            <w:r>
              <w:rPr>
                <w:rFonts w:ascii="Verdana" w:hAnsi="Verdana"/>
                <w:noProof/>
                <w:color w:val="FFFFFF"/>
                <w:sz w:val="16"/>
              </w:rPr>
              <w:t>Budget définitif adopté</w:t>
            </w:r>
          </w:p>
        </w:tc>
        <w:tc>
          <w:tcPr>
            <w:tcW w:w="1350" w:type="dxa"/>
            <w:tcBorders>
              <w:top w:val="nil"/>
              <w:left w:val="nil"/>
              <w:bottom w:val="nil"/>
              <w:right w:val="nil"/>
              <w:tl2br w:val="nil"/>
              <w:tr2bl w:val="nil"/>
            </w:tcBorders>
            <w:shd w:val="solid" w:color="016794" w:fill="FFFFFF"/>
            <w:tcMar>
              <w:left w:w="60" w:type="dxa"/>
              <w:right w:w="60" w:type="dxa"/>
            </w:tcMar>
            <w:vAlign w:val="center"/>
          </w:tcPr>
          <w:p>
            <w:pPr>
              <w:pStyle w:val="DMETW36691BIPStatementofcomparisonCommitments"/>
              <w:jc w:val="center"/>
              <w:rPr>
                <w:rFonts w:ascii="Verdana" w:eastAsia="Verdana" w:hAnsi="Verdana" w:cs="Verdana"/>
                <w:noProof/>
                <w:color w:val="FFFFFF"/>
                <w:sz w:val="16"/>
              </w:rPr>
            </w:pPr>
            <w:r>
              <w:rPr>
                <w:rFonts w:ascii="Verdana" w:hAnsi="Verdana"/>
                <w:noProof/>
                <w:color w:val="FFFFFF"/>
                <w:sz w:val="16"/>
              </w:rPr>
              <w:t>Total crédits disponibles</w:t>
            </w:r>
          </w:p>
        </w:tc>
        <w:tc>
          <w:tcPr>
            <w:tcW w:w="960" w:type="dxa"/>
            <w:tcBorders>
              <w:top w:val="nil"/>
              <w:left w:val="nil"/>
              <w:bottom w:val="nil"/>
              <w:right w:val="nil"/>
              <w:tl2br w:val="nil"/>
              <w:tr2bl w:val="nil"/>
            </w:tcBorders>
            <w:shd w:val="solid" w:color="016794" w:fill="FFFFFF"/>
            <w:tcMar>
              <w:left w:w="60" w:type="dxa"/>
              <w:right w:w="60" w:type="dxa"/>
            </w:tcMar>
            <w:vAlign w:val="center"/>
          </w:tcPr>
          <w:p>
            <w:pPr>
              <w:pStyle w:val="DMETW36691BIPStatementofcomparisonCommitments"/>
              <w:jc w:val="center"/>
              <w:rPr>
                <w:rFonts w:ascii="Verdana" w:eastAsia="Verdana" w:hAnsi="Verdana" w:cs="Verdana"/>
                <w:noProof/>
                <w:color w:val="FFFFFF"/>
                <w:sz w:val="16"/>
              </w:rPr>
            </w:pPr>
            <w:r>
              <w:rPr>
                <w:rFonts w:ascii="Verdana" w:hAnsi="Verdana"/>
                <w:noProof/>
                <w:color w:val="FFFFFF"/>
                <w:sz w:val="16"/>
              </w:rPr>
              <w:t>Engagements contractés</w:t>
            </w:r>
          </w:p>
        </w:tc>
      </w:tr>
      <w:tr>
        <w:trPr>
          <w:cantSplit/>
          <w:trHeight w:val="255"/>
        </w:trPr>
        <w:tc>
          <w:tcPr>
            <w:tcW w:w="1035" w:type="dxa"/>
            <w:tcBorders>
              <w:top w:val="nil"/>
              <w:left w:val="nil"/>
              <w:bottom w:val="nil"/>
              <w:right w:val="nil"/>
              <w:tl2br w:val="nil"/>
              <w:tr2bl w:val="nil"/>
            </w:tcBorders>
            <w:tcMar>
              <w:left w:w="60" w:type="dxa"/>
              <w:right w:w="60" w:type="dxa"/>
            </w:tcMar>
            <w:vAlign w:val="center"/>
          </w:tcPr>
          <w:p>
            <w:pPr>
              <w:pStyle w:val="DMETW36691BIPStatementofcomparisonCommitments"/>
              <w:rPr>
                <w:rFonts w:ascii="Verdana" w:eastAsia="Verdana" w:hAnsi="Verdana" w:cs="Verdana"/>
                <w:noProof/>
                <w:color w:val="000000"/>
                <w:sz w:val="16"/>
              </w:rPr>
            </w:pPr>
            <w:r>
              <w:rPr>
                <w:rFonts w:ascii="Verdana" w:hAnsi="Verdana"/>
                <w:noProof/>
                <w:color w:val="000000"/>
                <w:sz w:val="16"/>
              </w:rPr>
              <w:t>1</w:t>
            </w:r>
          </w:p>
        </w:tc>
        <w:tc>
          <w:tcPr>
            <w:tcW w:w="4575"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noProof/>
                <w:color w:val="000000"/>
                <w:sz w:val="16"/>
              </w:rPr>
            </w:pPr>
            <w:r>
              <w:rPr>
                <w:rFonts w:ascii="Verdana" w:hAnsi="Verdana"/>
                <w:noProof/>
                <w:color w:val="000000"/>
                <w:sz w:val="16"/>
              </w:rPr>
              <w:t>Marché unique, innovation et numérique</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noProof/>
                <w:color w:val="000000"/>
                <w:sz w:val="16"/>
              </w:rPr>
            </w:pPr>
            <w:r>
              <w:rPr>
                <w:rFonts w:ascii="Verdana" w:hAnsi="Verdana"/>
                <w:noProof/>
                <w:color w:val="000000"/>
                <w:sz w:val="16"/>
              </w:rPr>
              <w:t>21 480</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noProof/>
                <w:color w:val="000000"/>
                <w:sz w:val="16"/>
              </w:rPr>
            </w:pPr>
            <w:r>
              <w:rPr>
                <w:rFonts w:ascii="Verdana" w:hAnsi="Verdana"/>
                <w:noProof/>
                <w:color w:val="000000"/>
                <w:sz w:val="16"/>
              </w:rPr>
              <w:t>21 539</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noProof/>
                <w:color w:val="000000"/>
                <w:sz w:val="16"/>
              </w:rPr>
            </w:pPr>
            <w:r>
              <w:rPr>
                <w:rFonts w:ascii="Verdana" w:hAnsi="Verdana"/>
                <w:noProof/>
                <w:color w:val="000000"/>
                <w:sz w:val="16"/>
              </w:rPr>
              <w:t>30 466</w:t>
            </w:r>
          </w:p>
        </w:tc>
        <w:tc>
          <w:tcPr>
            <w:tcW w:w="960"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noProof/>
                <w:color w:val="000000"/>
                <w:sz w:val="16"/>
              </w:rPr>
            </w:pPr>
            <w:r>
              <w:rPr>
                <w:rFonts w:ascii="Verdana" w:hAnsi="Verdana"/>
                <w:noProof/>
                <w:color w:val="000000"/>
                <w:sz w:val="16"/>
              </w:rPr>
              <w:t>27 095</w:t>
            </w:r>
          </w:p>
        </w:tc>
      </w:tr>
      <w:tr>
        <w:trPr>
          <w:cantSplit/>
          <w:trHeight w:val="255"/>
        </w:trPr>
        <w:tc>
          <w:tcPr>
            <w:tcW w:w="1035" w:type="dxa"/>
            <w:tcBorders>
              <w:top w:val="nil"/>
              <w:left w:val="nil"/>
              <w:bottom w:val="nil"/>
              <w:right w:val="nil"/>
              <w:tl2br w:val="nil"/>
              <w:tr2bl w:val="nil"/>
            </w:tcBorders>
            <w:tcMar>
              <w:left w:w="60" w:type="dxa"/>
              <w:right w:w="60" w:type="dxa"/>
            </w:tcMar>
            <w:vAlign w:val="center"/>
          </w:tcPr>
          <w:p>
            <w:pPr>
              <w:pStyle w:val="DMETW36691BIPStatementofcomparisonCommitments"/>
              <w:rPr>
                <w:rFonts w:ascii="Verdana" w:eastAsia="Verdana" w:hAnsi="Verdana" w:cs="Verdana"/>
                <w:noProof/>
                <w:color w:val="000000"/>
                <w:sz w:val="16"/>
              </w:rPr>
            </w:pPr>
            <w:r>
              <w:rPr>
                <w:rFonts w:ascii="Verdana" w:hAnsi="Verdana"/>
                <w:noProof/>
                <w:color w:val="000000"/>
                <w:sz w:val="16"/>
              </w:rPr>
              <w:t>2</w:t>
            </w:r>
          </w:p>
        </w:tc>
        <w:tc>
          <w:tcPr>
            <w:tcW w:w="4575"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noProof/>
                <w:color w:val="000000"/>
                <w:sz w:val="16"/>
              </w:rPr>
            </w:pPr>
            <w:r>
              <w:rPr>
                <w:rFonts w:ascii="Verdana" w:hAnsi="Verdana"/>
                <w:noProof/>
                <w:color w:val="000000"/>
                <w:sz w:val="16"/>
              </w:rPr>
              <w:t>Cohésion, résilience et valeurs</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noProof/>
                <w:color w:val="000000"/>
                <w:sz w:val="16"/>
              </w:rPr>
            </w:pPr>
            <w:r>
              <w:rPr>
                <w:rFonts w:ascii="Verdana" w:hAnsi="Verdana"/>
                <w:noProof/>
                <w:color w:val="000000"/>
                <w:sz w:val="16"/>
              </w:rPr>
              <w:t>77 980</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noProof/>
                <w:color w:val="000000"/>
                <w:sz w:val="16"/>
              </w:rPr>
            </w:pPr>
            <w:r>
              <w:rPr>
                <w:rFonts w:ascii="Verdana" w:hAnsi="Verdana"/>
                <w:noProof/>
                <w:color w:val="000000"/>
                <w:sz w:val="16"/>
              </w:rPr>
              <w:t>77 979</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noProof/>
                <w:color w:val="000000"/>
                <w:sz w:val="16"/>
              </w:rPr>
            </w:pPr>
            <w:r>
              <w:rPr>
                <w:rFonts w:ascii="Verdana" w:hAnsi="Verdana"/>
                <w:noProof/>
                <w:color w:val="000000"/>
                <w:sz w:val="16"/>
              </w:rPr>
              <w:t>80 804</w:t>
            </w:r>
          </w:p>
        </w:tc>
        <w:tc>
          <w:tcPr>
            <w:tcW w:w="960"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noProof/>
                <w:color w:val="000000"/>
                <w:sz w:val="16"/>
              </w:rPr>
            </w:pPr>
            <w:r>
              <w:rPr>
                <w:rFonts w:ascii="Verdana" w:hAnsi="Verdana"/>
                <w:noProof/>
                <w:color w:val="000000"/>
                <w:sz w:val="16"/>
              </w:rPr>
              <w:t>78 884</w:t>
            </w:r>
          </w:p>
        </w:tc>
      </w:tr>
      <w:tr>
        <w:trPr>
          <w:cantSplit/>
          <w:trHeight w:val="255"/>
        </w:trPr>
        <w:tc>
          <w:tcPr>
            <w:tcW w:w="1035" w:type="dxa"/>
            <w:tcBorders>
              <w:top w:val="nil"/>
              <w:left w:val="nil"/>
              <w:bottom w:val="nil"/>
              <w:right w:val="nil"/>
              <w:tl2br w:val="nil"/>
              <w:tr2bl w:val="nil"/>
            </w:tcBorders>
            <w:tcMar>
              <w:left w:w="60" w:type="dxa"/>
              <w:right w:w="60" w:type="dxa"/>
            </w:tcMar>
            <w:vAlign w:val="center"/>
          </w:tcPr>
          <w:p>
            <w:pPr>
              <w:pStyle w:val="DMETW36691BIPStatementofcomparisonCommitments"/>
              <w:rPr>
                <w:rFonts w:ascii="Verdana" w:eastAsia="Verdana" w:hAnsi="Verdana" w:cs="Verdana"/>
                <w:i/>
                <w:noProof/>
                <w:color w:val="000000"/>
                <w:sz w:val="16"/>
              </w:rPr>
            </w:pPr>
            <w:r>
              <w:rPr>
                <w:rFonts w:ascii="Verdana" w:hAnsi="Verdana"/>
                <w:i/>
                <w:noProof/>
                <w:color w:val="000000"/>
                <w:sz w:val="16"/>
              </w:rPr>
              <w:t>3</w:t>
            </w:r>
          </w:p>
        </w:tc>
        <w:tc>
          <w:tcPr>
            <w:tcW w:w="4575"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i/>
                <w:noProof/>
                <w:color w:val="000000"/>
                <w:sz w:val="16"/>
              </w:rPr>
            </w:pPr>
            <w:r>
              <w:rPr>
                <w:rFonts w:ascii="Verdana" w:hAnsi="Verdana"/>
                <w:i/>
                <w:noProof/>
                <w:color w:val="000000"/>
                <w:sz w:val="16"/>
              </w:rPr>
              <w:t>Ressources naturelles et environnement</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i/>
                <w:noProof/>
                <w:color w:val="000000"/>
                <w:sz w:val="16"/>
              </w:rPr>
            </w:pPr>
            <w:r>
              <w:rPr>
                <w:rFonts w:ascii="Verdana" w:hAnsi="Verdana"/>
                <w:i/>
                <w:noProof/>
                <w:color w:val="000000"/>
                <w:sz w:val="16"/>
              </w:rPr>
              <w:t>56 731</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i/>
                <w:noProof/>
                <w:color w:val="000000"/>
                <w:sz w:val="16"/>
              </w:rPr>
            </w:pPr>
            <w:r>
              <w:rPr>
                <w:rFonts w:ascii="Verdana" w:hAnsi="Verdana"/>
                <w:i/>
                <w:noProof/>
                <w:color w:val="000000"/>
                <w:sz w:val="16"/>
              </w:rPr>
              <w:t>56 700</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i/>
                <w:noProof/>
                <w:color w:val="000000"/>
                <w:sz w:val="16"/>
              </w:rPr>
            </w:pPr>
            <w:r>
              <w:rPr>
                <w:rFonts w:ascii="Verdana" w:hAnsi="Verdana"/>
                <w:i/>
                <w:noProof/>
                <w:color w:val="000000"/>
                <w:sz w:val="16"/>
              </w:rPr>
              <w:t>58 961</w:t>
            </w:r>
          </w:p>
        </w:tc>
        <w:tc>
          <w:tcPr>
            <w:tcW w:w="960"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i/>
                <w:noProof/>
                <w:color w:val="000000"/>
                <w:sz w:val="16"/>
              </w:rPr>
            </w:pPr>
            <w:r>
              <w:rPr>
                <w:rFonts w:ascii="Verdana" w:hAnsi="Verdana"/>
                <w:i/>
                <w:noProof/>
                <w:color w:val="000000"/>
                <w:sz w:val="16"/>
              </w:rPr>
              <w:t>57 658</w:t>
            </w:r>
          </w:p>
        </w:tc>
      </w:tr>
      <w:tr>
        <w:trPr>
          <w:cantSplit/>
          <w:trHeight w:val="255"/>
        </w:trPr>
        <w:tc>
          <w:tcPr>
            <w:tcW w:w="1035" w:type="dxa"/>
            <w:tcBorders>
              <w:top w:val="nil"/>
              <w:left w:val="nil"/>
              <w:bottom w:val="nil"/>
              <w:right w:val="nil"/>
              <w:tl2br w:val="nil"/>
              <w:tr2bl w:val="nil"/>
            </w:tcBorders>
            <w:tcMar>
              <w:left w:w="60" w:type="dxa"/>
              <w:right w:w="60" w:type="dxa"/>
            </w:tcMar>
            <w:vAlign w:val="center"/>
          </w:tcPr>
          <w:p>
            <w:pPr>
              <w:pStyle w:val="DMETW36691BIPStatementofcomparisonCommitments"/>
              <w:rPr>
                <w:rFonts w:ascii="Verdana" w:eastAsia="Verdana" w:hAnsi="Verdana" w:cs="Verdana"/>
                <w:i/>
                <w:noProof/>
                <w:color w:val="000000"/>
                <w:sz w:val="16"/>
              </w:rPr>
            </w:pPr>
            <w:r>
              <w:rPr>
                <w:rFonts w:ascii="Verdana" w:hAnsi="Verdana"/>
                <w:i/>
                <w:noProof/>
                <w:color w:val="000000"/>
                <w:sz w:val="16"/>
              </w:rPr>
              <w:t>4</w:t>
            </w:r>
          </w:p>
        </w:tc>
        <w:tc>
          <w:tcPr>
            <w:tcW w:w="4575"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i/>
                <w:noProof/>
                <w:color w:val="000000"/>
                <w:sz w:val="16"/>
              </w:rPr>
            </w:pPr>
            <w:r>
              <w:rPr>
                <w:rFonts w:ascii="Verdana" w:hAnsi="Verdana"/>
                <w:i/>
                <w:noProof/>
                <w:color w:val="000000"/>
                <w:sz w:val="16"/>
              </w:rPr>
              <w:t>Migration et gestion des frontières</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i/>
                <w:noProof/>
                <w:color w:val="000000"/>
                <w:sz w:val="16"/>
              </w:rPr>
            </w:pPr>
            <w:r>
              <w:rPr>
                <w:rFonts w:ascii="Verdana" w:hAnsi="Verdana"/>
                <w:i/>
                <w:noProof/>
                <w:color w:val="000000"/>
                <w:sz w:val="16"/>
              </w:rPr>
              <w:t>4 791</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i/>
                <w:noProof/>
                <w:color w:val="000000"/>
                <w:sz w:val="16"/>
              </w:rPr>
            </w:pPr>
            <w:r>
              <w:rPr>
                <w:rFonts w:ascii="Verdana" w:hAnsi="Verdana"/>
                <w:i/>
                <w:noProof/>
                <w:color w:val="000000"/>
                <w:sz w:val="16"/>
              </w:rPr>
              <w:t>4 645</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i/>
                <w:noProof/>
                <w:color w:val="000000"/>
                <w:sz w:val="16"/>
              </w:rPr>
            </w:pPr>
            <w:r>
              <w:rPr>
                <w:rFonts w:ascii="Verdana" w:hAnsi="Verdana"/>
                <w:i/>
                <w:noProof/>
                <w:color w:val="000000"/>
                <w:sz w:val="16"/>
              </w:rPr>
              <w:t>5 338</w:t>
            </w:r>
          </w:p>
        </w:tc>
        <w:tc>
          <w:tcPr>
            <w:tcW w:w="960"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i/>
                <w:noProof/>
                <w:color w:val="000000"/>
                <w:sz w:val="16"/>
              </w:rPr>
            </w:pPr>
            <w:r>
              <w:rPr>
                <w:rFonts w:ascii="Verdana" w:hAnsi="Verdana"/>
                <w:i/>
                <w:noProof/>
                <w:color w:val="000000"/>
                <w:sz w:val="16"/>
              </w:rPr>
              <w:t>4 738</w:t>
            </w:r>
          </w:p>
        </w:tc>
      </w:tr>
      <w:tr>
        <w:trPr>
          <w:cantSplit/>
          <w:trHeight w:val="255"/>
        </w:trPr>
        <w:tc>
          <w:tcPr>
            <w:tcW w:w="1035" w:type="dxa"/>
            <w:tcBorders>
              <w:top w:val="nil"/>
              <w:left w:val="nil"/>
              <w:bottom w:val="nil"/>
              <w:right w:val="nil"/>
              <w:tl2br w:val="nil"/>
              <w:tr2bl w:val="nil"/>
            </w:tcBorders>
            <w:tcMar>
              <w:left w:w="60" w:type="dxa"/>
              <w:right w:w="60" w:type="dxa"/>
            </w:tcMar>
            <w:vAlign w:val="center"/>
          </w:tcPr>
          <w:p>
            <w:pPr>
              <w:pStyle w:val="DMETW36691BIPStatementofcomparisonCommitments"/>
              <w:rPr>
                <w:rFonts w:ascii="Verdana" w:eastAsia="Verdana" w:hAnsi="Verdana" w:cs="Verdana"/>
                <w:noProof/>
                <w:color w:val="000000"/>
                <w:sz w:val="16"/>
              </w:rPr>
            </w:pPr>
            <w:r>
              <w:rPr>
                <w:rFonts w:ascii="Verdana" w:hAnsi="Verdana"/>
                <w:noProof/>
                <w:color w:val="000000"/>
                <w:sz w:val="16"/>
              </w:rPr>
              <w:t>5</w:t>
            </w:r>
          </w:p>
        </w:tc>
        <w:tc>
          <w:tcPr>
            <w:tcW w:w="4575"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noProof/>
                <w:color w:val="000000"/>
                <w:sz w:val="16"/>
              </w:rPr>
            </w:pPr>
            <w:r>
              <w:rPr>
                <w:rFonts w:ascii="Verdana" w:hAnsi="Verdana"/>
                <w:noProof/>
                <w:color w:val="000000"/>
                <w:sz w:val="16"/>
              </w:rPr>
              <w:t>Sécurité et défense</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noProof/>
                <w:color w:val="000000"/>
                <w:sz w:val="16"/>
              </w:rPr>
            </w:pPr>
            <w:r>
              <w:rPr>
                <w:rFonts w:ascii="Verdana" w:hAnsi="Verdana"/>
                <w:noProof/>
                <w:color w:val="000000"/>
                <w:sz w:val="16"/>
              </w:rPr>
              <w:t>2 633</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noProof/>
                <w:color w:val="000000"/>
                <w:sz w:val="16"/>
              </w:rPr>
            </w:pPr>
            <w:r>
              <w:rPr>
                <w:rFonts w:ascii="Verdana" w:hAnsi="Verdana"/>
                <w:noProof/>
                <w:color w:val="000000"/>
                <w:sz w:val="16"/>
              </w:rPr>
              <w:t>2 633</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noProof/>
                <w:color w:val="000000"/>
                <w:sz w:val="16"/>
              </w:rPr>
            </w:pPr>
            <w:r>
              <w:rPr>
                <w:rFonts w:ascii="Verdana" w:hAnsi="Verdana"/>
                <w:noProof/>
                <w:color w:val="000000"/>
                <w:sz w:val="16"/>
              </w:rPr>
              <w:t>2 742</w:t>
            </w:r>
          </w:p>
        </w:tc>
        <w:tc>
          <w:tcPr>
            <w:tcW w:w="960"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noProof/>
                <w:color w:val="000000"/>
                <w:sz w:val="16"/>
              </w:rPr>
            </w:pPr>
            <w:r>
              <w:rPr>
                <w:rFonts w:ascii="Verdana" w:hAnsi="Verdana"/>
                <w:noProof/>
                <w:color w:val="000000"/>
                <w:sz w:val="16"/>
              </w:rPr>
              <w:t>2 666</w:t>
            </w:r>
          </w:p>
        </w:tc>
      </w:tr>
      <w:tr>
        <w:trPr>
          <w:cantSplit/>
          <w:trHeight w:val="255"/>
        </w:trPr>
        <w:tc>
          <w:tcPr>
            <w:tcW w:w="1035" w:type="dxa"/>
            <w:tcBorders>
              <w:top w:val="nil"/>
              <w:left w:val="nil"/>
              <w:bottom w:val="nil"/>
              <w:right w:val="nil"/>
              <w:tl2br w:val="nil"/>
              <w:tr2bl w:val="nil"/>
            </w:tcBorders>
            <w:tcMar>
              <w:left w:w="60" w:type="dxa"/>
              <w:right w:w="60" w:type="dxa"/>
            </w:tcMar>
            <w:vAlign w:val="center"/>
          </w:tcPr>
          <w:p>
            <w:pPr>
              <w:pStyle w:val="DMETW36691BIPStatementofcomparisonCommitments"/>
              <w:rPr>
                <w:rFonts w:ascii="Verdana" w:eastAsia="Verdana" w:hAnsi="Verdana" w:cs="Verdana"/>
                <w:i/>
                <w:noProof/>
                <w:color w:val="000000"/>
                <w:sz w:val="16"/>
              </w:rPr>
            </w:pPr>
            <w:r>
              <w:rPr>
                <w:rFonts w:ascii="Verdana" w:hAnsi="Verdana"/>
                <w:i/>
                <w:noProof/>
                <w:color w:val="000000"/>
                <w:sz w:val="16"/>
              </w:rPr>
              <w:t>6</w:t>
            </w:r>
          </w:p>
        </w:tc>
        <w:tc>
          <w:tcPr>
            <w:tcW w:w="4575"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i/>
                <w:noProof/>
                <w:color w:val="000000"/>
                <w:sz w:val="16"/>
              </w:rPr>
            </w:pPr>
            <w:r>
              <w:rPr>
                <w:rFonts w:ascii="Verdana" w:hAnsi="Verdana"/>
                <w:i/>
                <w:noProof/>
                <w:color w:val="000000"/>
                <w:sz w:val="16"/>
              </w:rPr>
              <w:t>Le voisinage et le monde</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i/>
                <w:noProof/>
                <w:color w:val="000000"/>
                <w:sz w:val="16"/>
              </w:rPr>
            </w:pPr>
            <w:r>
              <w:rPr>
                <w:rFonts w:ascii="Verdana" w:hAnsi="Verdana"/>
                <w:i/>
                <w:noProof/>
                <w:color w:val="000000"/>
                <w:sz w:val="16"/>
              </w:rPr>
              <w:t>16 308</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i/>
                <w:noProof/>
                <w:color w:val="000000"/>
                <w:sz w:val="16"/>
              </w:rPr>
            </w:pPr>
            <w:r>
              <w:rPr>
                <w:rFonts w:ascii="Verdana" w:hAnsi="Verdana"/>
                <w:i/>
                <w:noProof/>
                <w:color w:val="000000"/>
                <w:sz w:val="16"/>
              </w:rPr>
              <w:t>16 892</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i/>
                <w:noProof/>
                <w:color w:val="000000"/>
                <w:sz w:val="16"/>
              </w:rPr>
            </w:pPr>
            <w:r>
              <w:rPr>
                <w:rFonts w:ascii="Verdana" w:hAnsi="Verdana"/>
                <w:i/>
                <w:noProof/>
                <w:color w:val="000000"/>
                <w:sz w:val="16"/>
              </w:rPr>
              <w:t>20 828</w:t>
            </w:r>
          </w:p>
        </w:tc>
        <w:tc>
          <w:tcPr>
            <w:tcW w:w="960"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i/>
                <w:noProof/>
                <w:color w:val="000000"/>
                <w:sz w:val="16"/>
              </w:rPr>
            </w:pPr>
            <w:r>
              <w:rPr>
                <w:rFonts w:ascii="Verdana" w:hAnsi="Verdana"/>
                <w:i/>
                <w:noProof/>
                <w:color w:val="000000"/>
                <w:sz w:val="16"/>
              </w:rPr>
              <w:t>19 645</w:t>
            </w:r>
          </w:p>
        </w:tc>
      </w:tr>
      <w:tr>
        <w:trPr>
          <w:cantSplit/>
          <w:trHeight w:val="255"/>
        </w:trPr>
        <w:tc>
          <w:tcPr>
            <w:tcW w:w="1035" w:type="dxa"/>
            <w:tcBorders>
              <w:top w:val="nil"/>
              <w:left w:val="nil"/>
              <w:bottom w:val="nil"/>
              <w:right w:val="nil"/>
              <w:tl2br w:val="nil"/>
              <w:tr2bl w:val="nil"/>
            </w:tcBorders>
            <w:tcMar>
              <w:left w:w="60" w:type="dxa"/>
              <w:right w:w="60" w:type="dxa"/>
            </w:tcMar>
            <w:vAlign w:val="center"/>
          </w:tcPr>
          <w:p>
            <w:pPr>
              <w:pStyle w:val="DMETW36691BIPStatementofcomparisonCommitments"/>
              <w:rPr>
                <w:rFonts w:ascii="Verdana" w:eastAsia="Verdana" w:hAnsi="Verdana" w:cs="Verdana"/>
                <w:noProof/>
                <w:color w:val="000000"/>
                <w:sz w:val="16"/>
              </w:rPr>
            </w:pPr>
            <w:r>
              <w:rPr>
                <w:rFonts w:ascii="Verdana" w:hAnsi="Verdana"/>
                <w:noProof/>
                <w:color w:val="000000"/>
                <w:sz w:val="16"/>
              </w:rPr>
              <w:t>7</w:t>
            </w:r>
          </w:p>
        </w:tc>
        <w:tc>
          <w:tcPr>
            <w:tcW w:w="4575"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noProof/>
                <w:color w:val="000000"/>
                <w:sz w:val="16"/>
              </w:rPr>
            </w:pPr>
            <w:r>
              <w:rPr>
                <w:rFonts w:ascii="Verdana" w:hAnsi="Verdana"/>
                <w:noProof/>
                <w:color w:val="000000"/>
                <w:sz w:val="16"/>
              </w:rPr>
              <w:t>Administration publique européenne</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noProof/>
                <w:color w:val="000000"/>
                <w:sz w:val="16"/>
              </w:rPr>
            </w:pPr>
            <w:r>
              <w:rPr>
                <w:rFonts w:ascii="Verdana" w:hAnsi="Verdana"/>
                <w:noProof/>
                <w:color w:val="000000"/>
                <w:sz w:val="16"/>
              </w:rPr>
              <w:t>12 845</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noProof/>
                <w:color w:val="000000"/>
                <w:sz w:val="16"/>
              </w:rPr>
            </w:pPr>
            <w:r>
              <w:rPr>
                <w:rFonts w:ascii="Verdana" w:hAnsi="Verdana"/>
                <w:noProof/>
                <w:color w:val="000000"/>
                <w:sz w:val="16"/>
              </w:rPr>
              <w:t>12 766</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noProof/>
                <w:color w:val="000000"/>
                <w:sz w:val="16"/>
              </w:rPr>
            </w:pPr>
            <w:r>
              <w:rPr>
                <w:rFonts w:ascii="Verdana" w:hAnsi="Verdana"/>
                <w:noProof/>
                <w:color w:val="000000"/>
                <w:sz w:val="16"/>
              </w:rPr>
              <w:t>15 115</w:t>
            </w:r>
          </w:p>
        </w:tc>
        <w:tc>
          <w:tcPr>
            <w:tcW w:w="960"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noProof/>
                <w:color w:val="000000"/>
                <w:sz w:val="16"/>
              </w:rPr>
            </w:pPr>
            <w:r>
              <w:rPr>
                <w:rFonts w:ascii="Verdana" w:hAnsi="Verdana"/>
                <w:noProof/>
                <w:color w:val="000000"/>
                <w:sz w:val="16"/>
              </w:rPr>
              <w:t>13 955</w:t>
            </w:r>
          </w:p>
        </w:tc>
      </w:tr>
      <w:tr>
        <w:trPr>
          <w:cantSplit/>
          <w:trHeight w:val="255"/>
        </w:trPr>
        <w:tc>
          <w:tcPr>
            <w:tcW w:w="1035" w:type="dxa"/>
            <w:tcBorders>
              <w:top w:val="nil"/>
              <w:left w:val="nil"/>
              <w:bottom w:val="nil"/>
              <w:right w:val="nil"/>
              <w:tl2br w:val="nil"/>
              <w:tr2bl w:val="nil"/>
            </w:tcBorders>
            <w:tcMar>
              <w:left w:w="60" w:type="dxa"/>
              <w:right w:w="60" w:type="dxa"/>
            </w:tcMar>
            <w:vAlign w:val="center"/>
          </w:tcPr>
          <w:p>
            <w:pPr>
              <w:pStyle w:val="DMETW36691BIPStatementofcomparisonCommitments"/>
              <w:rPr>
                <w:rFonts w:ascii="Verdana" w:eastAsia="Verdana" w:hAnsi="Verdana" w:cs="Verdana"/>
                <w:noProof/>
                <w:color w:val="000000"/>
                <w:sz w:val="16"/>
              </w:rPr>
            </w:pPr>
            <w:r>
              <w:rPr>
                <w:rFonts w:ascii="Verdana" w:hAnsi="Verdana"/>
                <w:noProof/>
                <w:color w:val="000000"/>
                <w:sz w:val="16"/>
              </w:rPr>
              <w:t>O</w:t>
            </w:r>
          </w:p>
        </w:tc>
        <w:tc>
          <w:tcPr>
            <w:tcW w:w="4575"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noProof/>
                <w:color w:val="000000"/>
                <w:sz w:val="16"/>
              </w:rPr>
            </w:pPr>
            <w:r>
              <w:rPr>
                <w:rFonts w:ascii="Verdana" w:hAnsi="Verdana"/>
                <w:noProof/>
                <w:color w:val="000000"/>
                <w:sz w:val="16"/>
              </w:rPr>
              <w:t>Hors CFP</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noProof/>
                <w:color w:val="000000"/>
                <w:sz w:val="16"/>
              </w:rPr>
            </w:pPr>
            <w:r>
              <w:rPr>
                <w:rFonts w:ascii="Verdana" w:hAnsi="Verdana"/>
                <w:noProof/>
                <w:color w:val="000000"/>
                <w:sz w:val="16"/>
              </w:rPr>
              <w:t>4 320</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noProof/>
                <w:color w:val="000000"/>
                <w:sz w:val="16"/>
              </w:rPr>
            </w:pPr>
            <w:r>
              <w:rPr>
                <w:rFonts w:ascii="Verdana" w:hAnsi="Verdana"/>
                <w:noProof/>
                <w:color w:val="000000"/>
                <w:sz w:val="16"/>
              </w:rPr>
              <w:t>4 320</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noProof/>
                <w:color w:val="000000"/>
                <w:sz w:val="16"/>
              </w:rPr>
            </w:pPr>
            <w:r>
              <w:rPr>
                <w:rFonts w:ascii="Verdana" w:hAnsi="Verdana"/>
                <w:noProof/>
                <w:color w:val="000000"/>
                <w:sz w:val="16"/>
              </w:rPr>
              <w:t>11 767</w:t>
            </w:r>
          </w:p>
        </w:tc>
        <w:tc>
          <w:tcPr>
            <w:tcW w:w="960"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noProof/>
                <w:color w:val="000000"/>
                <w:sz w:val="16"/>
              </w:rPr>
            </w:pPr>
            <w:r>
              <w:rPr>
                <w:rFonts w:ascii="Verdana" w:hAnsi="Verdana"/>
                <w:noProof/>
                <w:color w:val="000000"/>
                <w:sz w:val="16"/>
              </w:rPr>
              <w:t>6 409</w:t>
            </w:r>
          </w:p>
        </w:tc>
      </w:tr>
      <w:tr>
        <w:trPr>
          <w:cantSplit/>
          <w:trHeight w:val="255"/>
        </w:trPr>
        <w:tc>
          <w:tcPr>
            <w:tcW w:w="1035" w:type="dxa"/>
            <w:tcBorders>
              <w:top w:val="nil"/>
              <w:left w:val="nil"/>
              <w:bottom w:val="nil"/>
              <w:right w:val="nil"/>
              <w:tl2br w:val="nil"/>
              <w:tr2bl w:val="nil"/>
            </w:tcBorders>
            <w:tcMar>
              <w:left w:w="60" w:type="dxa"/>
              <w:right w:w="60" w:type="dxa"/>
            </w:tcMar>
            <w:vAlign w:val="center"/>
          </w:tcPr>
          <w:p>
            <w:pPr>
              <w:pStyle w:val="DMETW36691BIPStatementofcomparisonCommitments"/>
              <w:rPr>
                <w:rFonts w:ascii="Verdana" w:eastAsia="Verdana" w:hAnsi="Verdana" w:cs="Verdana"/>
                <w:noProof/>
                <w:color w:val="000000"/>
                <w:sz w:val="16"/>
              </w:rPr>
            </w:pPr>
            <w:r>
              <w:rPr>
                <w:rFonts w:ascii="Verdana" w:hAnsi="Verdana"/>
                <w:noProof/>
                <w:color w:val="000000"/>
                <w:sz w:val="16"/>
              </w:rPr>
              <w:t>S</w:t>
            </w:r>
          </w:p>
        </w:tc>
        <w:tc>
          <w:tcPr>
            <w:tcW w:w="4575"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noProof/>
                <w:color w:val="000000"/>
                <w:sz w:val="16"/>
              </w:rPr>
            </w:pPr>
            <w:r>
              <w:rPr>
                <w:rFonts w:ascii="Verdana" w:hAnsi="Verdana"/>
                <w:noProof/>
                <w:color w:val="000000"/>
                <w:sz w:val="16"/>
              </w:rPr>
              <w:t>Mécanismes de solidarité à l’intérieur et à l’extérieur de l’Union (instruments spéciaux)</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noProof/>
                <w:color w:val="000000"/>
                <w:sz w:val="16"/>
              </w:rPr>
            </w:pPr>
            <w:r>
              <w:rPr>
                <w:rFonts w:ascii="Verdana" w:hAnsi="Verdana"/>
                <w:noProof/>
                <w:color w:val="000000"/>
                <w:sz w:val="16"/>
              </w:rPr>
              <w:t>2 349</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noProof/>
                <w:color w:val="000000"/>
                <w:sz w:val="16"/>
              </w:rPr>
            </w:pPr>
            <w:r>
              <w:rPr>
                <w:rFonts w:ascii="Verdana" w:hAnsi="Verdana"/>
                <w:noProof/>
                <w:color w:val="000000"/>
                <w:sz w:val="16"/>
              </w:rPr>
              <w:t>1 766</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noProof/>
                <w:color w:val="000000"/>
                <w:sz w:val="16"/>
              </w:rPr>
            </w:pPr>
            <w:r>
              <w:rPr>
                <w:rFonts w:ascii="Verdana" w:hAnsi="Verdana"/>
                <w:noProof/>
                <w:color w:val="000000"/>
                <w:sz w:val="16"/>
              </w:rPr>
              <w:t>2 085</w:t>
            </w:r>
          </w:p>
        </w:tc>
        <w:tc>
          <w:tcPr>
            <w:tcW w:w="960"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noProof/>
                <w:color w:val="000000"/>
                <w:sz w:val="16"/>
              </w:rPr>
            </w:pPr>
            <w:r>
              <w:rPr>
                <w:rFonts w:ascii="Verdana" w:hAnsi="Verdana"/>
                <w:noProof/>
                <w:color w:val="000000"/>
                <w:sz w:val="16"/>
              </w:rPr>
              <w:t>1 065</w:t>
            </w:r>
          </w:p>
        </w:tc>
      </w:tr>
      <w:tr>
        <w:trPr>
          <w:cantSplit/>
          <w:trHeight w:val="255"/>
        </w:trPr>
        <w:tc>
          <w:tcPr>
            <w:tcW w:w="1035" w:type="dxa"/>
            <w:tcBorders>
              <w:top w:val="nil"/>
              <w:left w:val="nil"/>
              <w:bottom w:val="nil"/>
              <w:right w:val="nil"/>
              <w:tl2br w:val="nil"/>
              <w:tr2bl w:val="nil"/>
            </w:tcBorders>
            <w:shd w:val="solid" w:color="CCE1EB" w:fill="FFFFFF"/>
            <w:tcMar>
              <w:left w:w="60" w:type="dxa"/>
              <w:right w:w="60" w:type="dxa"/>
            </w:tcMar>
            <w:vAlign w:val="center"/>
          </w:tcPr>
          <w:p>
            <w:pPr>
              <w:pStyle w:val="DMETW36691BIPStatementofcomparisonCommitments"/>
              <w:rPr>
                <w:rFonts w:ascii="Verdana" w:eastAsia="Verdana" w:hAnsi="Verdana" w:cs="Verdana"/>
                <w:b/>
                <w:noProof/>
                <w:color w:val="000000"/>
                <w:sz w:val="16"/>
              </w:rPr>
            </w:pPr>
          </w:p>
        </w:tc>
        <w:tc>
          <w:tcPr>
            <w:tcW w:w="4575" w:type="dxa"/>
            <w:tcBorders>
              <w:top w:val="nil"/>
              <w:left w:val="nil"/>
              <w:bottom w:val="nil"/>
              <w:right w:val="nil"/>
              <w:tl2br w:val="nil"/>
              <w:tr2bl w:val="nil"/>
            </w:tcBorders>
            <w:shd w:val="solid" w:color="CCE1EB" w:fill="FFFFFF"/>
            <w:tcMar>
              <w:left w:w="60" w:type="dxa"/>
              <w:right w:w="60" w:type="dxa"/>
            </w:tcMar>
            <w:vAlign w:val="center"/>
          </w:tcPr>
          <w:p>
            <w:pPr>
              <w:pStyle w:val="DMETW36691BIPStatementofcomparisonCommitments"/>
              <w:jc w:val="right"/>
              <w:rPr>
                <w:rFonts w:ascii="Verdana" w:eastAsia="Verdana" w:hAnsi="Verdana" w:cs="Verdana"/>
                <w:b/>
                <w:noProof/>
                <w:color w:val="000000"/>
                <w:sz w:val="16"/>
              </w:rPr>
            </w:pPr>
            <w:r>
              <w:rPr>
                <w:rFonts w:ascii="Verdana" w:hAnsi="Verdana"/>
                <w:b/>
                <w:noProof/>
                <w:color w:val="000000"/>
                <w:sz w:val="16"/>
              </w:rPr>
              <w:t>Total</w:t>
            </w:r>
          </w:p>
        </w:tc>
        <w:tc>
          <w:tcPr>
            <w:tcW w:w="1350" w:type="dxa"/>
            <w:tcBorders>
              <w:top w:val="nil"/>
              <w:left w:val="nil"/>
              <w:bottom w:val="nil"/>
              <w:right w:val="nil"/>
              <w:tl2br w:val="nil"/>
              <w:tr2bl w:val="nil"/>
            </w:tcBorders>
            <w:shd w:val="solid" w:color="CCE1EB" w:fill="FFFFFF"/>
            <w:tcMar>
              <w:left w:w="60" w:type="dxa"/>
              <w:right w:w="60" w:type="dxa"/>
            </w:tcMar>
            <w:vAlign w:val="center"/>
          </w:tcPr>
          <w:p>
            <w:pPr>
              <w:pStyle w:val="DMETW36691BIPStatementofcomparisonCommitments"/>
              <w:jc w:val="right"/>
              <w:rPr>
                <w:rFonts w:ascii="Verdana" w:eastAsia="Verdana" w:hAnsi="Verdana" w:cs="Verdana"/>
                <w:b/>
                <w:noProof/>
                <w:color w:val="000000"/>
                <w:sz w:val="16"/>
              </w:rPr>
            </w:pPr>
            <w:r>
              <w:rPr>
                <w:rFonts w:ascii="Verdana" w:hAnsi="Verdana"/>
                <w:b/>
                <w:noProof/>
                <w:color w:val="000000"/>
                <w:sz w:val="16"/>
              </w:rPr>
              <w:t>199 438</w:t>
            </w:r>
          </w:p>
        </w:tc>
        <w:tc>
          <w:tcPr>
            <w:tcW w:w="1350" w:type="dxa"/>
            <w:tcBorders>
              <w:top w:val="nil"/>
              <w:left w:val="nil"/>
              <w:bottom w:val="nil"/>
              <w:right w:val="nil"/>
              <w:tl2br w:val="nil"/>
              <w:tr2bl w:val="nil"/>
            </w:tcBorders>
            <w:shd w:val="solid" w:color="CCE1EB" w:fill="FFFFFF"/>
            <w:tcMar>
              <w:left w:w="60" w:type="dxa"/>
              <w:right w:w="60" w:type="dxa"/>
            </w:tcMar>
            <w:vAlign w:val="center"/>
          </w:tcPr>
          <w:p>
            <w:pPr>
              <w:pStyle w:val="DMETW36691BIPStatementofcomparisonCommitments"/>
              <w:jc w:val="right"/>
              <w:rPr>
                <w:rFonts w:ascii="Verdana" w:eastAsia="Verdana" w:hAnsi="Verdana" w:cs="Verdana"/>
                <w:b/>
                <w:noProof/>
                <w:color w:val="000000"/>
                <w:sz w:val="16"/>
              </w:rPr>
            </w:pPr>
            <w:r>
              <w:rPr>
                <w:rFonts w:ascii="Verdana" w:hAnsi="Verdana"/>
                <w:b/>
                <w:noProof/>
                <w:color w:val="000000"/>
                <w:sz w:val="16"/>
              </w:rPr>
              <w:t>199 239</w:t>
            </w:r>
          </w:p>
        </w:tc>
        <w:tc>
          <w:tcPr>
            <w:tcW w:w="1350" w:type="dxa"/>
            <w:tcBorders>
              <w:top w:val="nil"/>
              <w:left w:val="nil"/>
              <w:bottom w:val="nil"/>
              <w:right w:val="nil"/>
              <w:tl2br w:val="nil"/>
              <w:tr2bl w:val="nil"/>
            </w:tcBorders>
            <w:shd w:val="solid" w:color="CCE1EB" w:fill="FFFFFF"/>
            <w:tcMar>
              <w:left w:w="60" w:type="dxa"/>
              <w:right w:w="60" w:type="dxa"/>
            </w:tcMar>
            <w:vAlign w:val="center"/>
          </w:tcPr>
          <w:p>
            <w:pPr>
              <w:pStyle w:val="DMETW36691BIPStatementofcomparisonCommitments"/>
              <w:jc w:val="right"/>
              <w:rPr>
                <w:rFonts w:ascii="Verdana" w:eastAsia="Verdana" w:hAnsi="Verdana" w:cs="Verdana"/>
                <w:b/>
                <w:noProof/>
                <w:color w:val="000000"/>
                <w:sz w:val="16"/>
              </w:rPr>
            </w:pPr>
            <w:r>
              <w:rPr>
                <w:rFonts w:ascii="Verdana" w:hAnsi="Verdana"/>
                <w:b/>
                <w:noProof/>
                <w:color w:val="000000"/>
                <w:sz w:val="16"/>
              </w:rPr>
              <w:t>228 104</w:t>
            </w:r>
          </w:p>
        </w:tc>
        <w:tc>
          <w:tcPr>
            <w:tcW w:w="960" w:type="dxa"/>
            <w:tcBorders>
              <w:top w:val="nil"/>
              <w:left w:val="nil"/>
              <w:bottom w:val="nil"/>
              <w:right w:val="nil"/>
              <w:tl2br w:val="nil"/>
              <w:tr2bl w:val="nil"/>
            </w:tcBorders>
            <w:shd w:val="solid" w:color="CCE1EB" w:fill="FFFFFF"/>
            <w:tcMar>
              <w:left w:w="60" w:type="dxa"/>
              <w:right w:w="60" w:type="dxa"/>
            </w:tcMar>
            <w:vAlign w:val="center"/>
          </w:tcPr>
          <w:p>
            <w:pPr>
              <w:pStyle w:val="DMETW36691BIPStatementofcomparisonCommitments"/>
              <w:jc w:val="right"/>
              <w:rPr>
                <w:rFonts w:ascii="Verdana" w:eastAsia="Verdana" w:hAnsi="Verdana" w:cs="Verdana"/>
                <w:b/>
                <w:noProof/>
                <w:color w:val="000000"/>
                <w:sz w:val="16"/>
              </w:rPr>
            </w:pPr>
            <w:r>
              <w:rPr>
                <w:rFonts w:ascii="Verdana" w:hAnsi="Verdana"/>
                <w:b/>
                <w:noProof/>
                <w:color w:val="000000"/>
                <w:sz w:val="16"/>
              </w:rPr>
              <w:t>212 116</w:t>
            </w:r>
          </w:p>
        </w:tc>
      </w:tr>
      <w:tr>
        <w:trPr>
          <w:trHeight w:val="255"/>
        </w:trPr>
        <w:tc>
          <w:tcPr>
            <w:tcW w:w="1035" w:type="dxa"/>
            <w:tcBorders>
              <w:top w:val="nil"/>
              <w:left w:val="nil"/>
              <w:bottom w:val="nil"/>
              <w:right w:val="nil"/>
              <w:tl2br w:val="nil"/>
              <w:tr2bl w:val="nil"/>
            </w:tcBorders>
            <w:shd w:val="solid" w:color="CCE1EB" w:fill="FFFFFF"/>
            <w:tcMar>
              <w:left w:w="60" w:type="dxa"/>
              <w:right w:w="60" w:type="dxa"/>
            </w:tcMar>
            <w:vAlign w:val="center"/>
          </w:tcPr>
          <w:p>
            <w:pPr>
              <w:pStyle w:val="DMETW36691BIPStatementofcomparisonCommitments"/>
              <w:rPr>
                <w:rFonts w:ascii="Verdana" w:eastAsia="Verdana" w:hAnsi="Verdana" w:cs="Verdana"/>
                <w:i/>
                <w:noProof/>
                <w:color w:val="000000"/>
                <w:sz w:val="16"/>
              </w:rPr>
            </w:pPr>
          </w:p>
        </w:tc>
        <w:tc>
          <w:tcPr>
            <w:tcW w:w="4575" w:type="dxa"/>
            <w:tcBorders>
              <w:top w:val="nil"/>
              <w:left w:val="nil"/>
              <w:bottom w:val="nil"/>
              <w:right w:val="nil"/>
              <w:tl2br w:val="nil"/>
              <w:tr2bl w:val="nil"/>
            </w:tcBorders>
            <w:shd w:val="solid" w:color="CCE1EB" w:fill="FFFFFF"/>
            <w:tcMar>
              <w:left w:w="60" w:type="dxa"/>
              <w:right w:w="60" w:type="dxa"/>
            </w:tcMar>
            <w:vAlign w:val="center"/>
          </w:tcPr>
          <w:p>
            <w:pPr>
              <w:pStyle w:val="DMETW36691BIPStatementofcomparisonCommitments"/>
              <w:jc w:val="right"/>
              <w:rPr>
                <w:rFonts w:ascii="Verdana" w:eastAsia="Verdana" w:hAnsi="Verdana" w:cs="Verdana"/>
                <w:i/>
                <w:noProof/>
                <w:color w:val="000000"/>
                <w:sz w:val="16"/>
              </w:rPr>
            </w:pPr>
            <w:r>
              <w:rPr>
                <w:rFonts w:ascii="Verdana" w:hAnsi="Verdana"/>
                <w:i/>
                <w:noProof/>
                <w:color w:val="000000"/>
                <w:sz w:val="16"/>
              </w:rPr>
              <w:t xml:space="preserve">     dont NextGenerationEU (NGEU)</w:t>
            </w:r>
          </w:p>
        </w:tc>
        <w:tc>
          <w:tcPr>
            <w:tcW w:w="1350" w:type="dxa"/>
            <w:tcBorders>
              <w:top w:val="nil"/>
              <w:left w:val="nil"/>
              <w:bottom w:val="nil"/>
              <w:right w:val="nil"/>
              <w:tl2br w:val="nil"/>
              <w:tr2bl w:val="nil"/>
            </w:tcBorders>
            <w:shd w:val="solid" w:color="CCE1EB" w:fill="FFFFFF"/>
            <w:tcMar>
              <w:left w:w="60" w:type="dxa"/>
              <w:right w:w="60" w:type="dxa"/>
            </w:tcMar>
            <w:vAlign w:val="center"/>
          </w:tcPr>
          <w:p>
            <w:pPr>
              <w:pStyle w:val="DMETW36691BIPStatementofcomparisonCommitments"/>
              <w:jc w:val="right"/>
              <w:rPr>
                <w:rFonts w:ascii="Verdana" w:eastAsia="Verdana" w:hAnsi="Verdana" w:cs="Verdana"/>
                <w:i/>
                <w:noProof/>
                <w:color w:val="000000"/>
                <w:sz w:val="16"/>
              </w:rPr>
            </w:pPr>
            <w:r>
              <w:rPr>
                <w:rFonts w:ascii="Verdana" w:hAnsi="Verdana"/>
                <w:i/>
                <w:noProof/>
                <w:color w:val="000000"/>
                <w:sz w:val="16"/>
              </w:rPr>
              <w:t>–</w:t>
            </w:r>
          </w:p>
        </w:tc>
        <w:tc>
          <w:tcPr>
            <w:tcW w:w="1350" w:type="dxa"/>
            <w:tcBorders>
              <w:top w:val="nil"/>
              <w:left w:val="nil"/>
              <w:bottom w:val="nil"/>
              <w:right w:val="nil"/>
              <w:tl2br w:val="nil"/>
              <w:tr2bl w:val="nil"/>
            </w:tcBorders>
            <w:shd w:val="solid" w:color="CCE1EB" w:fill="FFFFFF"/>
            <w:tcMar>
              <w:left w:w="60" w:type="dxa"/>
              <w:right w:w="60" w:type="dxa"/>
            </w:tcMar>
            <w:vAlign w:val="center"/>
          </w:tcPr>
          <w:p>
            <w:pPr>
              <w:pStyle w:val="DMETW36691BIPStatementofcomparisonCommitments"/>
              <w:jc w:val="right"/>
              <w:rPr>
                <w:rFonts w:ascii="Verdana" w:eastAsia="Verdana" w:hAnsi="Verdana" w:cs="Verdana"/>
                <w:i/>
                <w:noProof/>
                <w:color w:val="000000"/>
                <w:sz w:val="16"/>
              </w:rPr>
            </w:pPr>
            <w:r>
              <w:rPr>
                <w:rFonts w:ascii="Verdana" w:hAnsi="Verdana"/>
                <w:i/>
                <w:noProof/>
                <w:color w:val="000000"/>
                <w:sz w:val="16"/>
              </w:rPr>
              <w:t>–</w:t>
            </w:r>
          </w:p>
        </w:tc>
        <w:tc>
          <w:tcPr>
            <w:tcW w:w="1350" w:type="dxa"/>
            <w:tcBorders>
              <w:top w:val="nil"/>
              <w:left w:val="nil"/>
              <w:bottom w:val="nil"/>
              <w:right w:val="nil"/>
              <w:tl2br w:val="nil"/>
              <w:tr2bl w:val="nil"/>
            </w:tcBorders>
            <w:shd w:val="solid" w:color="CCE1EB" w:fill="FFFFFF"/>
            <w:tcMar>
              <w:left w:w="60" w:type="dxa"/>
              <w:right w:w="60" w:type="dxa"/>
            </w:tcMar>
            <w:vAlign w:val="center"/>
          </w:tcPr>
          <w:p>
            <w:pPr>
              <w:pStyle w:val="DMETW36691BIPStatementofcomparisonCommitments"/>
              <w:jc w:val="right"/>
              <w:rPr>
                <w:rFonts w:ascii="Verdana" w:eastAsia="Verdana" w:hAnsi="Verdana" w:cs="Verdana"/>
                <w:i/>
                <w:noProof/>
                <w:color w:val="000000"/>
                <w:sz w:val="16"/>
              </w:rPr>
            </w:pPr>
            <w:r>
              <w:rPr>
                <w:rFonts w:ascii="Verdana" w:hAnsi="Verdana"/>
                <w:i/>
                <w:noProof/>
                <w:color w:val="000000"/>
                <w:sz w:val="16"/>
              </w:rPr>
              <w:t xml:space="preserve"> 232</w:t>
            </w:r>
          </w:p>
        </w:tc>
        <w:tc>
          <w:tcPr>
            <w:tcW w:w="960" w:type="dxa"/>
            <w:tcBorders>
              <w:top w:val="nil"/>
              <w:left w:val="nil"/>
              <w:bottom w:val="nil"/>
              <w:right w:val="nil"/>
              <w:tl2br w:val="nil"/>
              <w:tr2bl w:val="nil"/>
            </w:tcBorders>
            <w:shd w:val="solid" w:color="CCE1EB" w:fill="FFFFFF"/>
            <w:tcMar>
              <w:left w:w="60" w:type="dxa"/>
              <w:right w:w="60" w:type="dxa"/>
            </w:tcMar>
            <w:vAlign w:val="center"/>
          </w:tcPr>
          <w:p>
            <w:pPr>
              <w:pStyle w:val="DMETW36691BIPStatementofcomparisonCommitments"/>
              <w:jc w:val="right"/>
              <w:rPr>
                <w:rFonts w:ascii="Verdana" w:eastAsia="Verdana" w:hAnsi="Verdana" w:cs="Verdana"/>
                <w:i/>
                <w:noProof/>
                <w:color w:val="000000"/>
                <w:sz w:val="16"/>
              </w:rPr>
            </w:pPr>
            <w:r>
              <w:rPr>
                <w:rFonts w:ascii="Verdana" w:hAnsi="Verdana"/>
                <w:i/>
                <w:noProof/>
                <w:color w:val="000000"/>
                <w:sz w:val="16"/>
              </w:rPr>
              <w:t xml:space="preserve"> 39</w:t>
            </w:r>
          </w:p>
        </w:tc>
      </w:tr>
    </w:tbl>
    <w:p>
      <w:pPr>
        <w:pStyle w:val="Textstand-alone"/>
      </w:pPr>
    </w:p>
    <w:p>
      <w:pPr>
        <w:rPr>
          <w:rFonts w:ascii="Verdana" w:hAnsi="Verdana"/>
          <w:noProof/>
          <w:sz w:val="18"/>
          <w:szCs w:val="18"/>
        </w:rPr>
      </w:pPr>
      <w:r>
        <w:rPr>
          <w:noProof/>
        </w:rPr>
        <w:br w:type="page"/>
      </w:r>
    </w:p>
    <w:p>
      <w:pPr>
        <w:pStyle w:val="Textstand-alone"/>
      </w:pPr>
    </w:p>
    <w:p>
      <w:pPr>
        <w:pStyle w:val="HEADERTITLE"/>
        <w:spacing w:before="240" w:after="480"/>
      </w:pPr>
      <w:r>
        <w:t>Dépenses budgétaires: paiements par rubrique du cadre financier pluriannuel (CFP)</w:t>
      </w:r>
    </w:p>
    <w:tbl>
      <w:tblPr>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5"/>
        <w:gridCol w:w="4575"/>
        <w:gridCol w:w="1350"/>
        <w:gridCol w:w="1350"/>
        <w:gridCol w:w="1350"/>
        <w:gridCol w:w="960"/>
      </w:tblGrid>
      <w:tr>
        <w:trPr>
          <w:trHeight w:val="255"/>
        </w:trPr>
        <w:tc>
          <w:tcPr>
            <w:tcW w:w="1035" w:type="dxa"/>
            <w:gridSpan w:val="6"/>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i/>
                <w:noProof/>
                <w:color w:val="000000"/>
                <w:sz w:val="16"/>
              </w:rPr>
            </w:pPr>
            <w:bookmarkStart w:id="259" w:name="DOC_TBL00111_1_1"/>
            <w:bookmarkEnd w:id="259"/>
          </w:p>
        </w:tc>
      </w:tr>
      <w:tr>
        <w:trPr>
          <w:trHeight w:val="255"/>
        </w:trPr>
        <w:tc>
          <w:tcPr>
            <w:tcW w:w="1035" w:type="dxa"/>
            <w:gridSpan w:val="2"/>
            <w:tcBorders>
              <w:top w:val="nil"/>
              <w:left w:val="nil"/>
              <w:bottom w:val="nil"/>
              <w:right w:val="nil"/>
              <w:tl2br w:val="nil"/>
              <w:tr2bl w:val="nil"/>
            </w:tcBorders>
            <w:shd w:val="solid" w:color="016794" w:fill="FFFFFF"/>
            <w:tcMar>
              <w:left w:w="60" w:type="dxa"/>
              <w:right w:w="60" w:type="dxa"/>
            </w:tcMar>
            <w:vAlign w:val="center"/>
          </w:tcPr>
          <w:p>
            <w:pPr>
              <w:pStyle w:val="DMETW36691BIPStatementofcomparisonPayments"/>
              <w:jc w:val="center"/>
              <w:rPr>
                <w:rFonts w:ascii="Verdana" w:eastAsia="Verdana" w:hAnsi="Verdana" w:cs="Verdana"/>
                <w:noProof/>
                <w:color w:val="FFFFFF"/>
                <w:sz w:val="16"/>
              </w:rPr>
            </w:pPr>
            <w:r>
              <w:rPr>
                <w:rFonts w:ascii="Verdana" w:hAnsi="Verdana"/>
                <w:noProof/>
                <w:color w:val="FFFFFF"/>
                <w:sz w:val="16"/>
              </w:rPr>
              <w:t>Rubrique du CFP</w:t>
            </w:r>
          </w:p>
        </w:tc>
        <w:tc>
          <w:tcPr>
            <w:tcW w:w="1350" w:type="dxa"/>
            <w:tcBorders>
              <w:top w:val="nil"/>
              <w:left w:val="nil"/>
              <w:bottom w:val="nil"/>
              <w:right w:val="nil"/>
              <w:tl2br w:val="nil"/>
              <w:tr2bl w:val="nil"/>
            </w:tcBorders>
            <w:shd w:val="solid" w:color="016794" w:fill="FFFFFF"/>
            <w:tcMar>
              <w:left w:w="60" w:type="dxa"/>
              <w:right w:w="60" w:type="dxa"/>
            </w:tcMar>
            <w:vAlign w:val="center"/>
          </w:tcPr>
          <w:p>
            <w:pPr>
              <w:pStyle w:val="DMETW36691BIPStatementofcomparisonPayments"/>
              <w:jc w:val="center"/>
              <w:rPr>
                <w:rFonts w:ascii="Verdana" w:eastAsia="Verdana" w:hAnsi="Verdana" w:cs="Verdana"/>
                <w:noProof/>
                <w:color w:val="FFFFFF"/>
                <w:sz w:val="16"/>
              </w:rPr>
            </w:pPr>
            <w:r>
              <w:rPr>
                <w:rFonts w:ascii="Verdana" w:hAnsi="Verdana"/>
                <w:noProof/>
                <w:color w:val="FFFFFF"/>
                <w:sz w:val="16"/>
              </w:rPr>
              <w:t>Budget initial adopté</w:t>
            </w:r>
          </w:p>
        </w:tc>
        <w:tc>
          <w:tcPr>
            <w:tcW w:w="1350" w:type="dxa"/>
            <w:tcBorders>
              <w:top w:val="nil"/>
              <w:left w:val="nil"/>
              <w:bottom w:val="nil"/>
              <w:right w:val="nil"/>
              <w:tl2br w:val="nil"/>
              <w:tr2bl w:val="nil"/>
            </w:tcBorders>
            <w:shd w:val="solid" w:color="016794" w:fill="FFFFFF"/>
            <w:tcMar>
              <w:left w:w="60" w:type="dxa"/>
              <w:right w:w="60" w:type="dxa"/>
            </w:tcMar>
            <w:vAlign w:val="center"/>
          </w:tcPr>
          <w:p>
            <w:pPr>
              <w:pStyle w:val="DMETW36691BIPStatementofcomparisonPayments"/>
              <w:jc w:val="center"/>
              <w:rPr>
                <w:rFonts w:ascii="Verdana" w:eastAsia="Verdana" w:hAnsi="Verdana" w:cs="Verdana"/>
                <w:noProof/>
                <w:color w:val="FFFFFF"/>
                <w:sz w:val="16"/>
              </w:rPr>
            </w:pPr>
            <w:r>
              <w:rPr>
                <w:rFonts w:ascii="Verdana" w:hAnsi="Verdana"/>
                <w:noProof/>
                <w:color w:val="FFFFFF"/>
                <w:sz w:val="16"/>
              </w:rPr>
              <w:t>Budget définitif adopté</w:t>
            </w:r>
          </w:p>
        </w:tc>
        <w:tc>
          <w:tcPr>
            <w:tcW w:w="1350" w:type="dxa"/>
            <w:tcBorders>
              <w:top w:val="nil"/>
              <w:left w:val="nil"/>
              <w:bottom w:val="nil"/>
              <w:right w:val="nil"/>
              <w:tl2br w:val="nil"/>
              <w:tr2bl w:val="nil"/>
            </w:tcBorders>
            <w:shd w:val="solid" w:color="016794" w:fill="FFFFFF"/>
            <w:tcMar>
              <w:left w:w="60" w:type="dxa"/>
              <w:right w:w="60" w:type="dxa"/>
            </w:tcMar>
            <w:vAlign w:val="center"/>
          </w:tcPr>
          <w:p>
            <w:pPr>
              <w:pStyle w:val="DMETW36691BIPStatementofcomparisonPayments"/>
              <w:jc w:val="center"/>
              <w:rPr>
                <w:rFonts w:ascii="Verdana" w:eastAsia="Verdana" w:hAnsi="Verdana" w:cs="Verdana"/>
                <w:noProof/>
                <w:color w:val="FFFFFF"/>
                <w:sz w:val="16"/>
              </w:rPr>
            </w:pPr>
            <w:r>
              <w:rPr>
                <w:rFonts w:ascii="Verdana" w:hAnsi="Verdana"/>
                <w:noProof/>
                <w:color w:val="FFFFFF"/>
                <w:sz w:val="16"/>
              </w:rPr>
              <w:t>Total crédits disponibles</w:t>
            </w:r>
          </w:p>
        </w:tc>
        <w:tc>
          <w:tcPr>
            <w:tcW w:w="960" w:type="dxa"/>
            <w:tcBorders>
              <w:top w:val="nil"/>
              <w:left w:val="nil"/>
              <w:bottom w:val="nil"/>
              <w:right w:val="nil"/>
              <w:tl2br w:val="nil"/>
              <w:tr2bl w:val="nil"/>
            </w:tcBorders>
            <w:shd w:val="solid" w:color="016794" w:fill="FFFFFF"/>
            <w:tcMar>
              <w:left w:w="60" w:type="dxa"/>
              <w:right w:w="60" w:type="dxa"/>
            </w:tcMar>
            <w:vAlign w:val="center"/>
          </w:tcPr>
          <w:p>
            <w:pPr>
              <w:pStyle w:val="DMETW36691BIPStatementofcomparisonPayments"/>
              <w:jc w:val="center"/>
              <w:rPr>
                <w:rFonts w:ascii="Verdana" w:eastAsia="Verdana" w:hAnsi="Verdana" w:cs="Verdana"/>
                <w:noProof/>
                <w:color w:val="FFFFFF"/>
                <w:sz w:val="16"/>
              </w:rPr>
            </w:pPr>
            <w:r>
              <w:rPr>
                <w:rFonts w:ascii="Verdana" w:hAnsi="Verdana"/>
                <w:noProof/>
                <w:color w:val="FFFFFF"/>
                <w:sz w:val="16"/>
              </w:rPr>
              <w:t>Paiements exécutés</w:t>
            </w:r>
          </w:p>
        </w:tc>
      </w:tr>
      <w:tr>
        <w:trPr>
          <w:trHeight w:val="255"/>
        </w:trPr>
        <w:tc>
          <w:tcPr>
            <w:tcW w:w="1035" w:type="dxa"/>
            <w:tcBorders>
              <w:top w:val="nil"/>
              <w:left w:val="nil"/>
              <w:bottom w:val="nil"/>
              <w:right w:val="nil"/>
              <w:tl2br w:val="nil"/>
              <w:tr2bl w:val="nil"/>
            </w:tcBorders>
            <w:tcMar>
              <w:left w:w="60" w:type="dxa"/>
              <w:right w:w="60" w:type="dxa"/>
            </w:tcMar>
            <w:vAlign w:val="center"/>
          </w:tcPr>
          <w:p>
            <w:pPr>
              <w:pStyle w:val="DMETW36691BIPStatementofcomparisonPayments"/>
              <w:rPr>
                <w:rFonts w:ascii="Verdana" w:eastAsia="Verdana" w:hAnsi="Verdana" w:cs="Verdana"/>
                <w:noProof/>
                <w:color w:val="000000"/>
                <w:sz w:val="16"/>
              </w:rPr>
            </w:pPr>
            <w:r>
              <w:rPr>
                <w:rFonts w:ascii="Verdana" w:hAnsi="Verdana"/>
                <w:noProof/>
                <w:color w:val="000000"/>
                <w:sz w:val="16"/>
              </w:rPr>
              <w:t>1</w:t>
            </w:r>
          </w:p>
        </w:tc>
        <w:tc>
          <w:tcPr>
            <w:tcW w:w="4575"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noProof/>
                <w:color w:val="000000"/>
                <w:sz w:val="16"/>
              </w:rPr>
            </w:pPr>
            <w:r>
              <w:rPr>
                <w:rFonts w:ascii="Verdana" w:hAnsi="Verdana"/>
                <w:noProof/>
                <w:color w:val="000000"/>
                <w:sz w:val="16"/>
              </w:rPr>
              <w:t>Marché unique, innovation et numérique</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noProof/>
                <w:color w:val="000000"/>
                <w:sz w:val="16"/>
              </w:rPr>
            </w:pPr>
            <w:r>
              <w:rPr>
                <w:rFonts w:ascii="Verdana" w:hAnsi="Verdana"/>
                <w:noProof/>
                <w:color w:val="000000"/>
                <w:sz w:val="16"/>
              </w:rPr>
              <w:t>20 461</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noProof/>
                <w:color w:val="000000"/>
                <w:sz w:val="16"/>
              </w:rPr>
            </w:pPr>
            <w:r>
              <w:rPr>
                <w:rFonts w:ascii="Verdana" w:hAnsi="Verdana"/>
                <w:noProof/>
                <w:color w:val="000000"/>
                <w:sz w:val="16"/>
              </w:rPr>
              <w:t>20 255</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noProof/>
                <w:color w:val="000000"/>
                <w:sz w:val="16"/>
              </w:rPr>
            </w:pPr>
            <w:r>
              <w:rPr>
                <w:rFonts w:ascii="Verdana" w:hAnsi="Verdana"/>
                <w:noProof/>
                <w:color w:val="000000"/>
                <w:sz w:val="16"/>
              </w:rPr>
              <w:t>34 035</w:t>
            </w:r>
          </w:p>
        </w:tc>
        <w:tc>
          <w:tcPr>
            <w:tcW w:w="960"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noProof/>
                <w:color w:val="000000"/>
                <w:sz w:val="16"/>
              </w:rPr>
            </w:pPr>
            <w:r>
              <w:rPr>
                <w:rFonts w:ascii="Verdana" w:hAnsi="Verdana"/>
                <w:noProof/>
                <w:color w:val="000000"/>
                <w:sz w:val="16"/>
              </w:rPr>
              <w:t>24 483</w:t>
            </w:r>
          </w:p>
        </w:tc>
      </w:tr>
      <w:tr>
        <w:trPr>
          <w:trHeight w:val="255"/>
        </w:trPr>
        <w:tc>
          <w:tcPr>
            <w:tcW w:w="1035" w:type="dxa"/>
            <w:tcBorders>
              <w:top w:val="nil"/>
              <w:left w:val="nil"/>
              <w:bottom w:val="nil"/>
              <w:right w:val="nil"/>
              <w:tl2br w:val="nil"/>
              <w:tr2bl w:val="nil"/>
            </w:tcBorders>
            <w:tcMar>
              <w:left w:w="60" w:type="dxa"/>
              <w:right w:w="60" w:type="dxa"/>
            </w:tcMar>
            <w:vAlign w:val="center"/>
          </w:tcPr>
          <w:p>
            <w:pPr>
              <w:pStyle w:val="DMETW36691BIPStatementofcomparisonPayments"/>
              <w:rPr>
                <w:rFonts w:ascii="Verdana" w:eastAsia="Verdana" w:hAnsi="Verdana" w:cs="Verdana"/>
                <w:noProof/>
                <w:color w:val="000000"/>
                <w:sz w:val="16"/>
              </w:rPr>
            </w:pPr>
            <w:r>
              <w:rPr>
                <w:rFonts w:ascii="Verdana" w:hAnsi="Verdana"/>
                <w:noProof/>
                <w:color w:val="000000"/>
                <w:sz w:val="16"/>
              </w:rPr>
              <w:t>2</w:t>
            </w:r>
          </w:p>
        </w:tc>
        <w:tc>
          <w:tcPr>
            <w:tcW w:w="4575"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noProof/>
                <w:color w:val="000000"/>
                <w:sz w:val="16"/>
              </w:rPr>
            </w:pPr>
            <w:r>
              <w:rPr>
                <w:rFonts w:ascii="Verdana" w:hAnsi="Verdana"/>
                <w:noProof/>
                <w:color w:val="000000"/>
                <w:sz w:val="16"/>
              </w:rPr>
              <w:t>Cohésion, résilience et valeurs</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noProof/>
                <w:color w:val="000000"/>
                <w:sz w:val="16"/>
              </w:rPr>
            </w:pPr>
            <w:r>
              <w:rPr>
                <w:rFonts w:ascii="Verdana" w:hAnsi="Verdana"/>
                <w:noProof/>
                <w:color w:val="000000"/>
                <w:sz w:val="16"/>
              </w:rPr>
              <w:t>44 445</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noProof/>
                <w:color w:val="000000"/>
                <w:sz w:val="16"/>
              </w:rPr>
            </w:pPr>
            <w:r>
              <w:rPr>
                <w:rFonts w:ascii="Verdana" w:hAnsi="Verdana"/>
                <w:noProof/>
                <w:color w:val="000000"/>
                <w:sz w:val="16"/>
              </w:rPr>
              <w:t>47 141</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noProof/>
                <w:color w:val="000000"/>
                <w:sz w:val="16"/>
              </w:rPr>
            </w:pPr>
            <w:r>
              <w:rPr>
                <w:rFonts w:ascii="Verdana" w:hAnsi="Verdana"/>
                <w:noProof/>
                <w:color w:val="000000"/>
                <w:sz w:val="16"/>
              </w:rPr>
              <w:t>96 601</w:t>
            </w:r>
          </w:p>
        </w:tc>
        <w:tc>
          <w:tcPr>
            <w:tcW w:w="960"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noProof/>
                <w:color w:val="000000"/>
                <w:sz w:val="16"/>
              </w:rPr>
            </w:pPr>
            <w:r>
              <w:rPr>
                <w:rFonts w:ascii="Verdana" w:hAnsi="Verdana"/>
                <w:noProof/>
                <w:color w:val="000000"/>
                <w:sz w:val="16"/>
              </w:rPr>
              <w:t>92 306</w:t>
            </w:r>
          </w:p>
        </w:tc>
      </w:tr>
      <w:tr>
        <w:trPr>
          <w:trHeight w:val="255"/>
        </w:trPr>
        <w:tc>
          <w:tcPr>
            <w:tcW w:w="1035" w:type="dxa"/>
            <w:tcBorders>
              <w:top w:val="nil"/>
              <w:left w:val="nil"/>
              <w:bottom w:val="nil"/>
              <w:right w:val="nil"/>
              <w:tl2br w:val="nil"/>
              <w:tr2bl w:val="nil"/>
            </w:tcBorders>
            <w:tcMar>
              <w:left w:w="60" w:type="dxa"/>
              <w:right w:w="60" w:type="dxa"/>
            </w:tcMar>
            <w:vAlign w:val="center"/>
          </w:tcPr>
          <w:p>
            <w:pPr>
              <w:pStyle w:val="DMETW36691BIPStatementofcomparisonPayments"/>
              <w:rPr>
                <w:rFonts w:ascii="Verdana" w:eastAsia="Verdana" w:hAnsi="Verdana" w:cs="Verdana"/>
                <w:i/>
                <w:noProof/>
                <w:color w:val="000000"/>
                <w:sz w:val="16"/>
              </w:rPr>
            </w:pPr>
            <w:r>
              <w:rPr>
                <w:rFonts w:ascii="Verdana" w:hAnsi="Verdana"/>
                <w:i/>
                <w:noProof/>
                <w:color w:val="000000"/>
                <w:sz w:val="16"/>
              </w:rPr>
              <w:t>3</w:t>
            </w:r>
          </w:p>
        </w:tc>
        <w:tc>
          <w:tcPr>
            <w:tcW w:w="4575"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i/>
                <w:noProof/>
                <w:color w:val="000000"/>
                <w:sz w:val="16"/>
              </w:rPr>
            </w:pPr>
            <w:r>
              <w:rPr>
                <w:rFonts w:ascii="Verdana" w:hAnsi="Verdana"/>
                <w:i/>
                <w:noProof/>
                <w:color w:val="000000"/>
                <w:sz w:val="16"/>
              </w:rPr>
              <w:t>Ressources naturelles et environnement</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i/>
                <w:noProof/>
                <w:color w:val="000000"/>
                <w:sz w:val="16"/>
              </w:rPr>
            </w:pPr>
            <w:r>
              <w:rPr>
                <w:rFonts w:ascii="Verdana" w:hAnsi="Verdana"/>
                <w:i/>
                <w:noProof/>
                <w:color w:val="000000"/>
                <w:sz w:val="16"/>
              </w:rPr>
              <w:t>52 092</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i/>
                <w:noProof/>
                <w:color w:val="000000"/>
                <w:sz w:val="16"/>
              </w:rPr>
            </w:pPr>
            <w:r>
              <w:rPr>
                <w:rFonts w:ascii="Verdana" w:hAnsi="Verdana"/>
                <w:i/>
                <w:noProof/>
                <w:color w:val="000000"/>
                <w:sz w:val="16"/>
              </w:rPr>
              <w:t>56 039</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i/>
                <w:noProof/>
                <w:color w:val="000000"/>
                <w:sz w:val="16"/>
              </w:rPr>
            </w:pPr>
            <w:r>
              <w:rPr>
                <w:rFonts w:ascii="Verdana" w:hAnsi="Verdana"/>
                <w:i/>
                <w:noProof/>
                <w:color w:val="000000"/>
                <w:sz w:val="16"/>
              </w:rPr>
              <w:t>61 329</w:t>
            </w:r>
          </w:p>
        </w:tc>
        <w:tc>
          <w:tcPr>
            <w:tcW w:w="960"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i/>
                <w:noProof/>
                <w:color w:val="000000"/>
                <w:sz w:val="16"/>
              </w:rPr>
            </w:pPr>
            <w:r>
              <w:rPr>
                <w:rFonts w:ascii="Verdana" w:hAnsi="Verdana"/>
                <w:i/>
                <w:noProof/>
                <w:color w:val="000000"/>
                <w:sz w:val="16"/>
              </w:rPr>
              <w:t>59 589</w:t>
            </w:r>
          </w:p>
        </w:tc>
      </w:tr>
      <w:tr>
        <w:trPr>
          <w:trHeight w:val="255"/>
        </w:trPr>
        <w:tc>
          <w:tcPr>
            <w:tcW w:w="1035" w:type="dxa"/>
            <w:tcBorders>
              <w:top w:val="nil"/>
              <w:left w:val="nil"/>
              <w:bottom w:val="nil"/>
              <w:right w:val="nil"/>
              <w:tl2br w:val="nil"/>
              <w:tr2bl w:val="nil"/>
            </w:tcBorders>
            <w:tcMar>
              <w:left w:w="60" w:type="dxa"/>
              <w:right w:w="60" w:type="dxa"/>
            </w:tcMar>
            <w:vAlign w:val="center"/>
          </w:tcPr>
          <w:p>
            <w:pPr>
              <w:pStyle w:val="DMETW36691BIPStatementofcomparisonPayments"/>
              <w:rPr>
                <w:rFonts w:ascii="Verdana" w:eastAsia="Verdana" w:hAnsi="Verdana" w:cs="Verdana"/>
                <w:i/>
                <w:noProof/>
                <w:color w:val="000000"/>
                <w:sz w:val="16"/>
              </w:rPr>
            </w:pPr>
            <w:r>
              <w:rPr>
                <w:rFonts w:ascii="Verdana" w:hAnsi="Verdana"/>
                <w:i/>
                <w:noProof/>
                <w:color w:val="000000"/>
                <w:sz w:val="16"/>
              </w:rPr>
              <w:t>4</w:t>
            </w:r>
          </w:p>
        </w:tc>
        <w:tc>
          <w:tcPr>
            <w:tcW w:w="4575"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i/>
                <w:noProof/>
                <w:color w:val="000000"/>
                <w:sz w:val="16"/>
              </w:rPr>
            </w:pPr>
            <w:r>
              <w:rPr>
                <w:rFonts w:ascii="Verdana" w:hAnsi="Verdana"/>
                <w:i/>
                <w:noProof/>
                <w:color w:val="000000"/>
                <w:sz w:val="16"/>
              </w:rPr>
              <w:t>Migration et gestion des frontières</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i/>
                <w:noProof/>
                <w:color w:val="000000"/>
                <w:sz w:val="16"/>
              </w:rPr>
            </w:pPr>
            <w:r>
              <w:rPr>
                <w:rFonts w:ascii="Verdana" w:hAnsi="Verdana"/>
                <w:i/>
                <w:noProof/>
                <w:color w:val="000000"/>
                <w:sz w:val="16"/>
              </w:rPr>
              <w:t>3 204</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i/>
                <w:noProof/>
                <w:color w:val="000000"/>
                <w:sz w:val="16"/>
              </w:rPr>
            </w:pPr>
            <w:r>
              <w:rPr>
                <w:rFonts w:ascii="Verdana" w:hAnsi="Verdana"/>
                <w:i/>
                <w:noProof/>
                <w:color w:val="000000"/>
                <w:sz w:val="16"/>
              </w:rPr>
              <w:t>3 564</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i/>
                <w:noProof/>
                <w:color w:val="000000"/>
                <w:sz w:val="16"/>
              </w:rPr>
            </w:pPr>
            <w:r>
              <w:rPr>
                <w:rFonts w:ascii="Verdana" w:hAnsi="Verdana"/>
                <w:i/>
                <w:noProof/>
                <w:color w:val="000000"/>
                <w:sz w:val="16"/>
              </w:rPr>
              <w:t>4 386</w:t>
            </w:r>
          </w:p>
        </w:tc>
        <w:tc>
          <w:tcPr>
            <w:tcW w:w="960"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i/>
                <w:noProof/>
                <w:color w:val="000000"/>
                <w:sz w:val="16"/>
              </w:rPr>
            </w:pPr>
            <w:r>
              <w:rPr>
                <w:rFonts w:ascii="Verdana" w:hAnsi="Verdana"/>
                <w:i/>
                <w:noProof/>
                <w:color w:val="000000"/>
                <w:sz w:val="16"/>
              </w:rPr>
              <w:t>3 819</w:t>
            </w:r>
          </w:p>
        </w:tc>
      </w:tr>
      <w:tr>
        <w:trPr>
          <w:trHeight w:val="255"/>
        </w:trPr>
        <w:tc>
          <w:tcPr>
            <w:tcW w:w="1035" w:type="dxa"/>
            <w:tcBorders>
              <w:top w:val="nil"/>
              <w:left w:val="nil"/>
              <w:bottom w:val="nil"/>
              <w:right w:val="nil"/>
              <w:tl2br w:val="nil"/>
              <w:tr2bl w:val="nil"/>
            </w:tcBorders>
            <w:tcMar>
              <w:left w:w="60" w:type="dxa"/>
              <w:right w:w="60" w:type="dxa"/>
            </w:tcMar>
            <w:vAlign w:val="center"/>
          </w:tcPr>
          <w:p>
            <w:pPr>
              <w:pStyle w:val="DMETW36691BIPStatementofcomparisonPayments"/>
              <w:rPr>
                <w:rFonts w:ascii="Verdana" w:eastAsia="Verdana" w:hAnsi="Verdana" w:cs="Verdana"/>
                <w:noProof/>
                <w:color w:val="000000"/>
                <w:sz w:val="16"/>
              </w:rPr>
            </w:pPr>
            <w:r>
              <w:rPr>
                <w:rFonts w:ascii="Verdana" w:hAnsi="Verdana"/>
                <w:noProof/>
                <w:color w:val="000000"/>
                <w:sz w:val="16"/>
              </w:rPr>
              <w:t>5</w:t>
            </w:r>
          </w:p>
        </w:tc>
        <w:tc>
          <w:tcPr>
            <w:tcW w:w="4575"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noProof/>
                <w:color w:val="000000"/>
                <w:sz w:val="16"/>
              </w:rPr>
            </w:pPr>
            <w:r>
              <w:rPr>
                <w:rFonts w:ascii="Verdana" w:hAnsi="Verdana"/>
                <w:noProof/>
                <w:color w:val="000000"/>
                <w:sz w:val="16"/>
              </w:rPr>
              <w:t>Sécurité et défense</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noProof/>
                <w:color w:val="000000"/>
                <w:sz w:val="16"/>
              </w:rPr>
            </w:pPr>
            <w:r>
              <w:rPr>
                <w:rFonts w:ascii="Verdana" w:hAnsi="Verdana"/>
                <w:noProof/>
                <w:color w:val="000000"/>
                <w:sz w:val="16"/>
              </w:rPr>
              <w:t>2 143</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noProof/>
                <w:color w:val="000000"/>
                <w:sz w:val="16"/>
              </w:rPr>
            </w:pPr>
            <w:r>
              <w:rPr>
                <w:rFonts w:ascii="Verdana" w:hAnsi="Verdana"/>
                <w:noProof/>
                <w:color w:val="000000"/>
                <w:sz w:val="16"/>
              </w:rPr>
              <w:t>1 839</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noProof/>
                <w:color w:val="000000"/>
                <w:sz w:val="16"/>
              </w:rPr>
            </w:pPr>
            <w:r>
              <w:rPr>
                <w:rFonts w:ascii="Verdana" w:hAnsi="Verdana"/>
                <w:noProof/>
                <w:color w:val="000000"/>
                <w:sz w:val="16"/>
              </w:rPr>
              <w:t>1 947</w:t>
            </w:r>
          </w:p>
        </w:tc>
        <w:tc>
          <w:tcPr>
            <w:tcW w:w="960"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noProof/>
                <w:color w:val="000000"/>
                <w:sz w:val="16"/>
              </w:rPr>
            </w:pPr>
            <w:r>
              <w:rPr>
                <w:rFonts w:ascii="Verdana" w:hAnsi="Verdana"/>
                <w:noProof/>
                <w:color w:val="000000"/>
                <w:sz w:val="16"/>
              </w:rPr>
              <w:t>1 872</w:t>
            </w:r>
          </w:p>
        </w:tc>
      </w:tr>
      <w:tr>
        <w:trPr>
          <w:trHeight w:val="255"/>
        </w:trPr>
        <w:tc>
          <w:tcPr>
            <w:tcW w:w="1035" w:type="dxa"/>
            <w:tcBorders>
              <w:top w:val="nil"/>
              <w:left w:val="nil"/>
              <w:bottom w:val="nil"/>
              <w:right w:val="nil"/>
              <w:tl2br w:val="nil"/>
              <w:tr2bl w:val="nil"/>
            </w:tcBorders>
            <w:tcMar>
              <w:left w:w="60" w:type="dxa"/>
              <w:right w:w="60" w:type="dxa"/>
            </w:tcMar>
            <w:vAlign w:val="center"/>
          </w:tcPr>
          <w:p>
            <w:pPr>
              <w:pStyle w:val="DMETW36691BIPStatementofcomparisonPayments"/>
              <w:rPr>
                <w:rFonts w:ascii="Verdana" w:eastAsia="Verdana" w:hAnsi="Verdana" w:cs="Verdana"/>
                <w:i/>
                <w:noProof/>
                <w:color w:val="000000"/>
                <w:sz w:val="16"/>
              </w:rPr>
            </w:pPr>
            <w:r>
              <w:rPr>
                <w:rFonts w:ascii="Verdana" w:hAnsi="Verdana"/>
                <w:i/>
                <w:noProof/>
                <w:color w:val="000000"/>
                <w:sz w:val="16"/>
              </w:rPr>
              <w:t>6</w:t>
            </w:r>
          </w:p>
        </w:tc>
        <w:tc>
          <w:tcPr>
            <w:tcW w:w="4575"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i/>
                <w:noProof/>
                <w:color w:val="000000"/>
                <w:sz w:val="16"/>
              </w:rPr>
            </w:pPr>
            <w:r>
              <w:rPr>
                <w:rFonts w:ascii="Verdana" w:hAnsi="Verdana"/>
                <w:i/>
                <w:noProof/>
                <w:color w:val="000000"/>
                <w:sz w:val="16"/>
              </w:rPr>
              <w:t>Le voisinage et le monde</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i/>
                <w:noProof/>
                <w:color w:val="000000"/>
                <w:sz w:val="16"/>
              </w:rPr>
            </w:pPr>
            <w:r>
              <w:rPr>
                <w:rFonts w:ascii="Verdana" w:hAnsi="Verdana"/>
                <w:i/>
                <w:noProof/>
                <w:color w:val="000000"/>
                <w:sz w:val="16"/>
              </w:rPr>
              <w:t>14 426</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i/>
                <w:noProof/>
                <w:color w:val="000000"/>
                <w:sz w:val="16"/>
              </w:rPr>
            </w:pPr>
            <w:r>
              <w:rPr>
                <w:rFonts w:ascii="Verdana" w:hAnsi="Verdana"/>
                <w:i/>
                <w:noProof/>
                <w:color w:val="000000"/>
                <w:sz w:val="16"/>
              </w:rPr>
              <w:t>15 010</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i/>
                <w:noProof/>
                <w:color w:val="000000"/>
                <w:sz w:val="16"/>
              </w:rPr>
            </w:pPr>
            <w:r>
              <w:rPr>
                <w:rFonts w:ascii="Verdana" w:hAnsi="Verdana"/>
                <w:i/>
                <w:noProof/>
                <w:color w:val="000000"/>
                <w:sz w:val="16"/>
              </w:rPr>
              <w:t>18 469</w:t>
            </w:r>
          </w:p>
        </w:tc>
        <w:tc>
          <w:tcPr>
            <w:tcW w:w="960"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i/>
                <w:noProof/>
                <w:color w:val="000000"/>
                <w:sz w:val="16"/>
              </w:rPr>
            </w:pPr>
            <w:r>
              <w:rPr>
                <w:rFonts w:ascii="Verdana" w:hAnsi="Verdana"/>
                <w:i/>
                <w:noProof/>
                <w:color w:val="000000"/>
                <w:sz w:val="16"/>
              </w:rPr>
              <w:t>17 170</w:t>
            </w:r>
          </w:p>
        </w:tc>
      </w:tr>
      <w:tr>
        <w:trPr>
          <w:trHeight w:val="255"/>
        </w:trPr>
        <w:tc>
          <w:tcPr>
            <w:tcW w:w="1035" w:type="dxa"/>
            <w:tcBorders>
              <w:top w:val="nil"/>
              <w:left w:val="nil"/>
              <w:bottom w:val="nil"/>
              <w:right w:val="nil"/>
              <w:tl2br w:val="nil"/>
              <w:tr2bl w:val="nil"/>
            </w:tcBorders>
            <w:tcMar>
              <w:left w:w="60" w:type="dxa"/>
              <w:right w:w="60" w:type="dxa"/>
            </w:tcMar>
            <w:vAlign w:val="center"/>
          </w:tcPr>
          <w:p>
            <w:pPr>
              <w:pStyle w:val="DMETW36691BIPStatementofcomparisonPayments"/>
              <w:rPr>
                <w:rFonts w:ascii="Verdana" w:eastAsia="Verdana" w:hAnsi="Verdana" w:cs="Verdana"/>
                <w:noProof/>
                <w:color w:val="000000"/>
                <w:sz w:val="16"/>
              </w:rPr>
            </w:pPr>
            <w:r>
              <w:rPr>
                <w:rFonts w:ascii="Verdana" w:hAnsi="Verdana"/>
                <w:noProof/>
                <w:color w:val="000000"/>
                <w:sz w:val="16"/>
              </w:rPr>
              <w:t>7</w:t>
            </w:r>
          </w:p>
        </w:tc>
        <w:tc>
          <w:tcPr>
            <w:tcW w:w="4575"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noProof/>
                <w:color w:val="000000"/>
                <w:sz w:val="16"/>
              </w:rPr>
            </w:pPr>
            <w:r>
              <w:rPr>
                <w:rFonts w:ascii="Verdana" w:hAnsi="Verdana"/>
                <w:noProof/>
                <w:color w:val="000000"/>
                <w:sz w:val="16"/>
              </w:rPr>
              <w:t>Administration publique européenne</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noProof/>
                <w:color w:val="000000"/>
                <w:sz w:val="16"/>
              </w:rPr>
            </w:pPr>
            <w:r>
              <w:rPr>
                <w:rFonts w:ascii="Verdana" w:hAnsi="Verdana"/>
                <w:noProof/>
                <w:color w:val="000000"/>
                <w:sz w:val="16"/>
              </w:rPr>
              <w:t>12 845</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noProof/>
                <w:color w:val="000000"/>
                <w:sz w:val="16"/>
              </w:rPr>
            </w:pPr>
            <w:r>
              <w:rPr>
                <w:rFonts w:ascii="Verdana" w:hAnsi="Verdana"/>
                <w:noProof/>
                <w:color w:val="000000"/>
                <w:sz w:val="16"/>
              </w:rPr>
              <w:t>12 766</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noProof/>
                <w:color w:val="000000"/>
                <w:sz w:val="16"/>
              </w:rPr>
            </w:pPr>
            <w:r>
              <w:rPr>
                <w:rFonts w:ascii="Verdana" w:hAnsi="Verdana"/>
                <w:noProof/>
                <w:color w:val="000000"/>
                <w:sz w:val="16"/>
              </w:rPr>
              <w:t>16 133</w:t>
            </w:r>
          </w:p>
        </w:tc>
        <w:tc>
          <w:tcPr>
            <w:tcW w:w="960"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noProof/>
                <w:color w:val="000000"/>
                <w:sz w:val="16"/>
              </w:rPr>
            </w:pPr>
            <w:r>
              <w:rPr>
                <w:rFonts w:ascii="Verdana" w:hAnsi="Verdana"/>
                <w:noProof/>
                <w:color w:val="000000"/>
                <w:sz w:val="16"/>
              </w:rPr>
              <w:t>13 767</w:t>
            </w:r>
          </w:p>
        </w:tc>
      </w:tr>
      <w:tr>
        <w:trPr>
          <w:trHeight w:val="255"/>
        </w:trPr>
        <w:tc>
          <w:tcPr>
            <w:tcW w:w="1035" w:type="dxa"/>
            <w:tcBorders>
              <w:top w:val="nil"/>
              <w:left w:val="nil"/>
              <w:bottom w:val="nil"/>
              <w:right w:val="nil"/>
              <w:tl2br w:val="nil"/>
              <w:tr2bl w:val="nil"/>
            </w:tcBorders>
            <w:tcMar>
              <w:left w:w="60" w:type="dxa"/>
              <w:right w:w="60" w:type="dxa"/>
            </w:tcMar>
            <w:vAlign w:val="center"/>
          </w:tcPr>
          <w:p>
            <w:pPr>
              <w:pStyle w:val="DMETW36691BIPStatementofcomparisonPayments"/>
              <w:rPr>
                <w:rFonts w:ascii="Verdana" w:eastAsia="Verdana" w:hAnsi="Verdana" w:cs="Verdana"/>
                <w:noProof/>
                <w:color w:val="000000"/>
                <w:sz w:val="16"/>
              </w:rPr>
            </w:pPr>
            <w:r>
              <w:rPr>
                <w:rFonts w:ascii="Verdana" w:hAnsi="Verdana"/>
                <w:noProof/>
                <w:color w:val="000000"/>
                <w:sz w:val="16"/>
              </w:rPr>
              <w:t>O</w:t>
            </w:r>
          </w:p>
        </w:tc>
        <w:tc>
          <w:tcPr>
            <w:tcW w:w="4575"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noProof/>
                <w:color w:val="000000"/>
                <w:sz w:val="16"/>
              </w:rPr>
            </w:pPr>
            <w:r>
              <w:rPr>
                <w:rFonts w:ascii="Verdana" w:hAnsi="Verdana"/>
                <w:noProof/>
                <w:color w:val="000000"/>
                <w:sz w:val="16"/>
              </w:rPr>
              <w:t>Hors CFP</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noProof/>
                <w:color w:val="000000"/>
                <w:sz w:val="16"/>
              </w:rPr>
            </w:pPr>
            <w:r>
              <w:rPr>
                <w:rFonts w:ascii="Verdana" w:hAnsi="Verdana"/>
                <w:noProof/>
                <w:color w:val="000000"/>
                <w:sz w:val="16"/>
              </w:rPr>
              <w:t>3 274</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noProof/>
                <w:color w:val="000000"/>
                <w:sz w:val="16"/>
              </w:rPr>
            </w:pPr>
            <w:r>
              <w:rPr>
                <w:rFonts w:ascii="Verdana" w:hAnsi="Verdana"/>
                <w:noProof/>
                <w:color w:val="000000"/>
                <w:sz w:val="16"/>
              </w:rPr>
              <w:t>2 805</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noProof/>
                <w:color w:val="000000"/>
                <w:sz w:val="16"/>
              </w:rPr>
            </w:pPr>
            <w:r>
              <w:rPr>
                <w:rFonts w:ascii="Verdana" w:hAnsi="Verdana"/>
                <w:noProof/>
                <w:color w:val="000000"/>
                <w:sz w:val="16"/>
              </w:rPr>
              <w:t>15 994</w:t>
            </w:r>
          </w:p>
        </w:tc>
        <w:tc>
          <w:tcPr>
            <w:tcW w:w="960"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noProof/>
                <w:color w:val="000000"/>
                <w:sz w:val="16"/>
              </w:rPr>
            </w:pPr>
            <w:r>
              <w:rPr>
                <w:rFonts w:ascii="Verdana" w:hAnsi="Verdana"/>
                <w:noProof/>
                <w:color w:val="000000"/>
                <w:sz w:val="16"/>
              </w:rPr>
              <w:t>2 319</w:t>
            </w:r>
          </w:p>
        </w:tc>
      </w:tr>
      <w:tr>
        <w:trPr>
          <w:trHeight w:val="255"/>
        </w:trPr>
        <w:tc>
          <w:tcPr>
            <w:tcW w:w="1035" w:type="dxa"/>
            <w:tcBorders>
              <w:top w:val="nil"/>
              <w:left w:val="nil"/>
              <w:bottom w:val="nil"/>
              <w:right w:val="nil"/>
              <w:tl2br w:val="nil"/>
              <w:tr2bl w:val="nil"/>
            </w:tcBorders>
            <w:tcMar>
              <w:left w:w="60" w:type="dxa"/>
              <w:right w:w="60" w:type="dxa"/>
            </w:tcMar>
            <w:vAlign w:val="center"/>
          </w:tcPr>
          <w:p>
            <w:pPr>
              <w:pStyle w:val="DMETW36691BIPStatementofcomparisonPayments"/>
              <w:rPr>
                <w:rFonts w:ascii="Verdana" w:eastAsia="Verdana" w:hAnsi="Verdana" w:cs="Verdana"/>
                <w:noProof/>
                <w:color w:val="000000"/>
                <w:sz w:val="16"/>
              </w:rPr>
            </w:pPr>
            <w:r>
              <w:rPr>
                <w:rFonts w:ascii="Verdana" w:hAnsi="Verdana"/>
                <w:noProof/>
                <w:color w:val="000000"/>
                <w:sz w:val="16"/>
              </w:rPr>
              <w:t>S</w:t>
            </w:r>
          </w:p>
        </w:tc>
        <w:tc>
          <w:tcPr>
            <w:tcW w:w="4575"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noProof/>
                <w:color w:val="000000"/>
                <w:sz w:val="16"/>
              </w:rPr>
            </w:pPr>
            <w:r>
              <w:rPr>
                <w:rFonts w:ascii="Verdana" w:hAnsi="Verdana"/>
                <w:noProof/>
                <w:color w:val="000000"/>
                <w:sz w:val="16"/>
              </w:rPr>
              <w:t>Mécanismes de solidarité à l’intérieur et à l’extérieur de l’Union (instruments spéciaux)</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noProof/>
                <w:color w:val="000000"/>
                <w:sz w:val="16"/>
              </w:rPr>
            </w:pPr>
            <w:r>
              <w:rPr>
                <w:rFonts w:ascii="Verdana" w:hAnsi="Verdana"/>
                <w:noProof/>
                <w:color w:val="000000"/>
                <w:sz w:val="16"/>
              </w:rPr>
              <w:t>2 320</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noProof/>
                <w:color w:val="000000"/>
                <w:sz w:val="16"/>
              </w:rPr>
            </w:pPr>
            <w:r>
              <w:rPr>
                <w:rFonts w:ascii="Verdana" w:hAnsi="Verdana"/>
                <w:noProof/>
                <w:color w:val="000000"/>
                <w:sz w:val="16"/>
              </w:rPr>
              <w:t>1 744</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noProof/>
                <w:color w:val="000000"/>
                <w:sz w:val="16"/>
              </w:rPr>
            </w:pPr>
            <w:r>
              <w:rPr>
                <w:rFonts w:ascii="Verdana" w:hAnsi="Verdana"/>
                <w:noProof/>
                <w:color w:val="000000"/>
                <w:sz w:val="16"/>
              </w:rPr>
              <w:t>2 063</w:t>
            </w:r>
          </w:p>
        </w:tc>
        <w:tc>
          <w:tcPr>
            <w:tcW w:w="960"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noProof/>
                <w:color w:val="000000"/>
                <w:sz w:val="16"/>
              </w:rPr>
            </w:pPr>
            <w:r>
              <w:rPr>
                <w:rFonts w:ascii="Verdana" w:hAnsi="Verdana"/>
                <w:noProof/>
                <w:color w:val="000000"/>
                <w:sz w:val="16"/>
              </w:rPr>
              <w:t>1 048</w:t>
            </w:r>
          </w:p>
        </w:tc>
      </w:tr>
      <w:tr>
        <w:trPr>
          <w:trHeight w:val="255"/>
        </w:trPr>
        <w:tc>
          <w:tcPr>
            <w:tcW w:w="1035" w:type="dxa"/>
            <w:tcBorders>
              <w:top w:val="nil"/>
              <w:left w:val="nil"/>
              <w:bottom w:val="nil"/>
              <w:right w:val="nil"/>
              <w:tl2br w:val="nil"/>
              <w:tr2bl w:val="nil"/>
            </w:tcBorders>
            <w:shd w:val="solid" w:color="CCE1EB" w:fill="FFFFFF"/>
            <w:tcMar>
              <w:left w:w="60" w:type="dxa"/>
              <w:right w:w="60" w:type="dxa"/>
            </w:tcMar>
            <w:vAlign w:val="center"/>
          </w:tcPr>
          <w:p>
            <w:pPr>
              <w:pStyle w:val="DMETW36691BIPStatementofcomparisonPayments"/>
              <w:rPr>
                <w:rFonts w:ascii="Verdana" w:eastAsia="Verdana" w:hAnsi="Verdana" w:cs="Verdana"/>
                <w:b/>
                <w:noProof/>
                <w:color w:val="000000"/>
                <w:sz w:val="16"/>
              </w:rPr>
            </w:pPr>
          </w:p>
        </w:tc>
        <w:tc>
          <w:tcPr>
            <w:tcW w:w="4575" w:type="dxa"/>
            <w:tcBorders>
              <w:top w:val="nil"/>
              <w:left w:val="nil"/>
              <w:bottom w:val="nil"/>
              <w:right w:val="nil"/>
              <w:tl2br w:val="nil"/>
              <w:tr2bl w:val="nil"/>
            </w:tcBorders>
            <w:shd w:val="solid" w:color="CCE1EB" w:fill="FFFFFF"/>
            <w:tcMar>
              <w:left w:w="60" w:type="dxa"/>
              <w:right w:w="60" w:type="dxa"/>
            </w:tcMar>
            <w:vAlign w:val="center"/>
          </w:tcPr>
          <w:p>
            <w:pPr>
              <w:pStyle w:val="DMETW36691BIPStatementofcomparisonPayments"/>
              <w:jc w:val="right"/>
              <w:rPr>
                <w:rFonts w:ascii="Verdana" w:eastAsia="Verdana" w:hAnsi="Verdana" w:cs="Verdana"/>
                <w:b/>
                <w:noProof/>
                <w:color w:val="000000"/>
                <w:sz w:val="16"/>
              </w:rPr>
            </w:pPr>
            <w:r>
              <w:rPr>
                <w:rFonts w:ascii="Verdana" w:hAnsi="Verdana"/>
                <w:b/>
                <w:noProof/>
                <w:color w:val="000000"/>
                <w:sz w:val="16"/>
              </w:rPr>
              <w:t>Total</w:t>
            </w:r>
          </w:p>
        </w:tc>
        <w:tc>
          <w:tcPr>
            <w:tcW w:w="1350" w:type="dxa"/>
            <w:tcBorders>
              <w:top w:val="nil"/>
              <w:left w:val="nil"/>
              <w:bottom w:val="nil"/>
              <w:right w:val="nil"/>
              <w:tl2br w:val="nil"/>
              <w:tr2bl w:val="nil"/>
            </w:tcBorders>
            <w:shd w:val="solid" w:color="CCE1EB" w:fill="FFFFFF"/>
            <w:tcMar>
              <w:left w:w="60" w:type="dxa"/>
              <w:right w:w="60" w:type="dxa"/>
            </w:tcMar>
            <w:vAlign w:val="center"/>
          </w:tcPr>
          <w:p>
            <w:pPr>
              <w:pStyle w:val="DMETW36691BIPStatementofcomparisonPayments"/>
              <w:jc w:val="right"/>
              <w:rPr>
                <w:rFonts w:ascii="Verdana" w:eastAsia="Verdana" w:hAnsi="Verdana" w:cs="Verdana"/>
                <w:b/>
                <w:noProof/>
                <w:color w:val="000000"/>
                <w:sz w:val="16"/>
              </w:rPr>
            </w:pPr>
            <w:r>
              <w:rPr>
                <w:rFonts w:ascii="Verdana" w:hAnsi="Verdana"/>
                <w:b/>
                <w:noProof/>
                <w:color w:val="000000"/>
                <w:sz w:val="16"/>
              </w:rPr>
              <w:t>155 209</w:t>
            </w:r>
          </w:p>
        </w:tc>
        <w:tc>
          <w:tcPr>
            <w:tcW w:w="1350" w:type="dxa"/>
            <w:tcBorders>
              <w:top w:val="nil"/>
              <w:left w:val="nil"/>
              <w:bottom w:val="nil"/>
              <w:right w:val="nil"/>
              <w:tl2br w:val="nil"/>
              <w:tr2bl w:val="nil"/>
            </w:tcBorders>
            <w:shd w:val="solid" w:color="CCE1EB" w:fill="FFFFFF"/>
            <w:tcMar>
              <w:left w:w="60" w:type="dxa"/>
              <w:right w:w="60" w:type="dxa"/>
            </w:tcMar>
            <w:vAlign w:val="center"/>
          </w:tcPr>
          <w:p>
            <w:pPr>
              <w:pStyle w:val="DMETW36691BIPStatementofcomparisonPayments"/>
              <w:jc w:val="right"/>
              <w:rPr>
                <w:rFonts w:ascii="Verdana" w:eastAsia="Verdana" w:hAnsi="Verdana" w:cs="Verdana"/>
                <w:b/>
                <w:noProof/>
                <w:color w:val="000000"/>
                <w:sz w:val="16"/>
              </w:rPr>
            </w:pPr>
            <w:r>
              <w:rPr>
                <w:rFonts w:ascii="Verdana" w:hAnsi="Verdana"/>
                <w:b/>
                <w:noProof/>
                <w:color w:val="000000"/>
                <w:sz w:val="16"/>
              </w:rPr>
              <w:t>161 163</w:t>
            </w:r>
          </w:p>
        </w:tc>
        <w:tc>
          <w:tcPr>
            <w:tcW w:w="1350" w:type="dxa"/>
            <w:tcBorders>
              <w:top w:val="nil"/>
              <w:left w:val="nil"/>
              <w:bottom w:val="nil"/>
              <w:right w:val="nil"/>
              <w:tl2br w:val="nil"/>
              <w:tr2bl w:val="nil"/>
            </w:tcBorders>
            <w:shd w:val="solid" w:color="CCE1EB" w:fill="FFFFFF"/>
            <w:tcMar>
              <w:left w:w="60" w:type="dxa"/>
              <w:right w:w="60" w:type="dxa"/>
            </w:tcMar>
            <w:vAlign w:val="center"/>
          </w:tcPr>
          <w:p>
            <w:pPr>
              <w:pStyle w:val="DMETW36691BIPStatementofcomparisonPayments"/>
              <w:jc w:val="right"/>
              <w:rPr>
                <w:rFonts w:ascii="Verdana" w:eastAsia="Verdana" w:hAnsi="Verdana" w:cs="Verdana"/>
                <w:b/>
                <w:noProof/>
                <w:color w:val="000000"/>
                <w:sz w:val="16"/>
              </w:rPr>
            </w:pPr>
            <w:r>
              <w:rPr>
                <w:rFonts w:ascii="Verdana" w:hAnsi="Verdana"/>
                <w:b/>
                <w:noProof/>
                <w:color w:val="000000"/>
                <w:sz w:val="16"/>
              </w:rPr>
              <w:t>250 956</w:t>
            </w:r>
          </w:p>
        </w:tc>
        <w:tc>
          <w:tcPr>
            <w:tcW w:w="960" w:type="dxa"/>
            <w:tcBorders>
              <w:top w:val="nil"/>
              <w:left w:val="nil"/>
              <w:bottom w:val="nil"/>
              <w:right w:val="nil"/>
              <w:tl2br w:val="nil"/>
              <w:tr2bl w:val="nil"/>
            </w:tcBorders>
            <w:shd w:val="solid" w:color="CCE1EB" w:fill="FFFFFF"/>
            <w:tcMar>
              <w:left w:w="60" w:type="dxa"/>
              <w:right w:w="60" w:type="dxa"/>
            </w:tcMar>
            <w:vAlign w:val="center"/>
          </w:tcPr>
          <w:p>
            <w:pPr>
              <w:pStyle w:val="DMETW36691BIPStatementofcomparisonPayments"/>
              <w:jc w:val="right"/>
              <w:rPr>
                <w:rFonts w:ascii="Verdana" w:eastAsia="Verdana" w:hAnsi="Verdana" w:cs="Verdana"/>
                <w:b/>
                <w:noProof/>
                <w:color w:val="000000"/>
                <w:sz w:val="16"/>
              </w:rPr>
            </w:pPr>
            <w:r>
              <w:rPr>
                <w:rFonts w:ascii="Verdana" w:hAnsi="Verdana"/>
                <w:b/>
                <w:noProof/>
                <w:color w:val="000000"/>
                <w:sz w:val="16"/>
              </w:rPr>
              <w:t>216 373</w:t>
            </w:r>
          </w:p>
        </w:tc>
      </w:tr>
      <w:tr>
        <w:trPr>
          <w:trHeight w:val="255"/>
        </w:trPr>
        <w:tc>
          <w:tcPr>
            <w:tcW w:w="1035" w:type="dxa"/>
            <w:tcBorders>
              <w:top w:val="nil"/>
              <w:left w:val="nil"/>
              <w:bottom w:val="nil"/>
              <w:right w:val="nil"/>
              <w:tl2br w:val="nil"/>
              <w:tr2bl w:val="nil"/>
            </w:tcBorders>
            <w:shd w:val="solid" w:color="CCE1EB" w:fill="FFFFFF"/>
            <w:tcMar>
              <w:left w:w="60" w:type="dxa"/>
              <w:right w:w="60" w:type="dxa"/>
            </w:tcMar>
            <w:vAlign w:val="center"/>
          </w:tcPr>
          <w:p>
            <w:pPr>
              <w:pStyle w:val="DMETW36691BIPStatementofcomparisonPayments"/>
              <w:rPr>
                <w:rFonts w:ascii="Verdana" w:eastAsia="Verdana" w:hAnsi="Verdana" w:cs="Verdana"/>
                <w:i/>
                <w:noProof/>
                <w:color w:val="000000"/>
                <w:sz w:val="16"/>
              </w:rPr>
            </w:pPr>
          </w:p>
        </w:tc>
        <w:tc>
          <w:tcPr>
            <w:tcW w:w="4575" w:type="dxa"/>
            <w:tcBorders>
              <w:top w:val="nil"/>
              <w:left w:val="nil"/>
              <w:bottom w:val="nil"/>
              <w:right w:val="nil"/>
              <w:tl2br w:val="nil"/>
              <w:tr2bl w:val="nil"/>
            </w:tcBorders>
            <w:shd w:val="solid" w:color="CCE1EB" w:fill="FFFFFF"/>
            <w:tcMar>
              <w:left w:w="60" w:type="dxa"/>
              <w:right w:w="60" w:type="dxa"/>
            </w:tcMar>
            <w:vAlign w:val="center"/>
          </w:tcPr>
          <w:p>
            <w:pPr>
              <w:pStyle w:val="DMETW36691BIPStatementofcomparisonPayments"/>
              <w:jc w:val="right"/>
              <w:rPr>
                <w:rFonts w:ascii="Verdana" w:eastAsia="Verdana" w:hAnsi="Verdana" w:cs="Verdana"/>
                <w:i/>
                <w:noProof/>
                <w:color w:val="000000"/>
                <w:sz w:val="16"/>
              </w:rPr>
            </w:pPr>
            <w:r>
              <w:rPr>
                <w:rFonts w:ascii="Verdana" w:hAnsi="Verdana"/>
                <w:i/>
                <w:noProof/>
                <w:color w:val="000000"/>
                <w:sz w:val="16"/>
              </w:rPr>
              <w:t xml:space="preserve">     dont NextGenerationEU (NGEU)</w:t>
            </w:r>
          </w:p>
        </w:tc>
        <w:tc>
          <w:tcPr>
            <w:tcW w:w="1350" w:type="dxa"/>
            <w:tcBorders>
              <w:top w:val="nil"/>
              <w:left w:val="nil"/>
              <w:bottom w:val="nil"/>
              <w:right w:val="nil"/>
              <w:tl2br w:val="nil"/>
              <w:tr2bl w:val="nil"/>
            </w:tcBorders>
            <w:shd w:val="solid" w:color="CCE1EB" w:fill="FFFFFF"/>
            <w:tcMar>
              <w:left w:w="60" w:type="dxa"/>
              <w:right w:w="60" w:type="dxa"/>
            </w:tcMar>
            <w:vAlign w:val="center"/>
          </w:tcPr>
          <w:p>
            <w:pPr>
              <w:pStyle w:val="DMETW36691BIPStatementofcomparisonPayments"/>
              <w:jc w:val="right"/>
              <w:rPr>
                <w:rFonts w:ascii="Verdana" w:eastAsia="Verdana" w:hAnsi="Verdana" w:cs="Verdana"/>
                <w:i/>
                <w:noProof/>
                <w:color w:val="000000"/>
                <w:sz w:val="16"/>
              </w:rPr>
            </w:pPr>
            <w:r>
              <w:rPr>
                <w:rFonts w:ascii="Verdana" w:hAnsi="Verdana"/>
                <w:i/>
                <w:noProof/>
                <w:color w:val="000000"/>
                <w:sz w:val="16"/>
              </w:rPr>
              <w:t>–</w:t>
            </w:r>
          </w:p>
        </w:tc>
        <w:tc>
          <w:tcPr>
            <w:tcW w:w="1350" w:type="dxa"/>
            <w:tcBorders>
              <w:top w:val="nil"/>
              <w:left w:val="nil"/>
              <w:bottom w:val="nil"/>
              <w:right w:val="nil"/>
              <w:tl2br w:val="nil"/>
              <w:tr2bl w:val="nil"/>
            </w:tcBorders>
            <w:shd w:val="solid" w:color="CCE1EB" w:fill="FFFFFF"/>
            <w:tcMar>
              <w:left w:w="60" w:type="dxa"/>
              <w:right w:w="60" w:type="dxa"/>
            </w:tcMar>
            <w:vAlign w:val="center"/>
          </w:tcPr>
          <w:p>
            <w:pPr>
              <w:pStyle w:val="DMETW36691BIPStatementofcomparisonPayments"/>
              <w:jc w:val="right"/>
              <w:rPr>
                <w:rFonts w:ascii="Verdana" w:eastAsia="Verdana" w:hAnsi="Verdana" w:cs="Verdana"/>
                <w:i/>
                <w:noProof/>
                <w:color w:val="000000"/>
                <w:sz w:val="16"/>
              </w:rPr>
            </w:pPr>
            <w:r>
              <w:rPr>
                <w:rFonts w:ascii="Verdana" w:hAnsi="Verdana"/>
                <w:i/>
                <w:noProof/>
                <w:color w:val="000000"/>
                <w:sz w:val="16"/>
              </w:rPr>
              <w:t>–</w:t>
            </w:r>
          </w:p>
        </w:tc>
        <w:tc>
          <w:tcPr>
            <w:tcW w:w="1350" w:type="dxa"/>
            <w:tcBorders>
              <w:top w:val="nil"/>
              <w:left w:val="nil"/>
              <w:bottom w:val="nil"/>
              <w:right w:val="nil"/>
              <w:tl2br w:val="nil"/>
              <w:tr2bl w:val="nil"/>
            </w:tcBorders>
            <w:shd w:val="solid" w:color="CCE1EB" w:fill="FFFFFF"/>
            <w:tcMar>
              <w:left w:w="60" w:type="dxa"/>
              <w:right w:w="60" w:type="dxa"/>
            </w:tcMar>
            <w:vAlign w:val="center"/>
          </w:tcPr>
          <w:p>
            <w:pPr>
              <w:pStyle w:val="DMETW36691BIPStatementofcomparisonPayments"/>
              <w:jc w:val="right"/>
              <w:rPr>
                <w:rFonts w:ascii="Verdana" w:eastAsia="Verdana" w:hAnsi="Verdana" w:cs="Verdana"/>
                <w:i/>
                <w:noProof/>
                <w:color w:val="000000"/>
                <w:sz w:val="16"/>
              </w:rPr>
            </w:pPr>
            <w:r>
              <w:rPr>
                <w:rFonts w:ascii="Verdana" w:hAnsi="Verdana"/>
                <w:i/>
                <w:noProof/>
                <w:color w:val="000000"/>
                <w:sz w:val="16"/>
              </w:rPr>
              <w:t>43 760</w:t>
            </w:r>
          </w:p>
        </w:tc>
        <w:tc>
          <w:tcPr>
            <w:tcW w:w="960" w:type="dxa"/>
            <w:tcBorders>
              <w:top w:val="nil"/>
              <w:left w:val="nil"/>
              <w:bottom w:val="nil"/>
              <w:right w:val="nil"/>
              <w:tl2br w:val="nil"/>
              <w:tr2bl w:val="nil"/>
            </w:tcBorders>
            <w:shd w:val="solid" w:color="CCE1EB" w:fill="FFFFFF"/>
            <w:tcMar>
              <w:left w:w="60" w:type="dxa"/>
              <w:right w:w="60" w:type="dxa"/>
            </w:tcMar>
            <w:vAlign w:val="center"/>
          </w:tcPr>
          <w:p>
            <w:pPr>
              <w:pStyle w:val="DMETW36691BIPStatementofcomparisonPayments"/>
              <w:jc w:val="right"/>
              <w:rPr>
                <w:rFonts w:ascii="Verdana" w:eastAsia="Verdana" w:hAnsi="Verdana" w:cs="Verdana"/>
                <w:i/>
                <w:noProof/>
                <w:color w:val="000000"/>
                <w:sz w:val="16"/>
              </w:rPr>
            </w:pPr>
            <w:r>
              <w:rPr>
                <w:rFonts w:ascii="Verdana" w:hAnsi="Verdana"/>
                <w:i/>
                <w:noProof/>
                <w:color w:val="000000"/>
                <w:sz w:val="16"/>
              </w:rPr>
              <w:t>41 739</w:t>
            </w:r>
          </w:p>
        </w:tc>
      </w:tr>
      <w:bookmarkEnd w:id="253"/>
    </w:tbl>
    <w:p>
      <w:pPr>
        <w:pStyle w:val="Textstand-alone"/>
        <w:sectPr>
          <w:headerReference w:type="default" r:id="rId149"/>
          <w:footerReference w:type="default" r:id="rId150"/>
          <w:pgSz w:w="11907" w:h="16840"/>
          <w:pgMar w:top="1134" w:right="1134" w:bottom="1134" w:left="1134" w:header="709" w:footer="709" w:gutter="0"/>
          <w:cols w:space="708"/>
          <w:docGrid w:linePitch="360"/>
        </w:sectPr>
      </w:pPr>
    </w:p>
    <w:p>
      <w:pPr>
        <w:pStyle w:val="HEADER1PartBUDG"/>
        <w:rPr>
          <w:noProof/>
        </w:rPr>
      </w:pPr>
      <w:bookmarkStart w:id="260" w:name="_Toc177134509"/>
      <w:bookmarkStart w:id="261" w:name="_Toc237349621"/>
      <w:bookmarkStart w:id="262" w:name="_DMBM_36737"/>
      <w:r>
        <w:rPr>
          <w:noProof/>
        </w:rPr>
        <w:lastRenderedPageBreak/>
        <w:t>NOTES RELATIVES AUX ÉTATS SUR L’EXÉCUTION BUDGÉTAIRE</w:t>
      </w:r>
      <w:bookmarkEnd w:id="260"/>
      <w:bookmarkEnd w:id="261"/>
      <w:r>
        <w:rPr>
          <w:noProof/>
        </w:rPr>
        <w:t xml:space="preserve"> </w:t>
      </w:r>
    </w:p>
    <w:p>
      <w:pPr>
        <w:pStyle w:val="HEADER2PartBUDG"/>
        <w:rPr>
          <w:noProof/>
        </w:rPr>
      </w:pPr>
      <w:bookmarkStart w:id="263" w:name="_Toc177134510"/>
      <w:bookmarkStart w:id="264" w:name="_Toc237349622"/>
      <w:r>
        <w:rPr>
          <w:noProof/>
        </w:rPr>
        <w:t>LE CADRE BUDGÉTAIRE DE l’UE</w:t>
      </w:r>
      <w:bookmarkEnd w:id="263"/>
      <w:bookmarkEnd w:id="264"/>
    </w:p>
    <w:p>
      <w:pPr>
        <w:pStyle w:val="Textstand-alone"/>
      </w:pPr>
      <w:bookmarkStart w:id="265" w:name="_Hlk183003134"/>
      <w:r>
        <w:t>La comptabilité budgétaire est tenue conformément au règlement financier (RF). Le budget général est l’instrument qui prévoit et autorise chaque année les recettes et les dépenses de l’Union, dans le respect des plafonds et des autres dispositions prévus par le CFP, conformément aux actes législatifs relatifs aux programmes pluriannuels adoptés au titre du CFP.</w:t>
      </w:r>
    </w:p>
    <w:p>
      <w:pPr>
        <w:pStyle w:val="HEADER2PartBUDG"/>
        <w:rPr>
          <w:noProof/>
        </w:rPr>
      </w:pPr>
      <w:bookmarkStart w:id="266" w:name="_Toc177134511"/>
      <w:bookmarkStart w:id="267" w:name="_Toc200103451"/>
      <w:bookmarkStart w:id="268" w:name="_Toc237349623"/>
      <w:bookmarkEnd w:id="265"/>
      <w:r>
        <w:rPr>
          <w:noProof/>
        </w:rPr>
        <w:t>CADRE FINANCIER PLURIANNUEL 2021-2027</w:t>
      </w:r>
      <w:bookmarkEnd w:id="266"/>
      <w:bookmarkEnd w:id="267"/>
      <w:bookmarkEnd w:id="26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2"/>
        <w:gridCol w:w="961"/>
        <w:gridCol w:w="960"/>
        <w:gridCol w:w="960"/>
        <w:gridCol w:w="960"/>
        <w:gridCol w:w="960"/>
        <w:gridCol w:w="960"/>
        <w:gridCol w:w="962"/>
        <w:gridCol w:w="1114"/>
      </w:tblGrid>
      <w:tr>
        <w:trPr>
          <w:cantSplit/>
          <w:trHeight w:val="369"/>
          <w:jc w:val="center"/>
        </w:trPr>
        <w:tc>
          <w:tcPr>
            <w:tcW w:w="5000" w:type="pct"/>
            <w:gridSpan w:val="9"/>
            <w:tcBorders>
              <w:top w:val="nil"/>
              <w:left w:val="nil"/>
              <w:bottom w:val="nil"/>
              <w:right w:val="nil"/>
              <w:tl2br w:val="nil"/>
              <w:tr2bl w:val="nil"/>
            </w:tcBorders>
            <w:tcMar>
              <w:left w:w="60" w:type="dxa"/>
              <w:right w:w="60" w:type="dxa"/>
            </w:tcMar>
            <w:vAlign w:val="center"/>
          </w:tcPr>
          <w:p>
            <w:pPr>
              <w:pStyle w:val="DMETW22324BIPFinancialFWK20142020"/>
              <w:jc w:val="right"/>
              <w:rPr>
                <w:rFonts w:ascii="Verdana" w:eastAsia="Verdana" w:hAnsi="Verdana" w:cs="Verdana"/>
                <w:i/>
                <w:noProof/>
                <w:color w:val="000000"/>
                <w:sz w:val="16"/>
              </w:rPr>
            </w:pPr>
            <w:r>
              <w:rPr>
                <w:rFonts w:ascii="Verdana" w:hAnsi="Verdana"/>
                <w:i/>
                <w:noProof/>
                <w:color w:val="000000"/>
                <w:sz w:val="16"/>
              </w:rPr>
              <w:t>en Mio EUR, prix courants</w:t>
            </w:r>
          </w:p>
        </w:tc>
      </w:tr>
      <w:tr>
        <w:trPr>
          <w:cantSplit/>
          <w:trHeight w:val="369"/>
          <w:jc w:val="center"/>
        </w:trPr>
        <w:tc>
          <w:tcPr>
            <w:tcW w:w="984" w:type="pct"/>
            <w:tcBorders>
              <w:top w:val="nil"/>
              <w:left w:val="nil"/>
              <w:bottom w:val="nil"/>
              <w:right w:val="nil"/>
              <w:tl2br w:val="nil"/>
              <w:tr2bl w:val="nil"/>
            </w:tcBorders>
            <w:shd w:val="solid" w:color="006996" w:fill="FFFFFF"/>
            <w:tcMar>
              <w:left w:w="60" w:type="dxa"/>
              <w:right w:w="60" w:type="dxa"/>
            </w:tcMar>
          </w:tcPr>
          <w:p>
            <w:pPr>
              <w:pStyle w:val="DMETW22324BIPFinancialFWK20142020"/>
              <w:jc w:val="center"/>
              <w:rPr>
                <w:rFonts w:ascii="Verdana" w:eastAsia="Verdana" w:hAnsi="Verdana" w:cs="Verdana"/>
                <w:noProof/>
                <w:color w:val="FFFFFF" w:themeColor="background1"/>
                <w:sz w:val="16"/>
              </w:rPr>
            </w:pPr>
          </w:p>
        </w:tc>
        <w:tc>
          <w:tcPr>
            <w:tcW w:w="492" w:type="pct"/>
            <w:tcBorders>
              <w:top w:val="nil"/>
              <w:left w:val="nil"/>
              <w:bottom w:val="nil"/>
              <w:right w:val="nil"/>
              <w:tl2br w:val="nil"/>
              <w:tr2bl w:val="nil"/>
            </w:tcBorders>
            <w:shd w:val="solid" w:color="006996" w:fill="FFFFFF"/>
            <w:tcMar>
              <w:left w:w="60" w:type="dxa"/>
              <w:right w:w="60" w:type="dxa"/>
            </w:tcMar>
          </w:tcPr>
          <w:p>
            <w:pPr>
              <w:pStyle w:val="DMETW22324BIPFinancialFWK20142020"/>
              <w:jc w:val="center"/>
              <w:rPr>
                <w:rFonts w:ascii="Verdana" w:eastAsia="Verdana" w:hAnsi="Verdana" w:cs="Verdana"/>
                <w:noProof/>
                <w:color w:val="FFFFFF" w:themeColor="background1"/>
                <w:sz w:val="16"/>
              </w:rPr>
            </w:pPr>
            <w:r>
              <w:rPr>
                <w:noProof/>
                <w:color w:val="FFFFFF" w:themeColor="background1"/>
              </w:rPr>
              <w:t>2021</w:t>
            </w:r>
          </w:p>
        </w:tc>
        <w:tc>
          <w:tcPr>
            <w:tcW w:w="492" w:type="pct"/>
            <w:tcBorders>
              <w:top w:val="nil"/>
              <w:left w:val="nil"/>
              <w:bottom w:val="nil"/>
              <w:right w:val="nil"/>
              <w:tl2br w:val="nil"/>
              <w:tr2bl w:val="nil"/>
            </w:tcBorders>
            <w:shd w:val="solid" w:color="006996" w:fill="FFFFFF"/>
            <w:tcMar>
              <w:left w:w="60" w:type="dxa"/>
              <w:right w:w="60" w:type="dxa"/>
            </w:tcMar>
          </w:tcPr>
          <w:p>
            <w:pPr>
              <w:pStyle w:val="DMETW22324BIPFinancialFWK20142020"/>
              <w:jc w:val="center"/>
              <w:rPr>
                <w:rFonts w:ascii="Verdana" w:eastAsia="Verdana" w:hAnsi="Verdana" w:cs="Verdana"/>
                <w:noProof/>
                <w:color w:val="FFFFFF" w:themeColor="background1"/>
                <w:sz w:val="16"/>
              </w:rPr>
            </w:pPr>
            <w:r>
              <w:rPr>
                <w:noProof/>
                <w:color w:val="FFFFFF" w:themeColor="background1"/>
              </w:rPr>
              <w:t>2022</w:t>
            </w:r>
          </w:p>
        </w:tc>
        <w:tc>
          <w:tcPr>
            <w:tcW w:w="492" w:type="pct"/>
            <w:tcBorders>
              <w:top w:val="nil"/>
              <w:left w:val="nil"/>
              <w:bottom w:val="nil"/>
              <w:right w:val="nil"/>
              <w:tl2br w:val="nil"/>
              <w:tr2bl w:val="nil"/>
            </w:tcBorders>
            <w:shd w:val="solid" w:color="006996" w:fill="FFFFFF"/>
            <w:tcMar>
              <w:left w:w="60" w:type="dxa"/>
              <w:right w:w="60" w:type="dxa"/>
            </w:tcMar>
          </w:tcPr>
          <w:p>
            <w:pPr>
              <w:pStyle w:val="DMETW22324BIPFinancialFWK20142020"/>
              <w:jc w:val="center"/>
              <w:rPr>
                <w:rFonts w:ascii="Verdana" w:eastAsia="Verdana" w:hAnsi="Verdana" w:cs="Verdana"/>
                <w:noProof/>
                <w:color w:val="FFFFFF" w:themeColor="background1"/>
                <w:sz w:val="16"/>
              </w:rPr>
            </w:pPr>
            <w:r>
              <w:rPr>
                <w:noProof/>
                <w:color w:val="FFFFFF" w:themeColor="background1"/>
              </w:rPr>
              <w:t>2023</w:t>
            </w:r>
          </w:p>
        </w:tc>
        <w:tc>
          <w:tcPr>
            <w:tcW w:w="492" w:type="pct"/>
            <w:tcBorders>
              <w:top w:val="nil"/>
              <w:left w:val="nil"/>
              <w:bottom w:val="nil"/>
              <w:right w:val="nil"/>
              <w:tl2br w:val="nil"/>
              <w:tr2bl w:val="nil"/>
            </w:tcBorders>
            <w:shd w:val="solid" w:color="006996" w:fill="FFFFFF"/>
            <w:tcMar>
              <w:left w:w="60" w:type="dxa"/>
              <w:right w:w="60" w:type="dxa"/>
            </w:tcMar>
          </w:tcPr>
          <w:p>
            <w:pPr>
              <w:pStyle w:val="DMETW22324BIPFinancialFWK20142020"/>
              <w:jc w:val="center"/>
              <w:rPr>
                <w:rFonts w:ascii="Verdana" w:eastAsia="Verdana" w:hAnsi="Verdana" w:cs="Verdana"/>
                <w:noProof/>
                <w:color w:val="FFFFFF" w:themeColor="background1"/>
                <w:sz w:val="16"/>
              </w:rPr>
            </w:pPr>
            <w:r>
              <w:rPr>
                <w:noProof/>
                <w:color w:val="FFFFFF" w:themeColor="background1"/>
              </w:rPr>
              <w:t>2024</w:t>
            </w:r>
          </w:p>
        </w:tc>
        <w:tc>
          <w:tcPr>
            <w:tcW w:w="492" w:type="pct"/>
            <w:tcBorders>
              <w:top w:val="nil"/>
              <w:left w:val="nil"/>
              <w:bottom w:val="nil"/>
              <w:right w:val="nil"/>
              <w:tl2br w:val="nil"/>
              <w:tr2bl w:val="nil"/>
            </w:tcBorders>
            <w:shd w:val="solid" w:color="006996" w:fill="FFFFFF"/>
            <w:tcMar>
              <w:left w:w="60" w:type="dxa"/>
              <w:right w:w="60" w:type="dxa"/>
            </w:tcMar>
          </w:tcPr>
          <w:p>
            <w:pPr>
              <w:pStyle w:val="DMETW22324BIPFinancialFWK20142020"/>
              <w:jc w:val="center"/>
              <w:rPr>
                <w:rFonts w:ascii="Verdana" w:eastAsia="Verdana" w:hAnsi="Verdana" w:cs="Verdana"/>
                <w:noProof/>
                <w:color w:val="FFFFFF" w:themeColor="background1"/>
                <w:sz w:val="16"/>
              </w:rPr>
            </w:pPr>
            <w:r>
              <w:rPr>
                <w:noProof/>
                <w:color w:val="FFFFFF" w:themeColor="background1"/>
              </w:rPr>
              <w:t>2025</w:t>
            </w:r>
          </w:p>
        </w:tc>
        <w:tc>
          <w:tcPr>
            <w:tcW w:w="492" w:type="pct"/>
            <w:tcBorders>
              <w:top w:val="nil"/>
              <w:left w:val="nil"/>
              <w:bottom w:val="nil"/>
              <w:right w:val="nil"/>
              <w:tl2br w:val="nil"/>
              <w:tr2bl w:val="nil"/>
            </w:tcBorders>
            <w:shd w:val="solid" w:color="006996" w:fill="FFFFFF"/>
            <w:tcMar>
              <w:left w:w="60" w:type="dxa"/>
              <w:right w:w="60" w:type="dxa"/>
            </w:tcMar>
          </w:tcPr>
          <w:p>
            <w:pPr>
              <w:pStyle w:val="DMETW22324BIPFinancialFWK20142020"/>
              <w:jc w:val="center"/>
              <w:rPr>
                <w:rFonts w:ascii="Verdana" w:eastAsia="Verdana" w:hAnsi="Verdana" w:cs="Verdana"/>
                <w:noProof/>
                <w:color w:val="FFFFFF" w:themeColor="background1"/>
                <w:sz w:val="16"/>
              </w:rPr>
            </w:pPr>
            <w:r>
              <w:rPr>
                <w:noProof/>
                <w:color w:val="FFFFFF" w:themeColor="background1"/>
              </w:rPr>
              <w:t>2026</w:t>
            </w:r>
          </w:p>
        </w:tc>
        <w:tc>
          <w:tcPr>
            <w:tcW w:w="493" w:type="pct"/>
            <w:tcBorders>
              <w:top w:val="nil"/>
              <w:left w:val="nil"/>
              <w:bottom w:val="nil"/>
              <w:right w:val="nil"/>
              <w:tl2br w:val="nil"/>
              <w:tr2bl w:val="nil"/>
            </w:tcBorders>
            <w:shd w:val="solid" w:color="006996" w:fill="FFFFFF"/>
            <w:tcMar>
              <w:left w:w="60" w:type="dxa"/>
              <w:right w:w="60" w:type="dxa"/>
            </w:tcMar>
          </w:tcPr>
          <w:p>
            <w:pPr>
              <w:pStyle w:val="DMETW22324BIPFinancialFWK20142020"/>
              <w:jc w:val="center"/>
              <w:rPr>
                <w:rFonts w:ascii="Verdana" w:eastAsia="Verdana" w:hAnsi="Verdana" w:cs="Verdana"/>
                <w:noProof/>
                <w:color w:val="FFFFFF" w:themeColor="background1"/>
                <w:sz w:val="16"/>
              </w:rPr>
            </w:pPr>
            <w:r>
              <w:rPr>
                <w:noProof/>
                <w:color w:val="FFFFFF" w:themeColor="background1"/>
              </w:rPr>
              <w:t>2027</w:t>
            </w:r>
          </w:p>
        </w:tc>
        <w:tc>
          <w:tcPr>
            <w:tcW w:w="568" w:type="pct"/>
            <w:tcBorders>
              <w:top w:val="nil"/>
              <w:left w:val="nil"/>
              <w:bottom w:val="nil"/>
              <w:right w:val="nil"/>
              <w:tl2br w:val="nil"/>
              <w:tr2bl w:val="nil"/>
            </w:tcBorders>
            <w:shd w:val="solid" w:color="006996" w:fill="FFFFFF"/>
            <w:tcMar>
              <w:left w:w="60" w:type="dxa"/>
              <w:right w:w="60" w:type="dxa"/>
            </w:tcMar>
          </w:tcPr>
          <w:p>
            <w:pPr>
              <w:pStyle w:val="DMETW22324BIPFinancialFWK20142020"/>
              <w:jc w:val="center"/>
              <w:rPr>
                <w:rFonts w:ascii="Verdana" w:eastAsia="Verdana" w:hAnsi="Verdana" w:cs="Verdana"/>
                <w:noProof/>
                <w:color w:val="FFFFFF" w:themeColor="background1"/>
                <w:sz w:val="16"/>
              </w:rPr>
            </w:pPr>
            <w:r>
              <w:rPr>
                <w:noProof/>
                <w:color w:val="FFFFFF" w:themeColor="background1"/>
              </w:rPr>
              <w:t>Total</w:t>
            </w:r>
          </w:p>
        </w:tc>
      </w:tr>
      <w:tr>
        <w:trPr>
          <w:trHeight w:val="369"/>
          <w:jc w:val="center"/>
        </w:trPr>
        <w:tc>
          <w:tcPr>
            <w:tcW w:w="984"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rPr>
                <w:rFonts w:ascii="Verdana" w:eastAsia="Verdana" w:hAnsi="Verdana" w:cs="Verdana"/>
                <w:bCs/>
                <w:noProof/>
                <w:color w:val="000000"/>
                <w:sz w:val="16"/>
              </w:rPr>
            </w:pPr>
            <w:r>
              <w:rPr>
                <w:rFonts w:ascii="Verdana" w:hAnsi="Verdana"/>
                <w:noProof/>
                <w:color w:val="000000"/>
                <w:sz w:val="16"/>
              </w:rPr>
              <w:t>1. Marché unique, innovation et numérique</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20 919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21 878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21 727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21 598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21 596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22 210 </w:t>
            </w:r>
          </w:p>
        </w:tc>
        <w:tc>
          <w:tcPr>
            <w:tcW w:w="493"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20 991 </w:t>
            </w:r>
          </w:p>
        </w:tc>
        <w:tc>
          <w:tcPr>
            <w:tcW w:w="568"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150 919 </w:t>
            </w:r>
          </w:p>
        </w:tc>
      </w:tr>
      <w:tr>
        <w:trPr>
          <w:trHeight w:val="369"/>
          <w:jc w:val="center"/>
        </w:trPr>
        <w:tc>
          <w:tcPr>
            <w:tcW w:w="984"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rPr>
                <w:rFonts w:ascii="Verdana" w:eastAsia="Verdana" w:hAnsi="Verdana" w:cs="Verdana"/>
                <w:bCs/>
                <w:noProof/>
                <w:color w:val="000000"/>
                <w:sz w:val="16"/>
              </w:rPr>
            </w:pPr>
            <w:r>
              <w:rPr>
                <w:rFonts w:ascii="Verdana" w:hAnsi="Verdana"/>
                <w:noProof/>
                <w:color w:val="000000"/>
                <w:sz w:val="16"/>
              </w:rPr>
              <w:t xml:space="preserve">2. Cohésion, résilience et valeurs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6 364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67 806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70 137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73 289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75 697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67 523 </w:t>
            </w:r>
          </w:p>
        </w:tc>
        <w:tc>
          <w:tcPr>
            <w:tcW w:w="493"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70 128 </w:t>
            </w:r>
          </w:p>
        </w:tc>
        <w:tc>
          <w:tcPr>
            <w:tcW w:w="568"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430 944 </w:t>
            </w:r>
          </w:p>
        </w:tc>
      </w:tr>
      <w:tr>
        <w:trPr>
          <w:trHeight w:val="369"/>
          <w:jc w:val="center"/>
        </w:trPr>
        <w:tc>
          <w:tcPr>
            <w:tcW w:w="984"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rPr>
                <w:rFonts w:ascii="Verdana" w:eastAsia="Verdana" w:hAnsi="Verdana" w:cs="Verdana"/>
                <w:bCs/>
                <w:noProof/>
                <w:color w:val="000000"/>
                <w:sz w:val="16"/>
              </w:rPr>
            </w:pPr>
            <w:r>
              <w:rPr>
                <w:rFonts w:ascii="Verdana" w:hAnsi="Verdana"/>
                <w:noProof/>
                <w:color w:val="000000"/>
                <w:sz w:val="16"/>
              </w:rPr>
              <w:t>2 a. Cohésion économique, sociale et territoriale</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1 769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61 345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62 939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64 683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66 361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56 593 </w:t>
            </w:r>
          </w:p>
        </w:tc>
        <w:tc>
          <w:tcPr>
            <w:tcW w:w="493"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58 484 </w:t>
            </w:r>
          </w:p>
        </w:tc>
        <w:tc>
          <w:tcPr>
            <w:tcW w:w="568"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372 174 </w:t>
            </w:r>
          </w:p>
        </w:tc>
      </w:tr>
      <w:tr>
        <w:trPr>
          <w:trHeight w:val="369"/>
          <w:jc w:val="center"/>
        </w:trPr>
        <w:tc>
          <w:tcPr>
            <w:tcW w:w="984"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rPr>
                <w:rFonts w:ascii="Verdana" w:eastAsia="Verdana" w:hAnsi="Verdana" w:cs="Verdana"/>
                <w:bCs/>
                <w:noProof/>
                <w:color w:val="000000"/>
                <w:sz w:val="16"/>
              </w:rPr>
            </w:pPr>
            <w:r>
              <w:rPr>
                <w:rFonts w:ascii="Verdana" w:hAnsi="Verdana"/>
                <w:noProof/>
                <w:color w:val="000000"/>
                <w:sz w:val="16"/>
              </w:rPr>
              <w:t>2 b. Résilience et valeurs</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4 595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6 461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7 198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8 606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9 336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10 930 </w:t>
            </w:r>
          </w:p>
        </w:tc>
        <w:tc>
          <w:tcPr>
            <w:tcW w:w="493"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11 644 </w:t>
            </w:r>
          </w:p>
        </w:tc>
        <w:tc>
          <w:tcPr>
            <w:tcW w:w="568"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58 770 </w:t>
            </w:r>
          </w:p>
        </w:tc>
      </w:tr>
      <w:tr>
        <w:trPr>
          <w:trHeight w:val="369"/>
          <w:jc w:val="center"/>
        </w:trPr>
        <w:tc>
          <w:tcPr>
            <w:tcW w:w="984"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rPr>
                <w:rFonts w:ascii="Verdana" w:eastAsia="Verdana" w:hAnsi="Verdana" w:cs="Verdana"/>
                <w:bCs/>
                <w:noProof/>
                <w:color w:val="000000"/>
                <w:sz w:val="16"/>
              </w:rPr>
            </w:pPr>
            <w:r>
              <w:rPr>
                <w:rFonts w:ascii="Verdana" w:hAnsi="Verdana"/>
                <w:noProof/>
                <w:color w:val="000000"/>
                <w:sz w:val="16"/>
              </w:rPr>
              <w:t>3. Ressources naturelles et environnement</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56 841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56 965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57 295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57 449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57 336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57 100 </w:t>
            </w:r>
          </w:p>
        </w:tc>
        <w:tc>
          <w:tcPr>
            <w:tcW w:w="493"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57 316 </w:t>
            </w:r>
          </w:p>
        </w:tc>
        <w:tc>
          <w:tcPr>
            <w:tcW w:w="568"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400 302 </w:t>
            </w:r>
          </w:p>
        </w:tc>
      </w:tr>
      <w:tr>
        <w:trPr>
          <w:trHeight w:val="369"/>
          <w:jc w:val="center"/>
        </w:trPr>
        <w:tc>
          <w:tcPr>
            <w:tcW w:w="984"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rPr>
                <w:rFonts w:ascii="Verdana" w:eastAsia="Verdana" w:hAnsi="Verdana" w:cs="Verdana"/>
                <w:bCs/>
                <w:noProof/>
                <w:color w:val="000000"/>
                <w:sz w:val="16"/>
              </w:rPr>
            </w:pPr>
            <w:r>
              <w:rPr>
                <w:rFonts w:ascii="Verdana" w:hAnsi="Verdana"/>
                <w:noProof/>
                <w:color w:val="000000"/>
                <w:sz w:val="16"/>
              </w:rPr>
              <w:t>dont: dépenses relatives au marché et paiements directs</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40 368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40 639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40 693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40 603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40 529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40 542 </w:t>
            </w:r>
          </w:p>
        </w:tc>
        <w:tc>
          <w:tcPr>
            <w:tcW w:w="493"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40 496 </w:t>
            </w:r>
          </w:p>
        </w:tc>
        <w:tc>
          <w:tcPr>
            <w:tcW w:w="568"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283 870 </w:t>
            </w:r>
          </w:p>
        </w:tc>
      </w:tr>
      <w:tr>
        <w:trPr>
          <w:trHeight w:val="369"/>
          <w:jc w:val="center"/>
        </w:trPr>
        <w:tc>
          <w:tcPr>
            <w:tcW w:w="984"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rPr>
                <w:rFonts w:ascii="Verdana" w:eastAsia="Verdana" w:hAnsi="Verdana" w:cs="Verdana"/>
                <w:bCs/>
                <w:noProof/>
                <w:color w:val="000000"/>
                <w:sz w:val="16"/>
              </w:rPr>
            </w:pPr>
            <w:r>
              <w:rPr>
                <w:rFonts w:ascii="Verdana" w:hAnsi="Verdana"/>
                <w:noProof/>
                <w:color w:val="000000"/>
                <w:sz w:val="16"/>
              </w:rPr>
              <w:t>4. Migration et gestion des frontières</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1 791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3 360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3 814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4 020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4 871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5 103 </w:t>
            </w:r>
          </w:p>
        </w:tc>
        <w:tc>
          <w:tcPr>
            <w:tcW w:w="493"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5 619 </w:t>
            </w:r>
          </w:p>
        </w:tc>
        <w:tc>
          <w:tcPr>
            <w:tcW w:w="568"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28 578 </w:t>
            </w:r>
          </w:p>
        </w:tc>
      </w:tr>
      <w:tr>
        <w:trPr>
          <w:trHeight w:val="369"/>
          <w:jc w:val="center"/>
        </w:trPr>
        <w:tc>
          <w:tcPr>
            <w:tcW w:w="984"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rPr>
                <w:rFonts w:ascii="Verdana" w:eastAsia="Verdana" w:hAnsi="Verdana" w:cs="Verdana"/>
                <w:bCs/>
                <w:noProof/>
                <w:color w:val="000000"/>
                <w:sz w:val="16"/>
              </w:rPr>
            </w:pPr>
            <w:r>
              <w:rPr>
                <w:rFonts w:ascii="Verdana" w:hAnsi="Verdana"/>
                <w:noProof/>
                <w:color w:val="000000"/>
                <w:sz w:val="16"/>
              </w:rPr>
              <w:t>5. Sécurité et défense</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1 696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1 896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1 946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2 380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2 617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2 810 </w:t>
            </w:r>
          </w:p>
        </w:tc>
        <w:tc>
          <w:tcPr>
            <w:tcW w:w="493"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3 080 </w:t>
            </w:r>
          </w:p>
        </w:tc>
        <w:tc>
          <w:tcPr>
            <w:tcW w:w="568"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16 425 </w:t>
            </w:r>
          </w:p>
        </w:tc>
      </w:tr>
      <w:tr>
        <w:trPr>
          <w:trHeight w:val="369"/>
          <w:jc w:val="center"/>
        </w:trPr>
        <w:tc>
          <w:tcPr>
            <w:tcW w:w="984"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rPr>
                <w:rFonts w:ascii="Verdana" w:eastAsia="Verdana" w:hAnsi="Verdana" w:cs="Verdana"/>
                <w:bCs/>
                <w:noProof/>
                <w:color w:val="000000"/>
                <w:sz w:val="16"/>
              </w:rPr>
            </w:pPr>
            <w:r>
              <w:rPr>
                <w:rFonts w:ascii="Verdana" w:hAnsi="Verdana"/>
                <w:noProof/>
                <w:color w:val="000000"/>
                <w:sz w:val="16"/>
              </w:rPr>
              <w:t>6. Le voisinage et le monde</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16 247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16 802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16 329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16 331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16 303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15 614 </w:t>
            </w:r>
          </w:p>
        </w:tc>
        <w:tc>
          <w:tcPr>
            <w:tcW w:w="493"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16 071 </w:t>
            </w:r>
          </w:p>
        </w:tc>
        <w:tc>
          <w:tcPr>
            <w:tcW w:w="568"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113 697 </w:t>
            </w:r>
          </w:p>
        </w:tc>
      </w:tr>
      <w:tr>
        <w:trPr>
          <w:trHeight w:val="369"/>
          <w:jc w:val="center"/>
        </w:trPr>
        <w:tc>
          <w:tcPr>
            <w:tcW w:w="984"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rPr>
                <w:rFonts w:ascii="Verdana" w:eastAsia="Verdana" w:hAnsi="Verdana" w:cs="Verdana"/>
                <w:bCs/>
                <w:noProof/>
                <w:color w:val="000000"/>
                <w:sz w:val="16"/>
              </w:rPr>
            </w:pPr>
            <w:r>
              <w:rPr>
                <w:rFonts w:ascii="Verdana" w:hAnsi="Verdana"/>
                <w:noProof/>
                <w:color w:val="000000"/>
                <w:sz w:val="16"/>
              </w:rPr>
              <w:t>7. Administration publique européenne</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10 635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11 058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11 419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11 773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12 124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12 506 </w:t>
            </w:r>
          </w:p>
        </w:tc>
        <w:tc>
          <w:tcPr>
            <w:tcW w:w="493"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12 959 </w:t>
            </w:r>
          </w:p>
        </w:tc>
        <w:tc>
          <w:tcPr>
            <w:tcW w:w="568"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82 474 </w:t>
            </w:r>
          </w:p>
        </w:tc>
      </w:tr>
      <w:tr>
        <w:trPr>
          <w:trHeight w:val="369"/>
          <w:jc w:val="center"/>
        </w:trPr>
        <w:tc>
          <w:tcPr>
            <w:tcW w:w="984"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rPr>
                <w:rFonts w:ascii="Verdana" w:eastAsia="Verdana" w:hAnsi="Verdana" w:cs="Verdana"/>
                <w:bCs/>
                <w:noProof/>
                <w:color w:val="000000"/>
                <w:sz w:val="16"/>
              </w:rPr>
            </w:pPr>
            <w:r>
              <w:rPr>
                <w:rFonts w:ascii="Verdana" w:hAnsi="Verdana"/>
                <w:noProof/>
                <w:color w:val="000000"/>
                <w:sz w:val="16"/>
              </w:rPr>
              <w:t>dont: dépenses administratives des institutions</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8 216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8 528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8 772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9 006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9 219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9 464 </w:t>
            </w:r>
          </w:p>
        </w:tc>
        <w:tc>
          <w:tcPr>
            <w:tcW w:w="493"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9 786 </w:t>
            </w:r>
          </w:p>
        </w:tc>
        <w:tc>
          <w:tcPr>
            <w:tcW w:w="568"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62 991 </w:t>
            </w:r>
          </w:p>
        </w:tc>
      </w:tr>
      <w:tr>
        <w:trPr>
          <w:trHeight w:val="369"/>
          <w:jc w:val="center"/>
        </w:trPr>
        <w:tc>
          <w:tcPr>
            <w:tcW w:w="984" w:type="pct"/>
            <w:tcBorders>
              <w:top w:val="nil"/>
              <w:left w:val="nil"/>
              <w:bottom w:val="nil"/>
              <w:right w:val="nil"/>
              <w:tl2br w:val="nil"/>
              <w:tr2bl w:val="nil"/>
            </w:tcBorders>
            <w:shd w:val="solid" w:color="C8E1EB" w:fill="FFFFFF"/>
            <w:tcMar>
              <w:left w:w="60" w:type="dxa"/>
              <w:right w:w="60" w:type="dxa"/>
            </w:tcMar>
            <w:vAlign w:val="center"/>
          </w:tcPr>
          <w:p>
            <w:pPr>
              <w:pStyle w:val="DMETW22324BIPFinancialFWK20142020"/>
              <w:rPr>
                <w:rFonts w:ascii="Verdana" w:eastAsia="Verdana" w:hAnsi="Verdana" w:cs="Verdana"/>
                <w:b/>
                <w:noProof/>
                <w:color w:val="000000"/>
                <w:sz w:val="16"/>
              </w:rPr>
            </w:pPr>
            <w:r>
              <w:rPr>
                <w:rFonts w:ascii="Verdana" w:hAnsi="Verdana"/>
                <w:b/>
                <w:noProof/>
                <w:color w:val="000000"/>
                <w:sz w:val="16"/>
              </w:rPr>
              <w:t>TOTAL DES CRÉDITS D’ENGAGEMENT</w:t>
            </w:r>
          </w:p>
        </w:tc>
        <w:tc>
          <w:tcPr>
            <w:tcW w:w="492" w:type="pct"/>
            <w:tcBorders>
              <w:top w:val="nil"/>
              <w:left w:val="nil"/>
              <w:bottom w:val="nil"/>
              <w:right w:val="nil"/>
              <w:tl2br w:val="nil"/>
              <w:tr2bl w:val="nil"/>
            </w:tcBorders>
            <w:shd w:val="solid" w:color="C8E1EB" w:fill="FFFFFF"/>
            <w:tcMar>
              <w:left w:w="60" w:type="dxa"/>
              <w:right w:w="60" w:type="dxa"/>
            </w:tcMar>
            <w:vAlign w:val="center"/>
          </w:tcPr>
          <w:p>
            <w:pPr>
              <w:pStyle w:val="DMETW22324BIPFinancialFWK20142020"/>
              <w:rPr>
                <w:rFonts w:ascii="Verdana" w:eastAsia="Verdana" w:hAnsi="Verdana" w:cs="Verdana"/>
                <w:b/>
                <w:noProof/>
                <w:color w:val="000000"/>
                <w:sz w:val="16"/>
              </w:rPr>
            </w:pPr>
            <w:r>
              <w:rPr>
                <w:rFonts w:ascii="Verdana" w:hAnsi="Verdana"/>
                <w:b/>
                <w:noProof/>
                <w:color w:val="000000"/>
                <w:sz w:val="16"/>
              </w:rPr>
              <w:t>114 493</w:t>
            </w:r>
          </w:p>
        </w:tc>
        <w:tc>
          <w:tcPr>
            <w:tcW w:w="492" w:type="pct"/>
            <w:tcBorders>
              <w:top w:val="nil"/>
              <w:left w:val="nil"/>
              <w:bottom w:val="nil"/>
              <w:right w:val="nil"/>
              <w:tl2br w:val="nil"/>
              <w:tr2bl w:val="nil"/>
            </w:tcBorders>
            <w:shd w:val="solid" w:color="C8E1EB" w:fill="FFFFFF"/>
            <w:tcMar>
              <w:left w:w="60" w:type="dxa"/>
              <w:right w:w="60" w:type="dxa"/>
            </w:tcMar>
            <w:vAlign w:val="center"/>
          </w:tcPr>
          <w:p>
            <w:pPr>
              <w:pStyle w:val="DMETW22324BIPFinancialFWK20142020"/>
              <w:rPr>
                <w:rFonts w:ascii="Verdana" w:eastAsia="Verdana" w:hAnsi="Verdana" w:cs="Verdana"/>
                <w:b/>
                <w:noProof/>
                <w:color w:val="000000"/>
                <w:sz w:val="16"/>
              </w:rPr>
            </w:pPr>
            <w:r>
              <w:rPr>
                <w:rFonts w:ascii="Verdana" w:hAnsi="Verdana"/>
                <w:b/>
                <w:noProof/>
                <w:color w:val="000000"/>
                <w:sz w:val="16"/>
              </w:rPr>
              <w:t>179 765</w:t>
            </w:r>
          </w:p>
        </w:tc>
        <w:tc>
          <w:tcPr>
            <w:tcW w:w="492" w:type="pct"/>
            <w:tcBorders>
              <w:top w:val="nil"/>
              <w:left w:val="nil"/>
              <w:bottom w:val="nil"/>
              <w:right w:val="nil"/>
              <w:tl2br w:val="nil"/>
              <w:tr2bl w:val="nil"/>
            </w:tcBorders>
            <w:shd w:val="solid" w:color="C8E1EB" w:fill="FFFFFF"/>
            <w:tcMar>
              <w:left w:w="60" w:type="dxa"/>
              <w:right w:w="60" w:type="dxa"/>
            </w:tcMar>
            <w:vAlign w:val="center"/>
          </w:tcPr>
          <w:p>
            <w:pPr>
              <w:pStyle w:val="DMETW22324BIPFinancialFWK20142020"/>
              <w:rPr>
                <w:rFonts w:ascii="Verdana" w:eastAsia="Verdana" w:hAnsi="Verdana" w:cs="Verdana"/>
                <w:b/>
                <w:noProof/>
                <w:color w:val="000000"/>
                <w:sz w:val="16"/>
              </w:rPr>
            </w:pPr>
            <w:r>
              <w:rPr>
                <w:rFonts w:ascii="Verdana" w:hAnsi="Verdana"/>
                <w:b/>
                <w:noProof/>
                <w:color w:val="000000"/>
                <w:sz w:val="16"/>
              </w:rPr>
              <w:t>182 667</w:t>
            </w:r>
          </w:p>
        </w:tc>
        <w:tc>
          <w:tcPr>
            <w:tcW w:w="492" w:type="pct"/>
            <w:tcBorders>
              <w:top w:val="nil"/>
              <w:left w:val="nil"/>
              <w:bottom w:val="nil"/>
              <w:right w:val="nil"/>
              <w:tl2br w:val="nil"/>
              <w:tr2bl w:val="nil"/>
            </w:tcBorders>
            <w:shd w:val="solid" w:color="C8E1EB" w:fill="FFFFFF"/>
            <w:tcMar>
              <w:left w:w="60" w:type="dxa"/>
              <w:right w:w="60" w:type="dxa"/>
            </w:tcMar>
            <w:vAlign w:val="center"/>
          </w:tcPr>
          <w:p>
            <w:pPr>
              <w:pStyle w:val="DMETW22324BIPFinancialFWK20142020"/>
              <w:rPr>
                <w:rFonts w:ascii="Verdana" w:eastAsia="Verdana" w:hAnsi="Verdana" w:cs="Verdana"/>
                <w:b/>
                <w:noProof/>
                <w:color w:val="000000"/>
                <w:sz w:val="16"/>
              </w:rPr>
            </w:pPr>
            <w:r>
              <w:rPr>
                <w:rFonts w:ascii="Verdana" w:hAnsi="Verdana"/>
                <w:b/>
                <w:noProof/>
                <w:color w:val="000000"/>
                <w:sz w:val="16"/>
              </w:rPr>
              <w:t>186 840</w:t>
            </w:r>
          </w:p>
        </w:tc>
        <w:tc>
          <w:tcPr>
            <w:tcW w:w="492" w:type="pct"/>
            <w:tcBorders>
              <w:top w:val="nil"/>
              <w:left w:val="nil"/>
              <w:bottom w:val="nil"/>
              <w:right w:val="nil"/>
              <w:tl2br w:val="nil"/>
              <w:tr2bl w:val="nil"/>
            </w:tcBorders>
            <w:shd w:val="solid" w:color="C8E1EB" w:fill="FFFFFF"/>
            <w:tcMar>
              <w:left w:w="60" w:type="dxa"/>
              <w:right w:w="60" w:type="dxa"/>
            </w:tcMar>
            <w:vAlign w:val="center"/>
          </w:tcPr>
          <w:p>
            <w:pPr>
              <w:pStyle w:val="DMETW22324BIPFinancialFWK20142020"/>
              <w:rPr>
                <w:rFonts w:ascii="Verdana" w:eastAsia="Verdana" w:hAnsi="Verdana" w:cs="Verdana"/>
                <w:b/>
                <w:noProof/>
                <w:color w:val="000000"/>
                <w:sz w:val="16"/>
              </w:rPr>
            </w:pPr>
            <w:r>
              <w:rPr>
                <w:rFonts w:ascii="Verdana" w:hAnsi="Verdana"/>
                <w:b/>
                <w:noProof/>
                <w:color w:val="000000"/>
                <w:sz w:val="16"/>
              </w:rPr>
              <w:t>190 544</w:t>
            </w:r>
          </w:p>
        </w:tc>
        <w:tc>
          <w:tcPr>
            <w:tcW w:w="492" w:type="pct"/>
            <w:tcBorders>
              <w:top w:val="nil"/>
              <w:left w:val="nil"/>
              <w:bottom w:val="nil"/>
              <w:right w:val="nil"/>
              <w:tl2br w:val="nil"/>
              <w:tr2bl w:val="nil"/>
            </w:tcBorders>
            <w:shd w:val="solid" w:color="C8E1EB" w:fill="FFFFFF"/>
            <w:tcMar>
              <w:left w:w="60" w:type="dxa"/>
              <w:right w:w="60" w:type="dxa"/>
            </w:tcMar>
            <w:vAlign w:val="center"/>
          </w:tcPr>
          <w:p>
            <w:pPr>
              <w:pStyle w:val="DMETW22324BIPFinancialFWK20142020"/>
              <w:rPr>
                <w:rFonts w:ascii="Verdana" w:eastAsia="Verdana" w:hAnsi="Verdana" w:cs="Verdana"/>
                <w:b/>
                <w:noProof/>
                <w:color w:val="000000"/>
                <w:sz w:val="16"/>
              </w:rPr>
            </w:pPr>
            <w:r>
              <w:rPr>
                <w:rFonts w:ascii="Verdana" w:hAnsi="Verdana"/>
                <w:b/>
                <w:noProof/>
                <w:color w:val="000000"/>
                <w:sz w:val="16"/>
              </w:rPr>
              <w:t>182 866</w:t>
            </w:r>
          </w:p>
        </w:tc>
        <w:tc>
          <w:tcPr>
            <w:tcW w:w="493" w:type="pct"/>
            <w:tcBorders>
              <w:top w:val="nil"/>
              <w:left w:val="nil"/>
              <w:bottom w:val="nil"/>
              <w:right w:val="nil"/>
              <w:tl2br w:val="nil"/>
              <w:tr2bl w:val="nil"/>
            </w:tcBorders>
            <w:shd w:val="solid" w:color="C8E1EB" w:fill="FFFFFF"/>
            <w:tcMar>
              <w:left w:w="60" w:type="dxa"/>
              <w:right w:w="60" w:type="dxa"/>
            </w:tcMar>
            <w:vAlign w:val="center"/>
          </w:tcPr>
          <w:p>
            <w:pPr>
              <w:pStyle w:val="DMETW22324BIPFinancialFWK20142020"/>
              <w:rPr>
                <w:rFonts w:ascii="Verdana" w:eastAsia="Verdana" w:hAnsi="Verdana" w:cs="Verdana"/>
                <w:b/>
                <w:noProof/>
                <w:color w:val="000000"/>
                <w:sz w:val="16"/>
              </w:rPr>
            </w:pPr>
            <w:r>
              <w:rPr>
                <w:rFonts w:ascii="Verdana" w:hAnsi="Verdana"/>
                <w:b/>
                <w:noProof/>
                <w:color w:val="000000"/>
                <w:sz w:val="16"/>
              </w:rPr>
              <w:t>186 164</w:t>
            </w:r>
          </w:p>
        </w:tc>
        <w:tc>
          <w:tcPr>
            <w:tcW w:w="568" w:type="pct"/>
            <w:tcBorders>
              <w:top w:val="nil"/>
              <w:left w:val="nil"/>
              <w:bottom w:val="nil"/>
              <w:right w:val="nil"/>
              <w:tl2br w:val="nil"/>
              <w:tr2bl w:val="nil"/>
            </w:tcBorders>
            <w:shd w:val="solid" w:color="C8E1EB" w:fill="FFFFFF"/>
            <w:tcMar>
              <w:left w:w="60" w:type="dxa"/>
              <w:right w:w="60" w:type="dxa"/>
            </w:tcMar>
            <w:vAlign w:val="center"/>
          </w:tcPr>
          <w:p>
            <w:pPr>
              <w:pStyle w:val="DMETW22324BIPFinancialFWK20142020"/>
              <w:rPr>
                <w:rFonts w:ascii="Verdana" w:eastAsia="Verdana" w:hAnsi="Verdana" w:cs="Verdana"/>
                <w:b/>
                <w:noProof/>
                <w:color w:val="000000"/>
                <w:sz w:val="16"/>
              </w:rPr>
            </w:pPr>
            <w:r>
              <w:rPr>
                <w:rFonts w:ascii="Verdana" w:hAnsi="Verdana"/>
                <w:b/>
                <w:noProof/>
                <w:color w:val="000000"/>
                <w:sz w:val="16"/>
              </w:rPr>
              <w:t>1 223 339</w:t>
            </w:r>
          </w:p>
        </w:tc>
      </w:tr>
      <w:tr>
        <w:trPr>
          <w:trHeight w:val="369"/>
          <w:jc w:val="center"/>
        </w:trPr>
        <w:tc>
          <w:tcPr>
            <w:tcW w:w="984"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rPr>
                <w:rFonts w:ascii="Verdana" w:eastAsia="Verdana" w:hAnsi="Verdana" w:cs="Verdana"/>
                <w:bCs/>
                <w:noProof/>
                <w:color w:val="000000"/>
                <w:sz w:val="16"/>
              </w:rPr>
            </w:pP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p>
        </w:tc>
        <w:tc>
          <w:tcPr>
            <w:tcW w:w="493"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p>
        </w:tc>
        <w:tc>
          <w:tcPr>
            <w:tcW w:w="568"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p>
        </w:tc>
      </w:tr>
      <w:tr>
        <w:trPr>
          <w:trHeight w:val="369"/>
          <w:jc w:val="center"/>
        </w:trPr>
        <w:tc>
          <w:tcPr>
            <w:tcW w:w="984" w:type="pct"/>
            <w:tcBorders>
              <w:top w:val="nil"/>
              <w:left w:val="nil"/>
              <w:bottom w:val="nil"/>
              <w:right w:val="nil"/>
              <w:tl2br w:val="nil"/>
              <w:tr2bl w:val="nil"/>
            </w:tcBorders>
            <w:shd w:val="solid" w:color="C8E1EB" w:fill="FFFFFF"/>
            <w:tcMar>
              <w:left w:w="60" w:type="dxa"/>
              <w:right w:w="60" w:type="dxa"/>
            </w:tcMar>
            <w:vAlign w:val="center"/>
          </w:tcPr>
          <w:p>
            <w:pPr>
              <w:pStyle w:val="DMETW22324BIPFinancialFWK20142020"/>
              <w:rPr>
                <w:rFonts w:ascii="Verdana" w:eastAsia="Verdana" w:hAnsi="Verdana" w:cs="Verdana"/>
                <w:b/>
                <w:noProof/>
                <w:color w:val="000000"/>
                <w:sz w:val="16"/>
              </w:rPr>
            </w:pPr>
            <w:r>
              <w:rPr>
                <w:rFonts w:ascii="Verdana" w:hAnsi="Verdana"/>
                <w:b/>
                <w:noProof/>
                <w:color w:val="000000"/>
                <w:sz w:val="16"/>
              </w:rPr>
              <w:t>TOTAL DES CRÉDITS DE PAIEMENT</w:t>
            </w:r>
          </w:p>
        </w:tc>
        <w:tc>
          <w:tcPr>
            <w:tcW w:w="492" w:type="pct"/>
            <w:tcBorders>
              <w:top w:val="nil"/>
              <w:left w:val="nil"/>
              <w:bottom w:val="nil"/>
              <w:right w:val="nil"/>
              <w:tl2br w:val="nil"/>
              <w:tr2bl w:val="nil"/>
            </w:tcBorders>
            <w:shd w:val="solid" w:color="C8E1EB" w:fill="FFFFFF"/>
            <w:tcMar>
              <w:left w:w="60" w:type="dxa"/>
              <w:right w:w="60" w:type="dxa"/>
            </w:tcMar>
            <w:vAlign w:val="center"/>
          </w:tcPr>
          <w:p>
            <w:pPr>
              <w:pStyle w:val="DMETW22324BIPFinancialFWK20142020"/>
              <w:rPr>
                <w:rFonts w:ascii="Verdana" w:eastAsia="Verdana" w:hAnsi="Verdana" w:cs="Verdana"/>
                <w:b/>
                <w:noProof/>
                <w:color w:val="000000"/>
                <w:sz w:val="16"/>
              </w:rPr>
            </w:pPr>
            <w:r>
              <w:rPr>
                <w:rFonts w:ascii="Verdana" w:hAnsi="Verdana"/>
                <w:b/>
                <w:noProof/>
                <w:color w:val="000000"/>
                <w:sz w:val="16"/>
              </w:rPr>
              <w:t>163 496</w:t>
            </w:r>
          </w:p>
        </w:tc>
        <w:tc>
          <w:tcPr>
            <w:tcW w:w="492" w:type="pct"/>
            <w:tcBorders>
              <w:top w:val="nil"/>
              <w:left w:val="nil"/>
              <w:bottom w:val="nil"/>
              <w:right w:val="nil"/>
              <w:tl2br w:val="nil"/>
              <w:tr2bl w:val="nil"/>
            </w:tcBorders>
            <w:shd w:val="solid" w:color="C8E1EB" w:fill="FFFFFF"/>
            <w:tcMar>
              <w:left w:w="60" w:type="dxa"/>
              <w:right w:w="60" w:type="dxa"/>
            </w:tcMar>
            <w:vAlign w:val="center"/>
          </w:tcPr>
          <w:p>
            <w:pPr>
              <w:pStyle w:val="DMETW22324BIPFinancialFWK20142020"/>
              <w:rPr>
                <w:rFonts w:ascii="Verdana" w:eastAsia="Verdana" w:hAnsi="Verdana" w:cs="Verdana"/>
                <w:b/>
                <w:noProof/>
                <w:color w:val="000000"/>
                <w:sz w:val="16"/>
              </w:rPr>
            </w:pPr>
            <w:r>
              <w:rPr>
                <w:rFonts w:ascii="Verdana" w:hAnsi="Verdana"/>
                <w:b/>
                <w:noProof/>
                <w:color w:val="000000"/>
                <w:sz w:val="16"/>
              </w:rPr>
              <w:t>166 534</w:t>
            </w:r>
          </w:p>
        </w:tc>
        <w:tc>
          <w:tcPr>
            <w:tcW w:w="492" w:type="pct"/>
            <w:tcBorders>
              <w:top w:val="nil"/>
              <w:left w:val="nil"/>
              <w:bottom w:val="nil"/>
              <w:right w:val="nil"/>
              <w:tl2br w:val="nil"/>
              <w:tr2bl w:val="nil"/>
            </w:tcBorders>
            <w:shd w:val="solid" w:color="C8E1EB" w:fill="FFFFFF"/>
            <w:tcMar>
              <w:left w:w="60" w:type="dxa"/>
              <w:right w:w="60" w:type="dxa"/>
            </w:tcMar>
            <w:vAlign w:val="center"/>
          </w:tcPr>
          <w:p>
            <w:pPr>
              <w:pStyle w:val="DMETW22324BIPFinancialFWK20142020"/>
              <w:rPr>
                <w:rFonts w:ascii="Verdana" w:eastAsia="Verdana" w:hAnsi="Verdana" w:cs="Verdana"/>
                <w:b/>
                <w:noProof/>
                <w:color w:val="000000"/>
                <w:sz w:val="16"/>
              </w:rPr>
            </w:pPr>
            <w:r>
              <w:rPr>
                <w:rFonts w:ascii="Verdana" w:hAnsi="Verdana"/>
                <w:b/>
                <w:noProof/>
                <w:color w:val="000000"/>
                <w:sz w:val="16"/>
              </w:rPr>
              <w:t>162 053</w:t>
            </w:r>
          </w:p>
        </w:tc>
        <w:tc>
          <w:tcPr>
            <w:tcW w:w="492" w:type="pct"/>
            <w:tcBorders>
              <w:top w:val="nil"/>
              <w:left w:val="nil"/>
              <w:bottom w:val="nil"/>
              <w:right w:val="nil"/>
              <w:tl2br w:val="nil"/>
              <w:tr2bl w:val="nil"/>
            </w:tcBorders>
            <w:shd w:val="solid" w:color="C8E1EB" w:fill="FFFFFF"/>
            <w:tcMar>
              <w:left w:w="60" w:type="dxa"/>
              <w:right w:w="60" w:type="dxa"/>
            </w:tcMar>
            <w:vAlign w:val="center"/>
          </w:tcPr>
          <w:p>
            <w:pPr>
              <w:pStyle w:val="DMETW22324BIPFinancialFWK20142020"/>
              <w:rPr>
                <w:rFonts w:ascii="Verdana" w:eastAsia="Verdana" w:hAnsi="Verdana" w:cs="Verdana"/>
                <w:b/>
                <w:noProof/>
                <w:color w:val="000000"/>
                <w:sz w:val="16"/>
              </w:rPr>
            </w:pPr>
            <w:r>
              <w:rPr>
                <w:rFonts w:ascii="Verdana" w:hAnsi="Verdana"/>
                <w:b/>
                <w:noProof/>
                <w:color w:val="000000"/>
                <w:sz w:val="16"/>
              </w:rPr>
              <w:t>142 601</w:t>
            </w:r>
          </w:p>
        </w:tc>
        <w:tc>
          <w:tcPr>
            <w:tcW w:w="492" w:type="pct"/>
            <w:tcBorders>
              <w:top w:val="nil"/>
              <w:left w:val="nil"/>
              <w:bottom w:val="nil"/>
              <w:right w:val="nil"/>
              <w:tl2br w:val="nil"/>
              <w:tr2bl w:val="nil"/>
            </w:tcBorders>
            <w:shd w:val="solid" w:color="C8E1EB" w:fill="FFFFFF"/>
            <w:tcMar>
              <w:left w:w="60" w:type="dxa"/>
              <w:right w:w="60" w:type="dxa"/>
            </w:tcMar>
            <w:vAlign w:val="center"/>
          </w:tcPr>
          <w:p>
            <w:pPr>
              <w:pStyle w:val="DMETW22324BIPFinancialFWK20142020"/>
              <w:rPr>
                <w:rFonts w:ascii="Verdana" w:eastAsia="Verdana" w:hAnsi="Verdana" w:cs="Verdana"/>
                <w:b/>
                <w:noProof/>
                <w:color w:val="000000"/>
                <w:sz w:val="16"/>
              </w:rPr>
            </w:pPr>
            <w:r>
              <w:rPr>
                <w:rFonts w:ascii="Verdana" w:hAnsi="Verdana"/>
                <w:b/>
                <w:noProof/>
                <w:color w:val="000000"/>
                <w:sz w:val="16"/>
              </w:rPr>
              <w:t>175 378</w:t>
            </w:r>
          </w:p>
        </w:tc>
        <w:tc>
          <w:tcPr>
            <w:tcW w:w="492" w:type="pct"/>
            <w:tcBorders>
              <w:top w:val="nil"/>
              <w:left w:val="nil"/>
              <w:bottom w:val="nil"/>
              <w:right w:val="nil"/>
              <w:tl2br w:val="nil"/>
              <w:tr2bl w:val="nil"/>
            </w:tcBorders>
            <w:shd w:val="solid" w:color="C8E1EB" w:fill="FFFFFF"/>
            <w:tcMar>
              <w:left w:w="60" w:type="dxa"/>
              <w:right w:w="60" w:type="dxa"/>
            </w:tcMar>
            <w:vAlign w:val="center"/>
          </w:tcPr>
          <w:p>
            <w:pPr>
              <w:pStyle w:val="DMETW22324BIPFinancialFWK20142020"/>
              <w:rPr>
                <w:rFonts w:ascii="Verdana" w:eastAsia="Verdana" w:hAnsi="Verdana" w:cs="Verdana"/>
                <w:b/>
                <w:noProof/>
                <w:color w:val="000000"/>
                <w:sz w:val="16"/>
              </w:rPr>
            </w:pPr>
            <w:r>
              <w:rPr>
                <w:rFonts w:ascii="Verdana" w:hAnsi="Verdana"/>
                <w:b/>
                <w:noProof/>
                <w:color w:val="000000"/>
                <w:sz w:val="16"/>
              </w:rPr>
              <w:t>201 170</w:t>
            </w:r>
          </w:p>
        </w:tc>
        <w:tc>
          <w:tcPr>
            <w:tcW w:w="493" w:type="pct"/>
            <w:tcBorders>
              <w:top w:val="nil"/>
              <w:left w:val="nil"/>
              <w:bottom w:val="nil"/>
              <w:right w:val="nil"/>
              <w:tl2br w:val="nil"/>
              <w:tr2bl w:val="nil"/>
            </w:tcBorders>
            <w:shd w:val="solid" w:color="C8E1EB" w:fill="FFFFFF"/>
            <w:tcMar>
              <w:left w:w="60" w:type="dxa"/>
              <w:right w:w="60" w:type="dxa"/>
            </w:tcMar>
            <w:vAlign w:val="center"/>
          </w:tcPr>
          <w:p>
            <w:pPr>
              <w:pStyle w:val="DMETW22324BIPFinancialFWK20142020"/>
              <w:rPr>
                <w:rFonts w:ascii="Verdana" w:eastAsia="Verdana" w:hAnsi="Verdana" w:cs="Verdana"/>
                <w:b/>
                <w:noProof/>
                <w:color w:val="000000"/>
                <w:sz w:val="16"/>
              </w:rPr>
            </w:pPr>
            <w:r>
              <w:rPr>
                <w:rFonts w:ascii="Verdana" w:hAnsi="Verdana"/>
                <w:b/>
                <w:noProof/>
                <w:color w:val="000000"/>
                <w:sz w:val="16"/>
              </w:rPr>
              <w:t>195 246</w:t>
            </w:r>
          </w:p>
        </w:tc>
        <w:tc>
          <w:tcPr>
            <w:tcW w:w="568" w:type="pct"/>
            <w:tcBorders>
              <w:top w:val="nil"/>
              <w:left w:val="nil"/>
              <w:bottom w:val="nil"/>
              <w:right w:val="nil"/>
              <w:tl2br w:val="nil"/>
              <w:tr2bl w:val="nil"/>
            </w:tcBorders>
            <w:shd w:val="solid" w:color="C8E1EB" w:fill="FFFFFF"/>
            <w:tcMar>
              <w:left w:w="60" w:type="dxa"/>
              <w:right w:w="60" w:type="dxa"/>
            </w:tcMar>
            <w:vAlign w:val="center"/>
          </w:tcPr>
          <w:p>
            <w:pPr>
              <w:pStyle w:val="DMETW22324BIPFinancialFWK20142020"/>
              <w:rPr>
                <w:rFonts w:ascii="Verdana" w:eastAsia="Verdana" w:hAnsi="Verdana" w:cs="Verdana"/>
                <w:b/>
                <w:noProof/>
                <w:color w:val="000000"/>
                <w:sz w:val="16"/>
              </w:rPr>
            </w:pPr>
            <w:r>
              <w:rPr>
                <w:rFonts w:ascii="Verdana" w:hAnsi="Verdana"/>
                <w:b/>
                <w:noProof/>
                <w:color w:val="000000"/>
                <w:sz w:val="16"/>
              </w:rPr>
              <w:t>1 206 478</w:t>
            </w:r>
          </w:p>
        </w:tc>
      </w:tr>
      <w:tr>
        <w:trPr>
          <w:trHeight w:val="369"/>
          <w:jc w:val="center"/>
        </w:trPr>
        <w:tc>
          <w:tcPr>
            <w:tcW w:w="984" w:type="pct"/>
            <w:tcBorders>
              <w:top w:val="nil"/>
              <w:left w:val="nil"/>
              <w:bottom w:val="nil"/>
              <w:right w:val="nil"/>
              <w:tl2br w:val="nil"/>
              <w:tr2bl w:val="nil"/>
            </w:tcBorders>
            <w:shd w:val="solid" w:color="C8E1EB" w:fill="FFFFFF"/>
            <w:tcMar>
              <w:left w:w="60" w:type="dxa"/>
              <w:right w:w="60" w:type="dxa"/>
            </w:tcMar>
            <w:vAlign w:val="center"/>
          </w:tcPr>
          <w:p>
            <w:pPr>
              <w:pStyle w:val="DMETW22324BIPFinancialFWK20142020"/>
              <w:rPr>
                <w:rFonts w:ascii="Verdana" w:eastAsia="Verdana" w:hAnsi="Verdana" w:cs="Verdana"/>
                <w:bCs/>
                <w:noProof/>
                <w:color w:val="000000"/>
                <w:sz w:val="16"/>
              </w:rPr>
            </w:pPr>
            <w:r>
              <w:rPr>
                <w:rFonts w:ascii="Verdana" w:hAnsi="Verdana"/>
                <w:noProof/>
                <w:color w:val="000000"/>
                <w:sz w:val="16"/>
              </w:rPr>
              <w:t>en pourcentage du RNB</w:t>
            </w:r>
          </w:p>
        </w:tc>
        <w:tc>
          <w:tcPr>
            <w:tcW w:w="492" w:type="pct"/>
            <w:tcBorders>
              <w:top w:val="nil"/>
              <w:left w:val="nil"/>
              <w:bottom w:val="nil"/>
              <w:right w:val="nil"/>
              <w:tl2br w:val="nil"/>
              <w:tr2bl w:val="nil"/>
            </w:tcBorders>
            <w:shd w:val="solid" w:color="C8E1EB" w:fill="FFFFFF"/>
            <w:tcMar>
              <w:left w:w="60" w:type="dxa"/>
              <w:right w:w="60" w:type="dxa"/>
            </w:tcMar>
            <w:vAlign w:val="center"/>
          </w:tcPr>
          <w:p>
            <w:pPr>
              <w:pStyle w:val="DMETW22324BIPFinancialFWK20142020"/>
              <w:jc w:val="center"/>
              <w:rPr>
                <w:rFonts w:ascii="Verdana" w:eastAsia="Verdana" w:hAnsi="Verdana" w:cs="Verdana"/>
                <w:bCs/>
                <w:noProof/>
                <w:color w:val="000000"/>
                <w:sz w:val="16"/>
              </w:rPr>
            </w:pPr>
            <w:r>
              <w:rPr>
                <w:rFonts w:ascii="Verdana" w:hAnsi="Verdana"/>
                <w:noProof/>
                <w:color w:val="000000"/>
                <w:sz w:val="16"/>
              </w:rPr>
              <w:t>1,18 %</w:t>
            </w:r>
          </w:p>
        </w:tc>
        <w:tc>
          <w:tcPr>
            <w:tcW w:w="492" w:type="pct"/>
            <w:tcBorders>
              <w:top w:val="nil"/>
              <w:left w:val="nil"/>
              <w:bottom w:val="nil"/>
              <w:right w:val="nil"/>
              <w:tl2br w:val="nil"/>
              <w:tr2bl w:val="nil"/>
            </w:tcBorders>
            <w:shd w:val="solid" w:color="C8E1EB" w:fill="FFFFFF"/>
            <w:tcMar>
              <w:left w:w="60" w:type="dxa"/>
              <w:right w:w="60" w:type="dxa"/>
            </w:tcMar>
            <w:vAlign w:val="center"/>
          </w:tcPr>
          <w:p>
            <w:pPr>
              <w:pStyle w:val="DMETW22324BIPFinancialFWK20142020"/>
              <w:jc w:val="center"/>
              <w:rPr>
                <w:rFonts w:ascii="Verdana" w:eastAsia="Verdana" w:hAnsi="Verdana" w:cs="Verdana"/>
                <w:bCs/>
                <w:noProof/>
                <w:color w:val="000000"/>
                <w:sz w:val="16"/>
              </w:rPr>
            </w:pPr>
            <w:r>
              <w:rPr>
                <w:rFonts w:ascii="Verdana" w:hAnsi="Verdana"/>
                <w:noProof/>
                <w:color w:val="000000"/>
                <w:sz w:val="16"/>
              </w:rPr>
              <w:t>1,12 %</w:t>
            </w:r>
          </w:p>
        </w:tc>
        <w:tc>
          <w:tcPr>
            <w:tcW w:w="492" w:type="pct"/>
            <w:tcBorders>
              <w:top w:val="nil"/>
              <w:left w:val="nil"/>
              <w:bottom w:val="nil"/>
              <w:right w:val="nil"/>
              <w:tl2br w:val="nil"/>
              <w:tr2bl w:val="nil"/>
            </w:tcBorders>
            <w:shd w:val="solid" w:color="C8E1EB" w:fill="FFFFFF"/>
            <w:tcMar>
              <w:left w:w="60" w:type="dxa"/>
              <w:right w:w="60" w:type="dxa"/>
            </w:tcMar>
            <w:vAlign w:val="center"/>
          </w:tcPr>
          <w:p>
            <w:pPr>
              <w:pStyle w:val="DMETW22324BIPFinancialFWK20142020"/>
              <w:jc w:val="center"/>
              <w:rPr>
                <w:rFonts w:ascii="Verdana" w:eastAsia="Verdana" w:hAnsi="Verdana" w:cs="Verdana"/>
                <w:bCs/>
                <w:noProof/>
                <w:color w:val="000000"/>
                <w:sz w:val="16"/>
              </w:rPr>
            </w:pPr>
            <w:r>
              <w:rPr>
                <w:rFonts w:ascii="Verdana" w:hAnsi="Verdana"/>
                <w:noProof/>
                <w:color w:val="000000"/>
                <w:sz w:val="16"/>
              </w:rPr>
              <w:t>0,99 %</w:t>
            </w:r>
          </w:p>
        </w:tc>
        <w:tc>
          <w:tcPr>
            <w:tcW w:w="492" w:type="pct"/>
            <w:tcBorders>
              <w:top w:val="nil"/>
              <w:left w:val="nil"/>
              <w:bottom w:val="nil"/>
              <w:right w:val="nil"/>
              <w:tl2br w:val="nil"/>
              <w:tr2bl w:val="nil"/>
            </w:tcBorders>
            <w:shd w:val="solid" w:color="C8E1EB" w:fill="FFFFFF"/>
            <w:tcMar>
              <w:left w:w="60" w:type="dxa"/>
              <w:right w:w="60" w:type="dxa"/>
            </w:tcMar>
            <w:vAlign w:val="center"/>
          </w:tcPr>
          <w:p>
            <w:pPr>
              <w:pStyle w:val="DMETW22324BIPFinancialFWK20142020"/>
              <w:jc w:val="center"/>
              <w:rPr>
                <w:rFonts w:ascii="Verdana" w:eastAsia="Verdana" w:hAnsi="Verdana" w:cs="Verdana"/>
                <w:bCs/>
                <w:noProof/>
                <w:color w:val="000000"/>
                <w:sz w:val="16"/>
              </w:rPr>
            </w:pPr>
            <w:r>
              <w:rPr>
                <w:rFonts w:ascii="Verdana" w:hAnsi="Verdana"/>
                <w:noProof/>
                <w:color w:val="000000"/>
                <w:sz w:val="16"/>
              </w:rPr>
              <w:t>0,81 %</w:t>
            </w:r>
          </w:p>
        </w:tc>
        <w:tc>
          <w:tcPr>
            <w:tcW w:w="492" w:type="pct"/>
            <w:tcBorders>
              <w:top w:val="nil"/>
              <w:left w:val="nil"/>
              <w:bottom w:val="nil"/>
              <w:right w:val="nil"/>
              <w:tl2br w:val="nil"/>
              <w:tr2bl w:val="nil"/>
            </w:tcBorders>
            <w:shd w:val="solid" w:color="C8E1EB" w:fill="FFFFFF"/>
            <w:tcMar>
              <w:left w:w="60" w:type="dxa"/>
              <w:right w:w="60" w:type="dxa"/>
            </w:tcMar>
            <w:vAlign w:val="center"/>
          </w:tcPr>
          <w:p>
            <w:pPr>
              <w:pStyle w:val="DMETW22324BIPFinancialFWK20142020"/>
              <w:jc w:val="center"/>
              <w:rPr>
                <w:rFonts w:ascii="Verdana" w:eastAsia="Verdana" w:hAnsi="Verdana" w:cs="Verdana"/>
                <w:bCs/>
                <w:noProof/>
                <w:color w:val="000000"/>
                <w:sz w:val="16"/>
              </w:rPr>
            </w:pPr>
            <w:r>
              <w:rPr>
                <w:rFonts w:ascii="Verdana" w:hAnsi="Verdana"/>
                <w:noProof/>
                <w:color w:val="000000"/>
                <w:sz w:val="16"/>
              </w:rPr>
              <w:t>0,95 %</w:t>
            </w:r>
          </w:p>
        </w:tc>
        <w:tc>
          <w:tcPr>
            <w:tcW w:w="492" w:type="pct"/>
            <w:tcBorders>
              <w:top w:val="nil"/>
              <w:left w:val="nil"/>
              <w:bottom w:val="nil"/>
              <w:right w:val="nil"/>
              <w:tl2br w:val="nil"/>
              <w:tr2bl w:val="nil"/>
            </w:tcBorders>
            <w:shd w:val="solid" w:color="C8E1EB" w:fill="FFFFFF"/>
            <w:tcMar>
              <w:left w:w="60" w:type="dxa"/>
              <w:right w:w="60" w:type="dxa"/>
            </w:tcMar>
            <w:vAlign w:val="center"/>
          </w:tcPr>
          <w:p>
            <w:pPr>
              <w:pStyle w:val="DMETW22324BIPFinancialFWK20142020"/>
              <w:jc w:val="center"/>
              <w:rPr>
                <w:rFonts w:ascii="Verdana" w:eastAsia="Verdana" w:hAnsi="Verdana" w:cs="Verdana"/>
                <w:bCs/>
                <w:noProof/>
                <w:color w:val="000000"/>
                <w:sz w:val="16"/>
              </w:rPr>
            </w:pPr>
            <w:r>
              <w:rPr>
                <w:rFonts w:ascii="Verdana" w:hAnsi="Verdana"/>
                <w:noProof/>
                <w:color w:val="000000"/>
                <w:sz w:val="16"/>
              </w:rPr>
              <w:t>1,04 %</w:t>
            </w:r>
          </w:p>
        </w:tc>
        <w:tc>
          <w:tcPr>
            <w:tcW w:w="493" w:type="pct"/>
            <w:tcBorders>
              <w:top w:val="nil"/>
              <w:left w:val="nil"/>
              <w:bottom w:val="nil"/>
              <w:right w:val="nil"/>
              <w:tl2br w:val="nil"/>
              <w:tr2bl w:val="nil"/>
            </w:tcBorders>
            <w:shd w:val="solid" w:color="C8E1EB" w:fill="FFFFFF"/>
            <w:tcMar>
              <w:left w:w="60" w:type="dxa"/>
              <w:right w:w="60" w:type="dxa"/>
            </w:tcMar>
            <w:vAlign w:val="center"/>
          </w:tcPr>
          <w:p>
            <w:pPr>
              <w:pStyle w:val="DMETW22324BIPFinancialFWK20142020"/>
              <w:jc w:val="center"/>
              <w:rPr>
                <w:rFonts w:ascii="Verdana" w:eastAsia="Verdana" w:hAnsi="Verdana" w:cs="Verdana"/>
                <w:bCs/>
                <w:noProof/>
                <w:color w:val="000000"/>
                <w:sz w:val="16"/>
              </w:rPr>
            </w:pPr>
            <w:r>
              <w:rPr>
                <w:rFonts w:ascii="Verdana" w:hAnsi="Verdana"/>
                <w:noProof/>
                <w:color w:val="000000"/>
                <w:sz w:val="16"/>
              </w:rPr>
              <w:t>0,98 %</w:t>
            </w:r>
          </w:p>
        </w:tc>
        <w:tc>
          <w:tcPr>
            <w:tcW w:w="568" w:type="pct"/>
            <w:tcBorders>
              <w:top w:val="nil"/>
              <w:left w:val="nil"/>
              <w:bottom w:val="nil"/>
              <w:right w:val="nil"/>
              <w:tl2br w:val="nil"/>
              <w:tr2bl w:val="nil"/>
            </w:tcBorders>
            <w:shd w:val="solid" w:color="C8E1EB" w:fill="FFFFFF"/>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1,01 %</w:t>
            </w:r>
          </w:p>
        </w:tc>
      </w:tr>
    </w:tbl>
    <w:p>
      <w:pPr>
        <w:pStyle w:val="Textstand-alone"/>
      </w:pPr>
      <w:r>
        <w:t>Le règlement (UE, Euratom) 2020/2093 du Conseil fixant le CFP 2021-2027 a été adopté le 17 décembre 2020</w:t>
      </w:r>
      <w:r>
        <w:rPr>
          <w:rStyle w:val="FootnoteReference"/>
        </w:rPr>
        <w:footnoteReference w:id="55"/>
      </w:r>
      <w:r>
        <w:t>. Le tableau figurant ci-dessus indique les plafonds du CFP à prix courants tels qu’adoptés lors de l’ajustement technique du CFP 2021-2027 pour 2026</w:t>
      </w:r>
      <w:r>
        <w:rPr>
          <w:rStyle w:val="FootnoteReference"/>
        </w:rPr>
        <w:footnoteReference w:id="56"/>
      </w:r>
      <w:r>
        <w:t xml:space="preserve">, conformément au déflateur annuel fixe de 2 % prévu à l’article 4, paragraphe 2, du règlement CFP. Ainsi que le prévoit le règlement (UE, Euratom) 2020/2093 du Conseil fixant le CFP 2021-2027, pour les crédits d’engagement, les montants sont </w:t>
      </w:r>
      <w:r>
        <w:lastRenderedPageBreak/>
        <w:t xml:space="preserve">ventilés par rubrique; pour les crédits de paiement, les plafonds ne s’appliquent qu’au niveau total. L’année 2025 était le cinquième exercice couvert par le CFP 2021-2027. </w:t>
      </w:r>
    </w:p>
    <w:p>
      <w:pPr>
        <w:pStyle w:val="Textstand-alone"/>
      </w:pPr>
      <w:r>
        <w:t>À la suite de l’accord politique sur la révision à mi-parcours du CFP 2021-2027 intervenu lors du Conseil européen du 1</w:t>
      </w:r>
      <w:r>
        <w:rPr>
          <w:vertAlign w:val="superscript"/>
        </w:rPr>
        <w:t>er</w:t>
      </w:r>
      <w:r>
        <w:t> février et avec le Parlement européen le 6 février 2024, le règlement CFP révisé</w:t>
      </w:r>
      <w:r>
        <w:rPr>
          <w:rStyle w:val="FootnoteReference"/>
        </w:rPr>
        <w:footnoteReference w:id="57"/>
      </w:r>
      <w:r>
        <w:t xml:space="preserve"> a été adopté le 29 février 2024. La révision à mi-parcours a renforcé le budget de l’UE pour la période 2024-2027 de 64,6 milliards d’EUR, dont 33 milliards d’EUR sous forme de prêts, dans un certain nombre de domaines prioritaires, dont le soutien à l’Ukraine, la mise en place de la plateforme «Technologies stratégiques pour l’Europe» (STEP), la création du mécanisme destiné à couvrir les coûts supplémentaires liés au financement de l’instrument pour la relance, NextGenerationEU, résultant de taux d’intérêt plus élevés, ainsi que le financement supplémentaire pour la gestion des migrations et les partenariats internationaux, et le renforcement de certains instruments spéciaux. La réserve de solidarité et d’aide d’urgence (RSAU) est scindée au 1</w:t>
      </w:r>
      <w:r>
        <w:rPr>
          <w:vertAlign w:val="superscript"/>
        </w:rPr>
        <w:t>er</w:t>
      </w:r>
      <w:r>
        <w:t> janvier 2024 en deux instruments distincts (la réserve de solidarité européenne et la réserve d’aide d’urgence). Afin d’intégrer l’incidence de la révision à mi-parcours sur le budget annuel 2024, le budget rectificatif nº 1/2024 a été adopté</w:t>
      </w:r>
      <w:r>
        <w:rPr>
          <w:rStyle w:val="FootnoteReference"/>
        </w:rPr>
        <w:footnoteReference w:id="58"/>
      </w:r>
      <w:r>
        <w:t xml:space="preserve">.   </w:t>
      </w:r>
    </w:p>
    <w:p>
      <w:pPr>
        <w:pStyle w:val="Textstand-alone"/>
      </w:pPr>
      <w:r>
        <w:t>Le plafond global des crédits d’engagement pour 2025 était de 190,544 milliards d’EUR, tandis que le plafond correspondant pour les crédits de paiement s’élevait à 175,378 milliards d’EUR.</w:t>
      </w:r>
    </w:p>
    <w:p>
      <w:pPr>
        <w:pStyle w:val="Textstand-alone"/>
      </w:pPr>
      <w:r>
        <w:t>Conformément à l’article 312, paragraphe 3, TFUE, le CFP fixe les montants des plafonds annuels des crédits pour engagements par catégorie de dépenses («rubriques») et des plafonds annuels des crédits pour paiements. Les rubriques du CFP correspondent aux principaux secteurs d’activité de l’Union. Une explication des différentes rubriques du CFP 2021-2027 figure ci-après.</w:t>
      </w:r>
    </w:p>
    <w:p>
      <w:pPr>
        <w:pStyle w:val="Textstand-alone"/>
      </w:pPr>
      <w:r>
        <w:t>Le CFP 2021-2027 dispose d’un montant de 1 223 milliards d’EUR (1 083 milliards d’EUR aux prix de 2018), en ce compris le Fonds européen de développement (FED). En outre, NextGenerationEU fournit un montant supplémentaire de 806,9 milliards d’EUR (750 milliards d’EUR aux prix de 2018) jusqu’en 2023 pour les engagements et en 2026 pour les paiements. Ce montant initial a été ajusté à 698,3 milliards d’EUR, étant donné que les États membres n’ont pas demandé la totalité du soutien disponible sous la forme de prêts.</w:t>
      </w:r>
    </w:p>
    <w:p>
      <w:pPr>
        <w:pStyle w:val="Textstand-alone"/>
      </w:pPr>
      <w:r>
        <w:t>En ce qui concerne la procédure budgétaire annuelle, la nomenclature budgétaire est structurée plus finement par «pôles», de façon à clarifier davantage la manière dont les différents programmes de dépenses contribuent à la réalisation des objectifs stratégiques de l’Union.</w:t>
      </w:r>
    </w:p>
    <w:p>
      <w:pPr>
        <w:pStyle w:val="HEADER5"/>
        <w:rPr>
          <w:noProof/>
        </w:rPr>
      </w:pPr>
      <w:r>
        <w:rPr>
          <w:noProof/>
        </w:rPr>
        <w:t>Rubrique 1 – Marché unique, innovation et numérique</w:t>
      </w:r>
    </w:p>
    <w:p>
      <w:pPr>
        <w:pStyle w:val="Textstand-alone"/>
      </w:pPr>
      <w:r>
        <w:t>Cette rubrique comprend des programmes clés de l’UE soutenant les domaines de la recherche et de l’innovation, de la transformation numérique, de l’infrastructure stratégique, du renforcement du marché unique et des projets spatiaux stratégiques. Les programmes relevant de cette rubrique comprennent Horizon Europe, le Fonds InvestEU, le mécanisme pour l’interconnexion en Europe, le programme en faveur du marché unique et le programme spatial européen.</w:t>
      </w:r>
    </w:p>
    <w:p>
      <w:pPr>
        <w:pStyle w:val="Textstand-alone"/>
      </w:pPr>
      <w:r>
        <w:t>Programmes de cette rubrique bénéficiant de contributions au titre de NextGenerationEU (recettes affectées externes): Horizon Europe et le Fonds InvestEU.</w:t>
      </w:r>
    </w:p>
    <w:p>
      <w:pPr>
        <w:pStyle w:val="HEADER5"/>
        <w:rPr>
          <w:noProof/>
        </w:rPr>
      </w:pPr>
      <w:r>
        <w:rPr>
          <w:noProof/>
        </w:rPr>
        <w:t>Rubrique 2 – Croissance durable: ressources naturelles</w:t>
      </w:r>
    </w:p>
    <w:p>
      <w:pPr>
        <w:pStyle w:val="Textstand-alone"/>
      </w:pPr>
      <w:r>
        <w:t>Cette rubrique est divisée en deux sous-rubriques: cohésion économique, sociale et territoriale (2 a), et résilience et valeurs (2 b).</w:t>
      </w:r>
    </w:p>
    <w:p>
      <w:pPr>
        <w:pStyle w:val="Textstand-alone"/>
      </w:pPr>
      <w:r>
        <w:t>Les dépenses relevant de cette rubrique visent à renforcer la résilience et la cohésion entre les États membres de l’UE. Le financement contribue à réduire les disparités dans et entre les régions de l’UE, ainsi qu’au sein des États membres et entre les États membres, et promeut le développement territorial durable (Fonds européen de développement régional, Fonds de cohésion, Fonds social européen Plus). Il soutient également la solidarité et la coopération de l’Union en matière de préparation et de réaction aux catastrophes (mécanisme de protection civile de l’Union et rescEU). En outre, les programmes relevant de cette rubrique visent à rendre l’UE plus résiliente aux défis actuels et futurs en investissant dans la transition écologique et numérique, les jeunes (Erasmus), la santé (L’UE pour la santé) et les actions visant à protéger les valeurs de l’Union (justice, droits et valeurs) et à promouvoir la diversité culturelle (Europe créative).</w:t>
      </w:r>
    </w:p>
    <w:p>
      <w:pPr>
        <w:pStyle w:val="Textstand-alone"/>
      </w:pPr>
      <w:r>
        <w:lastRenderedPageBreak/>
        <w:t>Cette rubrique comprend la facilité pour la reprise et la résilience, alimentée par la grande majorité du financement fourni par NextGenerationEU au cours de la période 2021-2023. Autres programmes de cette rubrique bénéficiant de contributions au titre de NextGenerationEU (recettes affectées externes): REACT-EU, le mécanisme de protection civile de l’Union (rescEU). Pour un aperçu plus détaillé des activités menées au titre de la FRR, veuillez consulter les sections </w:t>
      </w:r>
      <w:r>
        <w:rPr>
          <w:b/>
        </w:rPr>
        <w:t>3</w:t>
      </w:r>
      <w:r>
        <w:t xml:space="preserve"> et </w:t>
      </w:r>
      <w:r>
        <w:rPr>
          <w:b/>
        </w:rPr>
        <w:t>4</w:t>
      </w:r>
      <w:r>
        <w:t xml:space="preserve"> des faits marquants de l’exercice sur le plan financier, relatives à NextGenerationEU.</w:t>
      </w:r>
    </w:p>
    <w:p>
      <w:pPr>
        <w:pStyle w:val="HEADER5"/>
        <w:spacing w:before="240"/>
        <w:rPr>
          <w:noProof/>
        </w:rPr>
      </w:pPr>
      <w:r>
        <w:rPr>
          <w:noProof/>
        </w:rPr>
        <w:t xml:space="preserve">Rubrique 3 – Ressources naturelles et environnement </w:t>
      </w:r>
    </w:p>
    <w:p>
      <w:pPr>
        <w:pStyle w:val="Textstand-alone"/>
      </w:pPr>
      <w:r>
        <w:t>Les dépenses relevant de cette rubrique sont investies dans l’agriculture durable (politique agricole commune) et la politique maritime et de la pêche (Fonds pour les affaires maritimes, la pêche et l’aquaculture), ainsi que dans les programmes consacrés à la protection de l’environnement et à l’action pour le climat (programme LIFE, Fonds pour une transition juste).</w:t>
      </w:r>
    </w:p>
    <w:p>
      <w:pPr>
        <w:pStyle w:val="Textstand-alone"/>
      </w:pPr>
      <w:r>
        <w:t>Programmes de cette rubrique bénéficiant de contributions au titre de NextGenerationEU (recettes affectées externes): développement rural, Fonds pour une transition juste.</w:t>
      </w:r>
    </w:p>
    <w:p>
      <w:pPr>
        <w:pStyle w:val="HEADER5"/>
        <w:rPr>
          <w:noProof/>
        </w:rPr>
      </w:pPr>
      <w:r>
        <w:rPr>
          <w:noProof/>
        </w:rPr>
        <w:t>Rubrique 4 – Migration et gestion des frontières</w:t>
      </w:r>
    </w:p>
    <w:p>
      <w:pPr>
        <w:pStyle w:val="Textstand-alone"/>
      </w:pPr>
      <w:r>
        <w:t>Les programmes (Fonds «Asile, migration et intégration», Fonds pour la gestion intégrée des frontières) et les agences décentralisées [telles que l’Agence européenne de garde-frontières et de garde-côtes (Frontex) et l’Agence de l’Union européenne pour l’asile] financés au titre de cette rubrique visent à relever les défis liés à la migration et à la gestion des frontières extérieures de l’UE ainsi qu’à la sauvegarde du régime d’asile au sein de l’UE.</w:t>
      </w:r>
    </w:p>
    <w:p>
      <w:pPr>
        <w:pStyle w:val="HEADER5"/>
        <w:rPr>
          <w:noProof/>
        </w:rPr>
      </w:pPr>
      <w:r>
        <w:rPr>
          <w:noProof/>
        </w:rPr>
        <w:t>Rubrique 5 – Sécurité et défense</w:t>
      </w:r>
    </w:p>
    <w:p>
      <w:pPr>
        <w:pStyle w:val="Textstand-alone"/>
      </w:pPr>
      <w:r>
        <w:t>Cette rubrique traduit la nécessité accrue de coopération au niveau de l’Union afin de faire face aux menaces pour la sécurité et d’accroître l’autonomie stratégique de l’Union. Elle comprend des programmes dont le rôle est d’améliorer la sécurité et la sûreté des citoyens européens (Fonds pour la sécurité intérieure), de renforcer les capacités de défense de l’Europe (Fonds européen de la défense) et de fournir les outils nécessaires pour relever les défis en matière de sécurité intérieure et extérieure.</w:t>
      </w:r>
    </w:p>
    <w:p>
      <w:pPr>
        <w:pStyle w:val="HEADER5"/>
        <w:rPr>
          <w:noProof/>
        </w:rPr>
      </w:pPr>
      <w:r>
        <w:rPr>
          <w:noProof/>
        </w:rPr>
        <w:t>Rubrique 6 – Le voisinage et le monde</w:t>
      </w:r>
    </w:p>
    <w:p>
      <w:pPr>
        <w:pStyle w:val="Textstand-alone"/>
      </w:pPr>
      <w:r>
        <w:t>Les programmes relevant de cette rubrique visent à renforcer l’impact socio-économique de l’UE dans son voisinage, dans les pays en développement et dans le reste du monde. Le nouvel instrument «IVCDCI – L’Europe dans le monde» regroupe plusieurs anciens instruments de financement extérieur de l’UE, y compris la coopération avec les pays d’Afrique, des Caraïbes et du Pacifique (ACP) précédemment financée par le Fonds européen de développement. Cette rubrique comprend également l’assistance aux pays qui se préparent à adhérer à l’UE (aide de préadhésion) ainsi que le programme d’aide humanitaire de l’Union.</w:t>
      </w:r>
    </w:p>
    <w:p>
      <w:pPr>
        <w:pStyle w:val="DGTextstand-alone"/>
      </w:pPr>
      <w:r>
        <w:rPr>
          <w:color w:val="016794"/>
        </w:rPr>
        <w:t>Rubrique 7 – Administration publique européenne</w:t>
      </w:r>
    </w:p>
    <w:p>
      <w:pPr>
        <w:pStyle w:val="Textstand-alone"/>
      </w:pPr>
      <w:r>
        <w:t xml:space="preserve">Cette rubrique comprend les dépenses administratives de l'ensemble des institutions, les pensions et les écoles européennes. </w:t>
      </w:r>
    </w:p>
    <w:p>
      <w:pPr>
        <w:pStyle w:val="HEADER5"/>
        <w:rPr>
          <w:noProof/>
        </w:rPr>
      </w:pPr>
      <w:r>
        <w:rPr>
          <w:noProof/>
        </w:rPr>
        <w:t>S – Instruments spéciaux</w:t>
      </w:r>
    </w:p>
    <w:p>
      <w:pPr>
        <w:pStyle w:val="Textstand-alone"/>
      </w:pPr>
      <w:r>
        <w:t>Les mécanismes de flexibilité existant dans le budget de l’UE permettent à l’UE de mobiliser les fonds nécessaires pour faire face à des événements imprévus tels que des crises, des catastrophes naturelles et des situations d’urgence. Leur portée, leur dotation financière et leurs modalités de fonctionnement sont exposées dans le règlement CFP et dans l’accord interinstitutionnel. Ces instruments garantissent que les ressources budgétaires peuvent suivre l’évolution des priorités, de sorte que chaque euro est dépensé là où il est le plus utile.</w:t>
      </w:r>
    </w:p>
    <w:p>
      <w:pPr>
        <w:pStyle w:val="Textstand-alone"/>
      </w:pPr>
      <w:r>
        <w:t xml:space="preserve">Dans la nomenclature et l’exécution budgétaires annuelles, ils sont repris en tant qu’instruments spéciaux («S»), étant donné qu’ils peuvent être mobilisés au-delà des plafonds de dépenses du CFP, tant pour les crédits d’engagement que pour les crédits de paiement. </w:t>
      </w:r>
    </w:p>
    <w:p>
      <w:pPr>
        <w:pStyle w:val="HEADER2PartBUDG"/>
        <w:spacing w:before="0"/>
        <w:ind w:left="357" w:hanging="357"/>
        <w:rPr>
          <w:noProof/>
        </w:rPr>
      </w:pPr>
      <w:r>
        <w:rPr>
          <w:noProof/>
        </w:rPr>
        <w:br w:type="page"/>
      </w:r>
      <w:bookmarkStart w:id="269" w:name="_Toc177134512"/>
      <w:bookmarkStart w:id="270" w:name="_Toc237349624"/>
      <w:r>
        <w:rPr>
          <w:noProof/>
        </w:rPr>
        <w:lastRenderedPageBreak/>
        <w:t>RUBRIQUES DÉTAILLÉES DU CFP (PROGRAMMES)</w:t>
      </w:r>
      <w:bookmarkEnd w:id="269"/>
      <w:bookmarkEnd w:id="270"/>
    </w:p>
    <w:p>
      <w:pPr>
        <w:pStyle w:val="Textstand-alone"/>
      </w:pPr>
      <w:r>
        <w:t>Les rubriques du CFP sont ventilées de manière plus fine en intitulés correspondant aux principaux programmes de dépenses (Horizon 2020, Erasmus+, etc.). Les bases juridiques sous-jacentes pour l’exécution budgétaire sont adoptées à ce niveau. Les programmes sont la structure la plus couramment utilisée pour rendre compte de l’exécution et des résultats. Des tableaux par programme figurent dans les états sur l’exécution budgétaire (voir tableaux </w:t>
      </w:r>
      <w:r>
        <w:rPr>
          <w:b/>
        </w:rPr>
        <w:t>6.6 à 6.10</w:t>
      </w:r>
      <w:r>
        <w:t xml:space="preserve"> ci-après).</w:t>
      </w:r>
    </w:p>
    <w:p>
      <w:pPr>
        <w:pStyle w:val="HEADER2PartBUDG"/>
        <w:rPr>
          <w:noProof/>
        </w:rPr>
      </w:pPr>
      <w:bookmarkStart w:id="271" w:name="_Toc177134513"/>
      <w:bookmarkStart w:id="272" w:name="_Toc200103453"/>
      <w:bookmarkStart w:id="273" w:name="_Toc237349625"/>
      <w:r>
        <w:rPr>
          <w:noProof/>
        </w:rPr>
        <w:t>NextGenerationEU</w:t>
      </w:r>
      <w:bookmarkEnd w:id="271"/>
      <w:bookmarkEnd w:id="272"/>
      <w:bookmarkEnd w:id="273"/>
    </w:p>
    <w:p>
      <w:pPr>
        <w:pStyle w:val="Textstand-alone"/>
      </w:pPr>
      <w:r>
        <w:t>Doté d’un budget de 420,8 milliards d’EUR aux fins du soutien non remboursable, NextGenerationEU a une incidence majeure sur le budget annuel total de l’UE pour la période 2021-2026 ainsi que sur son exécution. En 2021, ce montant a été entièrement inscrit en tant que crédits issus des recettes affectées. Tous les engagements relatifs au soutien non remboursable ont été contractés le 31 décembre 2023 au plus tard et seront honorés par des paiements effectués le 31 décembre 2026 au plus tard, conformément à l’article 3, paragraphes 4 et 9, du règlement EURI</w:t>
      </w:r>
      <w:r>
        <w:rPr>
          <w:sz w:val="16"/>
          <w:vertAlign w:val="superscript"/>
        </w:rPr>
        <w:footnoteReference w:id="59"/>
      </w:r>
      <w:r>
        <w:t>.</w:t>
      </w:r>
    </w:p>
    <w:p>
      <w:pPr>
        <w:pStyle w:val="Textstand-alone"/>
      </w:pPr>
      <w:r>
        <w:t>Pour un aperçu complet des activités menées au titre de NextGenerationEU, veuillez consulter la section </w:t>
      </w:r>
      <w:r>
        <w:rPr>
          <w:b/>
        </w:rPr>
        <w:t>3</w:t>
      </w:r>
      <w:r>
        <w:t xml:space="preserve"> des faits marquants de l’exercice sur le plan financier.</w:t>
      </w:r>
    </w:p>
    <w:p>
      <w:pPr>
        <w:pStyle w:val="Textstand-alone"/>
      </w:pPr>
    </w:p>
    <w:p>
      <w:pPr>
        <w:rPr>
          <w:rFonts w:ascii="Verdana" w:eastAsia="Calibri" w:hAnsi="Verdana"/>
          <w:noProof/>
          <w:sz w:val="18"/>
          <w:szCs w:val="18"/>
        </w:rPr>
      </w:pPr>
      <w:r>
        <w:rPr>
          <w:noProof/>
        </w:rPr>
        <w:br w:type="page"/>
      </w:r>
    </w:p>
    <w:p>
      <w:pPr>
        <w:pStyle w:val="HEADER2PartBUDG"/>
        <w:rPr>
          <w:noProof/>
        </w:rPr>
      </w:pPr>
      <w:bookmarkStart w:id="274" w:name="_Toc237349626"/>
      <w:r>
        <w:rPr>
          <w:noProof/>
        </w:rPr>
        <w:lastRenderedPageBreak/>
        <w:t>BUDGET ANNUEL</w:t>
      </w:r>
      <w:bookmarkEnd w:id="274"/>
    </w:p>
    <w:p>
      <w:pPr>
        <w:pStyle w:val="Textstand-alone"/>
      </w:pPr>
      <w:r>
        <w:t>La procédure d’adoption du budget est énoncée à l’article 314 du traité sur le fonctionnement de l’Union européenne. Le diagramme suivant présente les échéances ainsi que les étapes de l’adoption du budget.</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519"/>
        <w:gridCol w:w="2398"/>
        <w:gridCol w:w="499"/>
        <w:gridCol w:w="2215"/>
        <w:gridCol w:w="499"/>
        <w:gridCol w:w="2327"/>
      </w:tblGrid>
      <w:tr>
        <w:trPr>
          <w:cantSplit/>
          <w:trHeight w:val="340"/>
        </w:trPr>
        <w:tc>
          <w:tcPr>
            <w:tcW w:w="3917" w:type="dxa"/>
            <w:gridSpan w:val="2"/>
            <w:vAlign w:val="center"/>
          </w:tcPr>
          <w:p>
            <w:pPr>
              <w:spacing w:after="200"/>
              <w:contextualSpacing/>
              <w:rPr>
                <w:rFonts w:ascii="Verdana" w:hAnsi="Verdana"/>
                <w:b/>
                <w:noProof/>
                <w:sz w:val="28"/>
                <w:vertAlign w:val="superscript"/>
              </w:rPr>
            </w:pPr>
            <w:bookmarkStart w:id="275" w:name="_DMBM_626"/>
            <w:r>
              <w:rPr>
                <w:noProof/>
              </w:rPr>
              <w:br w:type="page"/>
            </w:r>
            <w:bookmarkEnd w:id="275"/>
            <w:r>
              <w:rPr>
                <w:rFonts w:ascii="Verdana" w:hAnsi="Verdana"/>
                <w:b/>
                <w:noProof/>
              </w:rPr>
              <w:t>Échéances selon le traité</w:t>
            </w:r>
            <w:r>
              <w:rPr>
                <w:rFonts w:ascii="Verdana" w:hAnsi="Verdana"/>
                <w:b/>
                <w:noProof/>
                <w:vertAlign w:val="superscript"/>
              </w:rPr>
              <w:t>1</w:t>
            </w:r>
          </w:p>
        </w:tc>
        <w:tc>
          <w:tcPr>
            <w:tcW w:w="446" w:type="dxa"/>
            <w:vAlign w:val="center"/>
          </w:tcPr>
          <w:p>
            <w:pPr>
              <w:spacing w:after="200"/>
              <w:contextualSpacing/>
              <w:rPr>
                <w:rFonts w:ascii="EC Square Sans Pro" w:hAnsi="EC Square Sans Pro"/>
                <w:noProof/>
              </w:rPr>
            </w:pPr>
          </w:p>
        </w:tc>
        <w:tc>
          <w:tcPr>
            <w:tcW w:w="2215" w:type="dxa"/>
            <w:vAlign w:val="center"/>
          </w:tcPr>
          <w:p>
            <w:pPr>
              <w:spacing w:after="200"/>
              <w:contextualSpacing/>
              <w:rPr>
                <w:rFonts w:ascii="EC Square Sans Pro" w:hAnsi="EC Square Sans Pro"/>
                <w:noProof/>
              </w:rPr>
            </w:pPr>
          </w:p>
        </w:tc>
        <w:tc>
          <w:tcPr>
            <w:tcW w:w="383" w:type="dxa"/>
            <w:vAlign w:val="center"/>
          </w:tcPr>
          <w:p>
            <w:pPr>
              <w:spacing w:after="200"/>
              <w:contextualSpacing/>
              <w:rPr>
                <w:rFonts w:ascii="EC Square Sans Pro" w:hAnsi="EC Square Sans Pro"/>
                <w:noProof/>
              </w:rPr>
            </w:pPr>
          </w:p>
        </w:tc>
        <w:tc>
          <w:tcPr>
            <w:tcW w:w="2327" w:type="dxa"/>
            <w:vAlign w:val="center"/>
          </w:tcPr>
          <w:p>
            <w:pPr>
              <w:spacing w:after="200"/>
              <w:contextualSpacing/>
              <w:rPr>
                <w:rFonts w:ascii="EC Square Sans Pro" w:hAnsi="EC Square Sans Pro"/>
                <w:noProof/>
              </w:rPr>
            </w:pPr>
          </w:p>
        </w:tc>
      </w:tr>
      <w:tr>
        <w:trPr>
          <w:cantSplit/>
          <w:trHeight w:val="340"/>
        </w:trPr>
        <w:tc>
          <w:tcPr>
            <w:tcW w:w="3917" w:type="dxa"/>
            <w:gridSpan w:val="2"/>
            <w:vAlign w:val="center"/>
          </w:tcPr>
          <w:p>
            <w:pPr>
              <w:spacing w:after="200"/>
              <w:contextualSpacing/>
              <w:rPr>
                <w:rFonts w:ascii="EC Square Sans Pro" w:hAnsi="EC Square Sans Pro"/>
                <w:noProof/>
                <w:sz w:val="28"/>
              </w:rPr>
            </w:pPr>
          </w:p>
        </w:tc>
        <w:tc>
          <w:tcPr>
            <w:tcW w:w="446" w:type="dxa"/>
            <w:vAlign w:val="center"/>
          </w:tcPr>
          <w:p>
            <w:pPr>
              <w:spacing w:after="200"/>
              <w:contextualSpacing/>
              <w:rPr>
                <w:rFonts w:ascii="EC Square Sans Pro" w:hAnsi="EC Square Sans Pro"/>
                <w:noProof/>
              </w:rPr>
            </w:pPr>
          </w:p>
        </w:tc>
        <w:tc>
          <w:tcPr>
            <w:tcW w:w="2215" w:type="dxa"/>
            <w:vAlign w:val="center"/>
          </w:tcPr>
          <w:p>
            <w:pPr>
              <w:spacing w:after="200"/>
              <w:contextualSpacing/>
              <w:rPr>
                <w:rFonts w:ascii="EC Square Sans Pro" w:hAnsi="EC Square Sans Pro"/>
                <w:noProof/>
              </w:rPr>
            </w:pPr>
          </w:p>
        </w:tc>
        <w:tc>
          <w:tcPr>
            <w:tcW w:w="383" w:type="dxa"/>
            <w:vAlign w:val="center"/>
          </w:tcPr>
          <w:p>
            <w:pPr>
              <w:spacing w:after="200"/>
              <w:contextualSpacing/>
              <w:rPr>
                <w:rFonts w:ascii="EC Square Sans Pro" w:hAnsi="EC Square Sans Pro"/>
                <w:noProof/>
              </w:rPr>
            </w:pPr>
          </w:p>
        </w:tc>
        <w:tc>
          <w:tcPr>
            <w:tcW w:w="2327" w:type="dxa"/>
            <w:vAlign w:val="center"/>
          </w:tcPr>
          <w:p>
            <w:pPr>
              <w:spacing w:after="200"/>
              <w:contextualSpacing/>
              <w:rPr>
                <w:rFonts w:ascii="EC Square Sans Pro" w:hAnsi="EC Square Sans Pro"/>
                <w:noProof/>
              </w:rPr>
            </w:pPr>
          </w:p>
        </w:tc>
      </w:tr>
      <w:tr>
        <w:trPr>
          <w:cantSplit/>
          <w:trHeight w:val="340"/>
        </w:trPr>
        <w:tc>
          <w:tcPr>
            <w:tcW w:w="1519" w:type="dxa"/>
            <w:vAlign w:val="center"/>
          </w:tcPr>
          <w:p>
            <w:pPr>
              <w:spacing w:after="200"/>
              <w:contextualSpacing/>
              <w:rPr>
                <w:rFonts w:ascii="Verdana" w:hAnsi="Verdana"/>
                <w:noProof/>
              </w:rPr>
            </w:pPr>
            <w:r>
              <w:rPr>
                <w:rFonts w:ascii="Verdana" w:hAnsi="Verdana"/>
                <w:noProof/>
                <w:sz w:val="18"/>
              </w:rPr>
              <w:t>1</w:t>
            </w:r>
            <w:r>
              <w:rPr>
                <w:rFonts w:ascii="Verdana" w:hAnsi="Verdana"/>
                <w:noProof/>
                <w:sz w:val="18"/>
                <w:vertAlign w:val="superscript"/>
              </w:rPr>
              <w:t>er</w:t>
            </w:r>
            <w:r>
              <w:rPr>
                <w:rFonts w:ascii="Verdana" w:hAnsi="Verdana"/>
                <w:noProof/>
                <w:sz w:val="18"/>
              </w:rPr>
              <w:t xml:space="preserve"> septembre</w:t>
            </w:r>
          </w:p>
        </w:tc>
        <w:tc>
          <w:tcPr>
            <w:tcW w:w="5442" w:type="dxa"/>
            <w:gridSpan w:val="4"/>
            <w:shd w:val="clear" w:color="auto" w:fill="FABF8F" w:themeFill="accent6" w:themeFillTint="99"/>
            <w:vAlign w:val="center"/>
          </w:tcPr>
          <w:p>
            <w:pPr>
              <w:spacing w:after="200"/>
              <w:contextualSpacing/>
              <w:rPr>
                <w:rFonts w:ascii="Verdana" w:hAnsi="Verdana"/>
                <w:noProof/>
                <w:color w:val="FFFFFF" w:themeColor="background1"/>
                <w:sz w:val="18"/>
              </w:rPr>
            </w:pPr>
            <w:r>
              <w:rPr>
                <w:rFonts w:ascii="Verdana" w:hAnsi="Verdana"/>
                <w:noProof/>
                <w:sz w:val="18"/>
              </w:rPr>
              <w:t>Projet de budget (PB)</w:t>
            </w:r>
          </w:p>
        </w:tc>
        <w:tc>
          <w:tcPr>
            <w:tcW w:w="2327" w:type="dxa"/>
            <w:shd w:val="clear" w:color="auto" w:fill="FABF8F" w:themeFill="accent6" w:themeFillTint="99"/>
            <w:vAlign w:val="center"/>
          </w:tcPr>
          <w:p>
            <w:pPr>
              <w:spacing w:after="200"/>
              <w:contextualSpacing/>
              <w:jc w:val="right"/>
              <w:rPr>
                <w:rFonts w:ascii="Verdana" w:hAnsi="Verdana"/>
                <w:i/>
                <w:noProof/>
                <w:color w:val="FFFFFF" w:themeColor="background1"/>
                <w:sz w:val="18"/>
              </w:rPr>
            </w:pPr>
            <w:r>
              <w:rPr>
                <w:rFonts w:ascii="Verdana" w:hAnsi="Verdana"/>
                <w:i/>
                <w:noProof/>
                <w:color w:val="FFFFFF" w:themeColor="background1"/>
                <w:sz w:val="18"/>
              </w:rPr>
              <w:t>Commission</w:t>
            </w:r>
          </w:p>
        </w:tc>
      </w:tr>
      <w:tr>
        <w:trPr>
          <w:cantSplit/>
          <w:trHeight w:hRule="exact" w:val="170"/>
        </w:trPr>
        <w:tc>
          <w:tcPr>
            <w:tcW w:w="1519" w:type="dxa"/>
            <w:vAlign w:val="center"/>
          </w:tcPr>
          <w:p>
            <w:pPr>
              <w:spacing w:after="200"/>
              <w:contextualSpacing/>
              <w:rPr>
                <w:rFonts w:ascii="EC Square Sans Pro" w:hAnsi="EC Square Sans Pro"/>
                <w:noProof/>
              </w:rPr>
            </w:pPr>
          </w:p>
        </w:tc>
        <w:tc>
          <w:tcPr>
            <w:tcW w:w="5442" w:type="dxa"/>
            <w:gridSpan w:val="4"/>
            <w:vAlign w:val="center"/>
          </w:tcPr>
          <w:p>
            <w:pPr>
              <w:spacing w:after="200"/>
              <w:contextualSpacing/>
              <w:rPr>
                <w:rFonts w:ascii="EC Square Sans Pro" w:hAnsi="EC Square Sans Pro"/>
                <w:noProof/>
              </w:rPr>
            </w:pPr>
          </w:p>
        </w:tc>
        <w:tc>
          <w:tcPr>
            <w:tcW w:w="2327" w:type="dxa"/>
            <w:vAlign w:val="center"/>
          </w:tcPr>
          <w:p>
            <w:pPr>
              <w:spacing w:after="200"/>
              <w:contextualSpacing/>
              <w:jc w:val="right"/>
              <w:rPr>
                <w:rFonts w:ascii="EC Square Sans Pro" w:hAnsi="EC Square Sans Pro"/>
                <w:i/>
                <w:noProof/>
                <w:color w:val="FFFFFF" w:themeColor="background1"/>
              </w:rPr>
            </w:pPr>
          </w:p>
        </w:tc>
      </w:tr>
      <w:tr>
        <w:trPr>
          <w:cantSplit/>
          <w:trHeight w:val="340"/>
        </w:trPr>
        <w:tc>
          <w:tcPr>
            <w:tcW w:w="1519" w:type="dxa"/>
            <w:vAlign w:val="center"/>
          </w:tcPr>
          <w:p>
            <w:pPr>
              <w:spacing w:after="200"/>
              <w:contextualSpacing/>
              <w:rPr>
                <w:rFonts w:ascii="Verdana" w:hAnsi="Verdana"/>
                <w:noProof/>
              </w:rPr>
            </w:pPr>
            <w:r>
              <w:rPr>
                <w:rFonts w:ascii="Verdana" w:hAnsi="Verdana"/>
                <w:noProof/>
                <w:sz w:val="18"/>
              </w:rPr>
              <w:t>1</w:t>
            </w:r>
            <w:r>
              <w:rPr>
                <w:rFonts w:ascii="Verdana" w:hAnsi="Verdana"/>
                <w:noProof/>
                <w:sz w:val="18"/>
                <w:vertAlign w:val="superscript"/>
              </w:rPr>
              <w:t>er</w:t>
            </w:r>
            <w:r>
              <w:rPr>
                <w:rFonts w:ascii="Verdana" w:hAnsi="Verdana"/>
                <w:noProof/>
                <w:sz w:val="18"/>
              </w:rPr>
              <w:t> octobre</w:t>
            </w:r>
          </w:p>
        </w:tc>
        <w:tc>
          <w:tcPr>
            <w:tcW w:w="5442" w:type="dxa"/>
            <w:gridSpan w:val="4"/>
            <w:shd w:val="clear" w:color="auto" w:fill="FABF8F" w:themeFill="accent6" w:themeFillTint="99"/>
            <w:vAlign w:val="center"/>
          </w:tcPr>
          <w:p>
            <w:pPr>
              <w:spacing w:after="200"/>
              <w:contextualSpacing/>
              <w:rPr>
                <w:rFonts w:ascii="Verdana" w:hAnsi="Verdana"/>
                <w:noProof/>
                <w:color w:val="FFFFFF" w:themeColor="background1"/>
                <w:sz w:val="18"/>
                <w:lang w:val="fr-BE"/>
              </w:rPr>
            </w:pPr>
            <w:r>
              <w:rPr>
                <w:rFonts w:ascii="Verdana" w:hAnsi="Verdana"/>
                <w:noProof/>
                <w:sz w:val="18"/>
                <w:lang w:val="fr-BE"/>
              </w:rPr>
              <w:t>Position du Conseil sur le PB</w:t>
            </w:r>
          </w:p>
        </w:tc>
        <w:tc>
          <w:tcPr>
            <w:tcW w:w="2327" w:type="dxa"/>
            <w:shd w:val="clear" w:color="auto" w:fill="FABF8F" w:themeFill="accent6" w:themeFillTint="99"/>
            <w:vAlign w:val="center"/>
          </w:tcPr>
          <w:p>
            <w:pPr>
              <w:spacing w:after="200"/>
              <w:contextualSpacing/>
              <w:jc w:val="right"/>
              <w:rPr>
                <w:rFonts w:ascii="Verdana" w:hAnsi="Verdana"/>
                <w:i/>
                <w:noProof/>
                <w:color w:val="FFFFFF" w:themeColor="background1"/>
                <w:sz w:val="18"/>
              </w:rPr>
            </w:pPr>
            <w:r>
              <w:rPr>
                <w:rFonts w:ascii="Verdana" w:hAnsi="Verdana"/>
                <w:i/>
                <w:noProof/>
                <w:color w:val="FFFFFF" w:themeColor="background1"/>
                <w:sz w:val="18"/>
              </w:rPr>
              <w:t>Conseil</w:t>
            </w:r>
          </w:p>
        </w:tc>
      </w:tr>
      <w:tr>
        <w:trPr>
          <w:cantSplit/>
          <w:trHeight w:hRule="exact" w:val="170"/>
        </w:trPr>
        <w:tc>
          <w:tcPr>
            <w:tcW w:w="1519" w:type="dxa"/>
            <w:vAlign w:val="center"/>
          </w:tcPr>
          <w:p>
            <w:pPr>
              <w:spacing w:after="200"/>
              <w:contextualSpacing/>
              <w:rPr>
                <w:rFonts w:ascii="EC Square Sans Pro" w:hAnsi="EC Square Sans Pro"/>
                <w:noProof/>
              </w:rPr>
            </w:pPr>
          </w:p>
        </w:tc>
        <w:tc>
          <w:tcPr>
            <w:tcW w:w="5442" w:type="dxa"/>
            <w:gridSpan w:val="4"/>
            <w:vAlign w:val="center"/>
          </w:tcPr>
          <w:p>
            <w:pPr>
              <w:spacing w:after="200"/>
              <w:contextualSpacing/>
              <w:rPr>
                <w:rFonts w:ascii="EC Square Sans Pro" w:hAnsi="EC Square Sans Pro"/>
                <w:noProof/>
              </w:rPr>
            </w:pPr>
          </w:p>
        </w:tc>
        <w:tc>
          <w:tcPr>
            <w:tcW w:w="2327" w:type="dxa"/>
            <w:vAlign w:val="center"/>
          </w:tcPr>
          <w:p>
            <w:pPr>
              <w:spacing w:after="200"/>
              <w:contextualSpacing/>
              <w:jc w:val="right"/>
              <w:rPr>
                <w:rFonts w:ascii="EC Square Sans Pro" w:hAnsi="EC Square Sans Pro"/>
                <w:i/>
                <w:noProof/>
                <w:color w:val="FFFFFF" w:themeColor="background1"/>
              </w:rPr>
            </w:pPr>
          </w:p>
        </w:tc>
      </w:tr>
      <w:tr>
        <w:trPr>
          <w:cantSplit/>
          <w:trHeight w:val="340"/>
        </w:trPr>
        <w:tc>
          <w:tcPr>
            <w:tcW w:w="1519" w:type="dxa"/>
            <w:vAlign w:val="center"/>
          </w:tcPr>
          <w:p>
            <w:pPr>
              <w:spacing w:after="200"/>
              <w:contextualSpacing/>
              <w:rPr>
                <w:rFonts w:ascii="EC Square Sans Pro" w:hAnsi="EC Square Sans Pro"/>
                <w:noProof/>
              </w:rPr>
            </w:pPr>
          </w:p>
        </w:tc>
        <w:tc>
          <w:tcPr>
            <w:tcW w:w="5442" w:type="dxa"/>
            <w:gridSpan w:val="4"/>
            <w:shd w:val="clear" w:color="auto" w:fill="FABF8F" w:themeFill="accent6" w:themeFillTint="99"/>
            <w:vAlign w:val="center"/>
          </w:tcPr>
          <w:p>
            <w:pPr>
              <w:spacing w:after="200"/>
              <w:contextualSpacing/>
              <w:rPr>
                <w:rFonts w:ascii="Verdana" w:hAnsi="Verdana"/>
                <w:noProof/>
                <w:color w:val="FFFFFF" w:themeColor="background1"/>
                <w:sz w:val="18"/>
                <w:lang w:val="fr-BE"/>
              </w:rPr>
            </w:pPr>
            <w:r>
              <w:rPr>
                <w:rFonts w:ascii="Verdana" w:hAnsi="Verdana"/>
                <w:noProof/>
                <w:sz w:val="18"/>
                <w:lang w:val="fr-BE"/>
              </w:rPr>
              <w:t>Position du Parlement européen sur la position du Conseil</w:t>
            </w:r>
          </w:p>
        </w:tc>
        <w:tc>
          <w:tcPr>
            <w:tcW w:w="2327" w:type="dxa"/>
            <w:shd w:val="clear" w:color="auto" w:fill="FABF8F" w:themeFill="accent6" w:themeFillTint="99"/>
            <w:vAlign w:val="center"/>
          </w:tcPr>
          <w:p>
            <w:pPr>
              <w:spacing w:after="200"/>
              <w:contextualSpacing/>
              <w:jc w:val="right"/>
              <w:rPr>
                <w:rFonts w:ascii="Verdana" w:hAnsi="Verdana"/>
                <w:i/>
                <w:noProof/>
                <w:color w:val="FFFFFF" w:themeColor="background1"/>
                <w:sz w:val="18"/>
              </w:rPr>
            </w:pPr>
            <w:r>
              <w:rPr>
                <w:rFonts w:ascii="Verdana" w:hAnsi="Verdana"/>
                <w:i/>
                <w:noProof/>
                <w:color w:val="FFFFFF" w:themeColor="background1"/>
                <w:sz w:val="18"/>
              </w:rPr>
              <w:t>Parlement</w:t>
            </w:r>
          </w:p>
        </w:tc>
      </w:tr>
      <w:tr>
        <w:trPr>
          <w:cantSplit/>
          <w:trHeight w:hRule="exact" w:val="170"/>
        </w:trPr>
        <w:tc>
          <w:tcPr>
            <w:tcW w:w="1519" w:type="dxa"/>
            <w:vAlign w:val="center"/>
          </w:tcPr>
          <w:p>
            <w:pPr>
              <w:spacing w:after="200"/>
              <w:contextualSpacing/>
              <w:rPr>
                <w:rFonts w:ascii="EC Square Sans Pro" w:hAnsi="EC Square Sans Pro"/>
                <w:noProof/>
              </w:rPr>
            </w:pPr>
          </w:p>
        </w:tc>
        <w:tc>
          <w:tcPr>
            <w:tcW w:w="5442" w:type="dxa"/>
            <w:gridSpan w:val="4"/>
            <w:vAlign w:val="center"/>
          </w:tcPr>
          <w:p>
            <w:pPr>
              <w:spacing w:after="200"/>
              <w:contextualSpacing/>
              <w:rPr>
                <w:rFonts w:ascii="EC Square Sans Pro" w:hAnsi="EC Square Sans Pro"/>
                <w:noProof/>
              </w:rPr>
            </w:pPr>
          </w:p>
        </w:tc>
        <w:tc>
          <w:tcPr>
            <w:tcW w:w="2327" w:type="dxa"/>
            <w:vAlign w:val="center"/>
          </w:tcPr>
          <w:p>
            <w:pPr>
              <w:spacing w:after="200"/>
              <w:contextualSpacing/>
              <w:jc w:val="right"/>
              <w:rPr>
                <w:rFonts w:ascii="EC Square Sans Pro" w:hAnsi="EC Square Sans Pro"/>
                <w:i/>
                <w:noProof/>
                <w:color w:val="FFFFFF" w:themeColor="background1"/>
              </w:rPr>
            </w:pPr>
          </w:p>
        </w:tc>
      </w:tr>
      <w:tr>
        <w:trPr>
          <w:cantSplit/>
          <w:trHeight w:val="340"/>
        </w:trPr>
        <w:tc>
          <w:tcPr>
            <w:tcW w:w="1519" w:type="dxa"/>
            <w:vAlign w:val="center"/>
          </w:tcPr>
          <w:p>
            <w:pPr>
              <w:spacing w:after="200"/>
              <w:contextualSpacing/>
              <w:rPr>
                <w:rFonts w:ascii="Verdana" w:hAnsi="Verdana"/>
                <w:noProof/>
                <w:sz w:val="18"/>
              </w:rPr>
            </w:pPr>
            <w:r>
              <w:rPr>
                <w:rFonts w:ascii="Verdana" w:hAnsi="Verdana"/>
                <w:noProof/>
                <w:sz w:val="18"/>
              </w:rPr>
              <w:t>13 novembre</w:t>
            </w:r>
          </w:p>
          <w:p>
            <w:pPr>
              <w:spacing w:after="200"/>
              <w:contextualSpacing/>
              <w:rPr>
                <w:rFonts w:ascii="EC Square Sans Pro" w:hAnsi="EC Square Sans Pro"/>
                <w:noProof/>
              </w:rPr>
            </w:pPr>
            <w:r>
              <w:rPr>
                <w:rFonts w:ascii="Verdana" w:hAnsi="Verdana"/>
                <w:noProof/>
                <w:sz w:val="18"/>
              </w:rPr>
              <w:t>(42 jours)</w:t>
            </w:r>
          </w:p>
        </w:tc>
        <w:tc>
          <w:tcPr>
            <w:tcW w:w="2398" w:type="dxa"/>
            <w:shd w:val="clear" w:color="auto" w:fill="C2D69B" w:themeFill="accent3" w:themeFillTint="99"/>
            <w:vAlign w:val="center"/>
          </w:tcPr>
          <w:p>
            <w:pPr>
              <w:spacing w:after="200"/>
              <w:contextualSpacing/>
              <w:jc w:val="center"/>
              <w:rPr>
                <w:rFonts w:ascii="Verdana" w:hAnsi="Verdana"/>
                <w:noProof/>
                <w:sz w:val="18"/>
                <w:szCs w:val="18"/>
                <w:lang w:val="fr-BE"/>
              </w:rPr>
            </w:pPr>
            <w:r>
              <w:rPr>
                <w:rFonts w:ascii="Verdana" w:hAnsi="Verdana"/>
                <w:noProof/>
                <w:sz w:val="18"/>
                <w:lang w:val="fr-BE"/>
              </w:rPr>
              <w:t>Le PE approuve</w:t>
            </w:r>
          </w:p>
          <w:p>
            <w:pPr>
              <w:spacing w:after="200"/>
              <w:contextualSpacing/>
              <w:jc w:val="center"/>
              <w:rPr>
                <w:rFonts w:ascii="Verdana" w:hAnsi="Verdana"/>
                <w:i/>
                <w:noProof/>
                <w:sz w:val="18"/>
                <w:szCs w:val="18"/>
                <w:lang w:val="fr-BE"/>
              </w:rPr>
            </w:pPr>
            <w:r>
              <w:rPr>
                <w:rFonts w:ascii="Verdana" w:hAnsi="Verdana"/>
                <w:i/>
                <w:noProof/>
                <w:sz w:val="18"/>
                <w:lang w:val="fr-BE"/>
              </w:rPr>
              <w:t>Majorité des suffrages exprimés</w:t>
            </w:r>
          </w:p>
          <w:p>
            <w:pPr>
              <w:spacing w:after="200"/>
              <w:contextualSpacing/>
              <w:jc w:val="center"/>
              <w:rPr>
                <w:rFonts w:ascii="EC Square Sans Pro" w:hAnsi="EC Square Sans Pro"/>
                <w:noProof/>
                <w:lang w:val="fr-BE"/>
              </w:rPr>
            </w:pPr>
            <w:r>
              <w:rPr>
                <w:rFonts w:ascii="Verdana" w:hAnsi="Verdana"/>
                <w:noProof/>
                <w:sz w:val="18"/>
                <w:lang w:val="fr-BE"/>
              </w:rPr>
              <w:t>ou ne prend aucune décision</w:t>
            </w:r>
          </w:p>
        </w:tc>
        <w:tc>
          <w:tcPr>
            <w:tcW w:w="446" w:type="dxa"/>
            <w:vAlign w:val="center"/>
          </w:tcPr>
          <w:p>
            <w:pPr>
              <w:spacing w:after="200"/>
              <w:contextualSpacing/>
              <w:jc w:val="center"/>
              <w:rPr>
                <w:rFonts w:ascii="EC Square Sans Pro" w:hAnsi="EC Square Sans Pro"/>
                <w:noProof/>
                <w:lang w:val="fr-BE"/>
              </w:rPr>
            </w:pPr>
          </w:p>
        </w:tc>
        <w:tc>
          <w:tcPr>
            <w:tcW w:w="2215" w:type="dxa"/>
            <w:vAlign w:val="center"/>
          </w:tcPr>
          <w:p>
            <w:pPr>
              <w:spacing w:after="200"/>
              <w:contextualSpacing/>
              <w:rPr>
                <w:rFonts w:ascii="EC Square Sans Pro" w:hAnsi="EC Square Sans Pro"/>
                <w:noProof/>
                <w:lang w:val="fr-BE"/>
              </w:rPr>
            </w:pPr>
          </w:p>
        </w:tc>
        <w:tc>
          <w:tcPr>
            <w:tcW w:w="383" w:type="dxa"/>
            <w:vAlign w:val="center"/>
          </w:tcPr>
          <w:p>
            <w:pPr>
              <w:spacing w:after="200"/>
              <w:contextualSpacing/>
              <w:rPr>
                <w:rFonts w:ascii="Verdana" w:hAnsi="Verdana"/>
                <w:noProof/>
                <w:sz w:val="18"/>
                <w:szCs w:val="18"/>
                <w:lang w:val="fr-BE"/>
              </w:rPr>
            </w:pPr>
          </w:p>
        </w:tc>
        <w:tc>
          <w:tcPr>
            <w:tcW w:w="2327" w:type="dxa"/>
            <w:shd w:val="clear" w:color="auto" w:fill="E5B8B7" w:themeFill="accent2" w:themeFillTint="66"/>
            <w:vAlign w:val="center"/>
          </w:tcPr>
          <w:p>
            <w:pPr>
              <w:spacing w:after="200"/>
              <w:contextualSpacing/>
              <w:jc w:val="center"/>
              <w:rPr>
                <w:rFonts w:ascii="Verdana" w:hAnsi="Verdana"/>
                <w:noProof/>
                <w:sz w:val="18"/>
                <w:szCs w:val="18"/>
                <w:lang w:val="fr-BE"/>
              </w:rPr>
            </w:pPr>
            <w:r>
              <w:rPr>
                <w:rFonts w:ascii="Verdana" w:hAnsi="Verdana"/>
                <w:noProof/>
                <w:sz w:val="18"/>
                <w:lang w:val="fr-BE"/>
              </w:rPr>
              <w:t>Le PE adopte des amendements</w:t>
            </w:r>
          </w:p>
          <w:p>
            <w:pPr>
              <w:spacing w:after="200"/>
              <w:contextualSpacing/>
              <w:jc w:val="center"/>
              <w:rPr>
                <w:rFonts w:ascii="Verdana" w:hAnsi="Verdana"/>
                <w:noProof/>
                <w:sz w:val="18"/>
                <w:szCs w:val="18"/>
                <w:lang w:val="fr-BE"/>
              </w:rPr>
            </w:pPr>
            <w:r>
              <w:rPr>
                <w:rFonts w:ascii="Verdana" w:hAnsi="Verdana"/>
                <w:noProof/>
                <w:sz w:val="18"/>
                <w:lang w:val="fr-BE"/>
              </w:rPr>
              <w:t>Majorité des membres qui le composent</w:t>
            </w:r>
          </w:p>
        </w:tc>
      </w:tr>
      <w:tr>
        <w:trPr>
          <w:cantSplit/>
          <w:trHeight w:val="340"/>
        </w:trPr>
        <w:tc>
          <w:tcPr>
            <w:tcW w:w="1519" w:type="dxa"/>
            <w:vAlign w:val="center"/>
          </w:tcPr>
          <w:p>
            <w:pPr>
              <w:spacing w:after="200"/>
              <w:contextualSpacing/>
              <w:rPr>
                <w:rFonts w:ascii="EC Square Sans Pro" w:hAnsi="EC Square Sans Pro"/>
                <w:noProof/>
                <w:sz w:val="28"/>
                <w:lang w:val="fr-BE"/>
              </w:rPr>
            </w:pPr>
          </w:p>
        </w:tc>
        <w:tc>
          <w:tcPr>
            <w:tcW w:w="2398" w:type="dxa"/>
            <w:vAlign w:val="center"/>
          </w:tcPr>
          <w:p>
            <w:pPr>
              <w:spacing w:after="200"/>
              <w:contextualSpacing/>
              <w:jc w:val="center"/>
              <w:rPr>
                <w:rFonts w:ascii="EC Square Sans Pro" w:hAnsi="EC Square Sans Pro"/>
                <w:noProof/>
                <w:sz w:val="28"/>
              </w:rPr>
            </w:pPr>
            <w:r>
              <w:rPr>
                <w:rFonts w:ascii="EC Square Sans Pro" w:hAnsi="EC Square Sans Pro"/>
                <w:noProof/>
                <w:color w:val="76923C" w:themeColor="accent3" w:themeShade="BF"/>
                <w:sz w:val="28"/>
              </w:rPr>
              <w:t>▼</w:t>
            </w:r>
          </w:p>
        </w:tc>
        <w:tc>
          <w:tcPr>
            <w:tcW w:w="446" w:type="dxa"/>
            <w:vAlign w:val="center"/>
          </w:tcPr>
          <w:p>
            <w:pPr>
              <w:spacing w:after="200"/>
              <w:contextualSpacing/>
              <w:jc w:val="center"/>
              <w:rPr>
                <w:rFonts w:ascii="EC Square Sans Pro" w:hAnsi="EC Square Sans Pro"/>
                <w:noProof/>
                <w:color w:val="76923C" w:themeColor="accent3" w:themeShade="BF"/>
                <w:sz w:val="28"/>
              </w:rPr>
            </w:pPr>
          </w:p>
        </w:tc>
        <w:tc>
          <w:tcPr>
            <w:tcW w:w="2215" w:type="dxa"/>
            <w:vAlign w:val="center"/>
          </w:tcPr>
          <w:p>
            <w:pPr>
              <w:spacing w:after="200"/>
              <w:contextualSpacing/>
              <w:rPr>
                <w:rFonts w:ascii="EC Square Sans Pro" w:hAnsi="EC Square Sans Pro"/>
                <w:noProof/>
                <w:sz w:val="28"/>
              </w:rPr>
            </w:pPr>
          </w:p>
        </w:tc>
        <w:tc>
          <w:tcPr>
            <w:tcW w:w="383" w:type="dxa"/>
            <w:vAlign w:val="center"/>
          </w:tcPr>
          <w:p>
            <w:pPr>
              <w:spacing w:after="200"/>
              <w:contextualSpacing/>
              <w:rPr>
                <w:rFonts w:ascii="EC Square Sans Pro" w:hAnsi="EC Square Sans Pro"/>
                <w:noProof/>
                <w:color w:val="76923C" w:themeColor="accent3" w:themeShade="BF"/>
                <w:sz w:val="28"/>
              </w:rPr>
            </w:pPr>
          </w:p>
        </w:tc>
        <w:tc>
          <w:tcPr>
            <w:tcW w:w="2327" w:type="dxa"/>
            <w:vAlign w:val="center"/>
          </w:tcPr>
          <w:p>
            <w:pPr>
              <w:spacing w:after="200"/>
              <w:contextualSpacing/>
              <w:jc w:val="center"/>
              <w:rPr>
                <w:rFonts w:ascii="EC Square Sans Pro" w:hAnsi="EC Square Sans Pro"/>
                <w:noProof/>
                <w:sz w:val="28"/>
              </w:rPr>
            </w:pPr>
            <w:r>
              <w:rPr>
                <w:rFonts w:ascii="EC Square Sans Pro" w:hAnsi="EC Square Sans Pro"/>
                <w:noProof/>
                <w:color w:val="D99594" w:themeColor="accent2" w:themeTint="99"/>
                <w:sz w:val="28"/>
              </w:rPr>
              <w:t>▼</w:t>
            </w:r>
          </w:p>
        </w:tc>
      </w:tr>
      <w:tr>
        <w:trPr>
          <w:cantSplit/>
          <w:trHeight w:val="340"/>
        </w:trPr>
        <w:tc>
          <w:tcPr>
            <w:tcW w:w="1519" w:type="dxa"/>
            <w:vAlign w:val="center"/>
          </w:tcPr>
          <w:p>
            <w:pPr>
              <w:spacing w:after="200"/>
              <w:contextualSpacing/>
              <w:rPr>
                <w:rFonts w:ascii="EC Square Sans Pro" w:hAnsi="EC Square Sans Pro"/>
                <w:noProof/>
              </w:rPr>
            </w:pPr>
          </w:p>
        </w:tc>
        <w:tc>
          <w:tcPr>
            <w:tcW w:w="2398" w:type="dxa"/>
            <w:shd w:val="clear" w:color="auto" w:fill="C2D69B" w:themeFill="accent3" w:themeFillTint="99"/>
            <w:vAlign w:val="center"/>
          </w:tcPr>
          <w:p>
            <w:pPr>
              <w:spacing w:after="200"/>
              <w:contextualSpacing/>
              <w:jc w:val="center"/>
              <w:rPr>
                <w:rFonts w:ascii="Verdana" w:hAnsi="Verdana"/>
                <w:noProof/>
              </w:rPr>
            </w:pPr>
            <w:r>
              <w:rPr>
                <w:rFonts w:ascii="Verdana" w:hAnsi="Verdana"/>
                <w:noProof/>
                <w:sz w:val="18"/>
              </w:rPr>
              <w:t>Budget adopté</w:t>
            </w:r>
          </w:p>
        </w:tc>
        <w:tc>
          <w:tcPr>
            <w:tcW w:w="446" w:type="dxa"/>
            <w:vAlign w:val="center"/>
          </w:tcPr>
          <w:p>
            <w:pPr>
              <w:spacing w:after="200"/>
              <w:contextualSpacing/>
              <w:jc w:val="center"/>
              <w:rPr>
                <w:rFonts w:ascii="EC Square Sans Pro" w:hAnsi="EC Square Sans Pro"/>
                <w:noProof/>
                <w:color w:val="76923C" w:themeColor="accent3" w:themeShade="BF"/>
              </w:rPr>
            </w:pPr>
            <w:r>
              <w:rPr>
                <w:rFonts w:ascii="EC Square Sans Pro" w:hAnsi="EC Square Sans Pro"/>
                <w:noProof/>
                <w:color w:val="76923C" w:themeColor="accent3" w:themeShade="BF"/>
                <w:sz w:val="28"/>
              </w:rPr>
              <w:t>◀</w:t>
            </w:r>
          </w:p>
        </w:tc>
        <w:tc>
          <w:tcPr>
            <w:tcW w:w="2215" w:type="dxa"/>
            <w:shd w:val="clear" w:color="auto" w:fill="C2D69B" w:themeFill="accent3" w:themeFillTint="99"/>
            <w:vAlign w:val="center"/>
          </w:tcPr>
          <w:p>
            <w:pPr>
              <w:spacing w:after="200"/>
              <w:contextualSpacing/>
              <w:jc w:val="center"/>
              <w:rPr>
                <w:rFonts w:ascii="Verdana" w:hAnsi="Verdana"/>
                <w:noProof/>
                <w:lang w:val="fr-BE"/>
              </w:rPr>
            </w:pPr>
            <w:r>
              <w:rPr>
                <w:rFonts w:ascii="Verdana" w:hAnsi="Verdana"/>
                <w:noProof/>
                <w:sz w:val="18"/>
                <w:lang w:val="fr-BE"/>
              </w:rPr>
              <w:t>Le comité accepte les amendements du Parlement dans un délai de 10 jours</w:t>
            </w:r>
          </w:p>
        </w:tc>
        <w:tc>
          <w:tcPr>
            <w:tcW w:w="383" w:type="dxa"/>
            <w:vAlign w:val="center"/>
          </w:tcPr>
          <w:p>
            <w:pPr>
              <w:spacing w:after="200"/>
              <w:contextualSpacing/>
              <w:rPr>
                <w:rFonts w:ascii="EC Square Sans Pro" w:hAnsi="EC Square Sans Pro"/>
                <w:noProof/>
                <w:color w:val="76923C" w:themeColor="accent3" w:themeShade="BF"/>
              </w:rPr>
            </w:pPr>
            <w:r>
              <w:rPr>
                <w:rFonts w:ascii="EC Square Sans Pro" w:hAnsi="EC Square Sans Pro"/>
                <w:noProof/>
                <w:color w:val="76923C" w:themeColor="accent3" w:themeShade="BF"/>
                <w:sz w:val="28"/>
              </w:rPr>
              <w:t>◀</w:t>
            </w:r>
          </w:p>
        </w:tc>
        <w:tc>
          <w:tcPr>
            <w:tcW w:w="2327" w:type="dxa"/>
            <w:shd w:val="clear" w:color="auto" w:fill="E5B8B7" w:themeFill="accent2" w:themeFillTint="66"/>
            <w:vAlign w:val="center"/>
          </w:tcPr>
          <w:p>
            <w:pPr>
              <w:spacing w:after="200"/>
              <w:contextualSpacing/>
              <w:jc w:val="center"/>
              <w:rPr>
                <w:rFonts w:ascii="Verdana" w:hAnsi="Verdana"/>
                <w:noProof/>
                <w:sz w:val="18"/>
                <w:lang w:val="fr-BE"/>
              </w:rPr>
            </w:pPr>
            <w:r>
              <w:rPr>
                <w:rFonts w:ascii="Verdana" w:hAnsi="Verdana"/>
                <w:noProof/>
                <w:sz w:val="18"/>
                <w:lang w:val="fr-BE"/>
              </w:rPr>
              <w:t>Le comité de conciliation</w:t>
            </w:r>
          </w:p>
          <w:p>
            <w:pPr>
              <w:spacing w:after="200"/>
              <w:contextualSpacing/>
              <w:jc w:val="center"/>
              <w:rPr>
                <w:rFonts w:ascii="EC Square Sans Pro" w:hAnsi="EC Square Sans Pro"/>
                <w:noProof/>
                <w:vertAlign w:val="superscript"/>
                <w:lang w:val="fr-BE"/>
              </w:rPr>
            </w:pPr>
            <w:r>
              <w:rPr>
                <w:rFonts w:ascii="Verdana" w:hAnsi="Verdana"/>
                <w:noProof/>
                <w:sz w:val="18"/>
                <w:lang w:val="fr-BE"/>
              </w:rPr>
              <w:t>est convoqué</w:t>
            </w:r>
            <w:r>
              <w:rPr>
                <w:rFonts w:ascii="Verdana" w:hAnsi="Verdana"/>
                <w:noProof/>
                <w:sz w:val="18"/>
                <w:vertAlign w:val="superscript"/>
                <w:lang w:val="fr-BE"/>
              </w:rPr>
              <w:t>2</w:t>
            </w:r>
          </w:p>
        </w:tc>
      </w:tr>
      <w:tr>
        <w:trPr>
          <w:cantSplit/>
          <w:trHeight w:val="340"/>
        </w:trPr>
        <w:tc>
          <w:tcPr>
            <w:tcW w:w="1519" w:type="dxa"/>
            <w:vAlign w:val="center"/>
          </w:tcPr>
          <w:p>
            <w:pPr>
              <w:spacing w:after="200"/>
              <w:contextualSpacing/>
              <w:rPr>
                <w:rFonts w:ascii="EC Square Sans Pro" w:hAnsi="EC Square Sans Pro"/>
                <w:noProof/>
                <w:lang w:val="fr-BE"/>
              </w:rPr>
            </w:pPr>
          </w:p>
        </w:tc>
        <w:tc>
          <w:tcPr>
            <w:tcW w:w="2398" w:type="dxa"/>
            <w:vAlign w:val="center"/>
          </w:tcPr>
          <w:p>
            <w:pPr>
              <w:spacing w:after="200"/>
              <w:contextualSpacing/>
              <w:rPr>
                <w:rFonts w:ascii="EC Square Sans Pro" w:hAnsi="EC Square Sans Pro"/>
                <w:noProof/>
                <w:lang w:val="fr-BE"/>
              </w:rPr>
            </w:pPr>
          </w:p>
        </w:tc>
        <w:tc>
          <w:tcPr>
            <w:tcW w:w="446" w:type="dxa"/>
            <w:vAlign w:val="center"/>
          </w:tcPr>
          <w:p>
            <w:pPr>
              <w:spacing w:after="200"/>
              <w:contextualSpacing/>
              <w:jc w:val="center"/>
              <w:rPr>
                <w:rFonts w:ascii="EC Square Sans Pro" w:hAnsi="EC Square Sans Pro"/>
                <w:noProof/>
                <w:color w:val="76923C" w:themeColor="accent3" w:themeShade="BF"/>
                <w:lang w:val="fr-BE"/>
              </w:rPr>
            </w:pPr>
          </w:p>
        </w:tc>
        <w:tc>
          <w:tcPr>
            <w:tcW w:w="2215" w:type="dxa"/>
            <w:vAlign w:val="center"/>
          </w:tcPr>
          <w:p>
            <w:pPr>
              <w:spacing w:after="200"/>
              <w:contextualSpacing/>
              <w:rPr>
                <w:rFonts w:ascii="EC Square Sans Pro" w:hAnsi="EC Square Sans Pro"/>
                <w:noProof/>
                <w:lang w:val="fr-BE"/>
              </w:rPr>
            </w:pPr>
          </w:p>
        </w:tc>
        <w:tc>
          <w:tcPr>
            <w:tcW w:w="383" w:type="dxa"/>
            <w:vAlign w:val="center"/>
          </w:tcPr>
          <w:p>
            <w:pPr>
              <w:spacing w:after="200"/>
              <w:contextualSpacing/>
              <w:rPr>
                <w:rFonts w:ascii="EC Square Sans Pro" w:hAnsi="EC Square Sans Pro"/>
                <w:noProof/>
                <w:color w:val="76923C" w:themeColor="accent3" w:themeShade="BF"/>
                <w:lang w:val="fr-BE"/>
              </w:rPr>
            </w:pPr>
          </w:p>
        </w:tc>
        <w:tc>
          <w:tcPr>
            <w:tcW w:w="2327" w:type="dxa"/>
            <w:vAlign w:val="center"/>
          </w:tcPr>
          <w:p>
            <w:pPr>
              <w:spacing w:after="200"/>
              <w:contextualSpacing/>
              <w:jc w:val="center"/>
              <w:rPr>
                <w:rFonts w:ascii="EC Square Sans Pro" w:hAnsi="EC Square Sans Pro"/>
                <w:noProof/>
              </w:rPr>
            </w:pPr>
            <w:r>
              <w:rPr>
                <w:rFonts w:ascii="EC Square Sans Pro" w:hAnsi="EC Square Sans Pro"/>
                <w:noProof/>
                <w:color w:val="D99594" w:themeColor="accent2" w:themeTint="99"/>
                <w:sz w:val="28"/>
              </w:rPr>
              <w:t>▼</w:t>
            </w:r>
          </w:p>
        </w:tc>
      </w:tr>
      <w:tr>
        <w:trPr>
          <w:cantSplit/>
          <w:trHeight w:val="340"/>
        </w:trPr>
        <w:tc>
          <w:tcPr>
            <w:tcW w:w="1519" w:type="dxa"/>
            <w:vMerge w:val="restart"/>
            <w:vAlign w:val="center"/>
          </w:tcPr>
          <w:p>
            <w:pPr>
              <w:spacing w:after="200"/>
              <w:contextualSpacing/>
              <w:rPr>
                <w:rFonts w:ascii="Verdana" w:hAnsi="Verdana"/>
                <w:noProof/>
                <w:sz w:val="18"/>
                <w:szCs w:val="18"/>
                <w:lang w:val="fr-BE"/>
              </w:rPr>
            </w:pPr>
            <w:r>
              <w:rPr>
                <w:rFonts w:ascii="Verdana" w:hAnsi="Verdana"/>
                <w:noProof/>
                <w:sz w:val="18"/>
                <w:lang w:val="fr-BE"/>
              </w:rPr>
              <w:t>du 13 novembre au 4 décembre (21 jours)</w:t>
            </w:r>
          </w:p>
        </w:tc>
        <w:tc>
          <w:tcPr>
            <w:tcW w:w="5442" w:type="dxa"/>
            <w:gridSpan w:val="4"/>
            <w:shd w:val="clear" w:color="auto" w:fill="FABF8F" w:themeFill="accent6" w:themeFillTint="99"/>
            <w:vAlign w:val="center"/>
          </w:tcPr>
          <w:p>
            <w:pPr>
              <w:spacing w:after="200"/>
              <w:contextualSpacing/>
              <w:rPr>
                <w:rFonts w:ascii="Verdana" w:hAnsi="Verdana"/>
                <w:noProof/>
                <w:color w:val="76923C" w:themeColor="accent3" w:themeShade="BF"/>
                <w:sz w:val="18"/>
                <w:szCs w:val="18"/>
                <w:lang w:val="fr-BE"/>
              </w:rPr>
            </w:pPr>
            <w:r>
              <w:rPr>
                <w:rFonts w:ascii="Verdana" w:hAnsi="Verdana"/>
                <w:noProof/>
                <w:sz w:val="18"/>
                <w:lang w:val="fr-BE"/>
              </w:rPr>
              <w:t>Le comité de conciliation s’accorde sur un projet commun</w:t>
            </w:r>
          </w:p>
        </w:tc>
        <w:tc>
          <w:tcPr>
            <w:tcW w:w="2327" w:type="dxa"/>
            <w:shd w:val="clear" w:color="auto" w:fill="FABF8F" w:themeFill="accent6" w:themeFillTint="99"/>
            <w:vAlign w:val="center"/>
          </w:tcPr>
          <w:p>
            <w:pPr>
              <w:spacing w:after="200"/>
              <w:contextualSpacing/>
              <w:jc w:val="right"/>
              <w:rPr>
                <w:rFonts w:ascii="Verdana" w:hAnsi="Verdana"/>
                <w:i/>
                <w:noProof/>
                <w:sz w:val="18"/>
                <w:szCs w:val="18"/>
              </w:rPr>
            </w:pPr>
            <w:r>
              <w:rPr>
                <w:rFonts w:ascii="Verdana" w:hAnsi="Verdana"/>
                <w:i/>
                <w:noProof/>
                <w:color w:val="FFFFFF" w:themeColor="background1"/>
                <w:sz w:val="18"/>
              </w:rPr>
              <w:t>Comité de conciliation</w:t>
            </w:r>
          </w:p>
        </w:tc>
      </w:tr>
      <w:tr>
        <w:trPr>
          <w:cantSplit/>
          <w:trHeight w:hRule="exact" w:val="170"/>
        </w:trPr>
        <w:tc>
          <w:tcPr>
            <w:tcW w:w="1519" w:type="dxa"/>
            <w:vMerge/>
            <w:vAlign w:val="center"/>
          </w:tcPr>
          <w:p>
            <w:pPr>
              <w:spacing w:after="200"/>
              <w:contextualSpacing/>
              <w:rPr>
                <w:rFonts w:ascii="EC Square Sans Pro" w:hAnsi="EC Square Sans Pro"/>
                <w:noProof/>
              </w:rPr>
            </w:pPr>
          </w:p>
        </w:tc>
        <w:tc>
          <w:tcPr>
            <w:tcW w:w="2398" w:type="dxa"/>
            <w:vAlign w:val="center"/>
          </w:tcPr>
          <w:p>
            <w:pPr>
              <w:spacing w:after="200"/>
              <w:contextualSpacing/>
              <w:rPr>
                <w:rFonts w:ascii="EC Square Sans Pro" w:hAnsi="EC Square Sans Pro"/>
                <w:noProof/>
              </w:rPr>
            </w:pPr>
          </w:p>
        </w:tc>
        <w:tc>
          <w:tcPr>
            <w:tcW w:w="446" w:type="dxa"/>
            <w:vAlign w:val="center"/>
          </w:tcPr>
          <w:p>
            <w:pPr>
              <w:spacing w:after="200"/>
              <w:contextualSpacing/>
              <w:jc w:val="center"/>
              <w:rPr>
                <w:rFonts w:ascii="EC Square Sans Pro" w:hAnsi="EC Square Sans Pro"/>
                <w:noProof/>
                <w:color w:val="76923C" w:themeColor="accent3" w:themeShade="BF"/>
              </w:rPr>
            </w:pPr>
          </w:p>
        </w:tc>
        <w:tc>
          <w:tcPr>
            <w:tcW w:w="2215" w:type="dxa"/>
            <w:vAlign w:val="center"/>
          </w:tcPr>
          <w:p>
            <w:pPr>
              <w:spacing w:after="200"/>
              <w:contextualSpacing/>
              <w:jc w:val="center"/>
              <w:rPr>
                <w:rFonts w:ascii="EC Square Sans Pro" w:hAnsi="EC Square Sans Pro"/>
                <w:noProof/>
              </w:rPr>
            </w:pPr>
          </w:p>
        </w:tc>
        <w:tc>
          <w:tcPr>
            <w:tcW w:w="383" w:type="dxa"/>
            <w:vAlign w:val="center"/>
          </w:tcPr>
          <w:p>
            <w:pPr>
              <w:spacing w:after="200"/>
              <w:contextualSpacing/>
              <w:rPr>
                <w:rFonts w:ascii="EC Square Sans Pro" w:hAnsi="EC Square Sans Pro"/>
                <w:noProof/>
                <w:color w:val="76923C" w:themeColor="accent3" w:themeShade="BF"/>
              </w:rPr>
            </w:pPr>
          </w:p>
        </w:tc>
        <w:tc>
          <w:tcPr>
            <w:tcW w:w="2327" w:type="dxa"/>
            <w:vAlign w:val="center"/>
          </w:tcPr>
          <w:p>
            <w:pPr>
              <w:spacing w:after="200"/>
              <w:contextualSpacing/>
              <w:rPr>
                <w:rFonts w:ascii="EC Square Sans Pro" w:hAnsi="EC Square Sans Pro"/>
                <w:noProof/>
              </w:rPr>
            </w:pPr>
          </w:p>
        </w:tc>
      </w:tr>
      <w:tr>
        <w:trPr>
          <w:cantSplit/>
          <w:trHeight w:val="340"/>
        </w:trPr>
        <w:tc>
          <w:tcPr>
            <w:tcW w:w="1519" w:type="dxa"/>
            <w:vMerge/>
            <w:vAlign w:val="center"/>
          </w:tcPr>
          <w:p>
            <w:pPr>
              <w:spacing w:after="200"/>
              <w:contextualSpacing/>
              <w:rPr>
                <w:rFonts w:ascii="EC Square Sans Pro" w:hAnsi="EC Square Sans Pro"/>
                <w:noProof/>
              </w:rPr>
            </w:pPr>
          </w:p>
        </w:tc>
        <w:tc>
          <w:tcPr>
            <w:tcW w:w="5059" w:type="dxa"/>
            <w:gridSpan w:val="3"/>
            <w:shd w:val="clear" w:color="auto" w:fill="C2D69B" w:themeFill="accent3" w:themeFillTint="99"/>
            <w:vAlign w:val="center"/>
          </w:tcPr>
          <w:p>
            <w:pPr>
              <w:spacing w:after="200"/>
              <w:contextualSpacing/>
              <w:jc w:val="center"/>
              <w:rPr>
                <w:rFonts w:ascii="Verdana" w:hAnsi="Verdana"/>
                <w:noProof/>
                <w:sz w:val="18"/>
                <w:szCs w:val="18"/>
                <w:lang w:val="fr-BE"/>
              </w:rPr>
            </w:pPr>
            <w:r>
              <w:rPr>
                <w:rFonts w:ascii="Verdana" w:hAnsi="Verdana"/>
                <w:noProof/>
                <w:sz w:val="18"/>
                <w:lang w:val="fr-BE"/>
              </w:rPr>
              <w:t>OUI</w:t>
            </w:r>
          </w:p>
          <w:p>
            <w:pPr>
              <w:spacing w:after="200"/>
              <w:contextualSpacing/>
              <w:jc w:val="center"/>
              <w:rPr>
                <w:rFonts w:ascii="Verdana" w:hAnsi="Verdana"/>
                <w:noProof/>
                <w:lang w:val="fr-BE"/>
              </w:rPr>
            </w:pPr>
            <w:r>
              <w:rPr>
                <w:rFonts w:ascii="Verdana" w:hAnsi="Verdana"/>
                <w:i/>
                <w:noProof/>
                <w:sz w:val="18"/>
                <w:lang w:val="fr-BE"/>
              </w:rPr>
              <w:t>dans un délai de 14 jours</w:t>
            </w:r>
          </w:p>
        </w:tc>
        <w:tc>
          <w:tcPr>
            <w:tcW w:w="383" w:type="dxa"/>
            <w:vAlign w:val="center"/>
          </w:tcPr>
          <w:p>
            <w:pPr>
              <w:spacing w:after="200"/>
              <w:contextualSpacing/>
              <w:rPr>
                <w:rFonts w:ascii="EC Square Sans Pro" w:hAnsi="EC Square Sans Pro"/>
                <w:noProof/>
                <w:color w:val="76923C" w:themeColor="accent3" w:themeShade="BF"/>
                <w:lang w:val="fr-BE"/>
              </w:rPr>
            </w:pPr>
          </w:p>
        </w:tc>
        <w:tc>
          <w:tcPr>
            <w:tcW w:w="2327" w:type="dxa"/>
            <w:shd w:val="clear" w:color="auto" w:fill="E5B8B7" w:themeFill="accent2" w:themeFillTint="66"/>
            <w:vAlign w:val="center"/>
          </w:tcPr>
          <w:p>
            <w:pPr>
              <w:spacing w:after="200"/>
              <w:contextualSpacing/>
              <w:jc w:val="center"/>
              <w:rPr>
                <w:rFonts w:ascii="Verdana" w:hAnsi="Verdana"/>
                <w:noProof/>
                <w:sz w:val="18"/>
                <w:szCs w:val="18"/>
                <w:lang w:val="fr-BE"/>
              </w:rPr>
            </w:pPr>
            <w:r>
              <w:rPr>
                <w:rFonts w:ascii="Verdana" w:hAnsi="Verdana"/>
                <w:noProof/>
                <w:sz w:val="18"/>
                <w:lang w:val="fr-BE"/>
              </w:rPr>
              <w:t>NON</w:t>
            </w:r>
          </w:p>
          <w:p>
            <w:pPr>
              <w:spacing w:after="200"/>
              <w:contextualSpacing/>
              <w:jc w:val="center"/>
              <w:rPr>
                <w:rFonts w:ascii="Verdana" w:hAnsi="Verdana"/>
                <w:i/>
                <w:noProof/>
                <w:sz w:val="18"/>
                <w:szCs w:val="18"/>
                <w:lang w:val="fr-BE"/>
              </w:rPr>
            </w:pPr>
            <w:r>
              <w:rPr>
                <w:rFonts w:ascii="Verdana" w:hAnsi="Verdana"/>
                <w:i/>
                <w:noProof/>
                <w:sz w:val="18"/>
                <w:lang w:val="fr-BE"/>
              </w:rPr>
              <w:t>dans un délai de 14 jours</w:t>
            </w:r>
          </w:p>
        </w:tc>
      </w:tr>
      <w:tr>
        <w:trPr>
          <w:cantSplit/>
          <w:trHeight w:val="340"/>
        </w:trPr>
        <w:tc>
          <w:tcPr>
            <w:tcW w:w="1519" w:type="dxa"/>
            <w:vAlign w:val="center"/>
          </w:tcPr>
          <w:p>
            <w:pPr>
              <w:spacing w:after="200"/>
              <w:contextualSpacing/>
              <w:rPr>
                <w:rFonts w:ascii="EC Square Sans Pro" w:hAnsi="EC Square Sans Pro"/>
                <w:noProof/>
                <w:lang w:val="fr-BE"/>
              </w:rPr>
            </w:pPr>
          </w:p>
        </w:tc>
        <w:tc>
          <w:tcPr>
            <w:tcW w:w="2398" w:type="dxa"/>
            <w:vAlign w:val="center"/>
          </w:tcPr>
          <w:p>
            <w:pPr>
              <w:spacing w:after="200"/>
              <w:contextualSpacing/>
              <w:rPr>
                <w:rFonts w:ascii="Verdana" w:hAnsi="Verdana"/>
                <w:noProof/>
                <w:lang w:val="fr-BE"/>
              </w:rPr>
            </w:pPr>
          </w:p>
        </w:tc>
        <w:tc>
          <w:tcPr>
            <w:tcW w:w="446" w:type="dxa"/>
            <w:vAlign w:val="center"/>
          </w:tcPr>
          <w:p>
            <w:pPr>
              <w:spacing w:after="200"/>
              <w:contextualSpacing/>
              <w:jc w:val="center"/>
              <w:rPr>
                <w:rFonts w:ascii="EC Square Sans Pro" w:hAnsi="EC Square Sans Pro"/>
                <w:noProof/>
                <w:color w:val="76923C" w:themeColor="accent3" w:themeShade="BF"/>
              </w:rPr>
            </w:pPr>
            <w:r>
              <w:rPr>
                <w:rFonts w:ascii="EC Square Sans Pro" w:hAnsi="EC Square Sans Pro"/>
                <w:noProof/>
                <w:color w:val="76923C" w:themeColor="accent3" w:themeShade="BF"/>
                <w:sz w:val="28"/>
              </w:rPr>
              <w:t>▼</w:t>
            </w:r>
          </w:p>
        </w:tc>
        <w:tc>
          <w:tcPr>
            <w:tcW w:w="2215" w:type="dxa"/>
            <w:vAlign w:val="center"/>
          </w:tcPr>
          <w:p>
            <w:pPr>
              <w:spacing w:after="200"/>
              <w:contextualSpacing/>
              <w:rPr>
                <w:rFonts w:ascii="EC Square Sans Pro" w:hAnsi="EC Square Sans Pro"/>
                <w:noProof/>
              </w:rPr>
            </w:pPr>
          </w:p>
        </w:tc>
        <w:tc>
          <w:tcPr>
            <w:tcW w:w="383" w:type="dxa"/>
            <w:vAlign w:val="center"/>
          </w:tcPr>
          <w:p>
            <w:pPr>
              <w:spacing w:after="200"/>
              <w:contextualSpacing/>
              <w:rPr>
                <w:rFonts w:ascii="EC Square Sans Pro" w:hAnsi="EC Square Sans Pro"/>
                <w:noProof/>
                <w:color w:val="76923C" w:themeColor="accent3" w:themeShade="BF"/>
              </w:rPr>
            </w:pPr>
          </w:p>
        </w:tc>
        <w:tc>
          <w:tcPr>
            <w:tcW w:w="2327" w:type="dxa"/>
            <w:vAlign w:val="center"/>
          </w:tcPr>
          <w:p>
            <w:pPr>
              <w:spacing w:after="200"/>
              <w:contextualSpacing/>
              <w:jc w:val="center"/>
              <w:rPr>
                <w:rFonts w:ascii="Verdana" w:hAnsi="Verdana"/>
                <w:noProof/>
                <w:sz w:val="18"/>
                <w:szCs w:val="18"/>
              </w:rPr>
            </w:pPr>
            <w:r>
              <w:rPr>
                <w:rFonts w:ascii="Arial" w:hAnsi="Arial"/>
                <w:noProof/>
                <w:color w:val="D99594" w:themeColor="accent2" w:themeTint="99"/>
                <w:sz w:val="18"/>
              </w:rPr>
              <w:t>▼</w:t>
            </w:r>
          </w:p>
        </w:tc>
      </w:tr>
      <w:tr>
        <w:trPr>
          <w:cantSplit/>
          <w:trHeight w:val="340"/>
        </w:trPr>
        <w:tc>
          <w:tcPr>
            <w:tcW w:w="1519" w:type="dxa"/>
            <w:vAlign w:val="center"/>
          </w:tcPr>
          <w:p>
            <w:pPr>
              <w:spacing w:after="200"/>
              <w:contextualSpacing/>
              <w:rPr>
                <w:rFonts w:ascii="Verdana" w:hAnsi="Verdana"/>
                <w:noProof/>
              </w:rPr>
            </w:pPr>
            <w:r>
              <w:rPr>
                <w:rFonts w:ascii="Verdana" w:hAnsi="Verdana"/>
                <w:noProof/>
                <w:sz w:val="18"/>
              </w:rPr>
              <w:t>18 décembre (14 jours)</w:t>
            </w:r>
          </w:p>
        </w:tc>
        <w:tc>
          <w:tcPr>
            <w:tcW w:w="2398" w:type="dxa"/>
            <w:shd w:val="clear" w:color="auto" w:fill="C2D69B" w:themeFill="accent3" w:themeFillTint="99"/>
            <w:vAlign w:val="center"/>
          </w:tcPr>
          <w:p>
            <w:pPr>
              <w:spacing w:after="200"/>
              <w:contextualSpacing/>
              <w:jc w:val="center"/>
              <w:rPr>
                <w:rFonts w:ascii="Verdana" w:hAnsi="Verdana"/>
                <w:noProof/>
                <w:sz w:val="18"/>
                <w:lang w:val="fr-BE"/>
              </w:rPr>
            </w:pPr>
            <w:r>
              <w:rPr>
                <w:rFonts w:ascii="Verdana" w:hAnsi="Verdana"/>
                <w:noProof/>
                <w:sz w:val="18"/>
                <w:lang w:val="fr-BE"/>
              </w:rPr>
              <w:t>Le Parlement et le Conseil approuvent (ou ne parviennent pas à statuer)</w:t>
            </w:r>
          </w:p>
          <w:p>
            <w:pPr>
              <w:spacing w:after="200"/>
              <w:contextualSpacing/>
              <w:jc w:val="center"/>
              <w:rPr>
                <w:rFonts w:ascii="Verdana" w:hAnsi="Verdana"/>
                <w:noProof/>
                <w:sz w:val="18"/>
                <w:lang w:val="fr-BE"/>
              </w:rPr>
            </w:pPr>
            <w:r>
              <w:rPr>
                <w:rFonts w:ascii="Verdana" w:hAnsi="Verdana"/>
                <w:noProof/>
                <w:sz w:val="18"/>
                <w:lang w:val="fr-BE"/>
              </w:rPr>
              <w:t>——— OU ———</w:t>
            </w:r>
          </w:p>
          <w:p>
            <w:pPr>
              <w:spacing w:after="200"/>
              <w:contextualSpacing/>
              <w:jc w:val="center"/>
              <w:rPr>
                <w:rFonts w:ascii="EC Square Sans Pro" w:hAnsi="EC Square Sans Pro"/>
                <w:noProof/>
                <w:vertAlign w:val="superscript"/>
                <w:lang w:val="fr-BE"/>
              </w:rPr>
            </w:pPr>
            <w:r>
              <w:rPr>
                <w:rFonts w:ascii="Verdana" w:hAnsi="Verdana"/>
                <w:noProof/>
                <w:sz w:val="18"/>
                <w:lang w:val="fr-BE"/>
              </w:rPr>
              <w:t>Le Conseil rejette, le Parlement a le dernier mot</w:t>
            </w:r>
            <w:r>
              <w:rPr>
                <w:rFonts w:ascii="Verdana" w:hAnsi="Verdana"/>
                <w:noProof/>
                <w:sz w:val="18"/>
                <w:vertAlign w:val="superscript"/>
                <w:lang w:val="fr-BE"/>
              </w:rPr>
              <w:t>3</w:t>
            </w:r>
          </w:p>
        </w:tc>
        <w:tc>
          <w:tcPr>
            <w:tcW w:w="446" w:type="dxa"/>
            <w:vAlign w:val="center"/>
          </w:tcPr>
          <w:p>
            <w:pPr>
              <w:spacing w:after="200"/>
              <w:contextualSpacing/>
              <w:jc w:val="center"/>
              <w:rPr>
                <w:rFonts w:ascii="EC Square Sans Pro" w:hAnsi="EC Square Sans Pro"/>
                <w:noProof/>
                <w:color w:val="76923C" w:themeColor="accent3" w:themeShade="BF"/>
                <w:lang w:val="fr-BE"/>
              </w:rPr>
            </w:pPr>
          </w:p>
        </w:tc>
        <w:tc>
          <w:tcPr>
            <w:tcW w:w="2215" w:type="dxa"/>
            <w:shd w:val="clear" w:color="auto" w:fill="E5B8B7" w:themeFill="accent2" w:themeFillTint="66"/>
            <w:vAlign w:val="center"/>
          </w:tcPr>
          <w:p>
            <w:pPr>
              <w:shd w:val="clear" w:color="auto" w:fill="E5B8B7" w:themeFill="accent2" w:themeFillTint="66"/>
              <w:spacing w:after="200"/>
              <w:contextualSpacing/>
              <w:jc w:val="center"/>
              <w:rPr>
                <w:rFonts w:ascii="Verdana" w:hAnsi="Verdana"/>
                <w:noProof/>
                <w:sz w:val="18"/>
                <w:szCs w:val="18"/>
                <w:lang w:val="fr-BE"/>
              </w:rPr>
            </w:pPr>
            <w:r>
              <w:rPr>
                <w:rFonts w:ascii="Verdana" w:hAnsi="Verdana"/>
                <w:noProof/>
                <w:sz w:val="18"/>
                <w:lang w:val="fr-BE"/>
              </w:rPr>
              <w:t>Le Conseil approuve, le Parlement rejette</w:t>
            </w:r>
          </w:p>
          <w:p>
            <w:pPr>
              <w:shd w:val="clear" w:color="auto" w:fill="E5B8B7" w:themeFill="accent2" w:themeFillTint="66"/>
              <w:spacing w:after="200"/>
              <w:contextualSpacing/>
              <w:jc w:val="center"/>
              <w:rPr>
                <w:rFonts w:ascii="Verdana" w:hAnsi="Verdana"/>
                <w:noProof/>
                <w:sz w:val="18"/>
                <w:szCs w:val="18"/>
                <w:lang w:val="fr-BE"/>
              </w:rPr>
            </w:pPr>
            <w:r>
              <w:rPr>
                <w:rFonts w:ascii="Verdana" w:hAnsi="Verdana"/>
                <w:noProof/>
                <w:sz w:val="18"/>
                <w:lang w:val="fr-BE"/>
              </w:rPr>
              <w:t>——— OU ———</w:t>
            </w:r>
          </w:p>
          <w:p>
            <w:pPr>
              <w:shd w:val="clear" w:color="auto" w:fill="E5B8B7" w:themeFill="accent2" w:themeFillTint="66"/>
              <w:spacing w:after="200"/>
              <w:contextualSpacing/>
              <w:jc w:val="center"/>
              <w:rPr>
                <w:rFonts w:ascii="EC Square Sans Pro" w:hAnsi="EC Square Sans Pro"/>
                <w:noProof/>
                <w:lang w:val="fr-BE"/>
              </w:rPr>
            </w:pPr>
            <w:r>
              <w:rPr>
                <w:rFonts w:ascii="Verdana" w:hAnsi="Verdana"/>
                <w:noProof/>
                <w:sz w:val="18"/>
                <w:lang w:val="fr-BE"/>
              </w:rPr>
              <w:t>Le Conseil et le Parlement rejettent</w:t>
            </w:r>
          </w:p>
        </w:tc>
        <w:tc>
          <w:tcPr>
            <w:tcW w:w="383" w:type="dxa"/>
            <w:vAlign w:val="center"/>
          </w:tcPr>
          <w:p>
            <w:pPr>
              <w:spacing w:after="200"/>
              <w:contextualSpacing/>
              <w:rPr>
                <w:rFonts w:ascii="EC Square Sans Pro" w:hAnsi="EC Square Sans Pro"/>
                <w:noProof/>
                <w:color w:val="76923C" w:themeColor="accent3" w:themeShade="BF"/>
              </w:rPr>
            </w:pPr>
            <w:r>
              <w:rPr>
                <w:rFonts w:ascii="EC Square Sans Pro" w:hAnsi="EC Square Sans Pro"/>
                <w:noProof/>
                <w:color w:val="D99594" w:themeColor="accent2" w:themeTint="99"/>
                <w:sz w:val="28"/>
              </w:rPr>
              <w:t>▶</w:t>
            </w:r>
          </w:p>
        </w:tc>
        <w:tc>
          <w:tcPr>
            <w:tcW w:w="2327" w:type="dxa"/>
            <w:shd w:val="clear" w:color="auto" w:fill="D56161"/>
            <w:vAlign w:val="center"/>
          </w:tcPr>
          <w:p>
            <w:pPr>
              <w:spacing w:after="200"/>
              <w:contextualSpacing/>
              <w:jc w:val="center"/>
              <w:rPr>
                <w:rFonts w:ascii="Verdana" w:hAnsi="Verdana"/>
                <w:noProof/>
                <w:sz w:val="18"/>
                <w:szCs w:val="18"/>
                <w:lang w:val="fr-BE"/>
              </w:rPr>
            </w:pPr>
            <w:r>
              <w:rPr>
                <w:rFonts w:ascii="Verdana" w:hAnsi="Verdana"/>
                <w:noProof/>
                <w:sz w:val="18"/>
                <w:lang w:val="fr-BE"/>
              </w:rPr>
              <w:t>Projet de budget rejeté</w:t>
            </w:r>
          </w:p>
          <w:p>
            <w:pPr>
              <w:spacing w:after="200"/>
              <w:contextualSpacing/>
              <w:jc w:val="center"/>
              <w:rPr>
                <w:rFonts w:ascii="EC Square Sans Pro" w:hAnsi="EC Square Sans Pro"/>
                <w:noProof/>
                <w:lang w:val="fr-BE"/>
              </w:rPr>
            </w:pPr>
            <w:r>
              <w:rPr>
                <w:rFonts w:ascii="Verdana" w:hAnsi="Verdana"/>
                <w:noProof/>
                <w:sz w:val="18"/>
                <w:lang w:val="fr-BE"/>
              </w:rPr>
              <w:t>La Commission présente un nouveau PB</w:t>
            </w:r>
          </w:p>
        </w:tc>
      </w:tr>
      <w:tr>
        <w:trPr>
          <w:cantSplit/>
          <w:trHeight w:val="340"/>
        </w:trPr>
        <w:tc>
          <w:tcPr>
            <w:tcW w:w="1519" w:type="dxa"/>
            <w:vAlign w:val="center"/>
          </w:tcPr>
          <w:p>
            <w:pPr>
              <w:spacing w:after="200"/>
              <w:contextualSpacing/>
              <w:rPr>
                <w:rFonts w:ascii="EC Square Sans Pro" w:hAnsi="EC Square Sans Pro"/>
                <w:noProof/>
                <w:lang w:val="fr-BE"/>
              </w:rPr>
            </w:pPr>
          </w:p>
        </w:tc>
        <w:tc>
          <w:tcPr>
            <w:tcW w:w="2398" w:type="dxa"/>
            <w:vAlign w:val="center"/>
          </w:tcPr>
          <w:p>
            <w:pPr>
              <w:spacing w:after="200"/>
              <w:contextualSpacing/>
              <w:jc w:val="center"/>
              <w:rPr>
                <w:rFonts w:ascii="EC Square Sans Pro" w:hAnsi="EC Square Sans Pro"/>
                <w:noProof/>
              </w:rPr>
            </w:pPr>
            <w:r>
              <w:rPr>
                <w:rFonts w:ascii="EC Square Sans Pro" w:hAnsi="EC Square Sans Pro"/>
                <w:noProof/>
                <w:color w:val="76923C" w:themeColor="accent3" w:themeShade="BF"/>
                <w:sz w:val="28"/>
              </w:rPr>
              <w:t>▼</w:t>
            </w:r>
          </w:p>
        </w:tc>
        <w:tc>
          <w:tcPr>
            <w:tcW w:w="446" w:type="dxa"/>
            <w:vAlign w:val="center"/>
          </w:tcPr>
          <w:p>
            <w:pPr>
              <w:spacing w:after="200"/>
              <w:contextualSpacing/>
              <w:jc w:val="center"/>
              <w:rPr>
                <w:rFonts w:ascii="EC Square Sans Pro" w:hAnsi="EC Square Sans Pro"/>
                <w:noProof/>
                <w:color w:val="76923C" w:themeColor="accent3" w:themeShade="BF"/>
              </w:rPr>
            </w:pPr>
          </w:p>
        </w:tc>
        <w:tc>
          <w:tcPr>
            <w:tcW w:w="2215" w:type="dxa"/>
            <w:vAlign w:val="center"/>
          </w:tcPr>
          <w:p>
            <w:pPr>
              <w:spacing w:after="200"/>
              <w:contextualSpacing/>
              <w:rPr>
                <w:rFonts w:ascii="EC Square Sans Pro" w:hAnsi="EC Square Sans Pro"/>
                <w:noProof/>
              </w:rPr>
            </w:pPr>
          </w:p>
        </w:tc>
        <w:tc>
          <w:tcPr>
            <w:tcW w:w="383" w:type="dxa"/>
            <w:vAlign w:val="center"/>
          </w:tcPr>
          <w:p>
            <w:pPr>
              <w:spacing w:after="200"/>
              <w:contextualSpacing/>
              <w:rPr>
                <w:rFonts w:ascii="EC Square Sans Pro" w:hAnsi="EC Square Sans Pro"/>
                <w:noProof/>
                <w:color w:val="76923C" w:themeColor="accent3" w:themeShade="BF"/>
              </w:rPr>
            </w:pPr>
          </w:p>
        </w:tc>
        <w:tc>
          <w:tcPr>
            <w:tcW w:w="2327" w:type="dxa"/>
            <w:vAlign w:val="center"/>
          </w:tcPr>
          <w:p>
            <w:pPr>
              <w:spacing w:after="200"/>
              <w:contextualSpacing/>
              <w:rPr>
                <w:rFonts w:ascii="EC Square Sans Pro" w:hAnsi="EC Square Sans Pro"/>
                <w:noProof/>
              </w:rPr>
            </w:pPr>
          </w:p>
        </w:tc>
      </w:tr>
      <w:tr>
        <w:trPr>
          <w:cantSplit/>
          <w:trHeight w:val="839"/>
        </w:trPr>
        <w:tc>
          <w:tcPr>
            <w:tcW w:w="1519" w:type="dxa"/>
            <w:vAlign w:val="center"/>
          </w:tcPr>
          <w:p>
            <w:pPr>
              <w:spacing w:after="200"/>
              <w:contextualSpacing/>
              <w:rPr>
                <w:rFonts w:ascii="EC Square Sans Pro" w:hAnsi="EC Square Sans Pro"/>
                <w:noProof/>
              </w:rPr>
            </w:pPr>
          </w:p>
        </w:tc>
        <w:tc>
          <w:tcPr>
            <w:tcW w:w="2398" w:type="dxa"/>
            <w:shd w:val="clear" w:color="auto" w:fill="C2D69B" w:themeFill="accent3" w:themeFillTint="99"/>
            <w:vAlign w:val="center"/>
          </w:tcPr>
          <w:p>
            <w:pPr>
              <w:spacing w:after="200"/>
              <w:contextualSpacing/>
              <w:jc w:val="center"/>
              <w:rPr>
                <w:rFonts w:ascii="Verdana" w:hAnsi="Verdana"/>
                <w:noProof/>
              </w:rPr>
            </w:pPr>
            <w:r>
              <w:rPr>
                <w:rFonts w:ascii="Verdana" w:hAnsi="Verdana"/>
                <w:noProof/>
                <w:sz w:val="18"/>
              </w:rPr>
              <w:t>Budget adopté</w:t>
            </w:r>
          </w:p>
        </w:tc>
        <w:tc>
          <w:tcPr>
            <w:tcW w:w="446" w:type="dxa"/>
            <w:vAlign w:val="center"/>
          </w:tcPr>
          <w:p>
            <w:pPr>
              <w:spacing w:after="200"/>
              <w:contextualSpacing/>
              <w:rPr>
                <w:rFonts w:ascii="EC Square Sans Pro" w:hAnsi="EC Square Sans Pro"/>
                <w:noProof/>
              </w:rPr>
            </w:pPr>
          </w:p>
        </w:tc>
        <w:tc>
          <w:tcPr>
            <w:tcW w:w="4925" w:type="dxa"/>
            <w:gridSpan w:val="3"/>
            <w:vAlign w:val="center"/>
          </w:tcPr>
          <w:p>
            <w:pPr>
              <w:spacing w:after="200"/>
              <w:contextualSpacing/>
              <w:rPr>
                <w:rFonts w:ascii="EC Square Sans Pro" w:hAnsi="EC Square Sans Pro"/>
                <w:noProof/>
              </w:rPr>
            </w:pPr>
          </w:p>
        </w:tc>
      </w:tr>
    </w:tbl>
    <w:p>
      <w:pPr>
        <w:pStyle w:val="Textstand-alone"/>
      </w:pPr>
    </w:p>
    <w:p>
      <w:pPr>
        <w:pStyle w:val="Textstand-alone"/>
        <w:numPr>
          <w:ilvl w:val="0"/>
          <w:numId w:val="26"/>
        </w:numPr>
      </w:pPr>
      <w:r>
        <w:t>Dans la pratique, les trois institutions s’efforcent de présenter les documents respectifs plus tôt dans l’année afin de faciliter le processus.</w:t>
      </w:r>
    </w:p>
    <w:p>
      <w:pPr>
        <w:pStyle w:val="Textstand-alone"/>
        <w:numPr>
          <w:ilvl w:val="0"/>
          <w:numId w:val="26"/>
        </w:numPr>
      </w:pPr>
      <w:r>
        <w:t>Le comité de conciliation réunit les membres du Conseil ou leurs représentants et autant de membres représentant le Parlement européen. La Commission participe aux travaux du comité de conciliation et prend toutes les initiatives nécessaires en vue de promouvoir un rapprochement des positions du Parlement européen et du Conseil.</w:t>
      </w:r>
    </w:p>
    <w:p>
      <w:pPr>
        <w:pStyle w:val="Textstand-alone"/>
        <w:numPr>
          <w:ilvl w:val="0"/>
          <w:numId w:val="26"/>
        </w:numPr>
      </w:pPr>
      <w:r>
        <w:t>Le Parlement européen approuve le projet commun et, ensuite, dans un délai de quatorze jours à compter de la date du rejet par le Conseil, décide (à la majorité des membres qui le composent et des trois cinquièmes des suffrages exprimés), de confirmer l’ensemble ou une partie de ses amendements.</w:t>
      </w:r>
    </w:p>
    <w:p>
      <w:pPr>
        <w:pStyle w:val="Textstand-alone"/>
      </w:pPr>
      <w:r>
        <w:lastRenderedPageBreak/>
        <w:t>La structure du budget consiste, pour la Commission, en crédits administratifs et opérationnels. Les autres institutions ne disposent en effet que de crédits administratifs. De plus, le budget distingue deux types de crédits: les crédits «non dissociés» et les crédits «dissociés». Les crédits non dissociés sont destinés à la couverture financière des opérations ayant un caractère annuel (et qui répondent au principe de l’annualité budgétaire). Les crédits dissociés servent à concilier, d’une part, le principe de l’annualité du budget et, d’autre part, la nécessité de gérer des opérations dont l’exécution s’échelonne sur plusieurs années. Les crédits dissociés se décomposent en crédits d’engagement et en crédits de paiement:</w:t>
      </w:r>
    </w:p>
    <w:p>
      <w:pPr>
        <w:pStyle w:val="DGTextstand-alonedashesjustified"/>
      </w:pPr>
      <w:r>
        <w:rPr>
          <w:color w:val="016794"/>
        </w:rPr>
        <w:t>crédits d’engagement</w:t>
      </w:r>
      <w:r>
        <w:t>: ils couvrent le coût total des obligations juridiques contractées au cours de l’exercice pour des actions dont la réalisation s’étend sur plusieurs années. Cependant, les engagements budgétaires pour des actions dont la réalisation s’étend sur plus d’un exercice peuvent être fractionnés sur plusieurs exercices, en tranches annuelles, lorsque l’acte de base le prévoit;</w:t>
      </w:r>
    </w:p>
    <w:p>
      <w:pPr>
        <w:pStyle w:val="DGTextstand-alonedashesjustified"/>
      </w:pPr>
      <w:r>
        <w:rPr>
          <w:color w:val="016794"/>
        </w:rPr>
        <w:t>crédits de paiement</w:t>
      </w:r>
      <w:r>
        <w:t>: ils couvrent les dépenses qui découlent de l’exécution des engagements contractés au cours de l’exercice et/ou d’exercices antérieurs.</w:t>
      </w:r>
    </w:p>
    <w:p>
      <w:pPr>
        <w:pStyle w:val="Textstand-alone"/>
      </w:pPr>
      <w:r>
        <w:t>Dans les comptes, les types de financements sont regroupés dans deux catégories principales:</w:t>
      </w:r>
    </w:p>
    <w:p>
      <w:pPr>
        <w:pStyle w:val="DGTextstand-alonedashesjustified"/>
      </w:pPr>
      <w:r>
        <w:t>les crédits du budget définitif adopté; et</w:t>
      </w:r>
    </w:p>
    <w:p>
      <w:pPr>
        <w:pStyle w:val="DGTextstand-alonedashesjustified"/>
      </w:pPr>
      <w:r>
        <w:t>les crédits supplémentaires, comprenant:</w:t>
      </w:r>
    </w:p>
    <w:p>
      <w:pPr>
        <w:pStyle w:val="Textstand-alone"/>
        <w:numPr>
          <w:ilvl w:val="0"/>
          <w:numId w:val="27"/>
        </w:numPr>
        <w:tabs>
          <w:tab w:val="clear" w:pos="0"/>
        </w:tabs>
        <w:spacing w:before="120" w:after="0"/>
        <w:ind w:left="1134" w:hanging="425"/>
      </w:pPr>
      <w:r>
        <w:t>les crédits reportés de l’exercice précédent (dans un nombre limité de cas, le règlement financier autorise le report à l’exercice en cours de montants non dépensés de l’exercice précédent); et</w:t>
      </w:r>
    </w:p>
    <w:p>
      <w:pPr>
        <w:pStyle w:val="Textstand-alone"/>
        <w:numPr>
          <w:ilvl w:val="0"/>
          <w:numId w:val="27"/>
        </w:numPr>
        <w:tabs>
          <w:tab w:val="clear" w:pos="0"/>
        </w:tabs>
        <w:spacing w:before="0"/>
        <w:ind w:left="1134" w:hanging="425"/>
      </w:pPr>
      <w:r>
        <w:t>les recettes affectées provenant des remboursements, des contributions de tiers/pays tiers aux programmes de l’UE et des travaux réalisés pour des tiers sont affectées directement aux lignes budgétaires de dépenses correspondantes et constituent le troisième pilier de financement.</w:t>
      </w:r>
    </w:p>
    <w:p>
      <w:pPr>
        <w:pStyle w:val="Textstand-alone"/>
      </w:pPr>
      <w:r>
        <w:t>Les crédits disponibles sont constitués par l’ensemble des types de financements.</w:t>
      </w:r>
    </w:p>
    <w:bookmarkEnd w:id="262"/>
    <w:p>
      <w:pPr>
        <w:pStyle w:val="Textstand-alone"/>
        <w:sectPr>
          <w:headerReference w:type="default" r:id="rId151"/>
          <w:footerReference w:type="default" r:id="rId152"/>
          <w:pgSz w:w="11907" w:h="16840" w:code="9"/>
          <w:pgMar w:top="1134" w:right="1134" w:bottom="1134" w:left="1134" w:header="709" w:footer="709" w:gutter="0"/>
          <w:cols w:space="708"/>
          <w:docGrid w:linePitch="360"/>
        </w:sectPr>
      </w:pPr>
    </w:p>
    <w:p>
      <w:pPr>
        <w:pStyle w:val="HEADER2PartBUDG"/>
        <w:tabs>
          <w:tab w:val="clear" w:pos="907"/>
          <w:tab w:val="left" w:pos="709"/>
        </w:tabs>
        <w:ind w:left="360" w:hanging="360"/>
        <w:rPr>
          <w:noProof/>
        </w:rPr>
      </w:pPr>
      <w:bookmarkStart w:id="276" w:name="_Toc177134515"/>
      <w:bookmarkStart w:id="277" w:name="_Toc237349627"/>
      <w:bookmarkStart w:id="278" w:name="_DMBM_36791"/>
      <w:r>
        <w:rPr>
          <w:noProof/>
        </w:rPr>
        <w:lastRenderedPageBreak/>
        <w:t>RECETTES</w:t>
      </w:r>
      <w:bookmarkEnd w:id="276"/>
      <w:bookmarkEnd w:id="277"/>
    </w:p>
    <w:p>
      <w:pPr>
        <w:pStyle w:val="HEADER3PartBUGD"/>
        <w:tabs>
          <w:tab w:val="clear" w:pos="907"/>
        </w:tabs>
        <w:ind w:left="851" w:hanging="284"/>
        <w:rPr>
          <w:noProof/>
        </w:rPr>
      </w:pPr>
      <w:bookmarkStart w:id="279" w:name="_Hlk158733088"/>
      <w:r>
        <w:rPr>
          <w:noProof/>
        </w:rPr>
        <w:t>Recettes provenant des ressources propres</w:t>
      </w:r>
    </w:p>
    <w:bookmarkEnd w:id="279"/>
    <w:p>
      <w:pPr>
        <w:pStyle w:val="DGTextstand-alone"/>
      </w:pPr>
      <w:r>
        <w:t xml:space="preserve">La grande majorité des recettes proviennent des ressources propres, qui peuvent être regroupées dans les catégories suivantes: </w:t>
      </w:r>
    </w:p>
    <w:p>
      <w:pPr>
        <w:pStyle w:val="DGTextstand-alone"/>
        <w:numPr>
          <w:ilvl w:val="0"/>
          <w:numId w:val="28"/>
        </w:numPr>
        <w:pBdr>
          <w:top w:val="nil"/>
          <w:left w:val="nil"/>
          <w:bottom w:val="nil"/>
          <w:right w:val="nil"/>
          <w:between w:val="nil"/>
          <w:bar w:val="nil"/>
        </w:pBdr>
      </w:pPr>
      <w:r>
        <w:t>ressources propres traditionnelles (RPT): elles représentaient environ 14 % des recettes issues des ressources propres en 2025;</w:t>
      </w:r>
    </w:p>
    <w:p>
      <w:pPr>
        <w:pStyle w:val="DGTextstand-alone"/>
        <w:numPr>
          <w:ilvl w:val="0"/>
          <w:numId w:val="28"/>
        </w:numPr>
        <w:pBdr>
          <w:top w:val="nil"/>
          <w:left w:val="nil"/>
          <w:bottom w:val="nil"/>
          <w:right w:val="nil"/>
          <w:between w:val="nil"/>
          <w:bar w:val="nil"/>
        </w:pBdr>
      </w:pPr>
      <w:r>
        <w:t>ressource fondée sur la taxe sur la valeur ajoutée (TVA): elles représentaient environ 17 % des recettes issues des ressources propres en 2025;</w:t>
      </w:r>
    </w:p>
    <w:p>
      <w:pPr>
        <w:pStyle w:val="DGTextstand-alone"/>
        <w:numPr>
          <w:ilvl w:val="0"/>
          <w:numId w:val="28"/>
        </w:numPr>
        <w:pBdr>
          <w:top w:val="nil"/>
          <w:left w:val="nil"/>
          <w:bottom w:val="nil"/>
          <w:right w:val="nil"/>
          <w:between w:val="nil"/>
          <w:bar w:val="nil"/>
        </w:pBdr>
      </w:pPr>
      <w:r>
        <w:t>ressource fondée sur les déchets d’emballages en plastique non recyclés: elles représentaient environ 5 % des recettes issues des ressources propres en 2025;</w:t>
      </w:r>
    </w:p>
    <w:p>
      <w:pPr>
        <w:pStyle w:val="DGTextstand-alone"/>
        <w:numPr>
          <w:ilvl w:val="0"/>
          <w:numId w:val="28"/>
        </w:numPr>
        <w:pBdr>
          <w:top w:val="nil"/>
          <w:left w:val="nil"/>
          <w:bottom w:val="nil"/>
          <w:right w:val="nil"/>
          <w:between w:val="nil"/>
          <w:bar w:val="nil"/>
        </w:pBdr>
      </w:pPr>
      <w:r>
        <w:t>ressource fondée sur le revenu national brut (RNB): elle représentait environ 64 % des recettes issues des ressources propres en 2024.</w:t>
      </w:r>
    </w:p>
    <w:p>
      <w:pPr>
        <w:pStyle w:val="DGTextstand-alone"/>
      </w:pPr>
      <w:r>
        <w:t>La décision (UE, Euratom) 2020/2053 du Conseil du 14 décembre 2020 relative au système des ressources propres de l’UE («décision de 2020 relative aux ressources propres») définit les catégories de ressources propres ainsi que les méthodes de leur calcul. Cette décision est entrée en vigueur le 1</w:t>
      </w:r>
      <w:r>
        <w:rPr>
          <w:vertAlign w:val="superscript"/>
        </w:rPr>
        <w:t>er</w:t>
      </w:r>
      <w:r>
        <w:t> juin 2021 et a été appliquée rétroactivement à partir du 1</w:t>
      </w:r>
      <w:r>
        <w:rPr>
          <w:vertAlign w:val="superscript"/>
        </w:rPr>
        <w:t>er</w:t>
      </w:r>
      <w:r>
        <w:t xml:space="preserve"> janvier 2021. </w:t>
      </w:r>
    </w:p>
    <w:p>
      <w:pPr>
        <w:pStyle w:val="DGTextstand-alone"/>
      </w:pPr>
      <w:r>
        <w:t>La décision de 2020 relative aux ressources propres dispose que le montant total de ressources propres alloué à l’Union pour couvrir les crédits de paiement annuels n’excède pas 1,40 % de la somme des RNB de tous les États membres. En outre, ladite décision habilite la Commission, à titre exceptionnel, à emprunter temporairement jusqu’à 750 milliards d’EUR aux prix de 2018 sur les marchés des capitaux au nom de l’Union afin de faire face aux conséquences de la pandémie de COVID-19 au moyen de l’instrument pour la relance, NextGenerationEU. Le plafond des ressources propres pour les crédits de paiement sera temporairement relevé de 0,6 point de pourcentage de manière à couvrir l’ensemble des passifs générés par cet emprunt.</w:t>
      </w:r>
    </w:p>
    <w:p>
      <w:pPr>
        <w:pStyle w:val="DGTextstand-alone"/>
      </w:pPr>
      <w:r>
        <w:t>À partir de 2021, les «autres recettes» du budget de l’UE comprennent les contributions financières du Royaume-Uni résultant du règlement financier au titre de l’accord de retrait du Royaume-Uni.</w:t>
      </w:r>
    </w:p>
    <w:p>
      <w:pPr>
        <w:pStyle w:val="HEADER3PartBUGD"/>
        <w:tabs>
          <w:tab w:val="clear" w:pos="907"/>
        </w:tabs>
        <w:ind w:left="851" w:hanging="284"/>
        <w:rPr>
          <w:noProof/>
        </w:rPr>
      </w:pPr>
      <w:r>
        <w:rPr>
          <w:noProof/>
        </w:rPr>
        <w:t>Ressources propres traditionnelles (RPT)</w:t>
      </w:r>
    </w:p>
    <w:p>
      <w:pPr>
        <w:pStyle w:val="DGTextstand-alone"/>
      </w:pPr>
      <w:r>
        <w:t>Les RPT se composent des droits de douane prélevés sur les importations de pays tiers et perçus par les États membres pour le compte de l’UE. Cependant, les États membres retiennent 25 % du montant pour couvrir leurs frais de perception. Toutes les RPT constatées doivent être reprises dans l’un des livres comptables suivants tenus par les autorités compétentes:</w:t>
      </w:r>
    </w:p>
    <w:p>
      <w:pPr>
        <w:pStyle w:val="DGTextstand-alone"/>
      </w:pPr>
      <w:r>
        <w:t>dans la comptabilité normale prévue à l’article 6, paragraphe 3, du règlement (UE, Euratom) nº 609/2014 du Conseil pour: tout montant recouvré ou garanti;</w:t>
      </w:r>
    </w:p>
    <w:p>
      <w:pPr>
        <w:pStyle w:val="DGTextstand-alone"/>
      </w:pPr>
      <w:r>
        <w:t>dans la comptabilité séparée prévue dans le même article pour: tout montant non encore recouvré et/ou non garanti; les montants garantis mais contestés peuvent également être inscrits dans cette comptabilité.</w:t>
      </w:r>
    </w:p>
    <w:p>
      <w:pPr>
        <w:pStyle w:val="DGTextstand-alone"/>
      </w:pPr>
      <w:r>
        <w:t>Les États membres sont tenus d’inscrire les RPT au compte de la Commission par l’intermédiaire du Trésor national ou de la banque centrale nationale au plus tard le premier jour ouvrable après le dix-neuvième jour du deuxième mois suivant celui au cours duquel le droit a été constaté (ou recouvré dans le cas de la comptabilité séparée).</w:t>
      </w:r>
    </w:p>
    <w:p>
      <w:pPr>
        <w:pStyle w:val="HEADER3PartBUGD"/>
        <w:tabs>
          <w:tab w:val="clear" w:pos="907"/>
        </w:tabs>
        <w:ind w:left="851" w:hanging="284"/>
        <w:rPr>
          <w:noProof/>
        </w:rPr>
      </w:pPr>
      <w:r>
        <w:rPr>
          <w:noProof/>
        </w:rPr>
        <w:t>Taxe sur la valeur ajoutée (TVA)</w:t>
      </w:r>
    </w:p>
    <w:p>
      <w:pPr>
        <w:pStyle w:val="DGTextstand-alone"/>
      </w:pPr>
      <w:r>
        <w:t xml:space="preserve">La ressource propre fondée sur la TVA est calculée sur la base des assiettes TVA des États membres, qui sont harmonisées à cette fin conformément aux règles de l’UE. Un taux d’appel uniforme de 0,30 % s’applique au montant total des recettes TVA perçues par chaque État membre pour toutes les opérations </w:t>
      </w:r>
      <w:r>
        <w:lastRenderedPageBreak/>
        <w:t>imposables, divisé par le taux moyen pondéré de la TVA. L’assiette TVA est écrêtée à 50 % du RNB de chaque État membre.</w:t>
      </w:r>
    </w:p>
    <w:p>
      <w:pPr>
        <w:pStyle w:val="HEADER3PartBUGD"/>
        <w:tabs>
          <w:tab w:val="clear" w:pos="907"/>
        </w:tabs>
        <w:ind w:left="851" w:hanging="284"/>
        <w:rPr>
          <w:noProof/>
        </w:rPr>
      </w:pPr>
      <w:r>
        <w:rPr>
          <w:noProof/>
        </w:rPr>
        <w:t>Déchets d’emballages en plastique non recyclés</w:t>
      </w:r>
    </w:p>
    <w:p>
      <w:pPr>
        <w:pStyle w:val="DGTextstand-alone"/>
      </w:pPr>
      <w:r>
        <w:t>Un taux d’appel uniforme de 0,80 EUR par kilogramme s’applique au poids des déchets d’emballages en plastique non recyclés produits dans chaque État membre. Les déchets d’emballages en plastique qui ne sont pas recyclés au cours d’une année donnée sont calculés comme la différence entre les déchets d’emballages en plastique produits et les déchets d’emballages en plastique recyclés cette année-là dans un État membre. La Bulgarie, la Tchéquie, l’Estonie, la Grèce, l’Espagne, la Croatie, l’Italie, Chypre, la Lettonie, la Lituanie, la Hongrie, Malte, la Pologne, le Portugal, la Roumanie, la Slovénie et la Slovaquie ont droit à des réductions forfaitaires annuelles spécifiques de leurs contributions respectives aux ressources propres fondées sur les matières plastiques.</w:t>
      </w:r>
    </w:p>
    <w:p>
      <w:pPr>
        <w:pStyle w:val="HEADER3PartBUGD"/>
        <w:tabs>
          <w:tab w:val="clear" w:pos="907"/>
        </w:tabs>
        <w:ind w:left="851" w:hanging="284"/>
        <w:rPr>
          <w:noProof/>
        </w:rPr>
      </w:pPr>
      <w:r>
        <w:rPr>
          <w:noProof/>
        </w:rPr>
        <w:t>Revenu national brut (RNB)</w:t>
      </w:r>
    </w:p>
    <w:p>
      <w:pPr>
        <w:pStyle w:val="DGTextstand-alone"/>
      </w:pPr>
      <w:r>
        <w:t>La ressource fondée sur le revenu national brut (RNB) sert à financer la partie du budget qui n’est pas couverte par d’autres sources de recettes. Un taux d’appel uniforme est prélevé sur le RNB de chaque État membre, établi conformément aux règles de l’UE.</w:t>
      </w:r>
    </w:p>
    <w:p>
      <w:pPr>
        <w:pStyle w:val="HEADER3PartBUGD"/>
        <w:tabs>
          <w:tab w:val="clear" w:pos="907"/>
        </w:tabs>
        <w:ind w:left="851" w:hanging="284"/>
        <w:rPr>
          <w:noProof/>
        </w:rPr>
      </w:pPr>
      <w:r>
        <w:rPr>
          <w:noProof/>
        </w:rPr>
        <w:t>Réduction brute</w:t>
      </w:r>
    </w:p>
    <w:p>
      <w:pPr>
        <w:pStyle w:val="DGTextstand-alone"/>
      </w:pPr>
      <w:r>
        <w:t>Pour la période 2021-2027, les États membres suivants bénéficient d’une réduction brute de leurs contributions annuelles fondées sur le RNB: Autriche (565 millions d’EUR), Danemark (377 millions d’EUR), Allemagne (3,671 milliards d’EUR), Pays-Bas (1,921 milliard d’EUR) et Suède (1,069 milliard d’EUR). Ces réductions brutes sont évaluées aux prix de 2020 et financées par l’ensemble des États membres.</w:t>
      </w:r>
    </w:p>
    <w:p>
      <w:pPr>
        <w:pStyle w:val="HEADER3PartBUGD"/>
        <w:tabs>
          <w:tab w:val="clear" w:pos="907"/>
        </w:tabs>
        <w:ind w:left="851" w:hanging="284"/>
        <w:rPr>
          <w:noProof/>
        </w:rPr>
      </w:pPr>
      <w:r>
        <w:rPr>
          <w:noProof/>
        </w:rPr>
        <w:t>Ajustements des ressources propres des exercices antérieurs</w:t>
      </w:r>
    </w:p>
    <w:p>
      <w:pPr>
        <w:pStyle w:val="DGTextstand-alone"/>
      </w:pPr>
      <w:r>
        <w:t>Les ressources TVA et RNB sont déterminées sur la base des prévisions relatives aux assiettes correspondantes établies au moment de l’élaboration du projet de budget. Ces prévisions font ensuite l’objet d’une révision et d’une mise à jour au cours de l’exercice concerné par voie de budget rectificatif. Les différences, positives ou négatives, entre les montants dus par les États membres en fonction des assiettes réelles et les montants qu’ils ont effectivement versés sur la base des prévisions (révisées) sont appelées par la Commission auprès des États membres pour le premier jour ouvrable du mois de mars du troisième exercice suivant l’exercice concerné. Sauf réserve formulée, des corrections peuvent être apportées aux assiettes TVA et RNB au cours des quatre exercices suivants. Elles représentent des créances potentielles sur les États membres, dont le montant est incertain du fait que leur incidence financière ne peut être estimée avec précision. Lorsque le montant de ces créances peut être déterminé, les ressources TVA et RNB correspondantes sont appelées, soit en rapport avec le calcul des soldes TVA et RNB, soit via des appels de fonds individuels. Les prévisions pour les ressources propres fondées sur les déchets d’emballages en plastique sont ajustées de la même manière. Toutefois, les différences, positives ou négatives, entre les montants dus par les États membres sur la base de leurs états annuels et des résultats y figurant, et les montants qu’ils ont effectivement versés sur la base des prévisions (révisées) sont appelées par la Commission auprès des États membres pour le premier jour ouvrable du mois de juin du troisième exercice suivant l’exercice concerné. À moins qu'une réserve ne soit formulée, des corrections peuvent encore être apportées aux assiettes réelles au cours des cinq exercices suivants.</w:t>
      </w:r>
    </w:p>
    <w:p>
      <w:pPr>
        <w:pStyle w:val="HEADER2PartBUDG"/>
        <w:tabs>
          <w:tab w:val="clear" w:pos="907"/>
          <w:tab w:val="left" w:pos="709"/>
        </w:tabs>
        <w:ind w:left="360" w:hanging="360"/>
        <w:rPr>
          <w:noProof/>
        </w:rPr>
      </w:pPr>
      <w:r>
        <w:rPr>
          <w:noProof/>
        </w:rPr>
        <w:t xml:space="preserve"> </w:t>
      </w:r>
      <w:bookmarkStart w:id="280" w:name="_Toc67991406"/>
      <w:bookmarkStart w:id="281" w:name="_Toc68086076"/>
      <w:bookmarkStart w:id="282" w:name="_Toc237349628"/>
      <w:r>
        <w:rPr>
          <w:noProof/>
        </w:rPr>
        <w:t>CALCUL DU RÉSULTAT DE L’EXÉCUTION DU BUDGET</w:t>
      </w:r>
      <w:bookmarkEnd w:id="280"/>
      <w:bookmarkEnd w:id="281"/>
      <w:bookmarkEnd w:id="282"/>
    </w:p>
    <w:p>
      <w:pPr>
        <w:pStyle w:val="DGTextstand-alone"/>
      </w:pPr>
      <w:r>
        <w:t>Le résultat de l’exécution du budget de l’UE est restitué aux États membres au cours de l’exercice suivant: il est porté en déduction des montants dont ils sont redevables pour cet exercice.</w:t>
      </w:r>
    </w:p>
    <w:p>
      <w:pPr>
        <w:pStyle w:val="DGTextstand-alone"/>
      </w:pPr>
      <w:r>
        <w:t>Les ressources propres sont comptabilisées sur la base des montants dont sont crédités, au cours de l’exercice, les comptes ouverts au nom de la Commission par les administrations des États membres. Les recettes incluent également le solde budgétaire de l’exercice précédent, lorsque celui-ci est positif (excédent). Les autres recettes sont prises en compte sur la base des montants effectivement perçus au cours de l’exercice.</w:t>
      </w:r>
    </w:p>
    <w:p>
      <w:pPr>
        <w:pStyle w:val="DGTextstand-alone"/>
      </w:pPr>
      <w:r>
        <w:lastRenderedPageBreak/>
        <w:t>Pour le calcul du résultat de l’exécution du budget de l’exercice, les dépenses comprennent les paiements sur crédits de l’exercice auxquels s’ajoutent les crédits du même exercice reportés à l’exercice suivant. Les paiements effectués sur les crédits de l’exercice sont ceux qui ont été exécutés par le comptable au plus tard le 31 décembre de l’exercice. Pour le FEAGA, les paiements pris en compte sont ceux effectués par les États membres du 16 octobre N-1 au 15 octobre N, pour autant que leur engagement et leur ordonnancement soient parvenus au comptable au plus tard le 31 janvier N+1. Les dépenses du FEAGA peuvent faire l’objet d’une décision de conformité à la suite des contrôles effectués dans les États membres.</w:t>
      </w:r>
    </w:p>
    <w:p>
      <w:pPr>
        <w:pStyle w:val="DGTextstand-alone"/>
      </w:pPr>
      <w:r>
        <w:t>Aux termes de l’article 1</w:t>
      </w:r>
      <w:r>
        <w:rPr>
          <w:vertAlign w:val="superscript"/>
        </w:rPr>
        <w:t>er</w:t>
      </w:r>
      <w:r>
        <w:t>, paragraphe 1, du règlement (UE, Euratom) nº 608/2014 portant mesures d’exécution du système des ressources propres de l’Union européenne, le résultat de l’exécution du budget est constitué par la différence entre:</w:t>
      </w:r>
    </w:p>
    <w:p>
      <w:pPr>
        <w:pStyle w:val="DGTextstand-alone"/>
        <w:numPr>
          <w:ilvl w:val="0"/>
          <w:numId w:val="29"/>
        </w:numPr>
      </w:pPr>
      <w:r>
        <w:t>l’ensemble des recettes budgétaires perçues au titre de l’exercice, et</w:t>
      </w:r>
    </w:p>
    <w:p>
      <w:pPr>
        <w:pStyle w:val="DGTextstand-alone"/>
        <w:numPr>
          <w:ilvl w:val="0"/>
          <w:numId w:val="29"/>
        </w:numPr>
      </w:pPr>
      <w:r>
        <w:t>le montant total des paiements effectués sur les crédits de l’exercice en cours, augmenté du montant total des crédits du même exercice reportés à l’exercice suivant.</w:t>
      </w:r>
    </w:p>
    <w:p>
      <w:pPr>
        <w:pStyle w:val="DGTextstand-alone"/>
      </w:pPr>
      <w:r>
        <w:t>Cette différence est augmentée ou diminuée:</w:t>
      </w:r>
    </w:p>
    <w:p>
      <w:pPr>
        <w:pStyle w:val="DGTextstand-alone"/>
        <w:numPr>
          <w:ilvl w:val="0"/>
          <w:numId w:val="30"/>
        </w:numPr>
      </w:pPr>
      <w:r>
        <w:t>du montant net qui résulte des annulations de crédits de paiement reportés des exercices antérieurs et des dépassements éventuels, en paiements, dus à la variation des cours de l’euro, des crédits non dissociés reportés de l’exercice précédent,</w:t>
      </w:r>
    </w:p>
    <w:p>
      <w:pPr>
        <w:pStyle w:val="DGTextstand-alone"/>
        <w:numPr>
          <w:ilvl w:val="0"/>
          <w:numId w:val="30"/>
        </w:numPr>
      </w:pPr>
      <w:r>
        <w:t>de l’évolution des recettes affectées, et</w:t>
      </w:r>
    </w:p>
    <w:p>
      <w:pPr>
        <w:pStyle w:val="DGTextstand-alone"/>
        <w:numPr>
          <w:ilvl w:val="0"/>
          <w:numId w:val="30"/>
        </w:numPr>
      </w:pPr>
      <w:r>
        <w:t>des gains et des pertes de change nets enregistrés pendant l’exercice.</w:t>
      </w:r>
    </w:p>
    <w:p>
      <w:pPr>
        <w:pStyle w:val="DGTextstand-alone"/>
      </w:pPr>
      <w:r>
        <w:t>Les crédits reportés de l’exercice précédent relatifs à des participations de tiers et à des travaux pour des tiers, qui, par nature, ne tombent jamais en annulation, sont repris comme crédits additionnels de l’exercice. Cela explique la différence entre le montant des crédits reportés de l’exercice précédent repris dans les états sur l’exécution budgétaire relatifs à l’exercice N et le montant des crédits reportés à l’exercice suivant qui figure dans les états sur l’exécution budgétaire relatifs à l’exercice N-1. Les crédits d’engagement reconstitués à la suite de reversements d’acomptes ne font pas partie du calcul du résultat de l’exécution du budget.</w:t>
      </w:r>
    </w:p>
    <w:p>
      <w:pPr>
        <w:pStyle w:val="DGTextstand-alone"/>
      </w:pPr>
      <w:r>
        <w:t>Les crédits de paiement reportés comprennent les reports automatiques et les reports par décision. La rubrique «Annulation des crédits de paiement inutilisés reportés de l’exercice précédent» comporte les annulations de crédits reportés de droit et par décision.</w:t>
      </w:r>
      <w:bookmarkEnd w:id="278"/>
    </w:p>
    <w:p>
      <w:pPr>
        <w:pStyle w:val="DGTextstand-alone"/>
        <w:sectPr>
          <w:headerReference w:type="default" r:id="rId153"/>
          <w:footerReference w:type="default" r:id="rId154"/>
          <w:pgSz w:w="11907" w:h="16840" w:code="9"/>
          <w:pgMar w:top="1134" w:right="1134" w:bottom="1134" w:left="1134" w:header="709" w:footer="709" w:gutter="0"/>
          <w:cols w:space="708"/>
          <w:docGrid w:linePitch="360"/>
        </w:sectPr>
      </w:pPr>
    </w:p>
    <w:p>
      <w:pPr>
        <w:pStyle w:val="HEADER2PartBUDG"/>
        <w:rPr>
          <w:noProof/>
        </w:rPr>
      </w:pPr>
      <w:bookmarkStart w:id="283" w:name="_Toc237349629"/>
      <w:bookmarkStart w:id="284" w:name="_Hlk167787035"/>
      <w:bookmarkStart w:id="285" w:name="_DMBM_36788"/>
      <w:r>
        <w:rPr>
          <w:noProof/>
        </w:rPr>
        <w:lastRenderedPageBreak/>
        <w:t>RAPPROCHEMENT ENTRE LE RÉSULTAT ÉCONOMIQUE ET LE RÉSULTAT DE L’EXÉCUTION DU BUDGET</w:t>
      </w:r>
      <w:bookmarkEnd w:id="283"/>
      <w:r>
        <w:rPr>
          <w:noProof/>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87"/>
        <w:gridCol w:w="1436"/>
        <w:gridCol w:w="1436"/>
      </w:tblGrid>
      <w:tr>
        <w:trPr>
          <w:trHeight w:hRule="exact" w:val="255"/>
        </w:trPr>
        <w:tc>
          <w:tcPr>
            <w:tcW w:w="6887" w:type="dxa"/>
            <w:tcBorders>
              <w:top w:val="nil"/>
              <w:left w:val="nil"/>
              <w:bottom w:val="nil"/>
              <w:right w:val="nil"/>
              <w:tl2br w:val="nil"/>
              <w:tr2bl w:val="nil"/>
            </w:tcBorders>
            <w:shd w:val="solid" w:color="FFFFFF" w:fill="FFFFFF"/>
            <w:tcMar>
              <w:left w:w="60" w:type="dxa"/>
              <w:right w:w="60" w:type="dxa"/>
            </w:tcMar>
            <w:vAlign w:val="center"/>
          </w:tcPr>
          <w:p>
            <w:pPr>
              <w:pStyle w:val="DMETW36669BIPReconciliation"/>
              <w:rPr>
                <w:rFonts w:cs="Calibri"/>
                <w:noProof/>
                <w:color w:val="000000"/>
                <w:sz w:val="22"/>
              </w:rPr>
            </w:pPr>
            <w:bookmarkStart w:id="286" w:name="DOC_TBL00112_1_1"/>
            <w:bookmarkEnd w:id="286"/>
          </w:p>
        </w:tc>
        <w:tc>
          <w:tcPr>
            <w:tcW w:w="1436" w:type="dxa"/>
            <w:tcBorders>
              <w:top w:val="nil"/>
              <w:left w:val="nil"/>
              <w:bottom w:val="nil"/>
              <w:right w:val="nil"/>
              <w:tl2br w:val="nil"/>
              <w:tr2bl w:val="nil"/>
            </w:tcBorders>
            <w:shd w:val="solid" w:color="FFFFFF" w:fill="FFFFFF"/>
            <w:tcMar>
              <w:left w:w="60" w:type="dxa"/>
              <w:right w:w="60" w:type="dxa"/>
            </w:tcMar>
            <w:vAlign w:val="center"/>
          </w:tcPr>
          <w:p>
            <w:pPr>
              <w:pStyle w:val="DMETW36669BIPReconciliation"/>
              <w:rPr>
                <w:rFonts w:cs="Calibri"/>
                <w:noProof/>
                <w:color w:val="000000"/>
                <w:sz w:val="22"/>
              </w:rPr>
            </w:pPr>
          </w:p>
        </w:tc>
        <w:tc>
          <w:tcPr>
            <w:tcW w:w="1436" w:type="dxa"/>
            <w:tcBorders>
              <w:top w:val="nil"/>
              <w:left w:val="nil"/>
              <w:bottom w:val="nil"/>
              <w:right w:val="nil"/>
              <w:tl2br w:val="nil"/>
              <w:tr2bl w:val="nil"/>
            </w:tcBorders>
            <w:shd w:val="solid" w:color="FFFFFF" w:fill="FFFFFF"/>
            <w:tcMar>
              <w:left w:w="60" w:type="dxa"/>
              <w:right w:w="60" w:type="dxa"/>
            </w:tcMar>
            <w:vAlign w:val="center"/>
          </w:tcPr>
          <w:p>
            <w:pPr>
              <w:pStyle w:val="DMETW36669BIPReconciliation"/>
              <w:jc w:val="right"/>
              <w:rPr>
                <w:rFonts w:ascii="Verdana" w:eastAsia="Verdana" w:hAnsi="Verdana" w:cs="Verdana"/>
                <w:i/>
                <w:noProof/>
                <w:color w:val="000000"/>
                <w:sz w:val="16"/>
              </w:rPr>
            </w:pPr>
            <w:r>
              <w:rPr>
                <w:rFonts w:ascii="Verdana" w:hAnsi="Verdana"/>
                <w:i/>
                <w:noProof/>
                <w:color w:val="000000"/>
                <w:sz w:val="16"/>
              </w:rPr>
              <w:t>en Mio EUR</w:t>
            </w:r>
          </w:p>
        </w:tc>
      </w:tr>
      <w:tr>
        <w:trPr>
          <w:trHeight w:hRule="exact" w:val="255"/>
        </w:trPr>
        <w:tc>
          <w:tcPr>
            <w:tcW w:w="6887" w:type="dxa"/>
            <w:tcBorders>
              <w:top w:val="nil"/>
              <w:left w:val="nil"/>
              <w:bottom w:val="nil"/>
              <w:right w:val="nil"/>
              <w:tl2br w:val="nil"/>
              <w:tr2bl w:val="nil"/>
            </w:tcBorders>
            <w:shd w:val="solid" w:color="016794" w:fill="FFFFFF"/>
            <w:tcMar>
              <w:left w:w="60" w:type="dxa"/>
              <w:right w:w="60" w:type="dxa"/>
            </w:tcMar>
            <w:vAlign w:val="center"/>
          </w:tcPr>
          <w:p>
            <w:pPr>
              <w:pStyle w:val="DMETW36669BIPReconciliation"/>
              <w:rPr>
                <w:rFonts w:ascii="Verdana" w:eastAsia="Verdana" w:hAnsi="Verdana" w:cs="Verdana"/>
                <w:noProof/>
                <w:color w:val="FFFFFF"/>
              </w:rPr>
            </w:pPr>
          </w:p>
        </w:tc>
        <w:tc>
          <w:tcPr>
            <w:tcW w:w="1436" w:type="dxa"/>
            <w:tcBorders>
              <w:top w:val="nil"/>
              <w:left w:val="nil"/>
              <w:bottom w:val="nil"/>
              <w:right w:val="nil"/>
              <w:tl2br w:val="nil"/>
              <w:tr2bl w:val="nil"/>
            </w:tcBorders>
            <w:shd w:val="solid" w:color="016794" w:fill="FFFFFF"/>
            <w:tcMar>
              <w:left w:w="60" w:type="dxa"/>
              <w:right w:w="60" w:type="dxa"/>
            </w:tcMar>
            <w:vAlign w:val="center"/>
          </w:tcPr>
          <w:p>
            <w:pPr>
              <w:pStyle w:val="DMETW36669BIPReconciliation"/>
              <w:jc w:val="right"/>
              <w:rPr>
                <w:rFonts w:ascii="Verdana" w:eastAsia="Verdana" w:hAnsi="Verdana" w:cs="Verdana"/>
                <w:noProof/>
                <w:color w:val="FFFFFF"/>
              </w:rPr>
            </w:pPr>
            <w:r>
              <w:rPr>
                <w:rFonts w:ascii="Verdana" w:hAnsi="Verdana"/>
                <w:noProof/>
                <w:color w:val="FFFFFF"/>
              </w:rPr>
              <w:t>2025</w:t>
            </w:r>
          </w:p>
        </w:tc>
        <w:tc>
          <w:tcPr>
            <w:tcW w:w="1436" w:type="dxa"/>
            <w:tcBorders>
              <w:top w:val="nil"/>
              <w:left w:val="nil"/>
              <w:bottom w:val="nil"/>
              <w:right w:val="nil"/>
              <w:tl2br w:val="nil"/>
              <w:tr2bl w:val="nil"/>
            </w:tcBorders>
            <w:shd w:val="solid" w:color="016794" w:fill="FFFFFF"/>
            <w:tcMar>
              <w:left w:w="60" w:type="dxa"/>
              <w:right w:w="60" w:type="dxa"/>
            </w:tcMar>
            <w:vAlign w:val="center"/>
          </w:tcPr>
          <w:p>
            <w:pPr>
              <w:pStyle w:val="DMETW36669BIPReconciliation"/>
              <w:jc w:val="right"/>
              <w:rPr>
                <w:rFonts w:ascii="Verdana" w:eastAsia="Verdana" w:hAnsi="Verdana" w:cs="Verdana"/>
                <w:noProof/>
                <w:color w:val="FFFFFF"/>
              </w:rPr>
            </w:pPr>
            <w:r>
              <w:rPr>
                <w:rFonts w:ascii="Verdana" w:hAnsi="Verdana"/>
                <w:noProof/>
                <w:color w:val="FFFFFF"/>
              </w:rPr>
              <w:t>2024</w:t>
            </w:r>
          </w:p>
        </w:tc>
      </w:tr>
      <w:tr>
        <w:trPr>
          <w:trHeight w:hRule="exact" w:val="255"/>
        </w:trPr>
        <w:tc>
          <w:tcPr>
            <w:tcW w:w="6887" w:type="dxa"/>
            <w:tcBorders>
              <w:top w:val="nil"/>
              <w:left w:val="nil"/>
              <w:bottom w:val="nil"/>
              <w:right w:val="nil"/>
              <w:tl2br w:val="nil"/>
              <w:tr2bl w:val="nil"/>
            </w:tcBorders>
            <w:shd w:val="solid" w:color="CCE1EA" w:fill="FFFFFF"/>
            <w:tcMar>
              <w:left w:w="60" w:type="dxa"/>
              <w:right w:w="60" w:type="dxa"/>
            </w:tcMar>
            <w:vAlign w:val="center"/>
          </w:tcPr>
          <w:p>
            <w:pPr>
              <w:pStyle w:val="DMETW36669BIPReconciliation"/>
              <w:rPr>
                <w:rFonts w:ascii="Verdana" w:eastAsia="Verdana" w:hAnsi="Verdana" w:cs="Verdana"/>
                <w:b/>
                <w:noProof/>
                <w:color w:val="000000"/>
                <w:sz w:val="18"/>
              </w:rPr>
            </w:pPr>
            <w:r>
              <w:rPr>
                <w:rFonts w:ascii="Verdana" w:hAnsi="Verdana"/>
                <w:b/>
                <w:noProof/>
                <w:color w:val="000000"/>
                <w:sz w:val="18"/>
              </w:rPr>
              <w:t>RÉSULTAT ÉCONOMIQUE DE L’EXERCICE</w:t>
            </w:r>
          </w:p>
        </w:tc>
        <w:tc>
          <w:tcPr>
            <w:tcW w:w="1436" w:type="dxa"/>
            <w:tcBorders>
              <w:top w:val="nil"/>
              <w:left w:val="nil"/>
              <w:bottom w:val="nil"/>
              <w:right w:val="nil"/>
              <w:tl2br w:val="nil"/>
              <w:tr2bl w:val="nil"/>
            </w:tcBorders>
            <w:shd w:val="solid" w:color="CCE1EA" w:fill="FFFFFF"/>
            <w:tcMar>
              <w:left w:w="60" w:type="dxa"/>
              <w:right w:w="60" w:type="dxa"/>
            </w:tcMar>
            <w:vAlign w:val="center"/>
          </w:tcPr>
          <w:p>
            <w:pPr>
              <w:pStyle w:val="DMETW36669BIPReconciliation"/>
              <w:jc w:val="right"/>
              <w:rPr>
                <w:rFonts w:ascii="Verdana" w:eastAsia="Verdana" w:hAnsi="Verdana" w:cs="Verdana"/>
                <w:b/>
                <w:noProof/>
                <w:color w:val="000000"/>
                <w:sz w:val="18"/>
              </w:rPr>
            </w:pPr>
            <w:r>
              <w:rPr>
                <w:rFonts w:ascii="Verdana" w:hAnsi="Verdana"/>
                <w:b/>
                <w:noProof/>
                <w:color w:val="000000"/>
                <w:sz w:val="18"/>
              </w:rPr>
              <w:t>(54 639)</w:t>
            </w:r>
          </w:p>
        </w:tc>
        <w:tc>
          <w:tcPr>
            <w:tcW w:w="1436" w:type="dxa"/>
            <w:tcBorders>
              <w:top w:val="nil"/>
              <w:left w:val="nil"/>
              <w:bottom w:val="nil"/>
              <w:right w:val="nil"/>
              <w:tl2br w:val="nil"/>
              <w:tr2bl w:val="nil"/>
            </w:tcBorders>
            <w:shd w:val="solid" w:color="CCE1EA" w:fill="FFFFFF"/>
            <w:tcMar>
              <w:left w:w="60" w:type="dxa"/>
              <w:right w:w="60" w:type="dxa"/>
            </w:tcMar>
            <w:vAlign w:val="center"/>
          </w:tcPr>
          <w:p>
            <w:pPr>
              <w:pStyle w:val="DMETW36669BIPReconciliation"/>
              <w:jc w:val="right"/>
              <w:rPr>
                <w:rFonts w:ascii="Verdana" w:eastAsia="Verdana" w:hAnsi="Verdana" w:cs="Verdana"/>
                <w:b/>
                <w:noProof/>
                <w:color w:val="000000"/>
                <w:sz w:val="18"/>
              </w:rPr>
            </w:pPr>
            <w:r>
              <w:rPr>
                <w:rFonts w:ascii="Verdana" w:hAnsi="Verdana"/>
                <w:b/>
                <w:noProof/>
                <w:color w:val="000000"/>
                <w:sz w:val="18"/>
              </w:rPr>
              <w:t>(97 208)</w:t>
            </w:r>
          </w:p>
        </w:tc>
      </w:tr>
      <w:tr>
        <w:trPr>
          <w:trHeight w:hRule="exact" w:val="255"/>
        </w:trPr>
        <w:tc>
          <w:tcPr>
            <w:tcW w:w="6887" w:type="dxa"/>
            <w:tcBorders>
              <w:top w:val="nil"/>
              <w:left w:val="nil"/>
              <w:bottom w:val="nil"/>
              <w:right w:val="nil"/>
              <w:tl2br w:val="nil"/>
              <w:tr2bl w:val="nil"/>
            </w:tcBorders>
            <w:shd w:val="solid" w:color="FFFFFF" w:fill="FFFFFF"/>
            <w:tcMar>
              <w:left w:w="60" w:type="dxa"/>
              <w:right w:w="60" w:type="dxa"/>
            </w:tcMar>
            <w:vAlign w:val="center"/>
          </w:tcPr>
          <w:p>
            <w:pPr>
              <w:pStyle w:val="DMETW36669BIPReconciliation"/>
              <w:rPr>
                <w:rFonts w:cs="Calibri"/>
                <w:noProof/>
                <w:color w:val="000000"/>
                <w:sz w:val="22"/>
              </w:rPr>
            </w:pPr>
          </w:p>
        </w:tc>
        <w:tc>
          <w:tcPr>
            <w:tcW w:w="1436" w:type="dxa"/>
            <w:tcBorders>
              <w:top w:val="nil"/>
              <w:left w:val="nil"/>
              <w:bottom w:val="nil"/>
              <w:right w:val="nil"/>
              <w:tl2br w:val="nil"/>
              <w:tr2bl w:val="nil"/>
            </w:tcBorders>
            <w:shd w:val="solid" w:color="FFFFFF" w:fill="FFFFFF"/>
            <w:tcMar>
              <w:left w:w="60" w:type="dxa"/>
              <w:right w:w="60" w:type="dxa"/>
            </w:tcMar>
            <w:vAlign w:val="center"/>
          </w:tcPr>
          <w:p>
            <w:pPr>
              <w:pStyle w:val="DMETW36669BIPReconciliation"/>
              <w:rPr>
                <w:rFonts w:cs="Calibri"/>
                <w:noProof/>
                <w:color w:val="000000"/>
                <w:sz w:val="22"/>
              </w:rPr>
            </w:pPr>
          </w:p>
        </w:tc>
        <w:tc>
          <w:tcPr>
            <w:tcW w:w="1436" w:type="dxa"/>
            <w:tcBorders>
              <w:top w:val="nil"/>
              <w:left w:val="nil"/>
              <w:bottom w:val="nil"/>
              <w:right w:val="nil"/>
              <w:tl2br w:val="nil"/>
              <w:tr2bl w:val="nil"/>
            </w:tcBorders>
            <w:shd w:val="solid" w:color="FFFFFF" w:fill="FFFFFF"/>
            <w:tcMar>
              <w:left w:w="60" w:type="dxa"/>
              <w:right w:w="60" w:type="dxa"/>
            </w:tcMar>
            <w:vAlign w:val="center"/>
          </w:tcPr>
          <w:p>
            <w:pPr>
              <w:pStyle w:val="DMETW36669BIPReconciliation"/>
              <w:rPr>
                <w:rFonts w:cs="Calibri"/>
                <w:noProof/>
                <w:color w:val="000000"/>
                <w:sz w:val="22"/>
                <w:lang w:bidi="en-GB"/>
              </w:rPr>
            </w:pPr>
          </w:p>
        </w:tc>
      </w:tr>
      <w:tr>
        <w:trPr>
          <w:trHeight w:hRule="exact" w:val="255"/>
        </w:trPr>
        <w:tc>
          <w:tcPr>
            <w:tcW w:w="6887" w:type="dxa"/>
            <w:tcBorders>
              <w:top w:val="nil"/>
              <w:left w:val="nil"/>
              <w:bottom w:val="nil"/>
              <w:right w:val="nil"/>
              <w:tl2br w:val="nil"/>
              <w:tr2bl w:val="nil"/>
            </w:tcBorders>
            <w:tcMar>
              <w:left w:w="60" w:type="dxa"/>
              <w:right w:w="60" w:type="dxa"/>
            </w:tcMar>
            <w:vAlign w:val="center"/>
          </w:tcPr>
          <w:p>
            <w:pPr>
              <w:pStyle w:val="DMETW36669BIPReconciliation"/>
              <w:rPr>
                <w:rFonts w:ascii="Verdana" w:eastAsia="Verdana" w:hAnsi="Verdana" w:cs="Verdana"/>
                <w:b/>
                <w:noProof/>
                <w:color w:val="000000"/>
                <w:sz w:val="18"/>
              </w:rPr>
            </w:pPr>
            <w:r>
              <w:rPr>
                <w:rFonts w:ascii="Verdana" w:hAnsi="Verdana"/>
                <w:b/>
                <w:noProof/>
                <w:color w:val="000000"/>
                <w:sz w:val="18"/>
              </w:rPr>
              <w:t>Recettes</w:t>
            </w:r>
          </w:p>
        </w:tc>
        <w:tc>
          <w:tcPr>
            <w:tcW w:w="1436" w:type="dxa"/>
            <w:tcBorders>
              <w:top w:val="nil"/>
              <w:left w:val="nil"/>
              <w:bottom w:val="nil"/>
              <w:right w:val="nil"/>
              <w:tl2br w:val="nil"/>
              <w:tr2bl w:val="nil"/>
            </w:tcBorders>
            <w:shd w:val="solid" w:color="FFFFFF" w:fill="FFFFFF"/>
            <w:tcMar>
              <w:left w:w="60" w:type="dxa"/>
              <w:right w:w="60" w:type="dxa"/>
            </w:tcMar>
            <w:vAlign w:val="center"/>
          </w:tcPr>
          <w:p>
            <w:pPr>
              <w:pStyle w:val="DMETW36669BIPReconciliation"/>
              <w:rPr>
                <w:rFonts w:ascii="Verdana" w:eastAsia="Verdana" w:hAnsi="Verdana" w:cs="Verdana"/>
                <w:b/>
                <w:noProof/>
                <w:color w:val="000000"/>
                <w:sz w:val="18"/>
              </w:rPr>
            </w:pPr>
          </w:p>
        </w:tc>
        <w:tc>
          <w:tcPr>
            <w:tcW w:w="1436" w:type="dxa"/>
            <w:tcBorders>
              <w:top w:val="nil"/>
              <w:left w:val="nil"/>
              <w:bottom w:val="nil"/>
              <w:right w:val="nil"/>
              <w:tl2br w:val="nil"/>
              <w:tr2bl w:val="nil"/>
            </w:tcBorders>
            <w:shd w:val="solid" w:color="FFFFFF" w:fill="FFFFFF"/>
            <w:tcMar>
              <w:left w:w="60" w:type="dxa"/>
              <w:right w:w="60" w:type="dxa"/>
            </w:tcMar>
            <w:vAlign w:val="center"/>
          </w:tcPr>
          <w:p>
            <w:pPr>
              <w:pStyle w:val="DMETW36669BIPReconciliation"/>
              <w:rPr>
                <w:rFonts w:ascii="Verdana" w:eastAsia="Verdana" w:hAnsi="Verdana" w:cs="Verdana"/>
                <w:b/>
                <w:noProof/>
                <w:color w:val="000000"/>
                <w:sz w:val="18"/>
                <w:lang w:bidi="en-GB"/>
              </w:rPr>
            </w:pPr>
          </w:p>
        </w:tc>
      </w:tr>
      <w:tr>
        <w:trPr>
          <w:trHeight w:hRule="exact" w:val="255"/>
        </w:trPr>
        <w:tc>
          <w:tcPr>
            <w:tcW w:w="6887" w:type="dxa"/>
            <w:tcBorders>
              <w:top w:val="nil"/>
              <w:left w:val="nil"/>
              <w:bottom w:val="nil"/>
              <w:right w:val="nil"/>
              <w:tl2br w:val="nil"/>
              <w:tr2bl w:val="nil"/>
            </w:tcBorders>
            <w:shd w:val="solid" w:color="FFFFFF" w:fill="FFFFFF"/>
            <w:tcMar>
              <w:left w:w="60" w:type="dxa"/>
              <w:right w:w="60" w:type="dxa"/>
            </w:tcMar>
            <w:vAlign w:val="center"/>
          </w:tcPr>
          <w:p>
            <w:pPr>
              <w:pStyle w:val="DMETW36669BIPReconciliation"/>
              <w:rPr>
                <w:rFonts w:ascii="Verdana" w:eastAsia="Verdana" w:hAnsi="Verdana" w:cs="Verdana"/>
                <w:i/>
                <w:noProof/>
                <w:color w:val="000000"/>
                <w:sz w:val="18"/>
              </w:rPr>
            </w:pPr>
            <w:r>
              <w:rPr>
                <w:rFonts w:ascii="Verdana" w:hAnsi="Verdana"/>
                <w:i/>
                <w:noProof/>
                <w:color w:val="000000"/>
                <w:sz w:val="18"/>
              </w:rPr>
              <w:t>Droits constatés en cours d’exercice mais non encore recouvrés</w:t>
            </w:r>
          </w:p>
        </w:tc>
        <w:tc>
          <w:tcPr>
            <w:tcW w:w="1436" w:type="dxa"/>
            <w:tcBorders>
              <w:top w:val="nil"/>
              <w:left w:val="nil"/>
              <w:bottom w:val="nil"/>
              <w:right w:val="nil"/>
              <w:tl2br w:val="nil"/>
              <w:tr2bl w:val="nil"/>
            </w:tcBorders>
            <w:shd w:val="solid" w:color="FFFFFF" w:fill="FFFFFF"/>
            <w:tcMar>
              <w:left w:w="60" w:type="dxa"/>
              <w:right w:w="60" w:type="dxa"/>
            </w:tcMar>
            <w:vAlign w:val="center"/>
          </w:tcPr>
          <w:p>
            <w:pPr>
              <w:pStyle w:val="DMETW36669BIPReconciliation"/>
              <w:jc w:val="right"/>
              <w:rPr>
                <w:rFonts w:ascii="Verdana" w:eastAsia="Verdana" w:hAnsi="Verdana" w:cs="Verdana"/>
                <w:i/>
                <w:noProof/>
                <w:color w:val="000000"/>
                <w:sz w:val="18"/>
              </w:rPr>
            </w:pPr>
            <w:r>
              <w:rPr>
                <w:rFonts w:ascii="Verdana" w:hAnsi="Verdana"/>
                <w:i/>
                <w:noProof/>
                <w:color w:val="000000"/>
                <w:sz w:val="18"/>
              </w:rPr>
              <w:t>(5 188)</w:t>
            </w:r>
          </w:p>
        </w:tc>
        <w:tc>
          <w:tcPr>
            <w:tcW w:w="1436" w:type="dxa"/>
            <w:tcBorders>
              <w:top w:val="nil"/>
              <w:left w:val="nil"/>
              <w:bottom w:val="nil"/>
              <w:right w:val="nil"/>
              <w:tl2br w:val="nil"/>
              <w:tr2bl w:val="nil"/>
            </w:tcBorders>
            <w:shd w:val="solid" w:color="FFFFFF" w:fill="FFFFFF"/>
            <w:tcMar>
              <w:left w:w="60" w:type="dxa"/>
              <w:right w:w="60" w:type="dxa"/>
            </w:tcMar>
            <w:vAlign w:val="center"/>
          </w:tcPr>
          <w:p>
            <w:pPr>
              <w:pStyle w:val="DMETW36669BIPReconciliation"/>
              <w:jc w:val="right"/>
              <w:rPr>
                <w:rFonts w:ascii="Verdana" w:eastAsia="Verdana" w:hAnsi="Verdana" w:cs="Verdana"/>
                <w:i/>
                <w:noProof/>
                <w:color w:val="000000"/>
                <w:sz w:val="18"/>
              </w:rPr>
            </w:pPr>
            <w:r>
              <w:rPr>
                <w:rFonts w:ascii="Verdana" w:hAnsi="Verdana"/>
                <w:i/>
                <w:noProof/>
                <w:color w:val="000000"/>
                <w:sz w:val="18"/>
              </w:rPr>
              <w:t>(6 773)</w:t>
            </w:r>
          </w:p>
        </w:tc>
      </w:tr>
      <w:tr>
        <w:trPr>
          <w:trHeight w:hRule="exact" w:val="546"/>
        </w:trPr>
        <w:tc>
          <w:tcPr>
            <w:tcW w:w="6887" w:type="dxa"/>
            <w:tcBorders>
              <w:top w:val="nil"/>
              <w:left w:val="nil"/>
              <w:bottom w:val="nil"/>
              <w:right w:val="nil"/>
              <w:tl2br w:val="nil"/>
              <w:tr2bl w:val="nil"/>
            </w:tcBorders>
            <w:shd w:val="solid" w:color="FFFFFF" w:fill="FFFFFF"/>
            <w:tcMar>
              <w:left w:w="60" w:type="dxa"/>
              <w:right w:w="60" w:type="dxa"/>
            </w:tcMar>
            <w:vAlign w:val="center"/>
          </w:tcPr>
          <w:p>
            <w:pPr>
              <w:pStyle w:val="DMETW36669BIPReconciliation"/>
              <w:rPr>
                <w:rFonts w:ascii="Verdana" w:eastAsia="Verdana" w:hAnsi="Verdana" w:cs="Verdana"/>
                <w:i/>
                <w:noProof/>
                <w:color w:val="000000"/>
                <w:sz w:val="18"/>
              </w:rPr>
            </w:pPr>
            <w:r>
              <w:rPr>
                <w:rFonts w:ascii="Verdana" w:hAnsi="Verdana"/>
                <w:i/>
                <w:noProof/>
                <w:color w:val="000000"/>
                <w:sz w:val="18"/>
              </w:rPr>
              <w:t>Droits constatés au cours des exercices antérieurs et recouvrés au cours de l’exercice</w:t>
            </w:r>
          </w:p>
        </w:tc>
        <w:tc>
          <w:tcPr>
            <w:tcW w:w="1436" w:type="dxa"/>
            <w:tcBorders>
              <w:top w:val="nil"/>
              <w:left w:val="nil"/>
              <w:bottom w:val="nil"/>
              <w:right w:val="nil"/>
              <w:tl2br w:val="nil"/>
              <w:tr2bl w:val="nil"/>
            </w:tcBorders>
            <w:shd w:val="solid" w:color="FFFFFF" w:fill="FFFFFF"/>
            <w:tcMar>
              <w:left w:w="60" w:type="dxa"/>
              <w:right w:w="60" w:type="dxa"/>
            </w:tcMar>
            <w:vAlign w:val="center"/>
          </w:tcPr>
          <w:p>
            <w:pPr>
              <w:pStyle w:val="DMETW36669BIPReconciliation"/>
              <w:jc w:val="right"/>
              <w:rPr>
                <w:rFonts w:ascii="Verdana" w:eastAsia="Verdana" w:hAnsi="Verdana" w:cs="Verdana"/>
                <w:i/>
                <w:noProof/>
                <w:color w:val="000000"/>
                <w:sz w:val="18"/>
              </w:rPr>
            </w:pPr>
            <w:r>
              <w:rPr>
                <w:rFonts w:ascii="Verdana" w:hAnsi="Verdana"/>
                <w:i/>
                <w:noProof/>
                <w:color w:val="000000"/>
                <w:sz w:val="18"/>
              </w:rPr>
              <w:t>3 339</w:t>
            </w:r>
          </w:p>
        </w:tc>
        <w:tc>
          <w:tcPr>
            <w:tcW w:w="1436" w:type="dxa"/>
            <w:tcBorders>
              <w:top w:val="nil"/>
              <w:left w:val="nil"/>
              <w:bottom w:val="nil"/>
              <w:right w:val="nil"/>
              <w:tl2br w:val="nil"/>
              <w:tr2bl w:val="nil"/>
            </w:tcBorders>
            <w:shd w:val="solid" w:color="FFFFFF" w:fill="FFFFFF"/>
            <w:tcMar>
              <w:left w:w="60" w:type="dxa"/>
              <w:right w:w="60" w:type="dxa"/>
            </w:tcMar>
            <w:vAlign w:val="center"/>
          </w:tcPr>
          <w:p>
            <w:pPr>
              <w:pStyle w:val="DMETW36669BIPReconciliation"/>
              <w:jc w:val="right"/>
              <w:rPr>
                <w:rFonts w:ascii="Verdana" w:eastAsia="Verdana" w:hAnsi="Verdana" w:cs="Verdana"/>
                <w:i/>
                <w:noProof/>
                <w:color w:val="000000"/>
                <w:sz w:val="18"/>
              </w:rPr>
            </w:pPr>
            <w:r>
              <w:rPr>
                <w:rFonts w:ascii="Verdana" w:hAnsi="Verdana"/>
                <w:i/>
                <w:noProof/>
                <w:color w:val="000000"/>
                <w:sz w:val="18"/>
              </w:rPr>
              <w:t>9 925</w:t>
            </w:r>
          </w:p>
        </w:tc>
      </w:tr>
      <w:tr>
        <w:trPr>
          <w:trHeight w:hRule="exact" w:val="606"/>
        </w:trPr>
        <w:tc>
          <w:tcPr>
            <w:tcW w:w="6887" w:type="dxa"/>
            <w:tcBorders>
              <w:top w:val="nil"/>
              <w:left w:val="nil"/>
              <w:bottom w:val="nil"/>
              <w:right w:val="nil"/>
              <w:tl2br w:val="nil"/>
              <w:tr2bl w:val="nil"/>
            </w:tcBorders>
            <w:shd w:val="solid" w:color="FFFFFF" w:fill="FFFFFF"/>
            <w:tcMar>
              <w:left w:w="60" w:type="dxa"/>
              <w:right w:w="60" w:type="dxa"/>
            </w:tcMar>
            <w:vAlign w:val="center"/>
          </w:tcPr>
          <w:p>
            <w:pPr>
              <w:pStyle w:val="DMETW36669BIPReconciliation"/>
              <w:rPr>
                <w:rFonts w:ascii="Verdana" w:eastAsia="Verdana" w:hAnsi="Verdana" w:cs="Verdana"/>
                <w:i/>
                <w:noProof/>
                <w:color w:val="000000"/>
                <w:sz w:val="18"/>
              </w:rPr>
            </w:pPr>
            <w:r>
              <w:rPr>
                <w:rFonts w:ascii="Verdana" w:hAnsi="Verdana"/>
                <w:i/>
                <w:noProof/>
                <w:color w:val="000000"/>
                <w:sz w:val="18"/>
              </w:rPr>
              <w:t>Droits perçus ne devant pas être traités comme des recettes dans le résultat économique</w:t>
            </w:r>
          </w:p>
        </w:tc>
        <w:tc>
          <w:tcPr>
            <w:tcW w:w="1436" w:type="dxa"/>
            <w:tcBorders>
              <w:top w:val="nil"/>
              <w:left w:val="nil"/>
              <w:bottom w:val="nil"/>
              <w:right w:val="nil"/>
              <w:tl2br w:val="nil"/>
              <w:tr2bl w:val="nil"/>
            </w:tcBorders>
            <w:shd w:val="solid" w:color="FFFFFF" w:fill="FFFFFF"/>
            <w:tcMar>
              <w:left w:w="60" w:type="dxa"/>
              <w:right w:w="60" w:type="dxa"/>
            </w:tcMar>
            <w:vAlign w:val="center"/>
          </w:tcPr>
          <w:p>
            <w:pPr>
              <w:pStyle w:val="DMETW36669BIPReconciliation"/>
              <w:jc w:val="right"/>
              <w:rPr>
                <w:rFonts w:ascii="Verdana" w:eastAsia="Verdana" w:hAnsi="Verdana" w:cs="Verdana"/>
                <w:i/>
                <w:noProof/>
                <w:color w:val="000000"/>
                <w:sz w:val="18"/>
              </w:rPr>
            </w:pPr>
            <w:r>
              <w:rPr>
                <w:rFonts w:ascii="Verdana" w:hAnsi="Verdana"/>
                <w:i/>
                <w:noProof/>
                <w:color w:val="000000"/>
                <w:sz w:val="18"/>
              </w:rPr>
              <w:t>42 358</w:t>
            </w:r>
          </w:p>
        </w:tc>
        <w:tc>
          <w:tcPr>
            <w:tcW w:w="1436" w:type="dxa"/>
            <w:tcBorders>
              <w:top w:val="nil"/>
              <w:left w:val="nil"/>
              <w:bottom w:val="nil"/>
              <w:right w:val="nil"/>
              <w:tl2br w:val="nil"/>
              <w:tr2bl w:val="nil"/>
            </w:tcBorders>
            <w:shd w:val="solid" w:color="FFFFFF" w:fill="FFFFFF"/>
            <w:tcMar>
              <w:left w:w="60" w:type="dxa"/>
              <w:right w:w="60" w:type="dxa"/>
            </w:tcMar>
            <w:vAlign w:val="center"/>
          </w:tcPr>
          <w:p>
            <w:pPr>
              <w:pStyle w:val="DMETW36669BIPReconciliation"/>
              <w:jc w:val="right"/>
              <w:rPr>
                <w:rFonts w:ascii="Verdana" w:eastAsia="Verdana" w:hAnsi="Verdana" w:cs="Verdana"/>
                <w:i/>
                <w:noProof/>
                <w:color w:val="000000"/>
                <w:sz w:val="18"/>
              </w:rPr>
            </w:pPr>
            <w:r>
              <w:rPr>
                <w:rFonts w:ascii="Verdana" w:hAnsi="Verdana"/>
                <w:i/>
                <w:noProof/>
                <w:color w:val="000000"/>
                <w:sz w:val="18"/>
              </w:rPr>
              <w:t>83 953</w:t>
            </w:r>
          </w:p>
        </w:tc>
      </w:tr>
      <w:tr>
        <w:trPr>
          <w:trHeight w:hRule="exact" w:val="255"/>
        </w:trPr>
        <w:tc>
          <w:tcPr>
            <w:tcW w:w="6887" w:type="dxa"/>
            <w:tcBorders>
              <w:top w:val="nil"/>
              <w:left w:val="nil"/>
              <w:bottom w:val="single" w:sz="4" w:space="0" w:color="016794"/>
              <w:right w:val="nil"/>
              <w:tl2br w:val="nil"/>
              <w:tr2bl w:val="nil"/>
            </w:tcBorders>
            <w:shd w:val="solid" w:color="FFFFFF" w:fill="FFFFFF"/>
            <w:tcMar>
              <w:left w:w="60" w:type="dxa"/>
              <w:right w:w="60" w:type="dxa"/>
            </w:tcMar>
            <w:vAlign w:val="center"/>
          </w:tcPr>
          <w:p>
            <w:pPr>
              <w:pStyle w:val="DMETW36669BIPReconciliation"/>
              <w:rPr>
                <w:rFonts w:ascii="Verdana" w:eastAsia="Verdana" w:hAnsi="Verdana" w:cs="Verdana"/>
                <w:i/>
                <w:noProof/>
                <w:color w:val="000000"/>
                <w:sz w:val="18"/>
              </w:rPr>
            </w:pPr>
            <w:r>
              <w:rPr>
                <w:rFonts w:ascii="Verdana" w:hAnsi="Verdana"/>
                <w:i/>
                <w:noProof/>
                <w:color w:val="000000"/>
                <w:sz w:val="18"/>
              </w:rPr>
              <w:t>Produits à recevoir (nets)</w:t>
            </w:r>
          </w:p>
        </w:tc>
        <w:tc>
          <w:tcPr>
            <w:tcW w:w="1436" w:type="dxa"/>
            <w:tcBorders>
              <w:top w:val="nil"/>
              <w:left w:val="nil"/>
              <w:bottom w:val="single" w:sz="4" w:space="0" w:color="016794"/>
              <w:right w:val="nil"/>
              <w:tl2br w:val="nil"/>
              <w:tr2bl w:val="nil"/>
            </w:tcBorders>
            <w:shd w:val="solid" w:color="FFFFFF" w:fill="FFFFFF"/>
            <w:tcMar>
              <w:left w:w="60" w:type="dxa"/>
              <w:right w:w="60" w:type="dxa"/>
            </w:tcMar>
            <w:vAlign w:val="center"/>
          </w:tcPr>
          <w:p>
            <w:pPr>
              <w:pStyle w:val="DMETW36669BIPReconciliation"/>
              <w:jc w:val="right"/>
              <w:rPr>
                <w:rFonts w:ascii="Verdana" w:eastAsia="Verdana" w:hAnsi="Verdana" w:cs="Verdana"/>
                <w:i/>
                <w:noProof/>
                <w:color w:val="000000"/>
                <w:sz w:val="18"/>
              </w:rPr>
            </w:pPr>
            <w:r>
              <w:rPr>
                <w:rFonts w:ascii="Verdana" w:hAnsi="Verdana"/>
                <w:i/>
                <w:noProof/>
                <w:color w:val="000000"/>
                <w:sz w:val="18"/>
              </w:rPr>
              <w:t>(1 284)</w:t>
            </w:r>
          </w:p>
        </w:tc>
        <w:tc>
          <w:tcPr>
            <w:tcW w:w="1436" w:type="dxa"/>
            <w:tcBorders>
              <w:top w:val="nil"/>
              <w:left w:val="nil"/>
              <w:bottom w:val="single" w:sz="4" w:space="0" w:color="016794"/>
              <w:right w:val="nil"/>
              <w:tl2br w:val="nil"/>
              <w:tr2bl w:val="nil"/>
            </w:tcBorders>
            <w:shd w:val="solid" w:color="FFFFFF" w:fill="FFFFFF"/>
            <w:tcMar>
              <w:left w:w="60" w:type="dxa"/>
              <w:right w:w="60" w:type="dxa"/>
            </w:tcMar>
            <w:vAlign w:val="center"/>
          </w:tcPr>
          <w:p>
            <w:pPr>
              <w:pStyle w:val="DMETW36669BIPReconciliation"/>
              <w:jc w:val="right"/>
              <w:rPr>
                <w:rFonts w:ascii="Verdana" w:eastAsia="Verdana" w:hAnsi="Verdana" w:cs="Verdana"/>
                <w:i/>
                <w:noProof/>
                <w:color w:val="000000"/>
                <w:sz w:val="18"/>
              </w:rPr>
            </w:pPr>
            <w:r>
              <w:rPr>
                <w:rFonts w:ascii="Verdana" w:hAnsi="Verdana"/>
                <w:i/>
                <w:noProof/>
                <w:color w:val="000000"/>
                <w:sz w:val="18"/>
              </w:rPr>
              <w:t xml:space="preserve"> (723)</w:t>
            </w:r>
          </w:p>
        </w:tc>
      </w:tr>
      <w:tr>
        <w:trPr>
          <w:trHeight w:hRule="exact" w:val="255"/>
        </w:trPr>
        <w:tc>
          <w:tcPr>
            <w:tcW w:w="6887"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36669BIPReconciliation"/>
              <w:rPr>
                <w:rFonts w:ascii="Verdana" w:eastAsia="Verdana" w:hAnsi="Verdana" w:cs="Verdana"/>
                <w:b/>
                <w:noProof/>
                <w:color w:val="000000"/>
                <w:sz w:val="18"/>
              </w:rPr>
            </w:pPr>
          </w:p>
        </w:tc>
        <w:tc>
          <w:tcPr>
            <w:tcW w:w="1436"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36669BIPReconciliation"/>
              <w:jc w:val="right"/>
              <w:rPr>
                <w:rFonts w:ascii="Verdana" w:eastAsia="Verdana" w:hAnsi="Verdana" w:cs="Verdana"/>
                <w:b/>
                <w:noProof/>
                <w:color w:val="000000"/>
                <w:sz w:val="18"/>
              </w:rPr>
            </w:pPr>
            <w:r>
              <w:rPr>
                <w:rFonts w:ascii="Verdana" w:hAnsi="Verdana"/>
                <w:b/>
                <w:noProof/>
                <w:color w:val="000000"/>
                <w:sz w:val="18"/>
              </w:rPr>
              <w:t>39 225</w:t>
            </w:r>
          </w:p>
        </w:tc>
        <w:tc>
          <w:tcPr>
            <w:tcW w:w="1436"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36669BIPReconciliation"/>
              <w:jc w:val="right"/>
              <w:rPr>
                <w:rFonts w:ascii="Verdana" w:eastAsia="Verdana" w:hAnsi="Verdana" w:cs="Verdana"/>
                <w:b/>
                <w:noProof/>
                <w:color w:val="000000"/>
                <w:sz w:val="18"/>
              </w:rPr>
            </w:pPr>
            <w:r>
              <w:rPr>
                <w:rFonts w:ascii="Verdana" w:hAnsi="Verdana"/>
                <w:b/>
                <w:noProof/>
                <w:color w:val="000000"/>
                <w:sz w:val="18"/>
              </w:rPr>
              <w:t>86 382</w:t>
            </w:r>
          </w:p>
        </w:tc>
      </w:tr>
      <w:tr>
        <w:trPr>
          <w:trHeight w:hRule="exact" w:val="255"/>
        </w:trPr>
        <w:tc>
          <w:tcPr>
            <w:tcW w:w="6887" w:type="dxa"/>
            <w:tcBorders>
              <w:top w:val="single" w:sz="4" w:space="0" w:color="016794"/>
              <w:left w:val="nil"/>
              <w:bottom w:val="nil"/>
              <w:right w:val="nil"/>
              <w:tl2br w:val="nil"/>
              <w:tr2bl w:val="nil"/>
            </w:tcBorders>
            <w:tcMar>
              <w:left w:w="60" w:type="dxa"/>
              <w:right w:w="60" w:type="dxa"/>
            </w:tcMar>
            <w:vAlign w:val="center"/>
          </w:tcPr>
          <w:p>
            <w:pPr>
              <w:pStyle w:val="DMETW36669BIPReconciliation"/>
              <w:rPr>
                <w:rFonts w:ascii="Verdana" w:eastAsia="Verdana" w:hAnsi="Verdana" w:cs="Verdana"/>
                <w:b/>
                <w:noProof/>
                <w:color w:val="000000"/>
                <w:sz w:val="18"/>
              </w:rPr>
            </w:pPr>
            <w:r>
              <w:rPr>
                <w:rFonts w:ascii="Verdana" w:hAnsi="Verdana"/>
                <w:b/>
                <w:noProof/>
                <w:color w:val="000000"/>
                <w:sz w:val="18"/>
              </w:rPr>
              <w:t>Dépenses</w:t>
            </w:r>
          </w:p>
        </w:tc>
        <w:tc>
          <w:tcPr>
            <w:tcW w:w="1436" w:type="dxa"/>
            <w:tcBorders>
              <w:top w:val="single" w:sz="4" w:space="0" w:color="016794"/>
              <w:left w:val="nil"/>
              <w:bottom w:val="nil"/>
              <w:right w:val="nil"/>
              <w:tl2br w:val="nil"/>
              <w:tr2bl w:val="nil"/>
            </w:tcBorders>
            <w:shd w:val="solid" w:color="FFFFFF" w:fill="FFFFFF"/>
            <w:tcMar>
              <w:left w:w="60" w:type="dxa"/>
              <w:right w:w="60" w:type="dxa"/>
            </w:tcMar>
            <w:vAlign w:val="center"/>
          </w:tcPr>
          <w:p>
            <w:pPr>
              <w:pStyle w:val="DMETW36669BIPReconciliation"/>
              <w:rPr>
                <w:rFonts w:ascii="Verdana" w:eastAsia="Verdana" w:hAnsi="Verdana" w:cs="Verdana"/>
                <w:b/>
                <w:noProof/>
                <w:color w:val="000000"/>
                <w:sz w:val="18"/>
              </w:rPr>
            </w:pPr>
          </w:p>
        </w:tc>
        <w:tc>
          <w:tcPr>
            <w:tcW w:w="1436" w:type="dxa"/>
            <w:tcBorders>
              <w:top w:val="single" w:sz="4" w:space="0" w:color="016794"/>
              <w:left w:val="nil"/>
              <w:bottom w:val="nil"/>
              <w:right w:val="nil"/>
              <w:tl2br w:val="nil"/>
              <w:tr2bl w:val="nil"/>
            </w:tcBorders>
            <w:shd w:val="solid" w:color="FFFFFF" w:fill="FFFFFF"/>
            <w:tcMar>
              <w:left w:w="60" w:type="dxa"/>
              <w:right w:w="60" w:type="dxa"/>
            </w:tcMar>
            <w:vAlign w:val="center"/>
          </w:tcPr>
          <w:p>
            <w:pPr>
              <w:pStyle w:val="DMETW36669BIPReconciliation"/>
              <w:rPr>
                <w:rFonts w:ascii="Verdana" w:eastAsia="Verdana" w:hAnsi="Verdana" w:cs="Verdana"/>
                <w:b/>
                <w:noProof/>
                <w:color w:val="000000"/>
                <w:sz w:val="18"/>
                <w:lang w:bidi="en-GB"/>
              </w:rPr>
            </w:pPr>
          </w:p>
        </w:tc>
      </w:tr>
      <w:tr>
        <w:trPr>
          <w:trHeight w:hRule="exact" w:val="255"/>
        </w:trPr>
        <w:tc>
          <w:tcPr>
            <w:tcW w:w="6887" w:type="dxa"/>
            <w:tcBorders>
              <w:top w:val="nil"/>
              <w:left w:val="nil"/>
              <w:bottom w:val="nil"/>
              <w:right w:val="nil"/>
              <w:tl2br w:val="nil"/>
              <w:tr2bl w:val="nil"/>
            </w:tcBorders>
            <w:shd w:val="solid" w:color="FFFFFF" w:fill="FFFFFF"/>
            <w:tcMar>
              <w:left w:w="60" w:type="dxa"/>
              <w:right w:w="60" w:type="dxa"/>
            </w:tcMar>
            <w:vAlign w:val="center"/>
          </w:tcPr>
          <w:p>
            <w:pPr>
              <w:pStyle w:val="DMETW36669BIPReconciliation"/>
              <w:rPr>
                <w:rFonts w:ascii="Verdana" w:eastAsia="Verdana" w:hAnsi="Verdana" w:cs="Verdana"/>
                <w:i/>
                <w:noProof/>
                <w:color w:val="000000"/>
                <w:sz w:val="18"/>
              </w:rPr>
            </w:pPr>
            <w:r>
              <w:rPr>
                <w:rFonts w:ascii="Verdana" w:hAnsi="Verdana"/>
                <w:i/>
                <w:noProof/>
                <w:color w:val="000000"/>
                <w:sz w:val="18"/>
              </w:rPr>
              <w:t>Charges à payer (nettes)</w:t>
            </w:r>
          </w:p>
        </w:tc>
        <w:tc>
          <w:tcPr>
            <w:tcW w:w="1436" w:type="dxa"/>
            <w:tcBorders>
              <w:top w:val="nil"/>
              <w:left w:val="nil"/>
              <w:bottom w:val="nil"/>
              <w:right w:val="nil"/>
              <w:tl2br w:val="nil"/>
              <w:tr2bl w:val="nil"/>
            </w:tcBorders>
            <w:shd w:val="solid" w:color="FFFFFF" w:fill="FFFFFF"/>
            <w:tcMar>
              <w:left w:w="60" w:type="dxa"/>
              <w:right w:w="60" w:type="dxa"/>
            </w:tcMar>
            <w:vAlign w:val="center"/>
          </w:tcPr>
          <w:p>
            <w:pPr>
              <w:pStyle w:val="DMETW36669BIPReconciliation"/>
              <w:jc w:val="right"/>
              <w:rPr>
                <w:rFonts w:ascii="Verdana" w:eastAsia="Verdana" w:hAnsi="Verdana" w:cs="Verdana"/>
                <w:i/>
                <w:noProof/>
                <w:color w:val="000000"/>
                <w:sz w:val="18"/>
              </w:rPr>
            </w:pPr>
            <w:r>
              <w:rPr>
                <w:rFonts w:ascii="Verdana" w:hAnsi="Verdana"/>
                <w:i/>
                <w:noProof/>
                <w:color w:val="000000"/>
                <w:sz w:val="18"/>
              </w:rPr>
              <w:t>45 735</w:t>
            </w:r>
          </w:p>
        </w:tc>
        <w:tc>
          <w:tcPr>
            <w:tcW w:w="1436" w:type="dxa"/>
            <w:tcBorders>
              <w:top w:val="nil"/>
              <w:left w:val="nil"/>
              <w:bottom w:val="nil"/>
              <w:right w:val="nil"/>
              <w:tl2br w:val="nil"/>
              <w:tr2bl w:val="nil"/>
            </w:tcBorders>
            <w:shd w:val="solid" w:color="FFFFFF" w:fill="FFFFFF"/>
            <w:tcMar>
              <w:left w:w="60" w:type="dxa"/>
              <w:right w:w="60" w:type="dxa"/>
            </w:tcMar>
            <w:vAlign w:val="center"/>
          </w:tcPr>
          <w:p>
            <w:pPr>
              <w:pStyle w:val="DMETW36669BIPReconciliation"/>
              <w:jc w:val="right"/>
              <w:rPr>
                <w:rFonts w:ascii="Verdana" w:eastAsia="Verdana" w:hAnsi="Verdana" w:cs="Verdana"/>
                <w:i/>
                <w:noProof/>
                <w:color w:val="000000"/>
                <w:sz w:val="18"/>
              </w:rPr>
            </w:pPr>
            <w:r>
              <w:rPr>
                <w:rFonts w:ascii="Verdana" w:hAnsi="Verdana"/>
                <w:i/>
                <w:noProof/>
                <w:color w:val="000000"/>
                <w:sz w:val="18"/>
              </w:rPr>
              <w:t>10 599</w:t>
            </w:r>
          </w:p>
        </w:tc>
      </w:tr>
      <w:tr>
        <w:trPr>
          <w:trHeight w:hRule="exact" w:val="255"/>
        </w:trPr>
        <w:tc>
          <w:tcPr>
            <w:tcW w:w="6887" w:type="dxa"/>
            <w:tcBorders>
              <w:top w:val="nil"/>
              <w:left w:val="nil"/>
              <w:bottom w:val="nil"/>
              <w:right w:val="nil"/>
              <w:tl2br w:val="nil"/>
              <w:tr2bl w:val="nil"/>
            </w:tcBorders>
            <w:shd w:val="solid" w:color="FFFFFF" w:fill="FFFFFF"/>
            <w:tcMar>
              <w:left w:w="60" w:type="dxa"/>
              <w:right w:w="60" w:type="dxa"/>
            </w:tcMar>
            <w:vAlign w:val="center"/>
          </w:tcPr>
          <w:p>
            <w:pPr>
              <w:pStyle w:val="DMETW36669BIPReconciliation"/>
              <w:rPr>
                <w:rFonts w:ascii="Verdana" w:eastAsia="Verdana" w:hAnsi="Verdana" w:cs="Verdana"/>
                <w:i/>
                <w:noProof/>
                <w:color w:val="000000"/>
                <w:sz w:val="18"/>
              </w:rPr>
            </w:pPr>
            <w:r>
              <w:rPr>
                <w:rFonts w:ascii="Verdana" w:hAnsi="Verdana"/>
                <w:i/>
                <w:noProof/>
                <w:color w:val="000000"/>
                <w:sz w:val="18"/>
              </w:rPr>
              <w:t>Charges de l’exercice précédent payées au cours de l’exercice</w:t>
            </w:r>
          </w:p>
        </w:tc>
        <w:tc>
          <w:tcPr>
            <w:tcW w:w="1436" w:type="dxa"/>
            <w:tcBorders>
              <w:top w:val="nil"/>
              <w:left w:val="nil"/>
              <w:bottom w:val="nil"/>
              <w:right w:val="nil"/>
              <w:tl2br w:val="nil"/>
              <w:tr2bl w:val="nil"/>
            </w:tcBorders>
            <w:shd w:val="solid" w:color="FFFFFF" w:fill="FFFFFF"/>
            <w:tcMar>
              <w:left w:w="60" w:type="dxa"/>
              <w:right w:w="60" w:type="dxa"/>
            </w:tcMar>
            <w:vAlign w:val="center"/>
          </w:tcPr>
          <w:p>
            <w:pPr>
              <w:pStyle w:val="DMETW36669BIPReconciliation"/>
              <w:jc w:val="right"/>
              <w:rPr>
                <w:rFonts w:ascii="Verdana" w:eastAsia="Verdana" w:hAnsi="Verdana" w:cs="Verdana"/>
                <w:i/>
                <w:noProof/>
                <w:color w:val="000000"/>
                <w:sz w:val="18"/>
              </w:rPr>
            </w:pPr>
            <w:r>
              <w:rPr>
                <w:rFonts w:ascii="Verdana" w:hAnsi="Verdana"/>
                <w:i/>
                <w:noProof/>
                <w:color w:val="000000"/>
                <w:sz w:val="18"/>
              </w:rPr>
              <w:t>(10 067)</w:t>
            </w:r>
          </w:p>
        </w:tc>
        <w:tc>
          <w:tcPr>
            <w:tcW w:w="1436" w:type="dxa"/>
            <w:tcBorders>
              <w:top w:val="nil"/>
              <w:left w:val="nil"/>
              <w:bottom w:val="nil"/>
              <w:right w:val="nil"/>
              <w:tl2br w:val="nil"/>
              <w:tr2bl w:val="nil"/>
            </w:tcBorders>
            <w:shd w:val="solid" w:color="FFFFFF" w:fill="FFFFFF"/>
            <w:tcMar>
              <w:left w:w="60" w:type="dxa"/>
              <w:right w:w="60" w:type="dxa"/>
            </w:tcMar>
            <w:vAlign w:val="center"/>
          </w:tcPr>
          <w:p>
            <w:pPr>
              <w:pStyle w:val="DMETW36669BIPReconciliation"/>
              <w:jc w:val="right"/>
              <w:rPr>
                <w:rFonts w:ascii="Verdana" w:eastAsia="Verdana" w:hAnsi="Verdana" w:cs="Verdana"/>
                <w:i/>
                <w:noProof/>
                <w:color w:val="000000"/>
                <w:sz w:val="18"/>
              </w:rPr>
            </w:pPr>
            <w:r>
              <w:rPr>
                <w:rFonts w:ascii="Verdana" w:hAnsi="Verdana"/>
                <w:i/>
                <w:noProof/>
                <w:color w:val="000000"/>
                <w:sz w:val="18"/>
              </w:rPr>
              <w:t>(2 220)</w:t>
            </w:r>
          </w:p>
        </w:tc>
      </w:tr>
      <w:tr>
        <w:trPr>
          <w:trHeight w:hRule="exact" w:val="255"/>
        </w:trPr>
        <w:tc>
          <w:tcPr>
            <w:tcW w:w="6887" w:type="dxa"/>
            <w:tcBorders>
              <w:top w:val="nil"/>
              <w:left w:val="nil"/>
              <w:bottom w:val="nil"/>
              <w:right w:val="nil"/>
              <w:tl2br w:val="nil"/>
              <w:tr2bl w:val="nil"/>
            </w:tcBorders>
            <w:shd w:val="solid" w:color="FFFFFF" w:fill="FFFFFF"/>
            <w:tcMar>
              <w:left w:w="60" w:type="dxa"/>
              <w:right w:w="60" w:type="dxa"/>
            </w:tcMar>
            <w:vAlign w:val="center"/>
          </w:tcPr>
          <w:p>
            <w:pPr>
              <w:pStyle w:val="DMETW36669BIPReconciliation"/>
              <w:rPr>
                <w:rFonts w:ascii="Verdana" w:eastAsia="Verdana" w:hAnsi="Verdana" w:cs="Verdana"/>
                <w:i/>
                <w:noProof/>
                <w:color w:val="000000"/>
                <w:sz w:val="18"/>
              </w:rPr>
            </w:pPr>
            <w:r>
              <w:rPr>
                <w:rFonts w:ascii="Verdana" w:hAnsi="Verdana"/>
                <w:i/>
                <w:noProof/>
                <w:color w:val="000000"/>
                <w:sz w:val="18"/>
              </w:rPr>
              <w:t>Effet net des préfinancements</w:t>
            </w:r>
          </w:p>
        </w:tc>
        <w:tc>
          <w:tcPr>
            <w:tcW w:w="1436" w:type="dxa"/>
            <w:tcBorders>
              <w:top w:val="nil"/>
              <w:left w:val="nil"/>
              <w:bottom w:val="nil"/>
              <w:right w:val="nil"/>
              <w:tl2br w:val="nil"/>
              <w:tr2bl w:val="nil"/>
            </w:tcBorders>
            <w:shd w:val="solid" w:color="FFFFFF" w:fill="FFFFFF"/>
            <w:tcMar>
              <w:left w:w="60" w:type="dxa"/>
              <w:right w:w="60" w:type="dxa"/>
            </w:tcMar>
            <w:vAlign w:val="center"/>
          </w:tcPr>
          <w:p>
            <w:pPr>
              <w:pStyle w:val="DMETW36669BIPReconciliation"/>
              <w:jc w:val="right"/>
              <w:rPr>
                <w:rFonts w:ascii="Verdana" w:eastAsia="Verdana" w:hAnsi="Verdana" w:cs="Verdana"/>
                <w:i/>
                <w:noProof/>
                <w:color w:val="000000"/>
                <w:sz w:val="18"/>
              </w:rPr>
            </w:pPr>
            <w:r>
              <w:rPr>
                <w:rFonts w:ascii="Verdana" w:hAnsi="Verdana"/>
                <w:i/>
                <w:noProof/>
                <w:color w:val="000000"/>
                <w:sz w:val="18"/>
              </w:rPr>
              <w:t>(11 778)</w:t>
            </w:r>
          </w:p>
        </w:tc>
        <w:tc>
          <w:tcPr>
            <w:tcW w:w="1436" w:type="dxa"/>
            <w:tcBorders>
              <w:top w:val="nil"/>
              <w:left w:val="nil"/>
              <w:bottom w:val="nil"/>
              <w:right w:val="nil"/>
              <w:tl2br w:val="nil"/>
              <w:tr2bl w:val="nil"/>
            </w:tcBorders>
            <w:shd w:val="solid" w:color="FFFFFF" w:fill="FFFFFF"/>
            <w:tcMar>
              <w:left w:w="60" w:type="dxa"/>
              <w:right w:w="60" w:type="dxa"/>
            </w:tcMar>
            <w:vAlign w:val="center"/>
          </w:tcPr>
          <w:p>
            <w:pPr>
              <w:pStyle w:val="DMETW36669BIPReconciliation"/>
              <w:jc w:val="right"/>
              <w:rPr>
                <w:rFonts w:ascii="Verdana" w:eastAsia="Verdana" w:hAnsi="Verdana" w:cs="Verdana"/>
                <w:i/>
                <w:noProof/>
                <w:color w:val="000000"/>
                <w:sz w:val="18"/>
              </w:rPr>
            </w:pPr>
            <w:r>
              <w:rPr>
                <w:rFonts w:ascii="Verdana" w:hAnsi="Verdana"/>
                <w:i/>
                <w:noProof/>
                <w:color w:val="000000"/>
                <w:sz w:val="18"/>
              </w:rPr>
              <w:t>(11 678)</w:t>
            </w:r>
          </w:p>
        </w:tc>
      </w:tr>
      <w:tr>
        <w:trPr>
          <w:trHeight w:hRule="exact" w:val="255"/>
        </w:trPr>
        <w:tc>
          <w:tcPr>
            <w:tcW w:w="6887" w:type="dxa"/>
            <w:tcBorders>
              <w:top w:val="nil"/>
              <w:left w:val="nil"/>
              <w:bottom w:val="nil"/>
              <w:right w:val="nil"/>
              <w:tl2br w:val="nil"/>
              <w:tr2bl w:val="nil"/>
            </w:tcBorders>
            <w:shd w:val="solid" w:color="FFFFFF" w:fill="FFFFFF"/>
            <w:tcMar>
              <w:left w:w="60" w:type="dxa"/>
              <w:right w:w="60" w:type="dxa"/>
            </w:tcMar>
            <w:vAlign w:val="center"/>
          </w:tcPr>
          <w:p>
            <w:pPr>
              <w:pStyle w:val="DMETW36669BIPReconciliation"/>
              <w:rPr>
                <w:rFonts w:ascii="Verdana" w:eastAsia="Verdana" w:hAnsi="Verdana" w:cs="Verdana"/>
                <w:i/>
                <w:noProof/>
                <w:color w:val="000000"/>
                <w:sz w:val="18"/>
              </w:rPr>
            </w:pPr>
            <w:r>
              <w:rPr>
                <w:rFonts w:ascii="Verdana" w:hAnsi="Verdana"/>
                <w:i/>
                <w:noProof/>
                <w:color w:val="000000"/>
                <w:sz w:val="18"/>
              </w:rPr>
              <w:t>Crédits de paiement reportés à l’exercice suivant</w:t>
            </w:r>
          </w:p>
        </w:tc>
        <w:tc>
          <w:tcPr>
            <w:tcW w:w="1436" w:type="dxa"/>
            <w:tcBorders>
              <w:top w:val="nil"/>
              <w:left w:val="nil"/>
              <w:bottom w:val="nil"/>
              <w:right w:val="nil"/>
              <w:tl2br w:val="nil"/>
              <w:tr2bl w:val="nil"/>
            </w:tcBorders>
            <w:shd w:val="solid" w:color="FFFFFF" w:fill="FFFFFF"/>
            <w:tcMar>
              <w:left w:w="60" w:type="dxa"/>
              <w:right w:w="60" w:type="dxa"/>
            </w:tcMar>
            <w:vAlign w:val="center"/>
          </w:tcPr>
          <w:p>
            <w:pPr>
              <w:pStyle w:val="DMETW36669BIPReconciliation"/>
              <w:jc w:val="right"/>
              <w:rPr>
                <w:rFonts w:ascii="Verdana" w:eastAsia="Verdana" w:hAnsi="Verdana" w:cs="Verdana"/>
                <w:i/>
                <w:noProof/>
                <w:color w:val="000000"/>
                <w:sz w:val="18"/>
              </w:rPr>
            </w:pPr>
            <w:r>
              <w:rPr>
                <w:rFonts w:ascii="Verdana" w:hAnsi="Verdana"/>
                <w:i/>
                <w:noProof/>
                <w:color w:val="000000"/>
                <w:sz w:val="18"/>
              </w:rPr>
              <w:t>(6 296)</w:t>
            </w:r>
          </w:p>
        </w:tc>
        <w:tc>
          <w:tcPr>
            <w:tcW w:w="1436" w:type="dxa"/>
            <w:tcBorders>
              <w:top w:val="nil"/>
              <w:left w:val="nil"/>
              <w:bottom w:val="nil"/>
              <w:right w:val="nil"/>
              <w:tl2br w:val="nil"/>
              <w:tr2bl w:val="nil"/>
            </w:tcBorders>
            <w:shd w:val="solid" w:color="FFFFFF" w:fill="FFFFFF"/>
            <w:tcMar>
              <w:left w:w="60" w:type="dxa"/>
              <w:right w:w="60" w:type="dxa"/>
            </w:tcMar>
            <w:vAlign w:val="center"/>
          </w:tcPr>
          <w:p>
            <w:pPr>
              <w:pStyle w:val="DMETW36669BIPReconciliation"/>
              <w:jc w:val="right"/>
              <w:rPr>
                <w:rFonts w:ascii="Verdana" w:eastAsia="Verdana" w:hAnsi="Verdana" w:cs="Verdana"/>
                <w:i/>
                <w:noProof/>
                <w:color w:val="000000"/>
                <w:sz w:val="18"/>
              </w:rPr>
            </w:pPr>
            <w:r>
              <w:rPr>
                <w:rFonts w:ascii="Verdana" w:hAnsi="Verdana"/>
                <w:i/>
                <w:noProof/>
                <w:color w:val="000000"/>
                <w:sz w:val="18"/>
              </w:rPr>
              <w:t>(4 031)</w:t>
            </w:r>
          </w:p>
        </w:tc>
      </w:tr>
      <w:tr>
        <w:trPr>
          <w:trHeight w:hRule="exact" w:val="726"/>
        </w:trPr>
        <w:tc>
          <w:tcPr>
            <w:tcW w:w="6887" w:type="dxa"/>
            <w:tcBorders>
              <w:top w:val="nil"/>
              <w:left w:val="nil"/>
              <w:bottom w:val="nil"/>
              <w:right w:val="nil"/>
              <w:tl2br w:val="nil"/>
              <w:tr2bl w:val="nil"/>
            </w:tcBorders>
            <w:shd w:val="solid" w:color="FFFFFF" w:fill="FFFFFF"/>
            <w:tcMar>
              <w:left w:w="60" w:type="dxa"/>
              <w:right w:w="60" w:type="dxa"/>
            </w:tcMar>
            <w:vAlign w:val="center"/>
          </w:tcPr>
          <w:p>
            <w:pPr>
              <w:pStyle w:val="DMETW36669BIPReconciliation"/>
              <w:rPr>
                <w:rFonts w:ascii="Verdana" w:eastAsia="Verdana" w:hAnsi="Verdana" w:cs="Verdana"/>
                <w:i/>
                <w:noProof/>
                <w:color w:val="000000"/>
                <w:sz w:val="18"/>
              </w:rPr>
            </w:pPr>
            <w:r>
              <w:rPr>
                <w:rFonts w:ascii="Verdana" w:hAnsi="Verdana"/>
                <w:i/>
                <w:noProof/>
                <w:color w:val="000000"/>
                <w:sz w:val="18"/>
              </w:rPr>
              <w:t>Paiements effectués sur crédits reportés et annulation de crédits de paiement inutilisés</w:t>
            </w:r>
          </w:p>
        </w:tc>
        <w:tc>
          <w:tcPr>
            <w:tcW w:w="1436" w:type="dxa"/>
            <w:tcBorders>
              <w:top w:val="nil"/>
              <w:left w:val="nil"/>
              <w:bottom w:val="nil"/>
              <w:right w:val="nil"/>
              <w:tl2br w:val="nil"/>
              <w:tr2bl w:val="nil"/>
            </w:tcBorders>
            <w:shd w:val="solid" w:color="FFFFFF" w:fill="FFFFFF"/>
            <w:tcMar>
              <w:left w:w="60" w:type="dxa"/>
              <w:right w:w="60" w:type="dxa"/>
            </w:tcMar>
            <w:vAlign w:val="center"/>
          </w:tcPr>
          <w:p>
            <w:pPr>
              <w:pStyle w:val="DMETW36669BIPReconciliation"/>
              <w:jc w:val="right"/>
              <w:rPr>
                <w:rFonts w:ascii="Verdana" w:eastAsia="Verdana" w:hAnsi="Verdana" w:cs="Verdana"/>
                <w:i/>
                <w:noProof/>
                <w:color w:val="000000"/>
                <w:sz w:val="18"/>
              </w:rPr>
            </w:pPr>
            <w:r>
              <w:rPr>
                <w:rFonts w:ascii="Verdana" w:hAnsi="Verdana"/>
                <w:i/>
                <w:noProof/>
                <w:color w:val="000000"/>
                <w:sz w:val="18"/>
              </w:rPr>
              <w:t xml:space="preserve"> 478</w:t>
            </w:r>
          </w:p>
        </w:tc>
        <w:tc>
          <w:tcPr>
            <w:tcW w:w="1436" w:type="dxa"/>
            <w:tcBorders>
              <w:top w:val="nil"/>
              <w:left w:val="nil"/>
              <w:bottom w:val="nil"/>
              <w:right w:val="nil"/>
              <w:tl2br w:val="nil"/>
              <w:tr2bl w:val="nil"/>
            </w:tcBorders>
            <w:shd w:val="solid" w:color="FFFFFF" w:fill="FFFFFF"/>
            <w:tcMar>
              <w:left w:w="60" w:type="dxa"/>
              <w:right w:w="60" w:type="dxa"/>
            </w:tcMar>
            <w:vAlign w:val="center"/>
          </w:tcPr>
          <w:p>
            <w:pPr>
              <w:pStyle w:val="DMETW36669BIPReconciliation"/>
              <w:jc w:val="right"/>
              <w:rPr>
                <w:rFonts w:ascii="Verdana" w:eastAsia="Verdana" w:hAnsi="Verdana" w:cs="Verdana"/>
                <w:i/>
                <w:noProof/>
                <w:color w:val="000000"/>
                <w:sz w:val="18"/>
              </w:rPr>
            </w:pPr>
            <w:r>
              <w:rPr>
                <w:rFonts w:ascii="Verdana" w:hAnsi="Verdana"/>
                <w:i/>
                <w:noProof/>
                <w:color w:val="000000"/>
                <w:sz w:val="18"/>
              </w:rPr>
              <w:t>1 711</w:t>
            </w:r>
          </w:p>
        </w:tc>
      </w:tr>
      <w:tr>
        <w:trPr>
          <w:trHeight w:hRule="exact" w:val="255"/>
        </w:trPr>
        <w:tc>
          <w:tcPr>
            <w:tcW w:w="6887" w:type="dxa"/>
            <w:tcBorders>
              <w:top w:val="nil"/>
              <w:left w:val="nil"/>
              <w:bottom w:val="nil"/>
              <w:right w:val="nil"/>
              <w:tl2br w:val="nil"/>
              <w:tr2bl w:val="nil"/>
            </w:tcBorders>
            <w:shd w:val="solid" w:color="FFFFFF" w:fill="FFFFFF"/>
            <w:tcMar>
              <w:left w:w="60" w:type="dxa"/>
              <w:right w:w="60" w:type="dxa"/>
            </w:tcMar>
            <w:vAlign w:val="center"/>
          </w:tcPr>
          <w:p>
            <w:pPr>
              <w:pStyle w:val="DMETW36669BIPReconciliation"/>
              <w:rPr>
                <w:rFonts w:ascii="Verdana" w:eastAsia="Verdana" w:hAnsi="Verdana" w:cs="Verdana"/>
                <w:i/>
                <w:noProof/>
                <w:color w:val="000000"/>
                <w:sz w:val="18"/>
              </w:rPr>
            </w:pPr>
            <w:r>
              <w:rPr>
                <w:rFonts w:ascii="Verdana" w:hAnsi="Verdana"/>
                <w:i/>
                <w:noProof/>
                <w:color w:val="000000"/>
                <w:sz w:val="18"/>
              </w:rPr>
              <w:t>Variations des provisions</w:t>
            </w:r>
          </w:p>
        </w:tc>
        <w:tc>
          <w:tcPr>
            <w:tcW w:w="1436" w:type="dxa"/>
            <w:tcBorders>
              <w:top w:val="nil"/>
              <w:left w:val="nil"/>
              <w:bottom w:val="nil"/>
              <w:right w:val="nil"/>
              <w:tl2br w:val="nil"/>
              <w:tr2bl w:val="nil"/>
            </w:tcBorders>
            <w:shd w:val="solid" w:color="FFFFFF" w:fill="FFFFFF"/>
            <w:tcMar>
              <w:left w:w="60" w:type="dxa"/>
              <w:right w:w="60" w:type="dxa"/>
            </w:tcMar>
            <w:vAlign w:val="center"/>
          </w:tcPr>
          <w:p>
            <w:pPr>
              <w:pStyle w:val="DMETW36669BIPReconciliation"/>
              <w:jc w:val="right"/>
              <w:rPr>
                <w:rFonts w:ascii="Verdana" w:eastAsia="Verdana" w:hAnsi="Verdana" w:cs="Verdana"/>
                <w:i/>
                <w:noProof/>
                <w:color w:val="000000"/>
                <w:sz w:val="18"/>
              </w:rPr>
            </w:pPr>
            <w:r>
              <w:rPr>
                <w:rFonts w:ascii="Verdana" w:hAnsi="Verdana"/>
                <w:i/>
                <w:noProof/>
                <w:color w:val="000000"/>
                <w:sz w:val="18"/>
              </w:rPr>
              <w:t>(3 485)</w:t>
            </w:r>
          </w:p>
        </w:tc>
        <w:tc>
          <w:tcPr>
            <w:tcW w:w="1436" w:type="dxa"/>
            <w:tcBorders>
              <w:top w:val="nil"/>
              <w:left w:val="nil"/>
              <w:bottom w:val="nil"/>
              <w:right w:val="nil"/>
              <w:tl2br w:val="nil"/>
              <w:tr2bl w:val="nil"/>
            </w:tcBorders>
            <w:shd w:val="solid" w:color="FFFFFF" w:fill="FFFFFF"/>
            <w:tcMar>
              <w:left w:w="60" w:type="dxa"/>
              <w:right w:w="60" w:type="dxa"/>
            </w:tcMar>
            <w:vAlign w:val="center"/>
          </w:tcPr>
          <w:p>
            <w:pPr>
              <w:pStyle w:val="DMETW36669BIPReconciliation"/>
              <w:jc w:val="right"/>
              <w:rPr>
                <w:rFonts w:ascii="Verdana" w:eastAsia="Verdana" w:hAnsi="Verdana" w:cs="Verdana"/>
                <w:i/>
                <w:noProof/>
                <w:color w:val="000000"/>
                <w:sz w:val="18"/>
              </w:rPr>
            </w:pPr>
            <w:r>
              <w:rPr>
                <w:rFonts w:ascii="Verdana" w:hAnsi="Verdana"/>
                <w:i/>
                <w:noProof/>
                <w:color w:val="000000"/>
                <w:sz w:val="18"/>
              </w:rPr>
              <w:t>9 948</w:t>
            </w:r>
          </w:p>
        </w:tc>
      </w:tr>
      <w:tr>
        <w:trPr>
          <w:trHeight w:hRule="exact" w:val="255"/>
        </w:trPr>
        <w:tc>
          <w:tcPr>
            <w:tcW w:w="6887" w:type="dxa"/>
            <w:tcBorders>
              <w:top w:val="nil"/>
              <w:left w:val="nil"/>
              <w:bottom w:val="single" w:sz="4" w:space="0" w:color="016794"/>
              <w:right w:val="nil"/>
              <w:tl2br w:val="nil"/>
              <w:tr2bl w:val="nil"/>
            </w:tcBorders>
            <w:shd w:val="solid" w:color="FFFFFF" w:fill="FFFFFF"/>
            <w:tcMar>
              <w:left w:w="60" w:type="dxa"/>
              <w:right w:w="60" w:type="dxa"/>
            </w:tcMar>
            <w:vAlign w:val="center"/>
          </w:tcPr>
          <w:p>
            <w:pPr>
              <w:pStyle w:val="DMETW36669BIPReconciliation"/>
              <w:rPr>
                <w:rFonts w:ascii="Verdana" w:eastAsia="Verdana" w:hAnsi="Verdana" w:cs="Verdana"/>
                <w:i/>
                <w:noProof/>
                <w:color w:val="000000"/>
                <w:sz w:val="18"/>
              </w:rPr>
            </w:pPr>
            <w:r>
              <w:rPr>
                <w:rFonts w:ascii="Verdana" w:hAnsi="Verdana"/>
                <w:i/>
                <w:noProof/>
                <w:color w:val="000000"/>
                <w:sz w:val="18"/>
              </w:rPr>
              <w:t>Autres</w:t>
            </w:r>
          </w:p>
        </w:tc>
        <w:tc>
          <w:tcPr>
            <w:tcW w:w="1436" w:type="dxa"/>
            <w:tcBorders>
              <w:top w:val="nil"/>
              <w:left w:val="nil"/>
              <w:bottom w:val="single" w:sz="4" w:space="0" w:color="016794"/>
              <w:right w:val="nil"/>
              <w:tl2br w:val="nil"/>
              <w:tr2bl w:val="nil"/>
            </w:tcBorders>
            <w:shd w:val="solid" w:color="FFFFFF" w:fill="FFFFFF"/>
            <w:tcMar>
              <w:left w:w="60" w:type="dxa"/>
              <w:right w:w="60" w:type="dxa"/>
            </w:tcMar>
            <w:vAlign w:val="center"/>
          </w:tcPr>
          <w:p>
            <w:pPr>
              <w:pStyle w:val="DMETW36669BIPReconciliation"/>
              <w:jc w:val="right"/>
              <w:rPr>
                <w:rFonts w:ascii="Verdana" w:eastAsia="Verdana" w:hAnsi="Verdana" w:cs="Verdana"/>
                <w:i/>
                <w:noProof/>
                <w:color w:val="000000"/>
                <w:sz w:val="18"/>
              </w:rPr>
            </w:pPr>
            <w:r>
              <w:rPr>
                <w:rFonts w:ascii="Verdana" w:hAnsi="Verdana"/>
                <w:i/>
                <w:noProof/>
                <w:color w:val="000000"/>
                <w:sz w:val="18"/>
              </w:rPr>
              <w:t>3 075</w:t>
            </w:r>
          </w:p>
        </w:tc>
        <w:tc>
          <w:tcPr>
            <w:tcW w:w="1436" w:type="dxa"/>
            <w:tcBorders>
              <w:top w:val="nil"/>
              <w:left w:val="nil"/>
              <w:bottom w:val="single" w:sz="4" w:space="0" w:color="016794"/>
              <w:right w:val="nil"/>
              <w:tl2br w:val="nil"/>
              <w:tr2bl w:val="nil"/>
            </w:tcBorders>
            <w:shd w:val="solid" w:color="FFFFFF" w:fill="FFFFFF"/>
            <w:tcMar>
              <w:left w:w="60" w:type="dxa"/>
              <w:right w:w="60" w:type="dxa"/>
            </w:tcMar>
            <w:vAlign w:val="center"/>
          </w:tcPr>
          <w:p>
            <w:pPr>
              <w:pStyle w:val="DMETW36669BIPReconciliation"/>
              <w:jc w:val="right"/>
              <w:rPr>
                <w:rFonts w:ascii="Verdana" w:eastAsia="Verdana" w:hAnsi="Verdana" w:cs="Verdana"/>
                <w:i/>
                <w:noProof/>
                <w:color w:val="000000"/>
                <w:sz w:val="18"/>
              </w:rPr>
            </w:pPr>
            <w:r>
              <w:rPr>
                <w:rFonts w:ascii="Verdana" w:hAnsi="Verdana"/>
                <w:i/>
                <w:noProof/>
                <w:color w:val="000000"/>
                <w:sz w:val="18"/>
              </w:rPr>
              <w:t>7 757</w:t>
            </w:r>
          </w:p>
        </w:tc>
      </w:tr>
      <w:tr>
        <w:trPr>
          <w:trHeight w:hRule="exact" w:val="255"/>
        </w:trPr>
        <w:tc>
          <w:tcPr>
            <w:tcW w:w="6887"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36669BIPReconciliation"/>
              <w:rPr>
                <w:rFonts w:ascii="Verdana" w:eastAsia="Verdana" w:hAnsi="Verdana" w:cs="Verdana"/>
                <w:b/>
                <w:noProof/>
                <w:color w:val="000000"/>
                <w:sz w:val="18"/>
              </w:rPr>
            </w:pPr>
          </w:p>
        </w:tc>
        <w:tc>
          <w:tcPr>
            <w:tcW w:w="1436"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36669BIPReconciliation"/>
              <w:jc w:val="right"/>
              <w:rPr>
                <w:rFonts w:ascii="Verdana" w:eastAsia="Verdana" w:hAnsi="Verdana" w:cs="Verdana"/>
                <w:b/>
                <w:noProof/>
                <w:color w:val="000000"/>
                <w:sz w:val="18"/>
              </w:rPr>
            </w:pPr>
            <w:r>
              <w:rPr>
                <w:rFonts w:ascii="Verdana" w:hAnsi="Verdana"/>
                <w:b/>
                <w:noProof/>
                <w:color w:val="000000"/>
                <w:sz w:val="18"/>
              </w:rPr>
              <w:t>17 662</w:t>
            </w:r>
          </w:p>
        </w:tc>
        <w:tc>
          <w:tcPr>
            <w:tcW w:w="1436"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36669BIPReconciliation"/>
              <w:jc w:val="right"/>
              <w:rPr>
                <w:rFonts w:ascii="Verdana" w:eastAsia="Verdana" w:hAnsi="Verdana" w:cs="Verdana"/>
                <w:b/>
                <w:noProof/>
                <w:color w:val="000000"/>
                <w:sz w:val="18"/>
              </w:rPr>
            </w:pPr>
            <w:r>
              <w:rPr>
                <w:rFonts w:ascii="Verdana" w:hAnsi="Verdana"/>
                <w:b/>
                <w:noProof/>
                <w:color w:val="000000"/>
                <w:sz w:val="18"/>
              </w:rPr>
              <w:t>12 086</w:t>
            </w:r>
          </w:p>
        </w:tc>
      </w:tr>
      <w:tr>
        <w:trPr>
          <w:trHeight w:hRule="exact" w:val="255"/>
        </w:trPr>
        <w:tc>
          <w:tcPr>
            <w:tcW w:w="6887"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36669BIPReconciliation"/>
              <w:rPr>
                <w:rFonts w:ascii="Verdana" w:eastAsia="Verdana" w:hAnsi="Verdana" w:cs="Verdana"/>
                <w:b/>
                <w:noProof/>
                <w:color w:val="000000"/>
                <w:sz w:val="18"/>
              </w:rPr>
            </w:pPr>
            <w:r>
              <w:rPr>
                <w:rFonts w:ascii="Verdana" w:hAnsi="Verdana"/>
                <w:b/>
                <w:noProof/>
                <w:color w:val="000000"/>
                <w:sz w:val="18"/>
              </w:rPr>
              <w:t>Résultat économique agences et CECA en liq.</w:t>
            </w:r>
          </w:p>
        </w:tc>
        <w:tc>
          <w:tcPr>
            <w:tcW w:w="1436"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36669BIPReconciliation"/>
              <w:jc w:val="right"/>
              <w:rPr>
                <w:rFonts w:ascii="Verdana" w:eastAsia="Verdana" w:hAnsi="Verdana" w:cs="Verdana"/>
                <w:b/>
                <w:noProof/>
                <w:color w:val="000000"/>
                <w:sz w:val="18"/>
              </w:rPr>
            </w:pPr>
            <w:r>
              <w:rPr>
                <w:rFonts w:ascii="Verdana" w:hAnsi="Verdana"/>
                <w:b/>
                <w:noProof/>
                <w:color w:val="000000"/>
                <w:sz w:val="18"/>
              </w:rPr>
              <w:t xml:space="preserve"> (170)</w:t>
            </w:r>
          </w:p>
        </w:tc>
        <w:tc>
          <w:tcPr>
            <w:tcW w:w="1436"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36669BIPReconciliation"/>
              <w:jc w:val="right"/>
              <w:rPr>
                <w:rFonts w:ascii="Verdana" w:eastAsia="Verdana" w:hAnsi="Verdana" w:cs="Verdana"/>
                <w:b/>
                <w:noProof/>
                <w:color w:val="000000"/>
                <w:sz w:val="18"/>
              </w:rPr>
            </w:pPr>
            <w:r>
              <w:rPr>
                <w:rFonts w:ascii="Verdana" w:hAnsi="Verdana"/>
                <w:b/>
                <w:noProof/>
                <w:color w:val="000000"/>
                <w:sz w:val="18"/>
              </w:rPr>
              <w:t xml:space="preserve"> 85</w:t>
            </w:r>
          </w:p>
        </w:tc>
      </w:tr>
      <w:tr>
        <w:trPr>
          <w:trHeight w:hRule="exact" w:val="255"/>
        </w:trPr>
        <w:tc>
          <w:tcPr>
            <w:tcW w:w="6887" w:type="dxa"/>
            <w:tcBorders>
              <w:top w:val="single" w:sz="4" w:space="0" w:color="016794"/>
              <w:left w:val="nil"/>
              <w:bottom w:val="nil"/>
              <w:right w:val="nil"/>
              <w:tl2br w:val="nil"/>
              <w:tr2bl w:val="nil"/>
            </w:tcBorders>
            <w:shd w:val="solid" w:color="FFFFFF" w:fill="FFFFFF"/>
            <w:tcMar>
              <w:left w:w="60" w:type="dxa"/>
              <w:right w:w="60" w:type="dxa"/>
            </w:tcMar>
            <w:vAlign w:val="center"/>
          </w:tcPr>
          <w:p>
            <w:pPr>
              <w:pStyle w:val="DMETW36669BIPReconciliation"/>
              <w:rPr>
                <w:rFonts w:cs="Calibri"/>
                <w:noProof/>
                <w:color w:val="000000"/>
                <w:sz w:val="22"/>
              </w:rPr>
            </w:pPr>
          </w:p>
        </w:tc>
        <w:tc>
          <w:tcPr>
            <w:tcW w:w="1436" w:type="dxa"/>
            <w:tcBorders>
              <w:top w:val="single" w:sz="4" w:space="0" w:color="016794"/>
              <w:left w:val="nil"/>
              <w:bottom w:val="nil"/>
              <w:right w:val="nil"/>
              <w:tl2br w:val="nil"/>
              <w:tr2bl w:val="nil"/>
            </w:tcBorders>
            <w:shd w:val="solid" w:color="FFFFFF" w:fill="FFFFFF"/>
            <w:tcMar>
              <w:left w:w="60" w:type="dxa"/>
              <w:right w:w="60" w:type="dxa"/>
            </w:tcMar>
            <w:vAlign w:val="center"/>
          </w:tcPr>
          <w:p>
            <w:pPr>
              <w:pStyle w:val="DMETW36669BIPReconciliation"/>
              <w:rPr>
                <w:rFonts w:cs="Calibri"/>
                <w:noProof/>
                <w:color w:val="000000"/>
                <w:sz w:val="22"/>
              </w:rPr>
            </w:pPr>
          </w:p>
        </w:tc>
        <w:tc>
          <w:tcPr>
            <w:tcW w:w="1436" w:type="dxa"/>
            <w:tcBorders>
              <w:top w:val="single" w:sz="4" w:space="0" w:color="016794"/>
              <w:left w:val="nil"/>
              <w:bottom w:val="nil"/>
              <w:right w:val="nil"/>
              <w:tl2br w:val="nil"/>
              <w:tr2bl w:val="nil"/>
            </w:tcBorders>
            <w:shd w:val="solid" w:color="FFFFFF" w:fill="FFFFFF"/>
            <w:tcMar>
              <w:left w:w="60" w:type="dxa"/>
              <w:right w:w="60" w:type="dxa"/>
            </w:tcMar>
            <w:vAlign w:val="center"/>
          </w:tcPr>
          <w:p>
            <w:pPr>
              <w:pStyle w:val="DMETW36669BIPReconciliation"/>
              <w:rPr>
                <w:rFonts w:cs="Calibri"/>
                <w:noProof/>
                <w:color w:val="000000"/>
                <w:sz w:val="22"/>
                <w:lang w:bidi="en-GB"/>
              </w:rPr>
            </w:pPr>
          </w:p>
        </w:tc>
      </w:tr>
      <w:tr>
        <w:trPr>
          <w:trHeight w:hRule="exact" w:val="260"/>
        </w:trPr>
        <w:tc>
          <w:tcPr>
            <w:tcW w:w="6887" w:type="dxa"/>
            <w:tcBorders>
              <w:top w:val="nil"/>
              <w:left w:val="nil"/>
              <w:bottom w:val="nil"/>
              <w:right w:val="nil"/>
              <w:tl2br w:val="nil"/>
              <w:tr2bl w:val="nil"/>
            </w:tcBorders>
            <w:shd w:val="solid" w:color="CCE1EA" w:fill="FFFFFF"/>
            <w:tcMar>
              <w:left w:w="60" w:type="dxa"/>
              <w:right w:w="60" w:type="dxa"/>
            </w:tcMar>
            <w:vAlign w:val="center"/>
          </w:tcPr>
          <w:p>
            <w:pPr>
              <w:pStyle w:val="DMETW36669BIPReconciliation"/>
              <w:rPr>
                <w:rFonts w:ascii="Verdana" w:eastAsia="Verdana" w:hAnsi="Verdana" w:cs="Verdana"/>
                <w:b/>
                <w:noProof/>
                <w:color w:val="000000"/>
                <w:sz w:val="18"/>
              </w:rPr>
            </w:pPr>
            <w:r>
              <w:rPr>
                <w:rFonts w:ascii="Verdana" w:hAnsi="Verdana"/>
                <w:b/>
                <w:noProof/>
                <w:color w:val="000000"/>
                <w:sz w:val="18"/>
              </w:rPr>
              <w:t>RÉSULTAT DE L’EXÉCUTION DU BUDGET DE L’EXERCICE</w:t>
            </w:r>
          </w:p>
        </w:tc>
        <w:tc>
          <w:tcPr>
            <w:tcW w:w="1436" w:type="dxa"/>
            <w:tcBorders>
              <w:top w:val="nil"/>
              <w:left w:val="nil"/>
              <w:bottom w:val="nil"/>
              <w:right w:val="nil"/>
              <w:tl2br w:val="nil"/>
              <w:tr2bl w:val="nil"/>
            </w:tcBorders>
            <w:shd w:val="solid" w:color="CCE1EA" w:fill="FFFFFF"/>
            <w:tcMar>
              <w:left w:w="60" w:type="dxa"/>
              <w:right w:w="60" w:type="dxa"/>
            </w:tcMar>
            <w:vAlign w:val="center"/>
          </w:tcPr>
          <w:p>
            <w:pPr>
              <w:pStyle w:val="DMETW36669BIPReconciliation"/>
              <w:jc w:val="right"/>
              <w:rPr>
                <w:rFonts w:ascii="Verdana" w:eastAsia="Verdana" w:hAnsi="Verdana" w:cs="Verdana"/>
                <w:b/>
                <w:noProof/>
                <w:color w:val="000000"/>
                <w:sz w:val="18"/>
              </w:rPr>
            </w:pPr>
            <w:r>
              <w:rPr>
                <w:rFonts w:ascii="Verdana" w:hAnsi="Verdana"/>
                <w:b/>
                <w:noProof/>
                <w:color w:val="000000"/>
                <w:sz w:val="18"/>
              </w:rPr>
              <w:t>2 078</w:t>
            </w:r>
          </w:p>
        </w:tc>
        <w:tc>
          <w:tcPr>
            <w:tcW w:w="1436" w:type="dxa"/>
            <w:tcBorders>
              <w:top w:val="nil"/>
              <w:left w:val="nil"/>
              <w:bottom w:val="nil"/>
              <w:right w:val="nil"/>
              <w:tl2br w:val="nil"/>
              <w:tr2bl w:val="nil"/>
            </w:tcBorders>
            <w:shd w:val="solid" w:color="CCE1EA" w:fill="FFFFFF"/>
            <w:tcMar>
              <w:left w:w="60" w:type="dxa"/>
              <w:right w:w="60" w:type="dxa"/>
            </w:tcMar>
            <w:vAlign w:val="center"/>
          </w:tcPr>
          <w:p>
            <w:pPr>
              <w:pStyle w:val="DMETW36669BIPReconciliation"/>
              <w:jc w:val="right"/>
              <w:rPr>
                <w:rFonts w:ascii="Verdana" w:eastAsia="Verdana" w:hAnsi="Verdana" w:cs="Verdana"/>
                <w:b/>
                <w:noProof/>
                <w:color w:val="000000"/>
                <w:sz w:val="18"/>
              </w:rPr>
            </w:pPr>
            <w:r>
              <w:rPr>
                <w:rFonts w:ascii="Verdana" w:hAnsi="Verdana"/>
                <w:b/>
                <w:noProof/>
                <w:color w:val="000000"/>
                <w:sz w:val="18"/>
              </w:rPr>
              <w:t>1 344</w:t>
            </w:r>
          </w:p>
        </w:tc>
      </w:tr>
    </w:tbl>
    <w:p>
      <w:pPr>
        <w:pStyle w:val="DGTextstand-alone"/>
      </w:pPr>
      <w:r>
        <w:t xml:space="preserve">En vertu du règlement financier, le résultat économique de l’exercice est calculé selon les principes de la comptabilité d’exercice et selon les règles comptables de l’UE, tandis que le résultat de l’exécution du budget est établi sur la base d’une comptabilité de caisse modifiée. Le résultat économique et le résultat de l’exécution budgétaire couvrant tous deux les mêmes opérations sous-jacentes – à l’exception des autres sources de recettes et de dépenses (non budgétaires) des agences et de la CECA en liquidation, qui figurent uniquement dans le résultat économique, le rapprochement du résultat économique de l’exercice et du résultat de l’exécution budgétaire de l’exercice constitue un contrôle de cohérence utile. </w:t>
      </w:r>
    </w:p>
    <w:p>
      <w:pPr>
        <w:pStyle w:val="HEADER5"/>
        <w:rPr>
          <w:noProof/>
        </w:rPr>
      </w:pPr>
      <w:r>
        <w:rPr>
          <w:noProof/>
        </w:rPr>
        <w:t>Éléments de rapprochement – Recettes</w:t>
      </w:r>
    </w:p>
    <w:p>
      <w:pPr>
        <w:pStyle w:val="DGTextstand-alone"/>
        <w:rPr>
          <w:color w:val="000000"/>
        </w:rPr>
      </w:pPr>
      <w:r>
        <w:rPr>
          <w:color w:val="000000"/>
        </w:rPr>
        <w:t xml:space="preserve">Les recettes effectives d’un exercice budgétaire correspondent aux recettes encaissées sur les droits constatés au cours de l’exercice et aux encaissements sur les droits constatés au cours d’exercices précédents. Par conséquent, les droits constatés en cours d’exercice mais non encore recouvrés doivent être déduits du résultat économique aux fins du rapprochement, puisqu’ils ne font pas partie des recettes budgétaires. En revanche, les droits constatés antérieurement à l’exercice et recouvrés au cours de l’exercice doivent être ajoutés au résultat économique aux fins du rapprochement. Certains droits perçus ne doivent pas être traités comme des recettes dans le résultat économique et doivent également être ajoutés à des fins de rapprochement. Ils sont principalement liés au financement de NextGenerationEU.  </w:t>
      </w:r>
    </w:p>
    <w:p>
      <w:pPr>
        <w:pStyle w:val="DGTextstand-alone"/>
        <w:rPr>
          <w:color w:val="000000"/>
        </w:rPr>
      </w:pPr>
      <w:r>
        <w:rPr>
          <w:color w:val="000000"/>
        </w:rPr>
        <w:t xml:space="preserve">Les produits à recevoir se composent essentiellement des montants relatifs aux corrections financières, aux ressources propres, ainsi qu’aux intérêts et aux dividendes. Seul l’effet net, à savoir les produits à recevoir de l’exercice en cours moins les encaissements sur les produits à recevoir de l’exercice précédent, est pris en considération. </w:t>
      </w:r>
    </w:p>
    <w:p>
      <w:pPr>
        <w:pStyle w:val="HEADER5"/>
        <w:rPr>
          <w:noProof/>
        </w:rPr>
      </w:pPr>
      <w:r>
        <w:rPr>
          <w:noProof/>
        </w:rPr>
        <w:t xml:space="preserve">Éléments de rapprochement – Dépenses </w:t>
      </w:r>
    </w:p>
    <w:p>
      <w:pPr>
        <w:pStyle w:val="DGTextstand-alone"/>
        <w:rPr>
          <w:i/>
          <w:iCs/>
          <w:color w:val="000000"/>
        </w:rPr>
      </w:pPr>
      <w:r>
        <w:rPr>
          <w:color w:val="000000"/>
        </w:rPr>
        <w:t xml:space="preserve">Les charges à payer consistent principalement en régularisations de fin d’exercice qui concernent des dépenses éligibles exposées par les bénéficiaires des fonds de l’UE mais n’ayant pas encore été déclarées </w:t>
      </w:r>
      <w:r>
        <w:rPr>
          <w:color w:val="000000"/>
        </w:rPr>
        <w:lastRenderedPageBreak/>
        <w:t>à la Commission. Seul l’effet net, à savoir les charges à payer de l’exercice moins la contre-passation des charges à payer de l’exercice précédent, est pris en considération. Les paiements effectués au cours de l’exercice et concernant des factures enregistrées antérieurement à celui-ci font partie des dépenses budgétaires de l’exercice et doivent à ce titre être ajoutés au résultat économique aux fins du rapprochement. En raison de l’adoption d’un nouveau système informatique financier en 2025, une méthodologie temporaire a été utilisée cette année, qui peut donner lieu à certains transferts entre ces deux catégories.</w:t>
      </w:r>
    </w:p>
    <w:p>
      <w:pPr>
        <w:pStyle w:val="DGTextstand-alone"/>
        <w:rPr>
          <w:color w:val="000000"/>
        </w:rPr>
      </w:pPr>
      <w:r>
        <w:rPr>
          <w:color w:val="000000"/>
        </w:rPr>
        <w:t xml:space="preserve">L’effet net des préfinancements tient compte à la fois 1) des nouveaux préfinancements versés au cours de l’exercice et comptabilisés en dépenses budgétaires de l’exercice et 2) des préfinancements apurés par l’acceptation de dépenses éligibles au cours de l’exercice. Les seconds constituent des charges comptables, mais non des dépenses budgétaires, puisque les préfinancements initiaux avaient déjà été considérés comme des dépenses budgétaires lors du versement. </w:t>
      </w:r>
    </w:p>
    <w:p>
      <w:pPr>
        <w:pStyle w:val="DGTextstand-alone"/>
        <w:rPr>
          <w:color w:val="000000"/>
        </w:rPr>
      </w:pPr>
      <w:r>
        <w:rPr>
          <w:color w:val="000000"/>
        </w:rPr>
        <w:t>Au même titre que les paiements effectués sur les crédits d’un exercice, les crédits reportés à l’exercice suivant doivent également être pris en considération dans le calcul du résultat de l’exécution budgétaire [conformément à l’article 1</w:t>
      </w:r>
      <w:r>
        <w:rPr>
          <w:color w:val="000000"/>
          <w:vertAlign w:val="superscript"/>
        </w:rPr>
        <w:t>er</w:t>
      </w:r>
      <w:r>
        <w:rPr>
          <w:color w:val="000000"/>
        </w:rPr>
        <w:t>, paragraphe 1, du règlement (UE, Euratom) nº 608/2014]. La même règle s’applique aux paiements exécutés sur les crédits reportés d’exercices précédents ainsi qu’aux annulations de crédits de paiement inutilisés.</w:t>
      </w:r>
    </w:p>
    <w:p>
      <w:pPr>
        <w:pStyle w:val="DGTextstand-alone"/>
        <w:rPr>
          <w:color w:val="000000"/>
        </w:rPr>
      </w:pPr>
      <w:r>
        <w:rPr>
          <w:color w:val="000000"/>
        </w:rPr>
        <w:t>Les variations des provisions concernent des estimations de fin d’exercice enregistrées dans les états financiers (portant essentiellement sur les avantages du personnel), qui sont sans incidence sur la comptabilité budgétaire. Les autres éléments de rapprochement comprennent notamment les amortissements/dépréciations, les acquisitions d’actifs, les paiements au titre de la location-financement et les participations financières, qui font l’objet de traitements différents en comptabilité budgétaire et en comptabilité d’exercice.</w:t>
      </w:r>
    </w:p>
    <w:p>
      <w:pPr>
        <w:pStyle w:val="HEADER5"/>
        <w:rPr>
          <w:noProof/>
        </w:rPr>
      </w:pPr>
      <w:r>
        <w:rPr>
          <w:noProof/>
        </w:rPr>
        <w:t>Éléments de rapprochement – Résultat économique agences et CECA en liquidation</w:t>
      </w:r>
    </w:p>
    <w:p>
      <w:pPr>
        <w:pStyle w:val="DGTextstand-alone"/>
      </w:pPr>
      <w:r>
        <w:rPr>
          <w:color w:val="000000"/>
        </w:rPr>
        <w:t>Le résultat de l’exécution du budget de l’exercice est un chiffre non consolidé qui n’intègre pas les autres sources de recettes et de dépenses (non budgétaires) des agences consolidées et de la CECA en liquidation (voir note </w:t>
      </w:r>
      <w:r>
        <w:rPr>
          <w:b/>
          <w:color w:val="000000"/>
        </w:rPr>
        <w:t>6</w:t>
      </w:r>
      <w:r>
        <w:rPr>
          <w:color w:val="000000"/>
        </w:rPr>
        <w:t>). Pour rapprocher le résultat économique de l’exercice – chiffre consolidé qui inclut ces montants – et le résultat de l’exécution du budget de l’exercice, l’ensemble du résultat économique consolidé de l’exercice des agences et de la CECA en liquidation est présenté en tant qu’un élément de rapprochement.</w:t>
      </w:r>
    </w:p>
    <w:p>
      <w:pPr>
        <w:pStyle w:val="DGTextstand-alone"/>
        <w:sectPr>
          <w:headerReference w:type="default" r:id="rId155"/>
          <w:footerReference w:type="default" r:id="rId156"/>
          <w:pgSz w:w="11907" w:h="16840" w:code="9"/>
          <w:pgMar w:top="1134" w:right="1134" w:bottom="1134" w:left="1134" w:header="709" w:footer="709" w:gutter="0"/>
          <w:cols w:space="708"/>
          <w:docGrid w:linePitch="360"/>
        </w:sectPr>
      </w:pPr>
      <w:r>
        <w:t xml:space="preserve"> </w:t>
      </w:r>
      <w:bookmarkEnd w:id="284"/>
      <w:bookmarkEnd w:id="285"/>
    </w:p>
    <w:p>
      <w:pPr>
        <w:pStyle w:val="HEADER1PartBUDG"/>
        <w:rPr>
          <w:noProof/>
        </w:rPr>
      </w:pPr>
      <w:bookmarkStart w:id="287" w:name="_DMBM_36783"/>
      <w:r>
        <w:rPr>
          <w:noProof/>
        </w:rPr>
        <w:lastRenderedPageBreak/>
        <w:t xml:space="preserve"> </w:t>
      </w:r>
      <w:bookmarkStart w:id="288" w:name="_Toc237349630"/>
      <w:r>
        <w:rPr>
          <w:noProof/>
        </w:rPr>
        <w:t>EXÉCUTION DU BUDGET 2025 DE L’UE</w:t>
      </w:r>
      <w:bookmarkEnd w:id="288"/>
      <w:r>
        <w:rPr>
          <w:noProof/>
        </w:rPr>
        <w:t xml:space="preserve"> </w:t>
      </w:r>
    </w:p>
    <w:p>
      <w:pPr>
        <w:pStyle w:val="Textstand-alone"/>
        <w:sectPr>
          <w:headerReference w:type="default" r:id="rId157"/>
          <w:footerReference w:type="default" r:id="rId158"/>
          <w:pgSz w:w="11907" w:h="16840" w:code="9"/>
          <w:pgMar w:top="1134" w:right="1134" w:bottom="1134" w:left="1134" w:header="709" w:footer="709" w:gutter="0"/>
          <w:cols w:space="708"/>
          <w:docGrid w:linePitch="360"/>
        </w:sectPr>
      </w:pPr>
      <w:r>
        <w:t>Pour consulter les notes explicatives sur l’exécution du budget 2025 concernant les recettes et les dépenses, les engagements restant à liquider et le résultat de l’exécution du budget, se référer à la section </w:t>
      </w:r>
      <w:r>
        <w:rPr>
          <w:b/>
        </w:rPr>
        <w:t>2</w:t>
      </w:r>
      <w:r>
        <w:t>, «Synthèse de l’exécution du budget», figurant dans les faits marquants de l’exercice sur le plan financier.</w:t>
      </w:r>
      <w:r>
        <w:tab/>
      </w:r>
      <w:bookmarkEnd w:id="287"/>
    </w:p>
    <w:p>
      <w:pPr>
        <w:pStyle w:val="HEADER1PartBUDG"/>
        <w:rPr>
          <w:noProof/>
        </w:rPr>
      </w:pPr>
      <w:bookmarkStart w:id="289" w:name="_DMBM_36792"/>
      <w:r>
        <w:rPr>
          <w:noProof/>
        </w:rPr>
        <w:lastRenderedPageBreak/>
        <w:t xml:space="preserve"> </w:t>
      </w:r>
      <w:bookmarkStart w:id="290" w:name="_Toc237349631"/>
      <w:r>
        <w:rPr>
          <w:noProof/>
        </w:rPr>
        <w:t>EXÉCUTION DU BUDGET DE L’UE EN RECETTES</w:t>
      </w:r>
      <w:bookmarkEnd w:id="290"/>
      <w:r>
        <w:rPr>
          <w:noProof/>
        </w:rPr>
        <w:t xml:space="preserve"> </w:t>
      </w:r>
    </w:p>
    <w:p>
      <w:pPr>
        <w:pStyle w:val="HEADER2PartBUDG"/>
        <w:spacing w:after="240"/>
        <w:rPr>
          <w:noProof/>
        </w:rPr>
      </w:pPr>
      <w:bookmarkStart w:id="291" w:name="_Toc237349632"/>
      <w:r>
        <w:rPr>
          <w:noProof/>
        </w:rPr>
        <w:t>SYNTHÈSE DE L’EXÉCUTION DU BUDGET DE L’UE EN RECETTES</w:t>
      </w:r>
      <w:bookmarkEnd w:id="291"/>
      <w:r>
        <w:rPr>
          <w:noProof/>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6"/>
        <w:gridCol w:w="3969"/>
        <w:gridCol w:w="992"/>
        <w:gridCol w:w="992"/>
        <w:gridCol w:w="870"/>
        <w:gridCol w:w="956"/>
        <w:gridCol w:w="956"/>
        <w:gridCol w:w="956"/>
        <w:gridCol w:w="1448"/>
        <w:gridCol w:w="1052"/>
        <w:gridCol w:w="1059"/>
        <w:gridCol w:w="956"/>
      </w:tblGrid>
      <w:tr>
        <w:trPr>
          <w:trHeight w:val="255"/>
        </w:trPr>
        <w:tc>
          <w:tcPr>
            <w:tcW w:w="486" w:type="dxa"/>
            <w:gridSpan w:val="12"/>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i/>
                <w:noProof/>
                <w:color w:val="000000"/>
                <w:sz w:val="16"/>
              </w:rPr>
            </w:pPr>
            <w:bookmarkStart w:id="292" w:name="DOC_TBL00113_1_1"/>
            <w:bookmarkEnd w:id="292"/>
            <w:r>
              <w:rPr>
                <w:rFonts w:ascii="Verdana" w:hAnsi="Verdana"/>
                <w:i/>
                <w:noProof/>
                <w:color w:val="000000"/>
                <w:sz w:val="16"/>
              </w:rPr>
              <w:t>en Mio EUR</w:t>
            </w:r>
          </w:p>
        </w:tc>
      </w:tr>
      <w:tr>
        <w:trPr>
          <w:trHeight w:val="255"/>
        </w:trPr>
        <w:tc>
          <w:tcPr>
            <w:tcW w:w="486" w:type="dxa"/>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jc w:val="center"/>
              <w:rPr>
                <w:rFonts w:ascii="Verdana" w:eastAsia="Verdana" w:hAnsi="Verdana" w:cs="Verdana"/>
                <w:noProof/>
                <w:color w:val="FFFFFF"/>
                <w:sz w:val="16"/>
              </w:rPr>
            </w:pPr>
          </w:p>
        </w:tc>
        <w:tc>
          <w:tcPr>
            <w:tcW w:w="3969" w:type="dxa"/>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jc w:val="center"/>
              <w:rPr>
                <w:rFonts w:ascii="Verdana" w:eastAsia="Verdana" w:hAnsi="Verdana" w:cs="Verdana"/>
                <w:noProof/>
                <w:color w:val="FFFFFF"/>
                <w:sz w:val="16"/>
              </w:rPr>
            </w:pPr>
          </w:p>
        </w:tc>
        <w:tc>
          <w:tcPr>
            <w:tcW w:w="992" w:type="dxa"/>
            <w:gridSpan w:val="2"/>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jc w:val="center"/>
              <w:rPr>
                <w:rFonts w:ascii="Verdana" w:eastAsia="Verdana" w:hAnsi="Verdana" w:cs="Verdana"/>
                <w:b/>
                <w:noProof/>
                <w:color w:val="FFFFFF"/>
                <w:sz w:val="16"/>
              </w:rPr>
            </w:pPr>
            <w:r>
              <w:rPr>
                <w:rFonts w:ascii="Verdana" w:hAnsi="Verdana"/>
                <w:b/>
                <w:noProof/>
                <w:color w:val="FFFFFF"/>
                <w:sz w:val="16"/>
              </w:rPr>
              <w:t>Budget recettes</w:t>
            </w:r>
          </w:p>
        </w:tc>
        <w:tc>
          <w:tcPr>
            <w:tcW w:w="870" w:type="dxa"/>
            <w:gridSpan w:val="3"/>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jc w:val="center"/>
              <w:rPr>
                <w:rFonts w:ascii="Verdana" w:eastAsia="Verdana" w:hAnsi="Verdana" w:cs="Verdana"/>
                <w:b/>
                <w:noProof/>
                <w:color w:val="FFFFFF"/>
                <w:sz w:val="16"/>
              </w:rPr>
            </w:pPr>
            <w:r>
              <w:rPr>
                <w:rFonts w:ascii="Verdana" w:hAnsi="Verdana"/>
                <w:b/>
                <w:noProof/>
                <w:color w:val="FFFFFF"/>
                <w:sz w:val="16"/>
              </w:rPr>
              <w:t>Droits constatés</w:t>
            </w:r>
          </w:p>
        </w:tc>
        <w:tc>
          <w:tcPr>
            <w:tcW w:w="956" w:type="dxa"/>
            <w:gridSpan w:val="3"/>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jc w:val="center"/>
              <w:rPr>
                <w:rFonts w:ascii="Verdana" w:eastAsia="Verdana" w:hAnsi="Verdana" w:cs="Verdana"/>
                <w:b/>
                <w:noProof/>
                <w:color w:val="FFFFFF"/>
                <w:sz w:val="16"/>
              </w:rPr>
            </w:pPr>
            <w:r>
              <w:rPr>
                <w:rFonts w:ascii="Verdana" w:hAnsi="Verdana"/>
                <w:b/>
                <w:noProof/>
                <w:color w:val="FFFFFF"/>
                <w:sz w:val="16"/>
              </w:rPr>
              <w:t>Recettes</w:t>
            </w:r>
          </w:p>
        </w:tc>
        <w:tc>
          <w:tcPr>
            <w:tcW w:w="1059" w:type="dxa"/>
            <w:vMerge w:val="restart"/>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jc w:val="center"/>
              <w:rPr>
                <w:rFonts w:ascii="Verdana" w:eastAsia="Verdana" w:hAnsi="Verdana" w:cs="Verdana"/>
                <w:noProof/>
                <w:color w:val="FFFFFF"/>
                <w:sz w:val="16"/>
              </w:rPr>
            </w:pPr>
            <w:r>
              <w:rPr>
                <w:rFonts w:ascii="Verdana" w:hAnsi="Verdana"/>
                <w:noProof/>
                <w:color w:val="FFFFFF"/>
                <w:sz w:val="16"/>
              </w:rPr>
              <w:t>Recettes en % du budget</w:t>
            </w:r>
          </w:p>
        </w:tc>
        <w:tc>
          <w:tcPr>
            <w:tcW w:w="956" w:type="dxa"/>
            <w:vMerge w:val="restart"/>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jc w:val="center"/>
              <w:rPr>
                <w:rFonts w:ascii="Verdana" w:eastAsia="Verdana" w:hAnsi="Verdana" w:cs="Verdana"/>
                <w:noProof/>
                <w:color w:val="FFFFFF"/>
                <w:sz w:val="16"/>
              </w:rPr>
            </w:pPr>
            <w:r>
              <w:rPr>
                <w:rFonts w:ascii="Verdana" w:hAnsi="Verdana"/>
                <w:noProof/>
                <w:color w:val="FFFFFF"/>
                <w:sz w:val="16"/>
              </w:rPr>
              <w:t>Reste à</w:t>
            </w:r>
          </w:p>
          <w:p>
            <w:pPr>
              <w:pStyle w:val="DMETW36741BIPImplementationbudgetrevenue"/>
              <w:jc w:val="center"/>
              <w:rPr>
                <w:rFonts w:ascii="Verdana" w:eastAsia="Verdana" w:hAnsi="Verdana" w:cs="Verdana"/>
                <w:noProof/>
                <w:color w:val="FFFFFF"/>
                <w:sz w:val="16"/>
              </w:rPr>
            </w:pPr>
            <w:r>
              <w:rPr>
                <w:rFonts w:ascii="Verdana" w:hAnsi="Verdana"/>
                <w:noProof/>
                <w:color w:val="FFFFFF"/>
                <w:sz w:val="16"/>
              </w:rPr>
              <w:t>recevoir</w:t>
            </w:r>
          </w:p>
        </w:tc>
      </w:tr>
      <w:tr>
        <w:trPr>
          <w:trHeight w:val="751"/>
        </w:trPr>
        <w:tc>
          <w:tcPr>
            <w:tcW w:w="486" w:type="dxa"/>
            <w:gridSpan w:val="2"/>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jc w:val="center"/>
              <w:rPr>
                <w:rFonts w:ascii="Verdana" w:eastAsia="Verdana" w:hAnsi="Verdana" w:cs="Verdana"/>
                <w:noProof/>
                <w:color w:val="FFFFFF"/>
                <w:sz w:val="16"/>
              </w:rPr>
            </w:pPr>
            <w:r>
              <w:rPr>
                <w:rFonts w:ascii="Verdana" w:hAnsi="Verdana"/>
                <w:noProof/>
                <w:color w:val="FFFFFF"/>
                <w:sz w:val="16"/>
              </w:rPr>
              <w:t>Titre</w:t>
            </w:r>
          </w:p>
        </w:tc>
        <w:tc>
          <w:tcPr>
            <w:tcW w:w="992" w:type="dxa"/>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jc w:val="center"/>
              <w:rPr>
                <w:rFonts w:ascii="Verdana" w:eastAsia="Verdana" w:hAnsi="Verdana" w:cs="Verdana"/>
                <w:noProof/>
                <w:color w:val="FFFFFF"/>
                <w:sz w:val="16"/>
              </w:rPr>
            </w:pPr>
            <w:r>
              <w:rPr>
                <w:rFonts w:ascii="Verdana" w:hAnsi="Verdana"/>
                <w:noProof/>
                <w:color w:val="FFFFFF"/>
                <w:sz w:val="16"/>
              </w:rPr>
              <w:t>Budget initial adopté</w:t>
            </w:r>
          </w:p>
        </w:tc>
        <w:tc>
          <w:tcPr>
            <w:tcW w:w="992" w:type="dxa"/>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jc w:val="center"/>
              <w:rPr>
                <w:rFonts w:ascii="Verdana" w:eastAsia="Verdana" w:hAnsi="Verdana" w:cs="Verdana"/>
                <w:noProof/>
                <w:color w:val="FFFFFF"/>
                <w:sz w:val="16"/>
              </w:rPr>
            </w:pPr>
            <w:r>
              <w:rPr>
                <w:rFonts w:ascii="Verdana" w:hAnsi="Verdana"/>
                <w:noProof/>
                <w:color w:val="FFFFFF"/>
                <w:sz w:val="16"/>
              </w:rPr>
              <w:t>Budget définitif adopté</w:t>
            </w:r>
          </w:p>
        </w:tc>
        <w:tc>
          <w:tcPr>
            <w:tcW w:w="870" w:type="dxa"/>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jc w:val="center"/>
              <w:rPr>
                <w:rFonts w:ascii="Verdana" w:eastAsia="Verdana" w:hAnsi="Verdana" w:cs="Verdana"/>
                <w:noProof/>
                <w:color w:val="FFFFFF"/>
                <w:sz w:val="16"/>
              </w:rPr>
            </w:pPr>
            <w:r>
              <w:rPr>
                <w:rFonts w:ascii="Verdana" w:hAnsi="Verdana"/>
                <w:noProof/>
                <w:color w:val="FFFFFF"/>
                <w:sz w:val="16"/>
              </w:rPr>
              <w:t>Exercice courant</w:t>
            </w:r>
          </w:p>
        </w:tc>
        <w:tc>
          <w:tcPr>
            <w:tcW w:w="956" w:type="dxa"/>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jc w:val="center"/>
              <w:rPr>
                <w:rFonts w:ascii="Verdana" w:eastAsia="Verdana" w:hAnsi="Verdana" w:cs="Verdana"/>
                <w:noProof/>
                <w:color w:val="FFFFFF"/>
                <w:sz w:val="16"/>
              </w:rPr>
            </w:pPr>
            <w:r>
              <w:rPr>
                <w:rFonts w:ascii="Verdana" w:hAnsi="Verdana"/>
                <w:noProof/>
                <w:color w:val="FFFFFF"/>
                <w:sz w:val="16"/>
              </w:rPr>
              <w:t>Crédits reportés</w:t>
            </w:r>
          </w:p>
        </w:tc>
        <w:tc>
          <w:tcPr>
            <w:tcW w:w="956" w:type="dxa"/>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jc w:val="center"/>
              <w:rPr>
                <w:rFonts w:ascii="Verdana" w:eastAsia="Verdana" w:hAnsi="Verdana" w:cs="Verdana"/>
                <w:noProof/>
                <w:color w:val="FFFFFF"/>
                <w:sz w:val="16"/>
              </w:rPr>
            </w:pPr>
            <w:r>
              <w:rPr>
                <w:rFonts w:ascii="Verdana" w:hAnsi="Verdana"/>
                <w:noProof/>
                <w:color w:val="FFFFFF"/>
                <w:sz w:val="16"/>
              </w:rPr>
              <w:t>Total</w:t>
            </w:r>
          </w:p>
        </w:tc>
        <w:tc>
          <w:tcPr>
            <w:tcW w:w="956" w:type="dxa"/>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jc w:val="center"/>
              <w:rPr>
                <w:rFonts w:ascii="Verdana" w:eastAsia="Verdana" w:hAnsi="Verdana" w:cs="Verdana"/>
                <w:noProof/>
                <w:color w:val="FFFFFF"/>
                <w:sz w:val="16"/>
              </w:rPr>
            </w:pPr>
            <w:r>
              <w:rPr>
                <w:rFonts w:ascii="Verdana" w:hAnsi="Verdana"/>
                <w:noProof/>
                <w:color w:val="FFFFFF"/>
                <w:sz w:val="16"/>
              </w:rPr>
              <w:t>sur les droits</w:t>
            </w:r>
          </w:p>
          <w:p>
            <w:pPr>
              <w:pStyle w:val="DMETW36741BIPImplementationbudgetrevenue"/>
              <w:jc w:val="center"/>
              <w:rPr>
                <w:rFonts w:ascii="Verdana" w:eastAsia="Verdana" w:hAnsi="Verdana" w:cs="Verdana"/>
                <w:noProof/>
                <w:color w:val="FFFFFF"/>
                <w:sz w:val="16"/>
              </w:rPr>
            </w:pPr>
            <w:r>
              <w:rPr>
                <w:rFonts w:ascii="Verdana" w:hAnsi="Verdana"/>
                <w:noProof/>
                <w:color w:val="FFFFFF"/>
                <w:sz w:val="16"/>
              </w:rPr>
              <w:t>de l’exercice</w:t>
            </w:r>
          </w:p>
        </w:tc>
        <w:tc>
          <w:tcPr>
            <w:tcW w:w="1448" w:type="dxa"/>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jc w:val="center"/>
              <w:rPr>
                <w:rFonts w:ascii="Verdana" w:eastAsia="Verdana" w:hAnsi="Verdana" w:cs="Verdana"/>
                <w:noProof/>
                <w:color w:val="FFFFFF"/>
                <w:sz w:val="16"/>
              </w:rPr>
            </w:pPr>
            <w:r>
              <w:rPr>
                <w:rFonts w:ascii="Verdana" w:hAnsi="Verdana"/>
                <w:noProof/>
                <w:color w:val="FFFFFF"/>
                <w:sz w:val="16"/>
              </w:rPr>
              <w:t>sur les droits</w:t>
            </w:r>
          </w:p>
          <w:p>
            <w:pPr>
              <w:pStyle w:val="DMETW36741BIPImplementationbudgetrevenue"/>
              <w:jc w:val="center"/>
              <w:rPr>
                <w:rFonts w:ascii="Verdana" w:eastAsia="Verdana" w:hAnsi="Verdana" w:cs="Verdana"/>
                <w:noProof/>
                <w:color w:val="FFFFFF"/>
                <w:sz w:val="16"/>
              </w:rPr>
            </w:pPr>
            <w:r>
              <w:rPr>
                <w:rFonts w:ascii="Verdana" w:hAnsi="Verdana"/>
                <w:noProof/>
                <w:color w:val="FFFFFF"/>
                <w:sz w:val="16"/>
              </w:rPr>
              <w:t>reportés</w:t>
            </w:r>
          </w:p>
        </w:tc>
        <w:tc>
          <w:tcPr>
            <w:tcW w:w="1052" w:type="dxa"/>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jc w:val="center"/>
              <w:rPr>
                <w:rFonts w:ascii="Verdana" w:eastAsia="Verdana" w:hAnsi="Verdana" w:cs="Verdana"/>
                <w:noProof/>
                <w:color w:val="FFFFFF"/>
                <w:sz w:val="16"/>
              </w:rPr>
            </w:pPr>
            <w:r>
              <w:rPr>
                <w:rFonts w:ascii="Verdana" w:hAnsi="Verdana"/>
                <w:noProof/>
                <w:color w:val="FFFFFF"/>
                <w:sz w:val="16"/>
              </w:rPr>
              <w:t>Recettes</w:t>
            </w:r>
          </w:p>
        </w:tc>
        <w:tc>
          <w:tcPr>
            <w:tcW w:w="2340" w:type="dxa"/>
            <w:vMerge/>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jc w:val="center"/>
              <w:rPr>
                <w:rFonts w:ascii="Verdana" w:eastAsia="Verdana" w:hAnsi="Verdana" w:cs="Verdana"/>
                <w:noProof/>
                <w:color w:val="FFFFFF"/>
                <w:sz w:val="16"/>
              </w:rPr>
            </w:pPr>
          </w:p>
        </w:tc>
        <w:tc>
          <w:tcPr>
            <w:tcW w:w="960" w:type="dxa"/>
            <w:vMerge/>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jc w:val="center"/>
              <w:rPr>
                <w:rFonts w:ascii="Verdana" w:eastAsia="Verdana" w:hAnsi="Verdana" w:cs="Verdana"/>
                <w:noProof/>
                <w:color w:val="FFFFFF"/>
                <w:sz w:val="16"/>
              </w:rPr>
            </w:pPr>
          </w:p>
        </w:tc>
      </w:tr>
      <w:tr>
        <w:trPr>
          <w:trHeight w:val="255"/>
        </w:trPr>
        <w:tc>
          <w:tcPr>
            <w:tcW w:w="486" w:type="dxa"/>
            <w:tcBorders>
              <w:top w:val="nil"/>
              <w:left w:val="nil"/>
              <w:bottom w:val="nil"/>
              <w:right w:val="nil"/>
              <w:tl2br w:val="nil"/>
              <w:tr2bl w:val="nil"/>
            </w:tcBorders>
            <w:tcMar>
              <w:left w:w="60" w:type="dxa"/>
              <w:right w:w="60" w:type="dxa"/>
            </w:tcMar>
            <w:vAlign w:val="center"/>
          </w:tcPr>
          <w:p>
            <w:pPr>
              <w:pStyle w:val="DMETW36741BIPImplementationbudgetrevenue"/>
              <w:rPr>
                <w:rFonts w:ascii="Verdana" w:eastAsia="Verdana" w:hAnsi="Verdana" w:cs="Verdana"/>
                <w:noProof/>
                <w:color w:val="000000"/>
                <w:sz w:val="16"/>
              </w:rPr>
            </w:pPr>
            <w:r>
              <w:rPr>
                <w:rFonts w:ascii="Verdana" w:hAnsi="Verdana"/>
                <w:noProof/>
                <w:color w:val="000000"/>
                <w:sz w:val="16"/>
              </w:rPr>
              <w:t>1</w:t>
            </w:r>
          </w:p>
        </w:tc>
        <w:tc>
          <w:tcPr>
            <w:tcW w:w="3969" w:type="dxa"/>
            <w:tcBorders>
              <w:top w:val="nil"/>
              <w:left w:val="nil"/>
              <w:bottom w:val="nil"/>
              <w:right w:val="nil"/>
              <w:tl2br w:val="nil"/>
              <w:tr2bl w:val="nil"/>
            </w:tcBorders>
            <w:tcMar>
              <w:left w:w="60" w:type="dxa"/>
              <w:right w:w="60" w:type="dxa"/>
            </w:tcMar>
            <w:vAlign w:val="center"/>
          </w:tcPr>
          <w:p>
            <w:pPr>
              <w:pStyle w:val="DMETW36741BIPImplementationbudgetrevenue"/>
              <w:rPr>
                <w:rFonts w:ascii="Verdana" w:eastAsia="Verdana" w:hAnsi="Verdana" w:cs="Verdana"/>
                <w:noProof/>
                <w:color w:val="000000"/>
                <w:sz w:val="16"/>
              </w:rPr>
            </w:pPr>
            <w:r>
              <w:rPr>
                <w:rFonts w:ascii="Verdana" w:hAnsi="Verdana"/>
                <w:noProof/>
                <w:color w:val="000000"/>
                <w:sz w:val="16"/>
              </w:rPr>
              <w:t>Ressources propres</w:t>
            </w:r>
          </w:p>
        </w:tc>
        <w:tc>
          <w:tcPr>
            <w:tcW w:w="99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151 161</w:t>
            </w:r>
          </w:p>
        </w:tc>
        <w:tc>
          <w:tcPr>
            <w:tcW w:w="99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154 322</w:t>
            </w:r>
          </w:p>
        </w:tc>
        <w:tc>
          <w:tcPr>
            <w:tcW w:w="870"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155 417</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 xml:space="preserve"> 32</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155 448</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155 414</w:t>
            </w:r>
          </w:p>
        </w:tc>
        <w:tc>
          <w:tcPr>
            <w:tcW w:w="1448"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 xml:space="preserve"> 4</w:t>
            </w:r>
          </w:p>
        </w:tc>
        <w:tc>
          <w:tcPr>
            <w:tcW w:w="105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155 418</w:t>
            </w:r>
          </w:p>
        </w:tc>
        <w:tc>
          <w:tcPr>
            <w:tcW w:w="1059"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 xml:space="preserve"> 101 %</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 xml:space="preserve"> 30</w:t>
            </w:r>
          </w:p>
        </w:tc>
      </w:tr>
      <w:tr>
        <w:trPr>
          <w:trHeight w:val="255"/>
        </w:trPr>
        <w:tc>
          <w:tcPr>
            <w:tcW w:w="486" w:type="dxa"/>
            <w:tcBorders>
              <w:top w:val="nil"/>
              <w:left w:val="nil"/>
              <w:bottom w:val="nil"/>
              <w:right w:val="nil"/>
              <w:tl2br w:val="nil"/>
              <w:tr2bl w:val="nil"/>
            </w:tcBorders>
            <w:tcMar>
              <w:left w:w="60" w:type="dxa"/>
              <w:right w:w="60" w:type="dxa"/>
            </w:tcMar>
            <w:vAlign w:val="center"/>
          </w:tcPr>
          <w:p>
            <w:pPr>
              <w:pStyle w:val="DMETW36741BIPImplementationbudgetrevenue"/>
              <w:rPr>
                <w:rFonts w:ascii="Verdana" w:eastAsia="Verdana" w:hAnsi="Verdana" w:cs="Verdana"/>
                <w:noProof/>
                <w:color w:val="000000"/>
                <w:sz w:val="16"/>
              </w:rPr>
            </w:pPr>
            <w:r>
              <w:rPr>
                <w:rFonts w:ascii="Verdana" w:hAnsi="Verdana"/>
                <w:noProof/>
                <w:color w:val="000000"/>
                <w:sz w:val="16"/>
              </w:rPr>
              <w:t>2</w:t>
            </w:r>
          </w:p>
        </w:tc>
        <w:tc>
          <w:tcPr>
            <w:tcW w:w="3969" w:type="dxa"/>
            <w:tcBorders>
              <w:top w:val="nil"/>
              <w:left w:val="nil"/>
              <w:bottom w:val="nil"/>
              <w:right w:val="nil"/>
              <w:tl2br w:val="nil"/>
              <w:tr2bl w:val="nil"/>
            </w:tcBorders>
            <w:tcMar>
              <w:left w:w="60" w:type="dxa"/>
              <w:right w:w="60" w:type="dxa"/>
            </w:tcMar>
            <w:vAlign w:val="center"/>
          </w:tcPr>
          <w:p>
            <w:pPr>
              <w:pStyle w:val="DMETW36741BIPImplementationbudgetrevenue"/>
              <w:rPr>
                <w:rFonts w:ascii="Verdana" w:eastAsia="Verdana" w:hAnsi="Verdana" w:cs="Verdana"/>
                <w:noProof/>
                <w:color w:val="000000"/>
                <w:sz w:val="16"/>
              </w:rPr>
            </w:pPr>
            <w:r>
              <w:rPr>
                <w:rFonts w:ascii="Verdana" w:hAnsi="Verdana"/>
                <w:noProof/>
                <w:color w:val="000000"/>
                <w:sz w:val="16"/>
              </w:rPr>
              <w:t>Excédents, soldes et ajustements</w:t>
            </w:r>
          </w:p>
        </w:tc>
        <w:tc>
          <w:tcPr>
            <w:tcW w:w="99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w:t>
            </w:r>
          </w:p>
        </w:tc>
        <w:tc>
          <w:tcPr>
            <w:tcW w:w="99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1 345</w:t>
            </w:r>
          </w:p>
        </w:tc>
        <w:tc>
          <w:tcPr>
            <w:tcW w:w="870"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1 362</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1 362</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1 362</w:t>
            </w:r>
          </w:p>
        </w:tc>
        <w:tc>
          <w:tcPr>
            <w:tcW w:w="1448"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w:t>
            </w:r>
          </w:p>
        </w:tc>
        <w:tc>
          <w:tcPr>
            <w:tcW w:w="105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1 362</w:t>
            </w:r>
          </w:p>
        </w:tc>
        <w:tc>
          <w:tcPr>
            <w:tcW w:w="1059"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 xml:space="preserve"> 101 %</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486" w:type="dxa"/>
            <w:tcBorders>
              <w:top w:val="nil"/>
              <w:left w:val="nil"/>
              <w:bottom w:val="nil"/>
              <w:right w:val="nil"/>
              <w:tl2br w:val="nil"/>
              <w:tr2bl w:val="nil"/>
            </w:tcBorders>
            <w:tcMar>
              <w:left w:w="60" w:type="dxa"/>
              <w:right w:w="60" w:type="dxa"/>
            </w:tcMar>
            <w:vAlign w:val="center"/>
          </w:tcPr>
          <w:p>
            <w:pPr>
              <w:pStyle w:val="DMETW36741BIPImplementationbudgetrevenue"/>
              <w:rPr>
                <w:rFonts w:ascii="Verdana" w:eastAsia="Verdana" w:hAnsi="Verdana" w:cs="Verdana"/>
                <w:noProof/>
                <w:color w:val="000000"/>
                <w:sz w:val="16"/>
              </w:rPr>
            </w:pPr>
            <w:r>
              <w:rPr>
                <w:rFonts w:ascii="Verdana" w:hAnsi="Verdana"/>
                <w:noProof/>
                <w:color w:val="000000"/>
                <w:sz w:val="16"/>
              </w:rPr>
              <w:t>3</w:t>
            </w:r>
          </w:p>
        </w:tc>
        <w:tc>
          <w:tcPr>
            <w:tcW w:w="3969" w:type="dxa"/>
            <w:tcBorders>
              <w:top w:val="nil"/>
              <w:left w:val="nil"/>
              <w:bottom w:val="nil"/>
              <w:right w:val="nil"/>
              <w:tl2br w:val="nil"/>
              <w:tr2bl w:val="nil"/>
            </w:tcBorders>
            <w:tcMar>
              <w:left w:w="60" w:type="dxa"/>
              <w:right w:w="60" w:type="dxa"/>
            </w:tcMar>
            <w:vAlign w:val="center"/>
          </w:tcPr>
          <w:p>
            <w:pPr>
              <w:pStyle w:val="DMETW36741BIPImplementationbudgetrevenue"/>
              <w:rPr>
                <w:rFonts w:ascii="Verdana" w:eastAsia="Verdana" w:hAnsi="Verdana" w:cs="Verdana"/>
                <w:noProof/>
                <w:color w:val="000000"/>
                <w:sz w:val="16"/>
              </w:rPr>
            </w:pPr>
            <w:r>
              <w:rPr>
                <w:rFonts w:ascii="Verdana" w:hAnsi="Verdana"/>
                <w:noProof/>
                <w:color w:val="000000"/>
                <w:sz w:val="16"/>
              </w:rPr>
              <w:t>Recettes administratives</w:t>
            </w:r>
          </w:p>
        </w:tc>
        <w:tc>
          <w:tcPr>
            <w:tcW w:w="99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2 425</w:t>
            </w:r>
          </w:p>
        </w:tc>
        <w:tc>
          <w:tcPr>
            <w:tcW w:w="99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2 425</w:t>
            </w:r>
          </w:p>
        </w:tc>
        <w:tc>
          <w:tcPr>
            <w:tcW w:w="870"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3 228</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 xml:space="preserve"> 44</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3 272</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3 200</w:t>
            </w:r>
          </w:p>
        </w:tc>
        <w:tc>
          <w:tcPr>
            <w:tcW w:w="1448"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 xml:space="preserve"> 26</w:t>
            </w:r>
          </w:p>
        </w:tc>
        <w:tc>
          <w:tcPr>
            <w:tcW w:w="105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3 226</w:t>
            </w:r>
          </w:p>
        </w:tc>
        <w:tc>
          <w:tcPr>
            <w:tcW w:w="1059"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 xml:space="preserve"> 133 %</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 xml:space="preserve"> 45</w:t>
            </w:r>
          </w:p>
        </w:tc>
      </w:tr>
      <w:tr>
        <w:trPr>
          <w:trHeight w:val="462"/>
        </w:trPr>
        <w:tc>
          <w:tcPr>
            <w:tcW w:w="486" w:type="dxa"/>
            <w:tcBorders>
              <w:top w:val="nil"/>
              <w:left w:val="nil"/>
              <w:bottom w:val="nil"/>
              <w:right w:val="nil"/>
              <w:tl2br w:val="nil"/>
              <w:tr2bl w:val="nil"/>
            </w:tcBorders>
            <w:tcMar>
              <w:left w:w="60" w:type="dxa"/>
              <w:right w:w="60" w:type="dxa"/>
            </w:tcMar>
            <w:vAlign w:val="center"/>
          </w:tcPr>
          <w:p>
            <w:pPr>
              <w:pStyle w:val="DMETW36741BIPImplementationbudgetrevenue"/>
              <w:rPr>
                <w:rFonts w:ascii="Verdana" w:eastAsia="Verdana" w:hAnsi="Verdana" w:cs="Verdana"/>
                <w:noProof/>
                <w:color w:val="000000"/>
                <w:sz w:val="16"/>
              </w:rPr>
            </w:pPr>
            <w:r>
              <w:rPr>
                <w:rFonts w:ascii="Verdana" w:hAnsi="Verdana"/>
                <w:noProof/>
                <w:color w:val="000000"/>
                <w:sz w:val="16"/>
              </w:rPr>
              <w:t>4</w:t>
            </w:r>
          </w:p>
        </w:tc>
        <w:tc>
          <w:tcPr>
            <w:tcW w:w="3969" w:type="dxa"/>
            <w:tcBorders>
              <w:top w:val="nil"/>
              <w:left w:val="nil"/>
              <w:bottom w:val="nil"/>
              <w:right w:val="nil"/>
              <w:tl2br w:val="nil"/>
              <w:tr2bl w:val="nil"/>
            </w:tcBorders>
            <w:tcMar>
              <w:left w:w="60" w:type="dxa"/>
              <w:right w:w="60" w:type="dxa"/>
            </w:tcMar>
            <w:vAlign w:val="center"/>
          </w:tcPr>
          <w:p>
            <w:pPr>
              <w:pStyle w:val="DMETW36741BIPImplementationbudgetrevenue"/>
              <w:rPr>
                <w:rFonts w:ascii="Verdana" w:eastAsia="Verdana" w:hAnsi="Verdana" w:cs="Verdana"/>
                <w:noProof/>
                <w:color w:val="000000"/>
                <w:sz w:val="16"/>
              </w:rPr>
            </w:pPr>
            <w:r>
              <w:rPr>
                <w:rFonts w:ascii="Verdana" w:hAnsi="Verdana"/>
                <w:noProof/>
                <w:color w:val="000000"/>
                <w:sz w:val="16"/>
              </w:rPr>
              <w:t>Produit financier, intérêts de retard et amendes</w:t>
            </w:r>
          </w:p>
        </w:tc>
        <w:tc>
          <w:tcPr>
            <w:tcW w:w="99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 xml:space="preserve"> 183</w:t>
            </w:r>
          </w:p>
        </w:tc>
        <w:tc>
          <w:tcPr>
            <w:tcW w:w="99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1 659</w:t>
            </w:r>
          </w:p>
        </w:tc>
        <w:tc>
          <w:tcPr>
            <w:tcW w:w="870"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5 722</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13 152</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18 874</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1 388</w:t>
            </w:r>
          </w:p>
        </w:tc>
        <w:tc>
          <w:tcPr>
            <w:tcW w:w="1448"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1 230</w:t>
            </w:r>
          </w:p>
        </w:tc>
        <w:tc>
          <w:tcPr>
            <w:tcW w:w="105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2 618</w:t>
            </w:r>
          </w:p>
        </w:tc>
        <w:tc>
          <w:tcPr>
            <w:tcW w:w="1059"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 xml:space="preserve"> 158 %</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16 256</w:t>
            </w:r>
          </w:p>
        </w:tc>
      </w:tr>
      <w:tr>
        <w:trPr>
          <w:trHeight w:val="255"/>
        </w:trPr>
        <w:tc>
          <w:tcPr>
            <w:tcW w:w="486" w:type="dxa"/>
            <w:tcBorders>
              <w:top w:val="nil"/>
              <w:left w:val="nil"/>
              <w:bottom w:val="nil"/>
              <w:right w:val="nil"/>
              <w:tl2br w:val="nil"/>
              <w:tr2bl w:val="nil"/>
            </w:tcBorders>
            <w:tcMar>
              <w:left w:w="60" w:type="dxa"/>
              <w:right w:w="60" w:type="dxa"/>
            </w:tcMar>
            <w:vAlign w:val="center"/>
          </w:tcPr>
          <w:p>
            <w:pPr>
              <w:pStyle w:val="DMETW36741BIPImplementationbudgetrevenue"/>
              <w:rPr>
                <w:rFonts w:ascii="Verdana" w:eastAsia="Verdana" w:hAnsi="Verdana" w:cs="Verdana"/>
                <w:noProof/>
                <w:color w:val="000000"/>
                <w:sz w:val="16"/>
              </w:rPr>
            </w:pPr>
            <w:r>
              <w:rPr>
                <w:rFonts w:ascii="Verdana" w:hAnsi="Verdana"/>
                <w:noProof/>
                <w:color w:val="000000"/>
                <w:sz w:val="16"/>
              </w:rPr>
              <w:t>5</w:t>
            </w:r>
          </w:p>
        </w:tc>
        <w:tc>
          <w:tcPr>
            <w:tcW w:w="3969" w:type="dxa"/>
            <w:tcBorders>
              <w:top w:val="nil"/>
              <w:left w:val="nil"/>
              <w:bottom w:val="nil"/>
              <w:right w:val="nil"/>
              <w:tl2br w:val="nil"/>
              <w:tr2bl w:val="nil"/>
            </w:tcBorders>
            <w:tcMar>
              <w:left w:w="60" w:type="dxa"/>
              <w:right w:w="60" w:type="dxa"/>
            </w:tcMar>
            <w:vAlign w:val="center"/>
          </w:tcPr>
          <w:p>
            <w:pPr>
              <w:pStyle w:val="DMETW36741BIPImplementationbudgetrevenue"/>
              <w:rPr>
                <w:rFonts w:ascii="Verdana" w:eastAsia="Verdana" w:hAnsi="Verdana" w:cs="Verdana"/>
                <w:noProof/>
                <w:color w:val="000000"/>
                <w:sz w:val="16"/>
              </w:rPr>
            </w:pPr>
            <w:r>
              <w:rPr>
                <w:rFonts w:ascii="Verdana" w:hAnsi="Verdana"/>
                <w:noProof/>
                <w:color w:val="000000"/>
                <w:sz w:val="16"/>
              </w:rPr>
              <w:t>Garanties budgétaires, opérations d’emprunt et de prêt</w:t>
            </w:r>
          </w:p>
        </w:tc>
        <w:tc>
          <w:tcPr>
            <w:tcW w:w="99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w:t>
            </w:r>
          </w:p>
        </w:tc>
        <w:tc>
          <w:tcPr>
            <w:tcW w:w="99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w:t>
            </w:r>
          </w:p>
        </w:tc>
        <w:tc>
          <w:tcPr>
            <w:tcW w:w="870"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40 771</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 xml:space="preserve"> 44</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40 815</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40 722</w:t>
            </w:r>
          </w:p>
        </w:tc>
        <w:tc>
          <w:tcPr>
            <w:tcW w:w="1448"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 xml:space="preserve"> 44</w:t>
            </w:r>
          </w:p>
        </w:tc>
        <w:tc>
          <w:tcPr>
            <w:tcW w:w="105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40 766</w:t>
            </w:r>
          </w:p>
        </w:tc>
        <w:tc>
          <w:tcPr>
            <w:tcW w:w="1059"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 xml:space="preserve"> 49</w:t>
            </w:r>
          </w:p>
        </w:tc>
      </w:tr>
      <w:tr>
        <w:trPr>
          <w:trHeight w:val="255"/>
        </w:trPr>
        <w:tc>
          <w:tcPr>
            <w:tcW w:w="486" w:type="dxa"/>
            <w:tcBorders>
              <w:top w:val="nil"/>
              <w:left w:val="nil"/>
              <w:bottom w:val="nil"/>
              <w:right w:val="nil"/>
              <w:tl2br w:val="nil"/>
              <w:tr2bl w:val="nil"/>
            </w:tcBorders>
            <w:tcMar>
              <w:left w:w="60" w:type="dxa"/>
              <w:right w:w="60" w:type="dxa"/>
            </w:tcMar>
            <w:vAlign w:val="center"/>
          </w:tcPr>
          <w:p>
            <w:pPr>
              <w:pStyle w:val="DMETW36741BIPImplementationbudgetrevenue"/>
              <w:rPr>
                <w:rFonts w:ascii="Verdana" w:eastAsia="Verdana" w:hAnsi="Verdana" w:cs="Verdana"/>
                <w:noProof/>
                <w:color w:val="000000"/>
                <w:sz w:val="16"/>
              </w:rPr>
            </w:pPr>
            <w:r>
              <w:rPr>
                <w:rFonts w:ascii="Verdana" w:hAnsi="Verdana"/>
                <w:noProof/>
                <w:color w:val="000000"/>
                <w:sz w:val="16"/>
              </w:rPr>
              <w:t>6</w:t>
            </w:r>
          </w:p>
        </w:tc>
        <w:tc>
          <w:tcPr>
            <w:tcW w:w="3969" w:type="dxa"/>
            <w:tcBorders>
              <w:top w:val="nil"/>
              <w:left w:val="nil"/>
              <w:bottom w:val="nil"/>
              <w:right w:val="nil"/>
              <w:tl2br w:val="nil"/>
              <w:tr2bl w:val="nil"/>
            </w:tcBorders>
            <w:tcMar>
              <w:left w:w="60" w:type="dxa"/>
              <w:right w:w="60" w:type="dxa"/>
            </w:tcMar>
            <w:vAlign w:val="center"/>
          </w:tcPr>
          <w:p>
            <w:pPr>
              <w:pStyle w:val="DMETW36741BIPImplementationbudgetrevenue"/>
              <w:rPr>
                <w:rFonts w:ascii="Verdana" w:eastAsia="Verdana" w:hAnsi="Verdana" w:cs="Verdana"/>
                <w:noProof/>
                <w:color w:val="000000"/>
                <w:sz w:val="16"/>
              </w:rPr>
            </w:pPr>
            <w:r>
              <w:rPr>
                <w:rFonts w:ascii="Verdana" w:hAnsi="Verdana"/>
                <w:noProof/>
                <w:color w:val="000000"/>
                <w:sz w:val="16"/>
              </w:rPr>
              <w:t>Recettes, contributions et restitutions liées aux politiques de l’Union</w:t>
            </w:r>
          </w:p>
        </w:tc>
        <w:tc>
          <w:tcPr>
            <w:tcW w:w="99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1 440</w:t>
            </w:r>
          </w:p>
        </w:tc>
        <w:tc>
          <w:tcPr>
            <w:tcW w:w="99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1 412</w:t>
            </w:r>
          </w:p>
        </w:tc>
        <w:tc>
          <w:tcPr>
            <w:tcW w:w="870"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21 024</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2 992</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24 016</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18 960</w:t>
            </w:r>
          </w:p>
        </w:tc>
        <w:tc>
          <w:tcPr>
            <w:tcW w:w="1448"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2 048</w:t>
            </w:r>
          </w:p>
        </w:tc>
        <w:tc>
          <w:tcPr>
            <w:tcW w:w="105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21 008</w:t>
            </w:r>
          </w:p>
        </w:tc>
        <w:tc>
          <w:tcPr>
            <w:tcW w:w="1059"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1 487 %</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3 008</w:t>
            </w:r>
          </w:p>
        </w:tc>
      </w:tr>
      <w:tr>
        <w:trPr>
          <w:trHeight w:val="255"/>
        </w:trPr>
        <w:tc>
          <w:tcPr>
            <w:tcW w:w="486" w:type="dxa"/>
            <w:tcBorders>
              <w:top w:val="nil"/>
              <w:left w:val="nil"/>
              <w:bottom w:val="nil"/>
              <w:right w:val="nil"/>
              <w:tl2br w:val="nil"/>
              <w:tr2bl w:val="nil"/>
            </w:tcBorders>
            <w:shd w:val="solid" w:color="CCE1EB" w:fill="FFFFFF"/>
            <w:tcMar>
              <w:left w:w="60" w:type="dxa"/>
              <w:right w:w="60" w:type="dxa"/>
            </w:tcMar>
            <w:vAlign w:val="center"/>
          </w:tcPr>
          <w:p>
            <w:pPr>
              <w:pStyle w:val="DMETW36741BIPImplementationbudgetrevenue"/>
              <w:rPr>
                <w:rFonts w:ascii="Verdana" w:eastAsia="Verdana" w:hAnsi="Verdana" w:cs="Verdana"/>
                <w:b/>
                <w:noProof/>
                <w:color w:val="000000"/>
                <w:sz w:val="16"/>
              </w:rPr>
            </w:pPr>
          </w:p>
        </w:tc>
        <w:tc>
          <w:tcPr>
            <w:tcW w:w="3969" w:type="dxa"/>
            <w:tcBorders>
              <w:top w:val="nil"/>
              <w:left w:val="nil"/>
              <w:bottom w:val="nil"/>
              <w:right w:val="nil"/>
              <w:tl2br w:val="nil"/>
              <w:tr2bl w:val="nil"/>
            </w:tcBorders>
            <w:shd w:val="solid" w:color="CCE1EB" w:fill="FFFFFF"/>
            <w:tcMar>
              <w:left w:w="60" w:type="dxa"/>
              <w:right w:w="60" w:type="dxa"/>
            </w:tcMar>
            <w:vAlign w:val="center"/>
          </w:tcPr>
          <w:p>
            <w:pPr>
              <w:pStyle w:val="DMETW36741BIPImplementationbudgetrevenue"/>
              <w:rPr>
                <w:rFonts w:ascii="Verdana" w:eastAsia="Verdana" w:hAnsi="Verdana" w:cs="Verdana"/>
                <w:b/>
                <w:noProof/>
                <w:color w:val="000000"/>
                <w:sz w:val="16"/>
              </w:rPr>
            </w:pPr>
            <w:r>
              <w:rPr>
                <w:rFonts w:ascii="Verdana" w:hAnsi="Verdana"/>
                <w:b/>
                <w:noProof/>
                <w:color w:val="000000"/>
                <w:sz w:val="16"/>
              </w:rPr>
              <w:t>TOTAL</w:t>
            </w:r>
          </w:p>
        </w:tc>
        <w:tc>
          <w:tcPr>
            <w:tcW w:w="992" w:type="dxa"/>
            <w:tcBorders>
              <w:top w:val="nil"/>
              <w:left w:val="nil"/>
              <w:bottom w:val="nil"/>
              <w:right w:val="nil"/>
              <w:tl2br w:val="nil"/>
              <w:tr2bl w:val="nil"/>
            </w:tcBorders>
            <w:shd w:val="solid" w:color="CCE1EB" w:fill="FFFFFF"/>
            <w:tcMar>
              <w:left w:w="60" w:type="dxa"/>
              <w:right w:w="60" w:type="dxa"/>
            </w:tcMar>
            <w:vAlign w:val="center"/>
          </w:tcPr>
          <w:p>
            <w:pPr>
              <w:pStyle w:val="DMETW36741BIPImplementationbudgetrevenue"/>
              <w:jc w:val="right"/>
              <w:rPr>
                <w:rFonts w:ascii="Verdana" w:eastAsia="Verdana" w:hAnsi="Verdana" w:cs="Verdana"/>
                <w:b/>
                <w:noProof/>
                <w:color w:val="000000"/>
                <w:sz w:val="16"/>
              </w:rPr>
            </w:pPr>
            <w:r>
              <w:rPr>
                <w:rFonts w:ascii="Verdana" w:hAnsi="Verdana"/>
                <w:b/>
                <w:noProof/>
                <w:color w:val="000000"/>
                <w:sz w:val="16"/>
              </w:rPr>
              <w:t>155 209</w:t>
            </w:r>
          </w:p>
        </w:tc>
        <w:tc>
          <w:tcPr>
            <w:tcW w:w="992" w:type="dxa"/>
            <w:tcBorders>
              <w:top w:val="nil"/>
              <w:left w:val="nil"/>
              <w:bottom w:val="nil"/>
              <w:right w:val="nil"/>
              <w:tl2br w:val="nil"/>
              <w:tr2bl w:val="nil"/>
            </w:tcBorders>
            <w:shd w:val="solid" w:color="CCE1EB" w:fill="FFFFFF"/>
            <w:tcMar>
              <w:left w:w="60" w:type="dxa"/>
              <w:right w:w="60" w:type="dxa"/>
            </w:tcMar>
            <w:vAlign w:val="center"/>
          </w:tcPr>
          <w:p>
            <w:pPr>
              <w:pStyle w:val="DMETW36741BIPImplementationbudgetrevenue"/>
              <w:jc w:val="right"/>
              <w:rPr>
                <w:rFonts w:ascii="Verdana" w:eastAsia="Verdana" w:hAnsi="Verdana" w:cs="Verdana"/>
                <w:b/>
                <w:noProof/>
                <w:color w:val="000000"/>
                <w:sz w:val="16"/>
              </w:rPr>
            </w:pPr>
            <w:r>
              <w:rPr>
                <w:rFonts w:ascii="Verdana" w:hAnsi="Verdana"/>
                <w:b/>
                <w:noProof/>
                <w:color w:val="000000"/>
                <w:sz w:val="16"/>
              </w:rPr>
              <w:t>161 163</w:t>
            </w:r>
          </w:p>
        </w:tc>
        <w:tc>
          <w:tcPr>
            <w:tcW w:w="870" w:type="dxa"/>
            <w:tcBorders>
              <w:top w:val="nil"/>
              <w:left w:val="nil"/>
              <w:bottom w:val="nil"/>
              <w:right w:val="nil"/>
              <w:tl2br w:val="nil"/>
              <w:tr2bl w:val="nil"/>
            </w:tcBorders>
            <w:shd w:val="solid" w:color="CCE1EB" w:fill="FFFFFF"/>
            <w:tcMar>
              <w:left w:w="60" w:type="dxa"/>
              <w:right w:w="60" w:type="dxa"/>
            </w:tcMar>
            <w:vAlign w:val="center"/>
          </w:tcPr>
          <w:p>
            <w:pPr>
              <w:pStyle w:val="DMETW36741BIPImplementationbudgetrevenue"/>
              <w:jc w:val="right"/>
              <w:rPr>
                <w:rFonts w:ascii="Verdana" w:eastAsia="Verdana" w:hAnsi="Verdana" w:cs="Verdana"/>
                <w:b/>
                <w:noProof/>
                <w:color w:val="000000"/>
                <w:sz w:val="16"/>
              </w:rPr>
            </w:pPr>
            <w:r>
              <w:rPr>
                <w:rFonts w:ascii="Verdana" w:hAnsi="Verdana"/>
                <w:b/>
                <w:noProof/>
                <w:color w:val="000000"/>
                <w:sz w:val="16"/>
              </w:rPr>
              <w:t>227 523</w:t>
            </w:r>
          </w:p>
        </w:tc>
        <w:tc>
          <w:tcPr>
            <w:tcW w:w="956" w:type="dxa"/>
            <w:tcBorders>
              <w:top w:val="nil"/>
              <w:left w:val="nil"/>
              <w:bottom w:val="nil"/>
              <w:right w:val="nil"/>
              <w:tl2br w:val="nil"/>
              <w:tr2bl w:val="nil"/>
            </w:tcBorders>
            <w:shd w:val="solid" w:color="CCE1EB" w:fill="FFFFFF"/>
            <w:tcMar>
              <w:left w:w="60" w:type="dxa"/>
              <w:right w:w="60" w:type="dxa"/>
            </w:tcMar>
            <w:vAlign w:val="center"/>
          </w:tcPr>
          <w:p>
            <w:pPr>
              <w:pStyle w:val="DMETW36741BIPImplementationbudgetrevenue"/>
              <w:jc w:val="right"/>
              <w:rPr>
                <w:rFonts w:ascii="Verdana" w:eastAsia="Verdana" w:hAnsi="Verdana" w:cs="Verdana"/>
                <w:b/>
                <w:noProof/>
                <w:color w:val="000000"/>
                <w:sz w:val="16"/>
              </w:rPr>
            </w:pPr>
            <w:r>
              <w:rPr>
                <w:rFonts w:ascii="Verdana" w:hAnsi="Verdana"/>
                <w:b/>
                <w:noProof/>
                <w:color w:val="000000"/>
                <w:sz w:val="16"/>
              </w:rPr>
              <w:t>16 264</w:t>
            </w:r>
          </w:p>
        </w:tc>
        <w:tc>
          <w:tcPr>
            <w:tcW w:w="956" w:type="dxa"/>
            <w:tcBorders>
              <w:top w:val="nil"/>
              <w:left w:val="nil"/>
              <w:bottom w:val="nil"/>
              <w:right w:val="nil"/>
              <w:tl2br w:val="nil"/>
              <w:tr2bl w:val="nil"/>
            </w:tcBorders>
            <w:shd w:val="solid" w:color="CCE1EB" w:fill="FFFFFF"/>
            <w:tcMar>
              <w:left w:w="60" w:type="dxa"/>
              <w:right w:w="60" w:type="dxa"/>
            </w:tcMar>
            <w:vAlign w:val="center"/>
          </w:tcPr>
          <w:p>
            <w:pPr>
              <w:pStyle w:val="DMETW36741BIPImplementationbudgetrevenue"/>
              <w:jc w:val="right"/>
              <w:rPr>
                <w:rFonts w:ascii="Verdana" w:eastAsia="Verdana" w:hAnsi="Verdana" w:cs="Verdana"/>
                <w:b/>
                <w:noProof/>
                <w:color w:val="000000"/>
                <w:sz w:val="16"/>
              </w:rPr>
            </w:pPr>
            <w:r>
              <w:rPr>
                <w:rFonts w:ascii="Verdana" w:hAnsi="Verdana"/>
                <w:b/>
                <w:noProof/>
                <w:color w:val="000000"/>
                <w:sz w:val="16"/>
              </w:rPr>
              <w:t>243 787</w:t>
            </w:r>
          </w:p>
        </w:tc>
        <w:tc>
          <w:tcPr>
            <w:tcW w:w="956" w:type="dxa"/>
            <w:tcBorders>
              <w:top w:val="nil"/>
              <w:left w:val="nil"/>
              <w:bottom w:val="nil"/>
              <w:right w:val="nil"/>
              <w:tl2br w:val="nil"/>
              <w:tr2bl w:val="nil"/>
            </w:tcBorders>
            <w:shd w:val="solid" w:color="CCE1EB" w:fill="FFFFFF"/>
            <w:tcMar>
              <w:left w:w="60" w:type="dxa"/>
              <w:right w:w="60" w:type="dxa"/>
            </w:tcMar>
            <w:vAlign w:val="center"/>
          </w:tcPr>
          <w:p>
            <w:pPr>
              <w:pStyle w:val="DMETW36741BIPImplementationbudgetrevenue"/>
              <w:jc w:val="right"/>
              <w:rPr>
                <w:rFonts w:ascii="Verdana" w:eastAsia="Verdana" w:hAnsi="Verdana" w:cs="Verdana"/>
                <w:b/>
                <w:noProof/>
                <w:color w:val="000000"/>
                <w:sz w:val="16"/>
              </w:rPr>
            </w:pPr>
            <w:r>
              <w:rPr>
                <w:rFonts w:ascii="Verdana" w:hAnsi="Verdana"/>
                <w:b/>
                <w:noProof/>
                <w:color w:val="000000"/>
                <w:sz w:val="16"/>
              </w:rPr>
              <w:t>221 046</w:t>
            </w:r>
          </w:p>
        </w:tc>
        <w:tc>
          <w:tcPr>
            <w:tcW w:w="1448" w:type="dxa"/>
            <w:tcBorders>
              <w:top w:val="nil"/>
              <w:left w:val="nil"/>
              <w:bottom w:val="nil"/>
              <w:right w:val="nil"/>
              <w:tl2br w:val="nil"/>
              <w:tr2bl w:val="nil"/>
            </w:tcBorders>
            <w:shd w:val="solid" w:color="CCE1EB" w:fill="FFFFFF"/>
            <w:tcMar>
              <w:left w:w="60" w:type="dxa"/>
              <w:right w:w="60" w:type="dxa"/>
            </w:tcMar>
            <w:vAlign w:val="center"/>
          </w:tcPr>
          <w:p>
            <w:pPr>
              <w:pStyle w:val="DMETW36741BIPImplementationbudgetrevenue"/>
              <w:jc w:val="right"/>
              <w:rPr>
                <w:rFonts w:ascii="Verdana" w:eastAsia="Verdana" w:hAnsi="Verdana" w:cs="Verdana"/>
                <w:b/>
                <w:noProof/>
                <w:color w:val="000000"/>
                <w:sz w:val="16"/>
              </w:rPr>
            </w:pPr>
            <w:r>
              <w:rPr>
                <w:rFonts w:ascii="Verdana" w:hAnsi="Verdana"/>
                <w:b/>
                <w:noProof/>
                <w:color w:val="000000"/>
                <w:sz w:val="16"/>
              </w:rPr>
              <w:t>3 352</w:t>
            </w:r>
          </w:p>
        </w:tc>
        <w:tc>
          <w:tcPr>
            <w:tcW w:w="1052" w:type="dxa"/>
            <w:tcBorders>
              <w:top w:val="nil"/>
              <w:left w:val="nil"/>
              <w:bottom w:val="nil"/>
              <w:right w:val="nil"/>
              <w:tl2br w:val="nil"/>
              <w:tr2bl w:val="nil"/>
            </w:tcBorders>
            <w:shd w:val="solid" w:color="CCE1EB" w:fill="FFFFFF"/>
            <w:tcMar>
              <w:left w:w="60" w:type="dxa"/>
              <w:right w:w="60" w:type="dxa"/>
            </w:tcMar>
            <w:vAlign w:val="center"/>
          </w:tcPr>
          <w:p>
            <w:pPr>
              <w:pStyle w:val="DMETW36741BIPImplementationbudgetrevenue"/>
              <w:jc w:val="right"/>
              <w:rPr>
                <w:rFonts w:ascii="Verdana" w:eastAsia="Verdana" w:hAnsi="Verdana" w:cs="Verdana"/>
                <w:b/>
                <w:noProof/>
                <w:color w:val="000000"/>
                <w:sz w:val="16"/>
              </w:rPr>
            </w:pPr>
            <w:r>
              <w:rPr>
                <w:rFonts w:ascii="Verdana" w:hAnsi="Verdana"/>
                <w:b/>
                <w:noProof/>
                <w:color w:val="000000"/>
                <w:sz w:val="16"/>
              </w:rPr>
              <w:t>224 398</w:t>
            </w:r>
          </w:p>
        </w:tc>
        <w:tc>
          <w:tcPr>
            <w:tcW w:w="1059" w:type="dxa"/>
            <w:tcBorders>
              <w:top w:val="nil"/>
              <w:left w:val="nil"/>
              <w:bottom w:val="nil"/>
              <w:right w:val="nil"/>
              <w:tl2br w:val="nil"/>
              <w:tr2bl w:val="nil"/>
            </w:tcBorders>
            <w:shd w:val="solid" w:color="CCE1EA" w:fill="FFFFFF"/>
            <w:tcMar>
              <w:left w:w="60" w:type="dxa"/>
              <w:right w:w="60" w:type="dxa"/>
            </w:tcMar>
            <w:vAlign w:val="center"/>
          </w:tcPr>
          <w:p>
            <w:pPr>
              <w:pStyle w:val="DMETW36741BIPImplementationbudgetrevenue"/>
              <w:jc w:val="right"/>
              <w:rPr>
                <w:rFonts w:ascii="Verdana" w:eastAsia="Verdana" w:hAnsi="Verdana" w:cs="Verdana"/>
                <w:b/>
                <w:noProof/>
                <w:color w:val="000000"/>
                <w:sz w:val="16"/>
              </w:rPr>
            </w:pPr>
            <w:r>
              <w:rPr>
                <w:rFonts w:ascii="Verdana" w:hAnsi="Verdana"/>
                <w:b/>
                <w:noProof/>
                <w:color w:val="000000"/>
                <w:sz w:val="16"/>
              </w:rPr>
              <w:t>139 %</w:t>
            </w:r>
          </w:p>
        </w:tc>
        <w:tc>
          <w:tcPr>
            <w:tcW w:w="956" w:type="dxa"/>
            <w:tcBorders>
              <w:top w:val="nil"/>
              <w:left w:val="nil"/>
              <w:bottom w:val="nil"/>
              <w:right w:val="nil"/>
              <w:tl2br w:val="nil"/>
              <w:tr2bl w:val="nil"/>
            </w:tcBorders>
            <w:shd w:val="solid" w:color="CCE1EB" w:fill="FFFFFF"/>
            <w:tcMar>
              <w:left w:w="60" w:type="dxa"/>
              <w:right w:w="60" w:type="dxa"/>
            </w:tcMar>
            <w:vAlign w:val="center"/>
          </w:tcPr>
          <w:p>
            <w:pPr>
              <w:pStyle w:val="DMETW36741BIPImplementationbudgetrevenue"/>
              <w:jc w:val="right"/>
              <w:rPr>
                <w:rFonts w:ascii="Verdana" w:eastAsia="Verdana" w:hAnsi="Verdana" w:cs="Verdana"/>
                <w:b/>
                <w:noProof/>
                <w:color w:val="000000"/>
                <w:sz w:val="16"/>
              </w:rPr>
            </w:pPr>
            <w:r>
              <w:rPr>
                <w:rFonts w:ascii="Verdana" w:hAnsi="Verdana"/>
                <w:b/>
                <w:noProof/>
                <w:color w:val="000000"/>
                <w:sz w:val="16"/>
              </w:rPr>
              <w:t>19 389</w:t>
            </w:r>
          </w:p>
        </w:tc>
      </w:tr>
      <w:tr>
        <w:trPr>
          <w:trHeight w:val="255"/>
        </w:trPr>
        <w:tc>
          <w:tcPr>
            <w:tcW w:w="486" w:type="dxa"/>
            <w:tcBorders>
              <w:top w:val="nil"/>
              <w:left w:val="nil"/>
              <w:bottom w:val="nil"/>
              <w:right w:val="nil"/>
              <w:tl2br w:val="nil"/>
              <w:tr2bl w:val="nil"/>
            </w:tcBorders>
            <w:tcMar>
              <w:left w:w="60" w:type="dxa"/>
              <w:right w:w="60" w:type="dxa"/>
            </w:tcMar>
            <w:vAlign w:val="center"/>
          </w:tcPr>
          <w:p>
            <w:pPr>
              <w:pStyle w:val="DMETW36741BIPImplementationbudgetrevenue"/>
              <w:rPr>
                <w:rFonts w:ascii="Verdana" w:eastAsia="Verdana" w:hAnsi="Verdana" w:cs="Verdana"/>
                <w:i/>
                <w:noProof/>
                <w:color w:val="000000"/>
                <w:sz w:val="16"/>
              </w:rPr>
            </w:pPr>
          </w:p>
        </w:tc>
        <w:tc>
          <w:tcPr>
            <w:tcW w:w="3969"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i/>
                <w:noProof/>
                <w:color w:val="000000"/>
                <w:sz w:val="16"/>
              </w:rPr>
            </w:pPr>
          </w:p>
        </w:tc>
        <w:tc>
          <w:tcPr>
            <w:tcW w:w="99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i/>
                <w:noProof/>
                <w:color w:val="000000"/>
                <w:sz w:val="16"/>
              </w:rPr>
            </w:pPr>
          </w:p>
        </w:tc>
        <w:tc>
          <w:tcPr>
            <w:tcW w:w="99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i/>
                <w:noProof/>
                <w:color w:val="000000"/>
                <w:sz w:val="16"/>
              </w:rPr>
            </w:pPr>
          </w:p>
        </w:tc>
        <w:tc>
          <w:tcPr>
            <w:tcW w:w="870"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i/>
                <w:noProof/>
                <w:color w:val="000000"/>
                <w:sz w:val="16"/>
              </w:rPr>
            </w:pP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i/>
                <w:noProof/>
                <w:color w:val="000000"/>
                <w:sz w:val="16"/>
              </w:rPr>
            </w:pP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i/>
                <w:noProof/>
                <w:color w:val="000000"/>
                <w:sz w:val="16"/>
              </w:rPr>
            </w:pP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i/>
                <w:noProof/>
                <w:color w:val="000000"/>
                <w:sz w:val="16"/>
              </w:rPr>
            </w:pPr>
          </w:p>
        </w:tc>
        <w:tc>
          <w:tcPr>
            <w:tcW w:w="1448"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i/>
                <w:noProof/>
                <w:color w:val="000000"/>
                <w:sz w:val="16"/>
              </w:rPr>
            </w:pPr>
          </w:p>
        </w:tc>
        <w:tc>
          <w:tcPr>
            <w:tcW w:w="105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i/>
                <w:noProof/>
                <w:color w:val="000000"/>
                <w:sz w:val="16"/>
              </w:rPr>
            </w:pPr>
          </w:p>
        </w:tc>
        <w:tc>
          <w:tcPr>
            <w:tcW w:w="1059"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i/>
                <w:noProof/>
                <w:color w:val="000000"/>
                <w:sz w:val="16"/>
              </w:rPr>
            </w:pP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rPr>
                <w:rFonts w:ascii="Arial" w:eastAsia="Arial" w:hAnsi="Arial" w:cs="Arial"/>
                <w:noProof/>
                <w:color w:val="000000"/>
                <w:sz w:val="18"/>
                <w:lang w:bidi="en-GB"/>
              </w:rPr>
            </w:pPr>
          </w:p>
        </w:tc>
      </w:tr>
      <w:tr>
        <w:trPr>
          <w:trHeight w:val="255"/>
        </w:trPr>
        <w:tc>
          <w:tcPr>
            <w:tcW w:w="486" w:type="dxa"/>
            <w:gridSpan w:val="12"/>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jc w:val="center"/>
              <w:rPr>
                <w:rFonts w:ascii="Verdana" w:eastAsia="Verdana" w:hAnsi="Verdana" w:cs="Verdana"/>
                <w:b/>
                <w:noProof/>
                <w:color w:val="FFFFFF"/>
                <w:sz w:val="16"/>
              </w:rPr>
            </w:pPr>
            <w:r>
              <w:rPr>
                <w:rFonts w:ascii="Verdana" w:hAnsi="Verdana"/>
                <w:b/>
                <w:noProof/>
                <w:color w:val="FFFFFF"/>
                <w:sz w:val="16"/>
              </w:rPr>
              <w:t>DÉTAIL TITRE 1: Ressources propres</w:t>
            </w:r>
          </w:p>
        </w:tc>
      </w:tr>
      <w:tr>
        <w:trPr>
          <w:trHeight w:val="255"/>
        </w:trPr>
        <w:tc>
          <w:tcPr>
            <w:tcW w:w="486" w:type="dxa"/>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rPr>
                <w:rFonts w:ascii="Verdana" w:eastAsia="Verdana" w:hAnsi="Verdana" w:cs="Verdana"/>
                <w:b/>
                <w:noProof/>
                <w:color w:val="FFFFFF"/>
                <w:sz w:val="16"/>
              </w:rPr>
            </w:pPr>
          </w:p>
        </w:tc>
        <w:tc>
          <w:tcPr>
            <w:tcW w:w="3969" w:type="dxa"/>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rPr>
                <w:rFonts w:ascii="Verdana" w:eastAsia="Verdana" w:hAnsi="Verdana" w:cs="Verdana"/>
                <w:b/>
                <w:noProof/>
                <w:color w:val="FFFFFF"/>
                <w:sz w:val="16"/>
              </w:rPr>
            </w:pPr>
          </w:p>
        </w:tc>
        <w:tc>
          <w:tcPr>
            <w:tcW w:w="992" w:type="dxa"/>
            <w:gridSpan w:val="2"/>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jc w:val="center"/>
              <w:rPr>
                <w:rFonts w:ascii="Verdana" w:eastAsia="Verdana" w:hAnsi="Verdana" w:cs="Verdana"/>
                <w:b/>
                <w:noProof/>
                <w:color w:val="FFFFFF"/>
                <w:sz w:val="16"/>
              </w:rPr>
            </w:pPr>
            <w:r>
              <w:rPr>
                <w:rFonts w:ascii="Verdana" w:hAnsi="Verdana"/>
                <w:b/>
                <w:noProof/>
                <w:color w:val="FFFFFF"/>
                <w:sz w:val="16"/>
              </w:rPr>
              <w:t>Budget recettes</w:t>
            </w:r>
          </w:p>
        </w:tc>
        <w:tc>
          <w:tcPr>
            <w:tcW w:w="870" w:type="dxa"/>
            <w:gridSpan w:val="3"/>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jc w:val="center"/>
              <w:rPr>
                <w:rFonts w:ascii="Verdana" w:eastAsia="Verdana" w:hAnsi="Verdana" w:cs="Verdana"/>
                <w:b/>
                <w:noProof/>
                <w:color w:val="FFFFFF"/>
                <w:sz w:val="16"/>
              </w:rPr>
            </w:pPr>
            <w:r>
              <w:rPr>
                <w:rFonts w:ascii="Verdana" w:hAnsi="Verdana"/>
                <w:b/>
                <w:noProof/>
                <w:color w:val="FFFFFF"/>
                <w:sz w:val="16"/>
              </w:rPr>
              <w:t>Droits constatés</w:t>
            </w:r>
          </w:p>
        </w:tc>
        <w:tc>
          <w:tcPr>
            <w:tcW w:w="956" w:type="dxa"/>
            <w:gridSpan w:val="3"/>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jc w:val="center"/>
              <w:rPr>
                <w:rFonts w:ascii="Verdana" w:eastAsia="Verdana" w:hAnsi="Verdana" w:cs="Verdana"/>
                <w:b/>
                <w:noProof/>
                <w:color w:val="FFFFFF"/>
                <w:sz w:val="16"/>
              </w:rPr>
            </w:pPr>
            <w:r>
              <w:rPr>
                <w:rFonts w:ascii="Verdana" w:hAnsi="Verdana"/>
                <w:b/>
                <w:noProof/>
                <w:color w:val="FFFFFF"/>
                <w:sz w:val="16"/>
              </w:rPr>
              <w:t>Recettes</w:t>
            </w:r>
          </w:p>
        </w:tc>
        <w:tc>
          <w:tcPr>
            <w:tcW w:w="1059" w:type="dxa"/>
            <w:vMerge w:val="restart"/>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jc w:val="center"/>
              <w:rPr>
                <w:rFonts w:ascii="Verdana" w:eastAsia="Verdana" w:hAnsi="Verdana" w:cs="Verdana"/>
                <w:noProof/>
                <w:color w:val="FFFFFF"/>
                <w:sz w:val="16"/>
              </w:rPr>
            </w:pPr>
            <w:r>
              <w:rPr>
                <w:rFonts w:ascii="Verdana" w:hAnsi="Verdana"/>
                <w:noProof/>
                <w:color w:val="FFFFFF"/>
                <w:sz w:val="16"/>
              </w:rPr>
              <w:t>Recettes en % du budget</w:t>
            </w:r>
          </w:p>
        </w:tc>
        <w:tc>
          <w:tcPr>
            <w:tcW w:w="956" w:type="dxa"/>
            <w:vMerge w:val="restart"/>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jc w:val="center"/>
              <w:rPr>
                <w:rFonts w:ascii="Verdana" w:eastAsia="Verdana" w:hAnsi="Verdana" w:cs="Verdana"/>
                <w:noProof/>
                <w:color w:val="FFFFFF"/>
                <w:sz w:val="16"/>
              </w:rPr>
            </w:pPr>
            <w:r>
              <w:rPr>
                <w:rFonts w:ascii="Verdana" w:hAnsi="Verdana"/>
                <w:noProof/>
                <w:color w:val="FFFFFF"/>
                <w:sz w:val="16"/>
              </w:rPr>
              <w:t>Reste à</w:t>
            </w:r>
          </w:p>
          <w:p>
            <w:pPr>
              <w:pStyle w:val="DMETW36741BIPImplementationbudgetrevenue"/>
              <w:jc w:val="center"/>
              <w:rPr>
                <w:rFonts w:ascii="Verdana" w:eastAsia="Verdana" w:hAnsi="Verdana" w:cs="Verdana"/>
                <w:noProof/>
                <w:color w:val="FFFFFF"/>
                <w:sz w:val="16"/>
              </w:rPr>
            </w:pPr>
            <w:r>
              <w:rPr>
                <w:rFonts w:ascii="Verdana" w:hAnsi="Verdana"/>
                <w:noProof/>
                <w:color w:val="FFFFFF"/>
                <w:sz w:val="16"/>
              </w:rPr>
              <w:t>recevoir</w:t>
            </w:r>
          </w:p>
        </w:tc>
      </w:tr>
      <w:tr>
        <w:trPr>
          <w:trHeight w:val="651"/>
        </w:trPr>
        <w:tc>
          <w:tcPr>
            <w:tcW w:w="486" w:type="dxa"/>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rPr>
                <w:rFonts w:ascii="Verdana" w:eastAsia="Verdana" w:hAnsi="Verdana" w:cs="Verdana"/>
                <w:b/>
                <w:noProof/>
                <w:color w:val="FFFFFF"/>
                <w:sz w:val="16"/>
              </w:rPr>
            </w:pPr>
          </w:p>
        </w:tc>
        <w:tc>
          <w:tcPr>
            <w:tcW w:w="3969" w:type="dxa"/>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jc w:val="center"/>
              <w:rPr>
                <w:rFonts w:ascii="Verdana" w:eastAsia="Verdana" w:hAnsi="Verdana" w:cs="Verdana"/>
                <w:noProof/>
                <w:color w:val="FFFFFF"/>
                <w:sz w:val="16"/>
              </w:rPr>
            </w:pPr>
            <w:r>
              <w:rPr>
                <w:rFonts w:ascii="Verdana" w:hAnsi="Verdana"/>
                <w:noProof/>
                <w:color w:val="FFFFFF"/>
                <w:sz w:val="16"/>
              </w:rPr>
              <w:t>Chapitre</w:t>
            </w:r>
          </w:p>
        </w:tc>
        <w:tc>
          <w:tcPr>
            <w:tcW w:w="992" w:type="dxa"/>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jc w:val="center"/>
              <w:rPr>
                <w:rFonts w:ascii="Verdana" w:eastAsia="Verdana" w:hAnsi="Verdana" w:cs="Verdana"/>
                <w:noProof/>
                <w:color w:val="FFFFFF"/>
                <w:sz w:val="16"/>
              </w:rPr>
            </w:pPr>
            <w:r>
              <w:rPr>
                <w:rFonts w:ascii="Verdana" w:hAnsi="Verdana"/>
                <w:noProof/>
                <w:color w:val="FFFFFF"/>
                <w:sz w:val="16"/>
              </w:rPr>
              <w:t>Budget initial adopté</w:t>
            </w:r>
          </w:p>
        </w:tc>
        <w:tc>
          <w:tcPr>
            <w:tcW w:w="992" w:type="dxa"/>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jc w:val="center"/>
              <w:rPr>
                <w:rFonts w:ascii="Verdana" w:eastAsia="Verdana" w:hAnsi="Verdana" w:cs="Verdana"/>
                <w:noProof/>
                <w:color w:val="FFFFFF"/>
                <w:sz w:val="16"/>
              </w:rPr>
            </w:pPr>
            <w:r>
              <w:rPr>
                <w:rFonts w:ascii="Verdana" w:hAnsi="Verdana"/>
                <w:noProof/>
                <w:color w:val="FFFFFF"/>
                <w:sz w:val="16"/>
              </w:rPr>
              <w:t>Budget définitif adopté</w:t>
            </w:r>
          </w:p>
        </w:tc>
        <w:tc>
          <w:tcPr>
            <w:tcW w:w="870" w:type="dxa"/>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jc w:val="center"/>
              <w:rPr>
                <w:rFonts w:ascii="Verdana" w:eastAsia="Verdana" w:hAnsi="Verdana" w:cs="Verdana"/>
                <w:noProof/>
                <w:color w:val="FFFFFF"/>
                <w:sz w:val="16"/>
              </w:rPr>
            </w:pPr>
            <w:r>
              <w:rPr>
                <w:rFonts w:ascii="Verdana" w:hAnsi="Verdana"/>
                <w:noProof/>
                <w:color w:val="FFFFFF"/>
                <w:sz w:val="16"/>
              </w:rPr>
              <w:t>Exercice courant</w:t>
            </w:r>
          </w:p>
        </w:tc>
        <w:tc>
          <w:tcPr>
            <w:tcW w:w="956" w:type="dxa"/>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jc w:val="center"/>
              <w:rPr>
                <w:rFonts w:ascii="Verdana" w:eastAsia="Verdana" w:hAnsi="Verdana" w:cs="Verdana"/>
                <w:noProof/>
                <w:color w:val="FFFFFF"/>
                <w:sz w:val="16"/>
              </w:rPr>
            </w:pPr>
            <w:r>
              <w:rPr>
                <w:rFonts w:ascii="Verdana" w:hAnsi="Verdana"/>
                <w:noProof/>
                <w:color w:val="FFFFFF"/>
                <w:sz w:val="16"/>
              </w:rPr>
              <w:t>Crédits reportés</w:t>
            </w:r>
          </w:p>
        </w:tc>
        <w:tc>
          <w:tcPr>
            <w:tcW w:w="956" w:type="dxa"/>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jc w:val="center"/>
              <w:rPr>
                <w:rFonts w:ascii="Verdana" w:eastAsia="Verdana" w:hAnsi="Verdana" w:cs="Verdana"/>
                <w:noProof/>
                <w:color w:val="FFFFFF"/>
                <w:sz w:val="16"/>
              </w:rPr>
            </w:pPr>
            <w:r>
              <w:rPr>
                <w:rFonts w:ascii="Verdana" w:hAnsi="Verdana"/>
                <w:noProof/>
                <w:color w:val="FFFFFF"/>
                <w:sz w:val="16"/>
              </w:rPr>
              <w:t>Total</w:t>
            </w:r>
          </w:p>
        </w:tc>
        <w:tc>
          <w:tcPr>
            <w:tcW w:w="956" w:type="dxa"/>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jc w:val="center"/>
              <w:rPr>
                <w:rFonts w:ascii="Verdana" w:eastAsia="Verdana" w:hAnsi="Verdana" w:cs="Verdana"/>
                <w:noProof/>
                <w:color w:val="FFFFFF"/>
                <w:sz w:val="16"/>
              </w:rPr>
            </w:pPr>
            <w:r>
              <w:rPr>
                <w:rFonts w:ascii="Verdana" w:hAnsi="Verdana"/>
                <w:noProof/>
                <w:color w:val="FFFFFF"/>
                <w:sz w:val="16"/>
              </w:rPr>
              <w:t>sur les droits</w:t>
            </w:r>
          </w:p>
          <w:p>
            <w:pPr>
              <w:pStyle w:val="DMETW36741BIPImplementationbudgetrevenue"/>
              <w:jc w:val="center"/>
              <w:rPr>
                <w:rFonts w:ascii="Verdana" w:eastAsia="Verdana" w:hAnsi="Verdana" w:cs="Verdana"/>
                <w:noProof/>
                <w:color w:val="FFFFFF"/>
                <w:sz w:val="16"/>
              </w:rPr>
            </w:pPr>
            <w:r>
              <w:rPr>
                <w:rFonts w:ascii="Verdana" w:hAnsi="Verdana"/>
                <w:noProof/>
                <w:color w:val="FFFFFF"/>
                <w:sz w:val="16"/>
              </w:rPr>
              <w:t>de l’exercice</w:t>
            </w:r>
          </w:p>
        </w:tc>
        <w:tc>
          <w:tcPr>
            <w:tcW w:w="1448" w:type="dxa"/>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jc w:val="center"/>
              <w:rPr>
                <w:rFonts w:ascii="Verdana" w:eastAsia="Verdana" w:hAnsi="Verdana" w:cs="Verdana"/>
                <w:noProof/>
                <w:color w:val="FFFFFF"/>
                <w:sz w:val="16"/>
              </w:rPr>
            </w:pPr>
            <w:r>
              <w:rPr>
                <w:rFonts w:ascii="Verdana" w:hAnsi="Verdana"/>
                <w:noProof/>
                <w:color w:val="FFFFFF"/>
                <w:sz w:val="16"/>
              </w:rPr>
              <w:t>sur les droits</w:t>
            </w:r>
          </w:p>
          <w:p>
            <w:pPr>
              <w:pStyle w:val="DMETW36741BIPImplementationbudgetrevenue"/>
              <w:jc w:val="center"/>
              <w:rPr>
                <w:rFonts w:ascii="Verdana" w:eastAsia="Verdana" w:hAnsi="Verdana" w:cs="Verdana"/>
                <w:noProof/>
                <w:color w:val="FFFFFF"/>
                <w:sz w:val="16"/>
              </w:rPr>
            </w:pPr>
            <w:r>
              <w:rPr>
                <w:rFonts w:ascii="Verdana" w:hAnsi="Verdana"/>
                <w:noProof/>
                <w:color w:val="FFFFFF"/>
                <w:sz w:val="16"/>
              </w:rPr>
              <w:t>reportés</w:t>
            </w:r>
          </w:p>
        </w:tc>
        <w:tc>
          <w:tcPr>
            <w:tcW w:w="1052" w:type="dxa"/>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rPr>
                <w:rFonts w:ascii="Verdana" w:eastAsia="Verdana" w:hAnsi="Verdana" w:cs="Verdana"/>
                <w:noProof/>
                <w:color w:val="FFFFFF"/>
                <w:sz w:val="16"/>
              </w:rPr>
            </w:pPr>
            <w:r>
              <w:rPr>
                <w:rFonts w:ascii="Verdana" w:hAnsi="Verdana"/>
                <w:noProof/>
                <w:color w:val="FFFFFF"/>
                <w:sz w:val="16"/>
              </w:rPr>
              <w:t>Recettes</w:t>
            </w:r>
          </w:p>
        </w:tc>
        <w:tc>
          <w:tcPr>
            <w:tcW w:w="2340" w:type="dxa"/>
            <w:vMerge/>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jc w:val="center"/>
              <w:rPr>
                <w:rFonts w:ascii="Verdana" w:eastAsia="Verdana" w:hAnsi="Verdana" w:cs="Verdana"/>
                <w:noProof/>
                <w:color w:val="FFFFFF"/>
                <w:sz w:val="16"/>
              </w:rPr>
            </w:pPr>
          </w:p>
        </w:tc>
        <w:tc>
          <w:tcPr>
            <w:tcW w:w="960" w:type="dxa"/>
            <w:vMerge/>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jc w:val="center"/>
              <w:rPr>
                <w:rFonts w:ascii="Verdana" w:eastAsia="Verdana" w:hAnsi="Verdana" w:cs="Verdana"/>
                <w:noProof/>
                <w:color w:val="FFFFFF"/>
                <w:sz w:val="16"/>
              </w:rPr>
            </w:pPr>
          </w:p>
        </w:tc>
      </w:tr>
      <w:tr>
        <w:trPr>
          <w:trHeight w:val="255"/>
        </w:trPr>
        <w:tc>
          <w:tcPr>
            <w:tcW w:w="486" w:type="dxa"/>
            <w:tcBorders>
              <w:top w:val="nil"/>
              <w:left w:val="nil"/>
              <w:bottom w:val="nil"/>
              <w:right w:val="nil"/>
              <w:tl2br w:val="nil"/>
              <w:tr2bl w:val="nil"/>
            </w:tcBorders>
            <w:tcMar>
              <w:left w:w="60" w:type="dxa"/>
              <w:right w:w="60" w:type="dxa"/>
            </w:tcMar>
            <w:vAlign w:val="center"/>
          </w:tcPr>
          <w:p>
            <w:pPr>
              <w:pStyle w:val="DMETW36741BIPImplementationbudgetrevenue"/>
              <w:rPr>
                <w:rFonts w:ascii="Verdana" w:eastAsia="Verdana" w:hAnsi="Verdana" w:cs="Verdana"/>
                <w:noProof/>
                <w:color w:val="000000"/>
                <w:sz w:val="16"/>
              </w:rPr>
            </w:pPr>
            <w:r>
              <w:rPr>
                <w:rFonts w:ascii="Verdana" w:hAnsi="Verdana"/>
                <w:noProof/>
                <w:color w:val="000000"/>
                <w:sz w:val="16"/>
              </w:rPr>
              <w:t>1 1</w:t>
            </w:r>
          </w:p>
        </w:tc>
        <w:tc>
          <w:tcPr>
            <w:tcW w:w="3969" w:type="dxa"/>
            <w:tcBorders>
              <w:top w:val="nil"/>
              <w:left w:val="nil"/>
              <w:bottom w:val="nil"/>
              <w:right w:val="nil"/>
              <w:tl2br w:val="nil"/>
              <w:tr2bl w:val="nil"/>
            </w:tcBorders>
            <w:tcMar>
              <w:left w:w="60" w:type="dxa"/>
              <w:right w:w="60" w:type="dxa"/>
            </w:tcMar>
            <w:vAlign w:val="center"/>
          </w:tcPr>
          <w:p>
            <w:pPr>
              <w:pStyle w:val="DMETW36741BIPImplementationbudgetrevenue"/>
              <w:rPr>
                <w:rFonts w:ascii="Verdana" w:eastAsia="Verdana" w:hAnsi="Verdana" w:cs="Verdana"/>
                <w:noProof/>
                <w:color w:val="000000"/>
                <w:sz w:val="16"/>
              </w:rPr>
            </w:pPr>
            <w:r>
              <w:rPr>
                <w:rFonts w:ascii="Verdana" w:hAnsi="Verdana"/>
                <w:noProof/>
                <w:color w:val="000000"/>
                <w:sz w:val="16"/>
              </w:rPr>
              <w:t>Cotisations et autres droits prévus dans le cadre de l’organisation commune des marchés dans le secteur du sucre</w:t>
            </w:r>
          </w:p>
        </w:tc>
        <w:tc>
          <w:tcPr>
            <w:tcW w:w="99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p>
        </w:tc>
        <w:tc>
          <w:tcPr>
            <w:tcW w:w="99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p>
        </w:tc>
        <w:tc>
          <w:tcPr>
            <w:tcW w:w="870"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 xml:space="preserve"> (0)</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 xml:space="preserve"> (0)</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w:t>
            </w:r>
          </w:p>
        </w:tc>
        <w:tc>
          <w:tcPr>
            <w:tcW w:w="1448"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w:t>
            </w:r>
          </w:p>
        </w:tc>
        <w:tc>
          <w:tcPr>
            <w:tcW w:w="105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w:t>
            </w:r>
          </w:p>
        </w:tc>
        <w:tc>
          <w:tcPr>
            <w:tcW w:w="1059"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86" w:type="dxa"/>
            <w:tcBorders>
              <w:top w:val="nil"/>
              <w:left w:val="nil"/>
              <w:bottom w:val="nil"/>
              <w:right w:val="nil"/>
              <w:tl2br w:val="nil"/>
              <w:tr2bl w:val="nil"/>
            </w:tcBorders>
            <w:tcMar>
              <w:left w:w="60" w:type="dxa"/>
              <w:right w:w="60" w:type="dxa"/>
            </w:tcMar>
            <w:vAlign w:val="center"/>
          </w:tcPr>
          <w:p>
            <w:pPr>
              <w:pStyle w:val="DMETW36741BIPImplementationbudgetrevenue"/>
              <w:rPr>
                <w:rFonts w:ascii="Verdana" w:eastAsia="Verdana" w:hAnsi="Verdana" w:cs="Verdana"/>
                <w:noProof/>
                <w:color w:val="000000"/>
                <w:sz w:val="16"/>
              </w:rPr>
            </w:pPr>
            <w:r>
              <w:rPr>
                <w:rFonts w:ascii="Verdana" w:hAnsi="Verdana"/>
                <w:noProof/>
                <w:color w:val="000000"/>
                <w:sz w:val="16"/>
              </w:rPr>
              <w:t>1 2</w:t>
            </w:r>
          </w:p>
        </w:tc>
        <w:tc>
          <w:tcPr>
            <w:tcW w:w="3969" w:type="dxa"/>
            <w:tcBorders>
              <w:top w:val="nil"/>
              <w:left w:val="nil"/>
              <w:bottom w:val="nil"/>
              <w:right w:val="nil"/>
              <w:tl2br w:val="nil"/>
              <w:tr2bl w:val="nil"/>
            </w:tcBorders>
            <w:tcMar>
              <w:left w:w="60" w:type="dxa"/>
              <w:right w:w="60" w:type="dxa"/>
            </w:tcMar>
            <w:vAlign w:val="center"/>
          </w:tcPr>
          <w:p>
            <w:pPr>
              <w:pStyle w:val="DMETW36741BIPImplementationbudgetrevenue"/>
              <w:rPr>
                <w:rFonts w:ascii="Verdana" w:eastAsia="Verdana" w:hAnsi="Verdana" w:cs="Verdana"/>
                <w:noProof/>
                <w:color w:val="000000"/>
                <w:sz w:val="16"/>
              </w:rPr>
            </w:pPr>
            <w:r>
              <w:rPr>
                <w:rFonts w:ascii="Verdana" w:hAnsi="Verdana"/>
                <w:noProof/>
                <w:color w:val="000000"/>
                <w:sz w:val="16"/>
              </w:rPr>
              <w:t>Droits de douane et autres droits</w:t>
            </w:r>
          </w:p>
        </w:tc>
        <w:tc>
          <w:tcPr>
            <w:tcW w:w="99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21 082</w:t>
            </w:r>
          </w:p>
        </w:tc>
        <w:tc>
          <w:tcPr>
            <w:tcW w:w="99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22 179</w:t>
            </w:r>
          </w:p>
        </w:tc>
        <w:tc>
          <w:tcPr>
            <w:tcW w:w="870"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23 037</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 xml:space="preserve"> 32</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23 068</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23 034</w:t>
            </w:r>
          </w:p>
        </w:tc>
        <w:tc>
          <w:tcPr>
            <w:tcW w:w="1448"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 xml:space="preserve"> 4</w:t>
            </w:r>
          </w:p>
        </w:tc>
        <w:tc>
          <w:tcPr>
            <w:tcW w:w="105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23 038</w:t>
            </w:r>
          </w:p>
        </w:tc>
        <w:tc>
          <w:tcPr>
            <w:tcW w:w="1059"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 xml:space="preserve"> 104 %</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 xml:space="preserve"> 30</w:t>
            </w:r>
          </w:p>
        </w:tc>
      </w:tr>
      <w:tr>
        <w:trPr>
          <w:trHeight w:val="255"/>
        </w:trPr>
        <w:tc>
          <w:tcPr>
            <w:tcW w:w="486" w:type="dxa"/>
            <w:tcBorders>
              <w:top w:val="nil"/>
              <w:left w:val="nil"/>
              <w:bottom w:val="nil"/>
              <w:right w:val="nil"/>
              <w:tl2br w:val="nil"/>
              <w:tr2bl w:val="nil"/>
            </w:tcBorders>
            <w:tcMar>
              <w:left w:w="60" w:type="dxa"/>
              <w:right w:w="60" w:type="dxa"/>
            </w:tcMar>
            <w:vAlign w:val="center"/>
          </w:tcPr>
          <w:p>
            <w:pPr>
              <w:pStyle w:val="DMETW36741BIPImplementationbudgetrevenue"/>
              <w:rPr>
                <w:rFonts w:ascii="Verdana" w:eastAsia="Verdana" w:hAnsi="Verdana" w:cs="Verdana"/>
                <w:noProof/>
                <w:color w:val="000000"/>
                <w:sz w:val="16"/>
              </w:rPr>
            </w:pPr>
            <w:r>
              <w:rPr>
                <w:rFonts w:ascii="Verdana" w:hAnsi="Verdana"/>
                <w:noProof/>
                <w:color w:val="000000"/>
                <w:sz w:val="16"/>
              </w:rPr>
              <w:t>1 3</w:t>
            </w:r>
          </w:p>
        </w:tc>
        <w:tc>
          <w:tcPr>
            <w:tcW w:w="3969" w:type="dxa"/>
            <w:tcBorders>
              <w:top w:val="nil"/>
              <w:left w:val="nil"/>
              <w:bottom w:val="nil"/>
              <w:right w:val="nil"/>
              <w:tl2br w:val="nil"/>
              <w:tr2bl w:val="nil"/>
            </w:tcBorders>
            <w:tcMar>
              <w:left w:w="60" w:type="dxa"/>
              <w:right w:w="60" w:type="dxa"/>
            </w:tcMar>
            <w:vAlign w:val="center"/>
          </w:tcPr>
          <w:p>
            <w:pPr>
              <w:pStyle w:val="DMETW36741BIPImplementationbudgetrevenue"/>
              <w:rPr>
                <w:rFonts w:ascii="Verdana" w:eastAsia="Verdana" w:hAnsi="Verdana" w:cs="Verdana"/>
                <w:noProof/>
                <w:color w:val="000000"/>
                <w:sz w:val="16"/>
              </w:rPr>
            </w:pPr>
            <w:r>
              <w:rPr>
                <w:rFonts w:ascii="Verdana" w:hAnsi="Verdana"/>
                <w:noProof/>
                <w:color w:val="000000"/>
                <w:sz w:val="16"/>
              </w:rPr>
              <w:t>Ressource propre fondée sur la taxe sur la valeur ajoutée</w:t>
            </w:r>
          </w:p>
        </w:tc>
        <w:tc>
          <w:tcPr>
            <w:tcW w:w="99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24 395</w:t>
            </w:r>
          </w:p>
        </w:tc>
        <w:tc>
          <w:tcPr>
            <w:tcW w:w="99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23 815</w:t>
            </w:r>
          </w:p>
        </w:tc>
        <w:tc>
          <w:tcPr>
            <w:tcW w:w="870"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23 860</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23 860</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23 860</w:t>
            </w:r>
          </w:p>
        </w:tc>
        <w:tc>
          <w:tcPr>
            <w:tcW w:w="1448"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w:t>
            </w:r>
          </w:p>
        </w:tc>
        <w:tc>
          <w:tcPr>
            <w:tcW w:w="105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23 860</w:t>
            </w:r>
          </w:p>
        </w:tc>
        <w:tc>
          <w:tcPr>
            <w:tcW w:w="1059"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 xml:space="preserve"> 100 %</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486" w:type="dxa"/>
            <w:tcBorders>
              <w:top w:val="nil"/>
              <w:left w:val="nil"/>
              <w:bottom w:val="nil"/>
              <w:right w:val="nil"/>
              <w:tl2br w:val="nil"/>
              <w:tr2bl w:val="nil"/>
            </w:tcBorders>
            <w:tcMar>
              <w:left w:w="60" w:type="dxa"/>
              <w:right w:w="60" w:type="dxa"/>
            </w:tcMar>
            <w:vAlign w:val="center"/>
          </w:tcPr>
          <w:p>
            <w:pPr>
              <w:pStyle w:val="DMETW36741BIPImplementationbudgetrevenue"/>
              <w:rPr>
                <w:rFonts w:ascii="Verdana" w:eastAsia="Verdana" w:hAnsi="Verdana" w:cs="Verdana"/>
                <w:noProof/>
                <w:color w:val="000000"/>
                <w:sz w:val="16"/>
              </w:rPr>
            </w:pPr>
            <w:r>
              <w:rPr>
                <w:rFonts w:ascii="Verdana" w:hAnsi="Verdana"/>
                <w:noProof/>
                <w:color w:val="000000"/>
                <w:sz w:val="16"/>
              </w:rPr>
              <w:t>1 4</w:t>
            </w:r>
          </w:p>
        </w:tc>
        <w:tc>
          <w:tcPr>
            <w:tcW w:w="3969" w:type="dxa"/>
            <w:tcBorders>
              <w:top w:val="nil"/>
              <w:left w:val="nil"/>
              <w:bottom w:val="nil"/>
              <w:right w:val="nil"/>
              <w:tl2br w:val="nil"/>
              <w:tr2bl w:val="nil"/>
            </w:tcBorders>
            <w:tcMar>
              <w:left w:w="60" w:type="dxa"/>
              <w:right w:w="60" w:type="dxa"/>
            </w:tcMar>
            <w:vAlign w:val="center"/>
          </w:tcPr>
          <w:p>
            <w:pPr>
              <w:pStyle w:val="DMETW36741BIPImplementationbudgetrevenue"/>
              <w:rPr>
                <w:rFonts w:ascii="Verdana" w:eastAsia="Verdana" w:hAnsi="Verdana" w:cs="Verdana"/>
                <w:noProof/>
                <w:color w:val="000000"/>
                <w:sz w:val="16"/>
              </w:rPr>
            </w:pPr>
            <w:r>
              <w:rPr>
                <w:rFonts w:ascii="Verdana" w:hAnsi="Verdana"/>
                <w:noProof/>
                <w:color w:val="000000"/>
                <w:sz w:val="16"/>
              </w:rPr>
              <w:t>Ressource propre fondée sur le revenu national brut</w:t>
            </w:r>
          </w:p>
        </w:tc>
        <w:tc>
          <w:tcPr>
            <w:tcW w:w="99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98 563</w:t>
            </w:r>
          </w:p>
        </w:tc>
        <w:tc>
          <w:tcPr>
            <w:tcW w:w="99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101 480</w:t>
            </w:r>
          </w:p>
        </w:tc>
        <w:tc>
          <w:tcPr>
            <w:tcW w:w="870"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101 682</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101 682</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101 682</w:t>
            </w:r>
          </w:p>
        </w:tc>
        <w:tc>
          <w:tcPr>
            <w:tcW w:w="1448"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w:t>
            </w:r>
          </w:p>
        </w:tc>
        <w:tc>
          <w:tcPr>
            <w:tcW w:w="105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101 682</w:t>
            </w:r>
          </w:p>
        </w:tc>
        <w:tc>
          <w:tcPr>
            <w:tcW w:w="1059"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 xml:space="preserve"> 100 %</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86" w:type="dxa"/>
            <w:tcBorders>
              <w:top w:val="nil"/>
              <w:left w:val="nil"/>
              <w:bottom w:val="nil"/>
              <w:right w:val="nil"/>
              <w:tl2br w:val="nil"/>
              <w:tr2bl w:val="nil"/>
            </w:tcBorders>
            <w:tcMar>
              <w:left w:w="60" w:type="dxa"/>
              <w:right w:w="60" w:type="dxa"/>
            </w:tcMar>
            <w:vAlign w:val="center"/>
          </w:tcPr>
          <w:p>
            <w:pPr>
              <w:pStyle w:val="DMETW36741BIPImplementationbudgetrevenue"/>
              <w:rPr>
                <w:rFonts w:ascii="Verdana" w:eastAsia="Verdana" w:hAnsi="Verdana" w:cs="Verdana"/>
                <w:noProof/>
                <w:color w:val="000000"/>
                <w:sz w:val="16"/>
              </w:rPr>
            </w:pPr>
            <w:r>
              <w:rPr>
                <w:rFonts w:ascii="Verdana" w:hAnsi="Verdana"/>
                <w:noProof/>
                <w:color w:val="000000"/>
                <w:sz w:val="16"/>
              </w:rPr>
              <w:t>1 6</w:t>
            </w:r>
          </w:p>
        </w:tc>
        <w:tc>
          <w:tcPr>
            <w:tcW w:w="3969" w:type="dxa"/>
            <w:tcBorders>
              <w:top w:val="nil"/>
              <w:left w:val="nil"/>
              <w:bottom w:val="nil"/>
              <w:right w:val="nil"/>
              <w:tl2br w:val="nil"/>
              <w:tr2bl w:val="nil"/>
            </w:tcBorders>
            <w:tcMar>
              <w:left w:w="60" w:type="dxa"/>
              <w:right w:w="60" w:type="dxa"/>
            </w:tcMar>
            <w:vAlign w:val="center"/>
          </w:tcPr>
          <w:p>
            <w:pPr>
              <w:pStyle w:val="DMETW36741BIPImplementationbudgetrevenue"/>
              <w:rPr>
                <w:rFonts w:ascii="Verdana" w:eastAsia="Verdana" w:hAnsi="Verdana" w:cs="Verdana"/>
                <w:noProof/>
                <w:color w:val="000000"/>
                <w:sz w:val="16"/>
              </w:rPr>
            </w:pPr>
            <w:r>
              <w:rPr>
                <w:rFonts w:ascii="Verdana" w:hAnsi="Verdana"/>
                <w:noProof/>
                <w:color w:val="000000"/>
                <w:sz w:val="16"/>
              </w:rPr>
              <w:t>Réductions forfaitaires des contributions RNB accordées à certains États membres et leur financement</w:t>
            </w:r>
          </w:p>
        </w:tc>
        <w:tc>
          <w:tcPr>
            <w:tcW w:w="99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w:t>
            </w:r>
          </w:p>
        </w:tc>
        <w:tc>
          <w:tcPr>
            <w:tcW w:w="99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w:t>
            </w:r>
          </w:p>
        </w:tc>
        <w:tc>
          <w:tcPr>
            <w:tcW w:w="870"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 xml:space="preserve"> (25)</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 xml:space="preserve"> (25)</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 xml:space="preserve"> (25)</w:t>
            </w:r>
          </w:p>
        </w:tc>
        <w:tc>
          <w:tcPr>
            <w:tcW w:w="1448"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w:t>
            </w:r>
          </w:p>
        </w:tc>
        <w:tc>
          <w:tcPr>
            <w:tcW w:w="105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 xml:space="preserve"> (25)</w:t>
            </w:r>
          </w:p>
        </w:tc>
        <w:tc>
          <w:tcPr>
            <w:tcW w:w="1059"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486" w:type="dxa"/>
            <w:tcBorders>
              <w:top w:val="nil"/>
              <w:left w:val="nil"/>
              <w:bottom w:val="nil"/>
              <w:right w:val="nil"/>
              <w:tl2br w:val="nil"/>
              <w:tr2bl w:val="nil"/>
            </w:tcBorders>
            <w:tcMar>
              <w:left w:w="60" w:type="dxa"/>
              <w:right w:w="60" w:type="dxa"/>
            </w:tcMar>
            <w:vAlign w:val="center"/>
          </w:tcPr>
          <w:p>
            <w:pPr>
              <w:pStyle w:val="DMETW36741BIPImplementationbudgetrevenue"/>
              <w:rPr>
                <w:rFonts w:ascii="Verdana" w:eastAsia="Verdana" w:hAnsi="Verdana" w:cs="Verdana"/>
                <w:noProof/>
                <w:color w:val="000000"/>
                <w:sz w:val="16"/>
              </w:rPr>
            </w:pPr>
            <w:r>
              <w:rPr>
                <w:rFonts w:ascii="Verdana" w:hAnsi="Verdana"/>
                <w:noProof/>
                <w:color w:val="000000"/>
                <w:sz w:val="16"/>
              </w:rPr>
              <w:t>1 7</w:t>
            </w:r>
          </w:p>
        </w:tc>
        <w:tc>
          <w:tcPr>
            <w:tcW w:w="3969" w:type="dxa"/>
            <w:tcBorders>
              <w:top w:val="nil"/>
              <w:left w:val="nil"/>
              <w:bottom w:val="nil"/>
              <w:right w:val="nil"/>
              <w:tl2br w:val="nil"/>
              <w:tr2bl w:val="nil"/>
            </w:tcBorders>
            <w:tcMar>
              <w:left w:w="60" w:type="dxa"/>
              <w:right w:w="60" w:type="dxa"/>
            </w:tcMar>
            <w:vAlign w:val="center"/>
          </w:tcPr>
          <w:p>
            <w:pPr>
              <w:pStyle w:val="DMETW36741BIPImplementationbudgetrevenue"/>
              <w:rPr>
                <w:rFonts w:ascii="Verdana" w:eastAsia="Verdana" w:hAnsi="Verdana" w:cs="Verdana"/>
                <w:noProof/>
                <w:color w:val="000000"/>
                <w:sz w:val="16"/>
              </w:rPr>
            </w:pPr>
            <w:r>
              <w:rPr>
                <w:rFonts w:ascii="Verdana" w:hAnsi="Verdana"/>
                <w:noProof/>
                <w:color w:val="000000"/>
                <w:sz w:val="16"/>
              </w:rPr>
              <w:t>Ressource propre fondée sur les déchets d’emballages en plastique non recyclés</w:t>
            </w:r>
          </w:p>
        </w:tc>
        <w:tc>
          <w:tcPr>
            <w:tcW w:w="99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7 121</w:t>
            </w:r>
          </w:p>
        </w:tc>
        <w:tc>
          <w:tcPr>
            <w:tcW w:w="99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6 848</w:t>
            </w:r>
          </w:p>
        </w:tc>
        <w:tc>
          <w:tcPr>
            <w:tcW w:w="870"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6 863</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6 863</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6 863</w:t>
            </w:r>
          </w:p>
        </w:tc>
        <w:tc>
          <w:tcPr>
            <w:tcW w:w="1448"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w:t>
            </w:r>
          </w:p>
        </w:tc>
        <w:tc>
          <w:tcPr>
            <w:tcW w:w="105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6 863</w:t>
            </w:r>
          </w:p>
        </w:tc>
        <w:tc>
          <w:tcPr>
            <w:tcW w:w="1059"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 xml:space="preserve"> 100 %</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486" w:type="dxa"/>
            <w:tcBorders>
              <w:top w:val="nil"/>
              <w:left w:val="nil"/>
              <w:bottom w:val="nil"/>
              <w:right w:val="nil"/>
              <w:tl2br w:val="nil"/>
              <w:tr2bl w:val="nil"/>
            </w:tcBorders>
            <w:shd w:val="solid" w:color="CCE1EB" w:fill="FFFFFF"/>
            <w:tcMar>
              <w:left w:w="60" w:type="dxa"/>
              <w:right w:w="60" w:type="dxa"/>
            </w:tcMar>
            <w:vAlign w:val="center"/>
          </w:tcPr>
          <w:p>
            <w:pPr>
              <w:pStyle w:val="DMETW36741BIPImplementationbudgetrevenue"/>
              <w:rPr>
                <w:rFonts w:ascii="Verdana" w:eastAsia="Verdana" w:hAnsi="Verdana" w:cs="Verdana"/>
                <w:b/>
                <w:noProof/>
                <w:color w:val="000000"/>
                <w:sz w:val="16"/>
              </w:rPr>
            </w:pPr>
          </w:p>
        </w:tc>
        <w:tc>
          <w:tcPr>
            <w:tcW w:w="3969" w:type="dxa"/>
            <w:tcBorders>
              <w:top w:val="nil"/>
              <w:left w:val="nil"/>
              <w:bottom w:val="nil"/>
              <w:right w:val="nil"/>
              <w:tl2br w:val="nil"/>
              <w:tr2bl w:val="nil"/>
            </w:tcBorders>
            <w:shd w:val="solid" w:color="CCE1EB" w:fill="FFFFFF"/>
            <w:tcMar>
              <w:left w:w="60" w:type="dxa"/>
              <w:right w:w="60" w:type="dxa"/>
            </w:tcMar>
            <w:vAlign w:val="center"/>
          </w:tcPr>
          <w:p>
            <w:pPr>
              <w:pStyle w:val="DMETW36741BIPImplementationbudgetrevenue"/>
              <w:rPr>
                <w:rFonts w:ascii="Verdana" w:eastAsia="Verdana" w:hAnsi="Verdana" w:cs="Verdana"/>
                <w:b/>
                <w:noProof/>
                <w:color w:val="000000"/>
                <w:sz w:val="16"/>
              </w:rPr>
            </w:pPr>
            <w:r>
              <w:rPr>
                <w:rFonts w:ascii="Verdana" w:hAnsi="Verdana"/>
                <w:b/>
                <w:noProof/>
                <w:color w:val="000000"/>
                <w:sz w:val="16"/>
              </w:rPr>
              <w:t>TOTAL</w:t>
            </w:r>
          </w:p>
        </w:tc>
        <w:tc>
          <w:tcPr>
            <w:tcW w:w="992" w:type="dxa"/>
            <w:tcBorders>
              <w:top w:val="nil"/>
              <w:left w:val="nil"/>
              <w:bottom w:val="nil"/>
              <w:right w:val="nil"/>
              <w:tl2br w:val="nil"/>
              <w:tr2bl w:val="nil"/>
            </w:tcBorders>
            <w:shd w:val="solid" w:color="CCE1EB" w:fill="FFFFFF"/>
            <w:tcMar>
              <w:left w:w="60" w:type="dxa"/>
              <w:right w:w="60" w:type="dxa"/>
            </w:tcMar>
            <w:vAlign w:val="center"/>
          </w:tcPr>
          <w:p>
            <w:pPr>
              <w:pStyle w:val="DMETW36741BIPImplementationbudgetrevenue"/>
              <w:jc w:val="right"/>
              <w:rPr>
                <w:rFonts w:ascii="Verdana" w:eastAsia="Verdana" w:hAnsi="Verdana" w:cs="Verdana"/>
                <w:b/>
                <w:noProof/>
                <w:color w:val="000000"/>
                <w:sz w:val="16"/>
              </w:rPr>
            </w:pPr>
            <w:r>
              <w:rPr>
                <w:rFonts w:ascii="Verdana" w:hAnsi="Verdana"/>
                <w:b/>
                <w:noProof/>
                <w:color w:val="000000"/>
                <w:sz w:val="16"/>
              </w:rPr>
              <w:t>151 161</w:t>
            </w:r>
          </w:p>
        </w:tc>
        <w:tc>
          <w:tcPr>
            <w:tcW w:w="992" w:type="dxa"/>
            <w:tcBorders>
              <w:top w:val="nil"/>
              <w:left w:val="nil"/>
              <w:bottom w:val="nil"/>
              <w:right w:val="nil"/>
              <w:tl2br w:val="nil"/>
              <w:tr2bl w:val="nil"/>
            </w:tcBorders>
            <w:shd w:val="solid" w:color="CCE1EB" w:fill="FFFFFF"/>
            <w:tcMar>
              <w:left w:w="60" w:type="dxa"/>
              <w:right w:w="60" w:type="dxa"/>
            </w:tcMar>
            <w:vAlign w:val="center"/>
          </w:tcPr>
          <w:p>
            <w:pPr>
              <w:pStyle w:val="DMETW36741BIPImplementationbudgetrevenue"/>
              <w:jc w:val="right"/>
              <w:rPr>
                <w:rFonts w:ascii="Verdana" w:eastAsia="Verdana" w:hAnsi="Verdana" w:cs="Verdana"/>
                <w:b/>
                <w:noProof/>
                <w:color w:val="000000"/>
                <w:sz w:val="16"/>
              </w:rPr>
            </w:pPr>
            <w:r>
              <w:rPr>
                <w:rFonts w:ascii="Verdana" w:hAnsi="Verdana"/>
                <w:b/>
                <w:noProof/>
                <w:color w:val="000000"/>
                <w:sz w:val="16"/>
              </w:rPr>
              <w:t>154 322</w:t>
            </w:r>
          </w:p>
        </w:tc>
        <w:tc>
          <w:tcPr>
            <w:tcW w:w="870" w:type="dxa"/>
            <w:tcBorders>
              <w:top w:val="nil"/>
              <w:left w:val="nil"/>
              <w:bottom w:val="nil"/>
              <w:right w:val="nil"/>
              <w:tl2br w:val="nil"/>
              <w:tr2bl w:val="nil"/>
            </w:tcBorders>
            <w:shd w:val="solid" w:color="CCE1EB" w:fill="FFFFFF"/>
            <w:tcMar>
              <w:left w:w="60" w:type="dxa"/>
              <w:right w:w="60" w:type="dxa"/>
            </w:tcMar>
            <w:vAlign w:val="center"/>
          </w:tcPr>
          <w:p>
            <w:pPr>
              <w:pStyle w:val="DMETW36741BIPImplementationbudgetrevenue"/>
              <w:jc w:val="right"/>
              <w:rPr>
                <w:rFonts w:ascii="Verdana" w:eastAsia="Verdana" w:hAnsi="Verdana" w:cs="Verdana"/>
                <w:b/>
                <w:noProof/>
                <w:color w:val="000000"/>
                <w:sz w:val="16"/>
              </w:rPr>
            </w:pPr>
            <w:r>
              <w:rPr>
                <w:rFonts w:ascii="Verdana" w:hAnsi="Verdana"/>
                <w:b/>
                <w:noProof/>
                <w:color w:val="000000"/>
                <w:sz w:val="16"/>
              </w:rPr>
              <w:t>155 417</w:t>
            </w:r>
          </w:p>
        </w:tc>
        <w:tc>
          <w:tcPr>
            <w:tcW w:w="956" w:type="dxa"/>
            <w:tcBorders>
              <w:top w:val="nil"/>
              <w:left w:val="nil"/>
              <w:bottom w:val="nil"/>
              <w:right w:val="nil"/>
              <w:tl2br w:val="nil"/>
              <w:tr2bl w:val="nil"/>
            </w:tcBorders>
            <w:shd w:val="solid" w:color="CCE1EB" w:fill="FFFFFF"/>
            <w:tcMar>
              <w:left w:w="60" w:type="dxa"/>
              <w:right w:w="60" w:type="dxa"/>
            </w:tcMar>
            <w:vAlign w:val="center"/>
          </w:tcPr>
          <w:p>
            <w:pPr>
              <w:pStyle w:val="DMETW36741BIPImplementationbudgetrevenue"/>
              <w:jc w:val="right"/>
              <w:rPr>
                <w:rFonts w:ascii="Verdana" w:eastAsia="Verdana" w:hAnsi="Verdana" w:cs="Verdana"/>
                <w:b/>
                <w:noProof/>
                <w:color w:val="000000"/>
                <w:sz w:val="16"/>
              </w:rPr>
            </w:pPr>
            <w:r>
              <w:rPr>
                <w:rFonts w:ascii="Verdana" w:hAnsi="Verdana"/>
                <w:b/>
                <w:noProof/>
                <w:color w:val="000000"/>
                <w:sz w:val="16"/>
              </w:rPr>
              <w:t xml:space="preserve"> 32</w:t>
            </w:r>
          </w:p>
        </w:tc>
        <w:tc>
          <w:tcPr>
            <w:tcW w:w="956" w:type="dxa"/>
            <w:tcBorders>
              <w:top w:val="nil"/>
              <w:left w:val="nil"/>
              <w:bottom w:val="nil"/>
              <w:right w:val="nil"/>
              <w:tl2br w:val="nil"/>
              <w:tr2bl w:val="nil"/>
            </w:tcBorders>
            <w:shd w:val="solid" w:color="CCE1EB" w:fill="FFFFFF"/>
            <w:tcMar>
              <w:left w:w="60" w:type="dxa"/>
              <w:right w:w="60" w:type="dxa"/>
            </w:tcMar>
            <w:vAlign w:val="center"/>
          </w:tcPr>
          <w:p>
            <w:pPr>
              <w:pStyle w:val="DMETW36741BIPImplementationbudgetrevenue"/>
              <w:jc w:val="right"/>
              <w:rPr>
                <w:rFonts w:ascii="Verdana" w:eastAsia="Verdana" w:hAnsi="Verdana" w:cs="Verdana"/>
                <w:b/>
                <w:noProof/>
                <w:color w:val="000000"/>
                <w:sz w:val="16"/>
              </w:rPr>
            </w:pPr>
            <w:r>
              <w:rPr>
                <w:rFonts w:ascii="Verdana" w:hAnsi="Verdana"/>
                <w:b/>
                <w:noProof/>
                <w:color w:val="000000"/>
                <w:sz w:val="16"/>
              </w:rPr>
              <w:t>155 448</w:t>
            </w:r>
          </w:p>
        </w:tc>
        <w:tc>
          <w:tcPr>
            <w:tcW w:w="956" w:type="dxa"/>
            <w:tcBorders>
              <w:top w:val="nil"/>
              <w:left w:val="nil"/>
              <w:bottom w:val="nil"/>
              <w:right w:val="nil"/>
              <w:tl2br w:val="nil"/>
              <w:tr2bl w:val="nil"/>
            </w:tcBorders>
            <w:shd w:val="solid" w:color="CCE1EB" w:fill="FFFFFF"/>
            <w:tcMar>
              <w:left w:w="60" w:type="dxa"/>
              <w:right w:w="60" w:type="dxa"/>
            </w:tcMar>
            <w:vAlign w:val="center"/>
          </w:tcPr>
          <w:p>
            <w:pPr>
              <w:pStyle w:val="DMETW36741BIPImplementationbudgetrevenue"/>
              <w:jc w:val="right"/>
              <w:rPr>
                <w:rFonts w:ascii="Verdana" w:eastAsia="Verdana" w:hAnsi="Verdana" w:cs="Verdana"/>
                <w:b/>
                <w:noProof/>
                <w:color w:val="000000"/>
                <w:sz w:val="16"/>
              </w:rPr>
            </w:pPr>
            <w:r>
              <w:rPr>
                <w:rFonts w:ascii="Verdana" w:hAnsi="Verdana"/>
                <w:b/>
                <w:noProof/>
                <w:color w:val="000000"/>
                <w:sz w:val="16"/>
              </w:rPr>
              <w:t>155 414</w:t>
            </w:r>
          </w:p>
        </w:tc>
        <w:tc>
          <w:tcPr>
            <w:tcW w:w="1448" w:type="dxa"/>
            <w:tcBorders>
              <w:top w:val="nil"/>
              <w:left w:val="nil"/>
              <w:bottom w:val="nil"/>
              <w:right w:val="nil"/>
              <w:tl2br w:val="nil"/>
              <w:tr2bl w:val="nil"/>
            </w:tcBorders>
            <w:shd w:val="solid" w:color="CCE1EB" w:fill="FFFFFF"/>
            <w:tcMar>
              <w:left w:w="60" w:type="dxa"/>
              <w:right w:w="60" w:type="dxa"/>
            </w:tcMar>
            <w:vAlign w:val="center"/>
          </w:tcPr>
          <w:p>
            <w:pPr>
              <w:pStyle w:val="DMETW36741BIPImplementationbudgetrevenue"/>
              <w:jc w:val="right"/>
              <w:rPr>
                <w:rFonts w:ascii="Verdana" w:eastAsia="Verdana" w:hAnsi="Verdana" w:cs="Verdana"/>
                <w:b/>
                <w:noProof/>
                <w:color w:val="000000"/>
                <w:sz w:val="16"/>
              </w:rPr>
            </w:pPr>
            <w:r>
              <w:rPr>
                <w:rFonts w:ascii="Verdana" w:hAnsi="Verdana"/>
                <w:b/>
                <w:noProof/>
                <w:color w:val="000000"/>
                <w:sz w:val="16"/>
              </w:rPr>
              <w:t xml:space="preserve"> 4</w:t>
            </w:r>
          </w:p>
        </w:tc>
        <w:tc>
          <w:tcPr>
            <w:tcW w:w="1052" w:type="dxa"/>
            <w:tcBorders>
              <w:top w:val="nil"/>
              <w:left w:val="nil"/>
              <w:bottom w:val="nil"/>
              <w:right w:val="nil"/>
              <w:tl2br w:val="nil"/>
              <w:tr2bl w:val="nil"/>
            </w:tcBorders>
            <w:shd w:val="solid" w:color="CCE1EB" w:fill="FFFFFF"/>
            <w:tcMar>
              <w:left w:w="60" w:type="dxa"/>
              <w:right w:w="60" w:type="dxa"/>
            </w:tcMar>
            <w:vAlign w:val="center"/>
          </w:tcPr>
          <w:p>
            <w:pPr>
              <w:pStyle w:val="DMETW36741BIPImplementationbudgetrevenue"/>
              <w:jc w:val="right"/>
              <w:rPr>
                <w:rFonts w:ascii="Verdana" w:eastAsia="Verdana" w:hAnsi="Verdana" w:cs="Verdana"/>
                <w:b/>
                <w:noProof/>
                <w:color w:val="000000"/>
                <w:sz w:val="16"/>
              </w:rPr>
            </w:pPr>
            <w:r>
              <w:rPr>
                <w:rFonts w:ascii="Verdana" w:hAnsi="Verdana"/>
                <w:b/>
                <w:noProof/>
                <w:color w:val="000000"/>
                <w:sz w:val="16"/>
              </w:rPr>
              <w:t>155 418</w:t>
            </w:r>
          </w:p>
        </w:tc>
        <w:tc>
          <w:tcPr>
            <w:tcW w:w="1059" w:type="dxa"/>
            <w:tcBorders>
              <w:top w:val="nil"/>
              <w:left w:val="nil"/>
              <w:bottom w:val="nil"/>
              <w:right w:val="nil"/>
              <w:tl2br w:val="nil"/>
              <w:tr2bl w:val="nil"/>
            </w:tcBorders>
            <w:shd w:val="solid" w:color="CCE1EA" w:fill="FFFFFF"/>
            <w:tcMar>
              <w:left w:w="60" w:type="dxa"/>
              <w:right w:w="60" w:type="dxa"/>
            </w:tcMar>
            <w:vAlign w:val="center"/>
          </w:tcPr>
          <w:p>
            <w:pPr>
              <w:pStyle w:val="DMETW36741BIPImplementationbudgetrevenue"/>
              <w:jc w:val="right"/>
              <w:rPr>
                <w:rFonts w:ascii="Verdana" w:eastAsia="Verdana" w:hAnsi="Verdana" w:cs="Verdana"/>
                <w:b/>
                <w:noProof/>
                <w:color w:val="000000"/>
                <w:sz w:val="16"/>
              </w:rPr>
            </w:pPr>
            <w:r>
              <w:rPr>
                <w:rFonts w:ascii="Verdana" w:hAnsi="Verdana"/>
                <w:b/>
                <w:noProof/>
                <w:color w:val="000000"/>
                <w:sz w:val="16"/>
              </w:rPr>
              <w:t>101 %</w:t>
            </w:r>
          </w:p>
        </w:tc>
        <w:tc>
          <w:tcPr>
            <w:tcW w:w="956" w:type="dxa"/>
            <w:tcBorders>
              <w:top w:val="nil"/>
              <w:left w:val="nil"/>
              <w:bottom w:val="nil"/>
              <w:right w:val="nil"/>
              <w:tl2br w:val="nil"/>
              <w:tr2bl w:val="nil"/>
            </w:tcBorders>
            <w:shd w:val="solid" w:color="CCE1EB" w:fill="FFFFFF"/>
            <w:tcMar>
              <w:left w:w="60" w:type="dxa"/>
              <w:right w:w="60" w:type="dxa"/>
            </w:tcMar>
            <w:vAlign w:val="center"/>
          </w:tcPr>
          <w:p>
            <w:pPr>
              <w:pStyle w:val="DMETW36741BIPImplementationbudgetrevenue"/>
              <w:jc w:val="right"/>
              <w:rPr>
                <w:rFonts w:ascii="Verdana" w:eastAsia="Verdana" w:hAnsi="Verdana" w:cs="Verdana"/>
                <w:b/>
                <w:noProof/>
                <w:color w:val="000000"/>
                <w:sz w:val="16"/>
              </w:rPr>
            </w:pPr>
            <w:r>
              <w:rPr>
                <w:rFonts w:ascii="Verdana" w:hAnsi="Verdana"/>
                <w:b/>
                <w:noProof/>
                <w:color w:val="000000"/>
                <w:sz w:val="16"/>
              </w:rPr>
              <w:t xml:space="preserve"> 30</w:t>
            </w:r>
          </w:p>
        </w:tc>
      </w:tr>
      <w:bookmarkEnd w:id="289"/>
    </w:tbl>
    <w:p>
      <w:pPr>
        <w:pStyle w:val="Textstand-alone"/>
        <w:sectPr>
          <w:headerReference w:type="even" r:id="rId159"/>
          <w:headerReference w:type="default" r:id="rId160"/>
          <w:footerReference w:type="even" r:id="rId161"/>
          <w:footerReference w:type="default" r:id="rId162"/>
          <w:headerReference w:type="first" r:id="rId163"/>
          <w:footerReference w:type="first" r:id="rId164"/>
          <w:pgSz w:w="16840" w:h="11900" w:orient="landscape"/>
          <w:pgMar w:top="1134" w:right="1134" w:bottom="1134" w:left="1134" w:header="708" w:footer="708" w:gutter="0"/>
          <w:cols w:space="720"/>
        </w:sectPr>
      </w:pPr>
    </w:p>
    <w:p>
      <w:pPr>
        <w:pStyle w:val="HEADER1PartBUDG"/>
        <w:rPr>
          <w:noProof/>
        </w:rPr>
      </w:pPr>
      <w:bookmarkStart w:id="293" w:name="_DMBM_36789"/>
      <w:r>
        <w:rPr>
          <w:noProof/>
        </w:rPr>
        <w:lastRenderedPageBreak/>
        <w:t xml:space="preserve"> </w:t>
      </w:r>
      <w:bookmarkStart w:id="294" w:name="_Toc237349633"/>
      <w:r>
        <w:rPr>
          <w:noProof/>
        </w:rPr>
        <w:t>EXÉCUTION DU BUDGET DE L'UE EN DÉPENSES</w:t>
      </w:r>
      <w:bookmarkEnd w:id="294"/>
      <w:r>
        <w:rPr>
          <w:noProof/>
        </w:rPr>
        <w:t xml:space="preserve"> </w:t>
      </w:r>
    </w:p>
    <w:p>
      <w:pPr>
        <w:pStyle w:val="HEADER2PartBUDG"/>
        <w:spacing w:before="600"/>
        <w:rPr>
          <w:noProof/>
        </w:rPr>
      </w:pPr>
      <w:bookmarkStart w:id="295" w:name="_Toc237349634"/>
      <w:r>
        <w:rPr>
          <w:noProof/>
        </w:rPr>
        <w:t>CFP: VENTILATION ET ÉVOLUTION DES CRÉDITS D’ENGAGEMENT ET DE PAIEMENT</w:t>
      </w:r>
      <w:bookmarkEnd w:id="2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
        <w:gridCol w:w="3084"/>
        <w:gridCol w:w="1020"/>
        <w:gridCol w:w="911"/>
        <w:gridCol w:w="888"/>
        <w:gridCol w:w="688"/>
        <w:gridCol w:w="954"/>
        <w:gridCol w:w="1002"/>
        <w:gridCol w:w="885"/>
        <w:gridCol w:w="911"/>
        <w:gridCol w:w="873"/>
        <w:gridCol w:w="885"/>
        <w:gridCol w:w="888"/>
        <w:gridCol w:w="1361"/>
      </w:tblGrid>
      <w:tr>
        <w:trPr>
          <w:cantSplit/>
          <w:trHeight w:val="255"/>
        </w:trPr>
        <w:tc>
          <w:tcPr>
            <w:tcW w:w="344" w:type="dxa"/>
            <w:gridSpan w:val="14"/>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i/>
                <w:noProof/>
                <w:color w:val="000000"/>
                <w:sz w:val="16"/>
              </w:rPr>
            </w:pPr>
            <w:bookmarkStart w:id="296" w:name="DOC_TBL00114_1_1"/>
            <w:bookmarkEnd w:id="296"/>
            <w:r>
              <w:rPr>
                <w:rFonts w:ascii="Verdana" w:hAnsi="Verdana"/>
                <w:i/>
                <w:noProof/>
                <w:color w:val="000000"/>
                <w:sz w:val="16"/>
              </w:rPr>
              <w:t>en Mio EUR</w:t>
            </w:r>
          </w:p>
        </w:tc>
      </w:tr>
      <w:tr>
        <w:trPr>
          <w:cantSplit/>
          <w:trHeight w:val="255"/>
        </w:trPr>
        <w:tc>
          <w:tcPr>
            <w:tcW w:w="344" w:type="dxa"/>
            <w:tcBorders>
              <w:top w:val="nil"/>
              <w:left w:val="nil"/>
              <w:bottom w:val="nil"/>
              <w:right w:val="nil"/>
              <w:tl2br w:val="nil"/>
              <w:tr2bl w:val="nil"/>
            </w:tcBorders>
            <w:shd w:val="solid" w:color="016794" w:fill="FFFFFF"/>
            <w:tcMar>
              <w:left w:w="60" w:type="dxa"/>
              <w:right w:w="60" w:type="dxa"/>
            </w:tcMar>
            <w:vAlign w:val="center"/>
          </w:tcPr>
          <w:p>
            <w:pPr>
              <w:pStyle w:val="DMETW36742BIPMFF1BreakdownCommPaym"/>
              <w:jc w:val="center"/>
              <w:rPr>
                <w:rFonts w:ascii="Verdana" w:eastAsia="Verdana" w:hAnsi="Verdana" w:cs="Verdana"/>
                <w:noProof/>
                <w:color w:val="FFFFFF"/>
                <w:sz w:val="16"/>
              </w:rPr>
            </w:pPr>
          </w:p>
        </w:tc>
        <w:tc>
          <w:tcPr>
            <w:tcW w:w="3094" w:type="dxa"/>
            <w:tcBorders>
              <w:top w:val="nil"/>
              <w:left w:val="nil"/>
              <w:bottom w:val="nil"/>
              <w:right w:val="nil"/>
              <w:tl2br w:val="nil"/>
              <w:tr2bl w:val="nil"/>
            </w:tcBorders>
            <w:shd w:val="solid" w:color="016794" w:fill="FFFFFF"/>
            <w:tcMar>
              <w:left w:w="60" w:type="dxa"/>
              <w:right w:w="60" w:type="dxa"/>
            </w:tcMar>
            <w:vAlign w:val="center"/>
          </w:tcPr>
          <w:p>
            <w:pPr>
              <w:pStyle w:val="DMETW36742BIPMFF1BreakdownCommPaym"/>
              <w:jc w:val="center"/>
              <w:rPr>
                <w:rFonts w:ascii="Verdana" w:eastAsia="Verdana" w:hAnsi="Verdana" w:cs="Verdana"/>
                <w:noProof/>
                <w:color w:val="FFFFFF"/>
                <w:sz w:val="16"/>
              </w:rPr>
            </w:pPr>
          </w:p>
        </w:tc>
        <w:tc>
          <w:tcPr>
            <w:tcW w:w="1023" w:type="dxa"/>
            <w:gridSpan w:val="6"/>
            <w:tcBorders>
              <w:top w:val="nil"/>
              <w:left w:val="nil"/>
              <w:bottom w:val="nil"/>
              <w:right w:val="nil"/>
              <w:tl2br w:val="nil"/>
              <w:tr2bl w:val="nil"/>
            </w:tcBorders>
            <w:shd w:val="solid" w:color="016794" w:fill="FFFFFF"/>
            <w:tcMar>
              <w:left w:w="60" w:type="dxa"/>
              <w:right w:w="60" w:type="dxa"/>
            </w:tcMar>
            <w:vAlign w:val="center"/>
          </w:tcPr>
          <w:p>
            <w:pPr>
              <w:pStyle w:val="DMETW36742BIPMFF1BreakdownCommPaym"/>
              <w:jc w:val="center"/>
              <w:rPr>
                <w:rFonts w:ascii="Verdana" w:eastAsia="Verdana" w:hAnsi="Verdana" w:cs="Verdana"/>
                <w:b/>
                <w:noProof/>
                <w:color w:val="FFFFFF"/>
                <w:sz w:val="16"/>
              </w:rPr>
            </w:pPr>
            <w:r>
              <w:rPr>
                <w:rFonts w:ascii="Verdana" w:hAnsi="Verdana"/>
                <w:b/>
                <w:noProof/>
                <w:color w:val="FFFFFF"/>
                <w:sz w:val="16"/>
              </w:rPr>
              <w:t>Crédits d’engagement</w:t>
            </w:r>
          </w:p>
        </w:tc>
        <w:tc>
          <w:tcPr>
            <w:tcW w:w="887" w:type="dxa"/>
            <w:gridSpan w:val="6"/>
            <w:tcBorders>
              <w:top w:val="nil"/>
              <w:left w:val="nil"/>
              <w:bottom w:val="nil"/>
              <w:right w:val="nil"/>
              <w:tl2br w:val="nil"/>
              <w:tr2bl w:val="nil"/>
            </w:tcBorders>
            <w:shd w:val="solid" w:color="016794" w:fill="FFFFFF"/>
            <w:tcMar>
              <w:left w:w="60" w:type="dxa"/>
              <w:right w:w="60" w:type="dxa"/>
            </w:tcMar>
            <w:vAlign w:val="center"/>
          </w:tcPr>
          <w:p>
            <w:pPr>
              <w:pStyle w:val="DMETW36742BIPMFF1BreakdownCommPaym"/>
              <w:jc w:val="center"/>
              <w:rPr>
                <w:rFonts w:ascii="Verdana" w:eastAsia="Verdana" w:hAnsi="Verdana" w:cs="Verdana"/>
                <w:b/>
                <w:noProof/>
                <w:color w:val="FFFFFF"/>
                <w:sz w:val="16"/>
              </w:rPr>
            </w:pPr>
            <w:r>
              <w:rPr>
                <w:rFonts w:ascii="Verdana" w:hAnsi="Verdana"/>
                <w:b/>
                <w:noProof/>
                <w:color w:val="FFFFFF"/>
                <w:sz w:val="16"/>
              </w:rPr>
              <w:t>Crédits de paiement</w:t>
            </w:r>
          </w:p>
        </w:tc>
      </w:tr>
      <w:tr>
        <w:trPr>
          <w:cantSplit/>
          <w:trHeight w:val="597"/>
        </w:trPr>
        <w:tc>
          <w:tcPr>
            <w:tcW w:w="344" w:type="dxa"/>
            <w:tcBorders>
              <w:top w:val="nil"/>
              <w:left w:val="nil"/>
              <w:bottom w:val="nil"/>
              <w:right w:val="nil"/>
              <w:tl2br w:val="nil"/>
              <w:tr2bl w:val="nil"/>
            </w:tcBorders>
            <w:shd w:val="solid" w:color="016794" w:fill="FFFFFF"/>
            <w:tcMar>
              <w:left w:w="60" w:type="dxa"/>
              <w:right w:w="60" w:type="dxa"/>
            </w:tcMar>
            <w:vAlign w:val="center"/>
          </w:tcPr>
          <w:p>
            <w:pPr>
              <w:pStyle w:val="DMETW36742BIPMFF1BreakdownCommPaym"/>
              <w:jc w:val="center"/>
              <w:rPr>
                <w:rFonts w:ascii="Verdana" w:eastAsia="Verdana" w:hAnsi="Verdana" w:cs="Verdana"/>
                <w:noProof/>
                <w:color w:val="FFFFFF"/>
                <w:sz w:val="16"/>
              </w:rPr>
            </w:pPr>
          </w:p>
        </w:tc>
        <w:tc>
          <w:tcPr>
            <w:tcW w:w="3094" w:type="dxa"/>
            <w:tcBorders>
              <w:top w:val="nil"/>
              <w:left w:val="nil"/>
              <w:bottom w:val="nil"/>
              <w:right w:val="nil"/>
              <w:tl2br w:val="nil"/>
              <w:tr2bl w:val="nil"/>
            </w:tcBorders>
            <w:shd w:val="solid" w:color="016794" w:fill="FFFFFF"/>
            <w:tcMar>
              <w:left w:w="60" w:type="dxa"/>
              <w:right w:w="60" w:type="dxa"/>
            </w:tcMar>
            <w:vAlign w:val="center"/>
          </w:tcPr>
          <w:p>
            <w:pPr>
              <w:pStyle w:val="DMETW36742BIPMFF1BreakdownCommPaym"/>
              <w:jc w:val="center"/>
              <w:rPr>
                <w:rFonts w:ascii="Verdana" w:eastAsia="Verdana" w:hAnsi="Verdana" w:cs="Verdana"/>
                <w:noProof/>
                <w:color w:val="FFFFFF"/>
                <w:sz w:val="16"/>
              </w:rPr>
            </w:pPr>
          </w:p>
        </w:tc>
        <w:tc>
          <w:tcPr>
            <w:tcW w:w="1023" w:type="dxa"/>
            <w:gridSpan w:val="3"/>
            <w:tcBorders>
              <w:top w:val="nil"/>
              <w:left w:val="nil"/>
              <w:bottom w:val="nil"/>
              <w:right w:val="nil"/>
              <w:tl2br w:val="nil"/>
              <w:tr2bl w:val="nil"/>
            </w:tcBorders>
            <w:shd w:val="solid" w:color="016794" w:fill="FFFFFF"/>
            <w:tcMar>
              <w:left w:w="60" w:type="dxa"/>
              <w:right w:w="60" w:type="dxa"/>
            </w:tcMar>
            <w:vAlign w:val="center"/>
          </w:tcPr>
          <w:p>
            <w:pPr>
              <w:pStyle w:val="DMETW36742BIPMFF1BreakdownCommPaym"/>
              <w:jc w:val="center"/>
              <w:rPr>
                <w:rFonts w:ascii="Verdana" w:eastAsia="Verdana" w:hAnsi="Verdana" w:cs="Verdana"/>
                <w:b/>
                <w:noProof/>
                <w:color w:val="FFFFFF"/>
                <w:sz w:val="16"/>
              </w:rPr>
            </w:pPr>
            <w:r>
              <w:rPr>
                <w:rFonts w:ascii="Verdana" w:hAnsi="Verdana"/>
                <w:b/>
                <w:noProof/>
                <w:color w:val="FFFFFF"/>
                <w:sz w:val="16"/>
              </w:rPr>
              <w:t>Crédits budgétaires</w:t>
            </w:r>
          </w:p>
        </w:tc>
        <w:tc>
          <w:tcPr>
            <w:tcW w:w="690" w:type="dxa"/>
            <w:gridSpan w:val="2"/>
            <w:tcBorders>
              <w:top w:val="nil"/>
              <w:left w:val="nil"/>
              <w:bottom w:val="nil"/>
              <w:right w:val="nil"/>
              <w:tl2br w:val="nil"/>
              <w:tr2bl w:val="nil"/>
            </w:tcBorders>
            <w:shd w:val="solid" w:color="016794" w:fill="FFFFFF"/>
            <w:tcMar>
              <w:left w:w="60" w:type="dxa"/>
              <w:right w:w="60" w:type="dxa"/>
            </w:tcMar>
            <w:vAlign w:val="center"/>
          </w:tcPr>
          <w:p>
            <w:pPr>
              <w:pStyle w:val="DMETW36742BIPMFF1BreakdownCommPaym"/>
              <w:jc w:val="center"/>
              <w:rPr>
                <w:rFonts w:ascii="Verdana" w:eastAsia="Verdana" w:hAnsi="Verdana" w:cs="Verdana"/>
                <w:b/>
                <w:noProof/>
                <w:color w:val="FFFFFF"/>
                <w:sz w:val="16"/>
              </w:rPr>
            </w:pPr>
            <w:r>
              <w:rPr>
                <w:rFonts w:ascii="Verdana" w:hAnsi="Verdana"/>
                <w:b/>
                <w:noProof/>
                <w:color w:val="FFFFFF"/>
                <w:sz w:val="16"/>
              </w:rPr>
              <w:t>Crédits supplémentaires</w:t>
            </w:r>
          </w:p>
        </w:tc>
        <w:tc>
          <w:tcPr>
            <w:tcW w:w="1005"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742BIPMFF1BreakdownCommPaym"/>
              <w:jc w:val="center"/>
              <w:rPr>
                <w:rFonts w:ascii="Verdana" w:eastAsia="Verdana" w:hAnsi="Verdana" w:cs="Verdana"/>
                <w:b/>
                <w:noProof/>
                <w:color w:val="FFFFFF"/>
                <w:sz w:val="16"/>
              </w:rPr>
            </w:pPr>
            <w:r>
              <w:rPr>
                <w:rFonts w:ascii="Verdana" w:hAnsi="Verdana"/>
                <w:b/>
                <w:noProof/>
                <w:color w:val="FFFFFF"/>
                <w:sz w:val="16"/>
              </w:rPr>
              <w:t>Total crédits disponibles</w:t>
            </w:r>
          </w:p>
        </w:tc>
        <w:tc>
          <w:tcPr>
            <w:tcW w:w="887" w:type="dxa"/>
            <w:gridSpan w:val="3"/>
            <w:tcBorders>
              <w:top w:val="nil"/>
              <w:left w:val="nil"/>
              <w:bottom w:val="nil"/>
              <w:right w:val="nil"/>
              <w:tl2br w:val="nil"/>
              <w:tr2bl w:val="nil"/>
            </w:tcBorders>
            <w:shd w:val="solid" w:color="016794" w:fill="FFFFFF"/>
            <w:tcMar>
              <w:left w:w="60" w:type="dxa"/>
              <w:right w:w="60" w:type="dxa"/>
            </w:tcMar>
            <w:vAlign w:val="center"/>
          </w:tcPr>
          <w:p>
            <w:pPr>
              <w:pStyle w:val="DMETW36742BIPMFF1BreakdownCommPaym"/>
              <w:jc w:val="center"/>
              <w:rPr>
                <w:rFonts w:ascii="Verdana" w:eastAsia="Verdana" w:hAnsi="Verdana" w:cs="Verdana"/>
                <w:b/>
                <w:noProof/>
                <w:color w:val="FFFFFF"/>
                <w:sz w:val="16"/>
              </w:rPr>
            </w:pPr>
            <w:r>
              <w:rPr>
                <w:rFonts w:ascii="Verdana" w:hAnsi="Verdana"/>
                <w:b/>
                <w:noProof/>
                <w:color w:val="FFFFFF"/>
                <w:sz w:val="16"/>
              </w:rPr>
              <w:t>Crédits budgétaires</w:t>
            </w:r>
          </w:p>
        </w:tc>
        <w:tc>
          <w:tcPr>
            <w:tcW w:w="887" w:type="dxa"/>
            <w:gridSpan w:val="2"/>
            <w:tcBorders>
              <w:top w:val="nil"/>
              <w:left w:val="nil"/>
              <w:bottom w:val="nil"/>
              <w:right w:val="nil"/>
              <w:tl2br w:val="nil"/>
              <w:tr2bl w:val="nil"/>
            </w:tcBorders>
            <w:shd w:val="solid" w:color="016794" w:fill="FFFFFF"/>
            <w:tcMar>
              <w:left w:w="60" w:type="dxa"/>
              <w:right w:w="60" w:type="dxa"/>
            </w:tcMar>
            <w:vAlign w:val="center"/>
          </w:tcPr>
          <w:p>
            <w:pPr>
              <w:pStyle w:val="DMETW36742BIPMFF1BreakdownCommPaym"/>
              <w:jc w:val="center"/>
              <w:rPr>
                <w:rFonts w:ascii="Verdana" w:eastAsia="Verdana" w:hAnsi="Verdana" w:cs="Verdana"/>
                <w:b/>
                <w:noProof/>
                <w:color w:val="FFFFFF"/>
                <w:sz w:val="16"/>
              </w:rPr>
            </w:pPr>
            <w:r>
              <w:rPr>
                <w:rFonts w:ascii="Verdana" w:hAnsi="Verdana"/>
                <w:b/>
                <w:noProof/>
                <w:color w:val="FFFFFF"/>
                <w:sz w:val="16"/>
              </w:rPr>
              <w:t>Crédits supplémentaires</w:t>
            </w:r>
          </w:p>
        </w:tc>
        <w:tc>
          <w:tcPr>
            <w:tcW w:w="1365"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742BIPMFF1BreakdownCommPaym"/>
              <w:jc w:val="center"/>
              <w:rPr>
                <w:rFonts w:ascii="Verdana" w:eastAsia="Verdana" w:hAnsi="Verdana" w:cs="Verdana"/>
                <w:b/>
                <w:noProof/>
                <w:color w:val="FFFFFF"/>
                <w:sz w:val="16"/>
              </w:rPr>
            </w:pPr>
            <w:r>
              <w:rPr>
                <w:rFonts w:ascii="Verdana" w:hAnsi="Verdana"/>
                <w:b/>
                <w:noProof/>
                <w:color w:val="FFFFFF"/>
                <w:sz w:val="16"/>
              </w:rPr>
              <w:t>Total crédits disponibles</w:t>
            </w:r>
          </w:p>
        </w:tc>
      </w:tr>
      <w:tr>
        <w:trPr>
          <w:cantSplit/>
          <w:trHeight w:val="255"/>
        </w:trPr>
        <w:tc>
          <w:tcPr>
            <w:tcW w:w="344" w:type="dxa"/>
            <w:tcBorders>
              <w:top w:val="nil"/>
              <w:left w:val="nil"/>
              <w:bottom w:val="nil"/>
              <w:right w:val="nil"/>
              <w:tl2br w:val="nil"/>
              <w:tr2bl w:val="nil"/>
            </w:tcBorders>
            <w:shd w:val="solid" w:color="016794" w:fill="FFFFFF"/>
            <w:tcMar>
              <w:left w:w="60" w:type="dxa"/>
              <w:right w:w="60" w:type="dxa"/>
            </w:tcMar>
            <w:vAlign w:val="center"/>
          </w:tcPr>
          <w:p>
            <w:pPr>
              <w:pStyle w:val="DMETW36742BIPMFF1BreakdownCommPaym"/>
              <w:jc w:val="center"/>
              <w:rPr>
                <w:rFonts w:ascii="Verdana" w:eastAsia="Verdana" w:hAnsi="Verdana" w:cs="Verdana"/>
                <w:noProof/>
                <w:color w:val="FFFFFF"/>
                <w:sz w:val="16"/>
              </w:rPr>
            </w:pPr>
          </w:p>
        </w:tc>
        <w:tc>
          <w:tcPr>
            <w:tcW w:w="3094" w:type="dxa"/>
            <w:tcBorders>
              <w:top w:val="nil"/>
              <w:left w:val="nil"/>
              <w:bottom w:val="nil"/>
              <w:right w:val="nil"/>
              <w:tl2br w:val="nil"/>
              <w:tr2bl w:val="nil"/>
            </w:tcBorders>
            <w:shd w:val="solid" w:color="016794" w:fill="FFFFFF"/>
            <w:tcMar>
              <w:left w:w="60" w:type="dxa"/>
              <w:right w:w="60" w:type="dxa"/>
            </w:tcMar>
            <w:vAlign w:val="center"/>
          </w:tcPr>
          <w:p>
            <w:pPr>
              <w:pStyle w:val="DMETW36742BIPMFF1BreakdownCommPaym"/>
              <w:jc w:val="center"/>
              <w:rPr>
                <w:rFonts w:ascii="Verdana" w:eastAsia="Verdana" w:hAnsi="Verdana" w:cs="Verdana"/>
                <w:noProof/>
                <w:color w:val="FFFFFF"/>
                <w:sz w:val="16"/>
              </w:rPr>
            </w:pPr>
            <w:r>
              <w:rPr>
                <w:rFonts w:ascii="Verdana" w:hAnsi="Verdana"/>
                <w:noProof/>
                <w:color w:val="FFFFFF"/>
                <w:sz w:val="16"/>
              </w:rPr>
              <w:t>Rubrique du CFP</w:t>
            </w:r>
          </w:p>
        </w:tc>
        <w:tc>
          <w:tcPr>
            <w:tcW w:w="1023" w:type="dxa"/>
            <w:tcBorders>
              <w:top w:val="nil"/>
              <w:left w:val="nil"/>
              <w:bottom w:val="nil"/>
              <w:right w:val="nil"/>
              <w:tl2br w:val="nil"/>
              <w:tr2bl w:val="nil"/>
            </w:tcBorders>
            <w:shd w:val="solid" w:color="3487A9" w:fill="FFFFFF"/>
            <w:tcMar>
              <w:left w:w="60" w:type="dxa"/>
              <w:right w:w="60" w:type="dxa"/>
            </w:tcMar>
            <w:vAlign w:val="center"/>
          </w:tcPr>
          <w:p>
            <w:pPr>
              <w:pStyle w:val="DMETW36742BIPMFF1BreakdownCommPaym"/>
              <w:jc w:val="center"/>
              <w:rPr>
                <w:rFonts w:ascii="Verdana" w:eastAsia="Verdana" w:hAnsi="Verdana" w:cs="Verdana"/>
                <w:noProof/>
                <w:color w:val="FFFFFF"/>
                <w:sz w:val="16"/>
              </w:rPr>
            </w:pPr>
            <w:r>
              <w:rPr>
                <w:rFonts w:ascii="Verdana" w:hAnsi="Verdana"/>
                <w:noProof/>
                <w:color w:val="FFFFFF"/>
                <w:sz w:val="16"/>
              </w:rPr>
              <w:t>Budget initial adopté</w:t>
            </w:r>
          </w:p>
        </w:tc>
        <w:tc>
          <w:tcPr>
            <w:tcW w:w="913" w:type="dxa"/>
            <w:tcBorders>
              <w:top w:val="nil"/>
              <w:left w:val="nil"/>
              <w:bottom w:val="nil"/>
              <w:right w:val="nil"/>
              <w:tl2br w:val="nil"/>
              <w:tr2bl w:val="nil"/>
            </w:tcBorders>
            <w:shd w:val="solid" w:color="3487A9" w:fill="FFFFFF"/>
            <w:tcMar>
              <w:left w:w="60" w:type="dxa"/>
              <w:right w:w="60" w:type="dxa"/>
            </w:tcMar>
            <w:vAlign w:val="center"/>
          </w:tcPr>
          <w:p>
            <w:pPr>
              <w:pStyle w:val="DMETW36742BIPMFF1BreakdownCommPaym"/>
              <w:jc w:val="center"/>
              <w:rPr>
                <w:rFonts w:ascii="Verdana" w:eastAsia="Verdana" w:hAnsi="Verdana" w:cs="Verdana"/>
                <w:noProof/>
                <w:color w:val="FFFFFF"/>
                <w:sz w:val="16"/>
              </w:rPr>
            </w:pPr>
            <w:r>
              <w:rPr>
                <w:rFonts w:ascii="Verdana" w:hAnsi="Verdana"/>
                <w:noProof/>
                <w:color w:val="FFFFFF"/>
                <w:sz w:val="16"/>
              </w:rPr>
              <w:t>Budgets rectificatifs et virements</w:t>
            </w:r>
          </w:p>
        </w:tc>
        <w:tc>
          <w:tcPr>
            <w:tcW w:w="890" w:type="dxa"/>
            <w:tcBorders>
              <w:top w:val="nil"/>
              <w:left w:val="nil"/>
              <w:bottom w:val="nil"/>
              <w:right w:val="nil"/>
              <w:tl2br w:val="nil"/>
              <w:tr2bl w:val="nil"/>
            </w:tcBorders>
            <w:shd w:val="solid" w:color="3487A9" w:fill="FFFFFF"/>
            <w:tcMar>
              <w:left w:w="60" w:type="dxa"/>
              <w:right w:w="60" w:type="dxa"/>
            </w:tcMar>
            <w:vAlign w:val="center"/>
          </w:tcPr>
          <w:p>
            <w:pPr>
              <w:pStyle w:val="DMETW36742BIPMFF1BreakdownCommPaym"/>
              <w:jc w:val="center"/>
              <w:rPr>
                <w:rFonts w:ascii="Verdana" w:eastAsia="Verdana" w:hAnsi="Verdana" w:cs="Verdana"/>
                <w:noProof/>
                <w:color w:val="FFFFFF"/>
                <w:sz w:val="16"/>
              </w:rPr>
            </w:pPr>
            <w:r>
              <w:rPr>
                <w:rFonts w:ascii="Verdana" w:hAnsi="Verdana"/>
                <w:noProof/>
                <w:color w:val="FFFFFF"/>
                <w:sz w:val="16"/>
              </w:rPr>
              <w:t>Budget définitif adopté</w:t>
            </w:r>
          </w:p>
        </w:tc>
        <w:tc>
          <w:tcPr>
            <w:tcW w:w="690" w:type="dxa"/>
            <w:tcBorders>
              <w:top w:val="nil"/>
              <w:left w:val="nil"/>
              <w:bottom w:val="nil"/>
              <w:right w:val="nil"/>
              <w:tl2br w:val="nil"/>
              <w:tr2bl w:val="nil"/>
            </w:tcBorders>
            <w:shd w:val="solid" w:color="3487A9" w:fill="FFFFFF"/>
            <w:tcMar>
              <w:left w:w="60" w:type="dxa"/>
              <w:right w:w="60" w:type="dxa"/>
            </w:tcMar>
            <w:vAlign w:val="center"/>
          </w:tcPr>
          <w:p>
            <w:pPr>
              <w:pStyle w:val="DMETW36742BIPMFF1BreakdownCommPaym"/>
              <w:jc w:val="center"/>
              <w:rPr>
                <w:rFonts w:ascii="Verdana" w:eastAsia="Verdana" w:hAnsi="Verdana" w:cs="Verdana"/>
                <w:noProof/>
                <w:color w:val="FFFFFF"/>
                <w:sz w:val="16"/>
              </w:rPr>
            </w:pPr>
            <w:r>
              <w:rPr>
                <w:rFonts w:ascii="Verdana" w:hAnsi="Verdana"/>
                <w:noProof/>
                <w:color w:val="FFFFFF"/>
                <w:sz w:val="16"/>
              </w:rPr>
              <w:t>Crédits reportés</w:t>
            </w:r>
          </w:p>
        </w:tc>
        <w:tc>
          <w:tcPr>
            <w:tcW w:w="957" w:type="dxa"/>
            <w:tcBorders>
              <w:top w:val="nil"/>
              <w:left w:val="nil"/>
              <w:bottom w:val="nil"/>
              <w:right w:val="nil"/>
              <w:tl2br w:val="nil"/>
              <w:tr2bl w:val="nil"/>
            </w:tcBorders>
            <w:shd w:val="solid" w:color="3487A9" w:fill="FFFFFF"/>
            <w:tcMar>
              <w:left w:w="60" w:type="dxa"/>
              <w:right w:w="60" w:type="dxa"/>
            </w:tcMar>
            <w:vAlign w:val="center"/>
          </w:tcPr>
          <w:p>
            <w:pPr>
              <w:pStyle w:val="DMETW36742BIPMFF1BreakdownCommPaym"/>
              <w:jc w:val="center"/>
              <w:rPr>
                <w:rFonts w:ascii="Verdana" w:eastAsia="Verdana" w:hAnsi="Verdana" w:cs="Verdana"/>
                <w:noProof/>
                <w:color w:val="FFFFFF"/>
                <w:sz w:val="16"/>
              </w:rPr>
            </w:pPr>
            <w:r>
              <w:rPr>
                <w:rFonts w:ascii="Verdana" w:hAnsi="Verdana"/>
                <w:noProof/>
                <w:color w:val="FFFFFF"/>
                <w:sz w:val="16"/>
              </w:rPr>
              <w:t>Recettes affectées</w:t>
            </w:r>
          </w:p>
        </w:tc>
        <w:tc>
          <w:tcPr>
            <w:tcW w:w="1005" w:type="dxa"/>
            <w:vMerge/>
            <w:tcBorders>
              <w:top w:val="nil"/>
              <w:left w:val="nil"/>
              <w:bottom w:val="nil"/>
              <w:right w:val="nil"/>
              <w:tl2br w:val="nil"/>
              <w:tr2bl w:val="nil"/>
            </w:tcBorders>
            <w:shd w:val="solid" w:color="016794" w:fill="FFFFFF"/>
            <w:tcMar>
              <w:left w:w="60" w:type="dxa"/>
              <w:right w:w="60" w:type="dxa"/>
            </w:tcMar>
            <w:vAlign w:val="center"/>
          </w:tcPr>
          <w:p>
            <w:pPr>
              <w:pStyle w:val="DMETW36742BIPMFF1BreakdownCommPaym"/>
              <w:jc w:val="center"/>
              <w:rPr>
                <w:rFonts w:ascii="Verdana" w:eastAsia="Verdana" w:hAnsi="Verdana" w:cs="Verdana"/>
                <w:b/>
                <w:noProof/>
                <w:color w:val="FFFFFF"/>
                <w:sz w:val="16"/>
              </w:rPr>
            </w:pPr>
          </w:p>
        </w:tc>
        <w:tc>
          <w:tcPr>
            <w:tcW w:w="887" w:type="dxa"/>
            <w:tcBorders>
              <w:top w:val="nil"/>
              <w:left w:val="nil"/>
              <w:bottom w:val="nil"/>
              <w:right w:val="nil"/>
              <w:tl2br w:val="nil"/>
              <w:tr2bl w:val="nil"/>
            </w:tcBorders>
            <w:shd w:val="solid" w:color="3487A9" w:fill="FFFFFF"/>
            <w:tcMar>
              <w:left w:w="60" w:type="dxa"/>
              <w:right w:w="60" w:type="dxa"/>
            </w:tcMar>
            <w:vAlign w:val="center"/>
          </w:tcPr>
          <w:p>
            <w:pPr>
              <w:pStyle w:val="DMETW36742BIPMFF1BreakdownCommPaym"/>
              <w:jc w:val="center"/>
              <w:rPr>
                <w:rFonts w:ascii="Verdana" w:eastAsia="Verdana" w:hAnsi="Verdana" w:cs="Verdana"/>
                <w:noProof/>
                <w:color w:val="FFFFFF"/>
                <w:sz w:val="16"/>
              </w:rPr>
            </w:pPr>
            <w:r>
              <w:rPr>
                <w:rFonts w:ascii="Verdana" w:hAnsi="Verdana"/>
                <w:noProof/>
                <w:color w:val="FFFFFF"/>
                <w:sz w:val="16"/>
              </w:rPr>
              <w:t>Budget initial adopté</w:t>
            </w:r>
          </w:p>
        </w:tc>
        <w:tc>
          <w:tcPr>
            <w:tcW w:w="913" w:type="dxa"/>
            <w:tcBorders>
              <w:top w:val="nil"/>
              <w:left w:val="nil"/>
              <w:bottom w:val="nil"/>
              <w:right w:val="nil"/>
              <w:tl2br w:val="nil"/>
              <w:tr2bl w:val="nil"/>
            </w:tcBorders>
            <w:shd w:val="solid" w:color="3487A9" w:fill="FFFFFF"/>
            <w:tcMar>
              <w:left w:w="60" w:type="dxa"/>
              <w:right w:w="60" w:type="dxa"/>
            </w:tcMar>
            <w:vAlign w:val="center"/>
          </w:tcPr>
          <w:p>
            <w:pPr>
              <w:pStyle w:val="DMETW36742BIPMFF1BreakdownCommPaym"/>
              <w:jc w:val="center"/>
              <w:rPr>
                <w:rFonts w:ascii="Verdana" w:eastAsia="Verdana" w:hAnsi="Verdana" w:cs="Verdana"/>
                <w:noProof/>
                <w:color w:val="FFFFFF"/>
                <w:sz w:val="16"/>
              </w:rPr>
            </w:pPr>
            <w:r>
              <w:rPr>
                <w:rFonts w:ascii="Verdana" w:hAnsi="Verdana"/>
                <w:noProof/>
                <w:color w:val="FFFFFF"/>
                <w:sz w:val="16"/>
              </w:rPr>
              <w:t>Budgets rectificatifs et virements</w:t>
            </w:r>
          </w:p>
        </w:tc>
        <w:tc>
          <w:tcPr>
            <w:tcW w:w="875" w:type="dxa"/>
            <w:tcBorders>
              <w:top w:val="nil"/>
              <w:left w:val="nil"/>
              <w:bottom w:val="nil"/>
              <w:right w:val="nil"/>
              <w:tl2br w:val="nil"/>
              <w:tr2bl w:val="nil"/>
            </w:tcBorders>
            <w:shd w:val="solid" w:color="3487A9" w:fill="FFFFFF"/>
            <w:tcMar>
              <w:left w:w="60" w:type="dxa"/>
              <w:right w:w="60" w:type="dxa"/>
            </w:tcMar>
            <w:vAlign w:val="center"/>
          </w:tcPr>
          <w:p>
            <w:pPr>
              <w:pStyle w:val="DMETW36742BIPMFF1BreakdownCommPaym"/>
              <w:jc w:val="center"/>
              <w:rPr>
                <w:rFonts w:ascii="Verdana" w:eastAsia="Verdana" w:hAnsi="Verdana" w:cs="Verdana"/>
                <w:noProof/>
                <w:color w:val="FFFFFF"/>
                <w:sz w:val="16"/>
              </w:rPr>
            </w:pPr>
            <w:r>
              <w:rPr>
                <w:rFonts w:ascii="Verdana" w:hAnsi="Verdana"/>
                <w:noProof/>
                <w:color w:val="FFFFFF"/>
                <w:sz w:val="16"/>
              </w:rPr>
              <w:t>Budget définitif adopté</w:t>
            </w:r>
          </w:p>
        </w:tc>
        <w:tc>
          <w:tcPr>
            <w:tcW w:w="887" w:type="dxa"/>
            <w:tcBorders>
              <w:top w:val="nil"/>
              <w:left w:val="nil"/>
              <w:bottom w:val="nil"/>
              <w:right w:val="nil"/>
              <w:tl2br w:val="nil"/>
              <w:tr2bl w:val="nil"/>
            </w:tcBorders>
            <w:shd w:val="solid" w:color="3487A9" w:fill="FFFFFF"/>
            <w:tcMar>
              <w:left w:w="60" w:type="dxa"/>
              <w:right w:w="60" w:type="dxa"/>
            </w:tcMar>
            <w:vAlign w:val="center"/>
          </w:tcPr>
          <w:p>
            <w:pPr>
              <w:pStyle w:val="DMETW36742BIPMFF1BreakdownCommPaym"/>
              <w:jc w:val="center"/>
              <w:rPr>
                <w:rFonts w:ascii="Verdana" w:eastAsia="Verdana" w:hAnsi="Verdana" w:cs="Verdana"/>
                <w:noProof/>
                <w:color w:val="FFFFFF"/>
                <w:sz w:val="16"/>
              </w:rPr>
            </w:pPr>
            <w:r>
              <w:rPr>
                <w:rFonts w:ascii="Verdana" w:hAnsi="Verdana"/>
                <w:noProof/>
                <w:color w:val="FFFFFF"/>
                <w:sz w:val="16"/>
              </w:rPr>
              <w:t>Crédits reportés</w:t>
            </w:r>
          </w:p>
        </w:tc>
        <w:tc>
          <w:tcPr>
            <w:tcW w:w="890" w:type="dxa"/>
            <w:tcBorders>
              <w:top w:val="nil"/>
              <w:left w:val="nil"/>
              <w:bottom w:val="nil"/>
              <w:right w:val="nil"/>
              <w:tl2br w:val="nil"/>
              <w:tr2bl w:val="nil"/>
            </w:tcBorders>
            <w:shd w:val="solid" w:color="3487A9" w:fill="FFFFFF"/>
            <w:tcMar>
              <w:left w:w="60" w:type="dxa"/>
              <w:right w:w="60" w:type="dxa"/>
            </w:tcMar>
            <w:vAlign w:val="center"/>
          </w:tcPr>
          <w:p>
            <w:pPr>
              <w:pStyle w:val="DMETW36742BIPMFF1BreakdownCommPaym"/>
              <w:jc w:val="center"/>
              <w:rPr>
                <w:rFonts w:ascii="Verdana" w:eastAsia="Verdana" w:hAnsi="Verdana" w:cs="Verdana"/>
                <w:noProof/>
                <w:color w:val="FFFFFF"/>
                <w:sz w:val="16"/>
              </w:rPr>
            </w:pPr>
            <w:r>
              <w:rPr>
                <w:rFonts w:ascii="Verdana" w:hAnsi="Verdana"/>
                <w:noProof/>
                <w:color w:val="FFFFFF"/>
                <w:sz w:val="16"/>
              </w:rPr>
              <w:t>Recettes affectées</w:t>
            </w:r>
          </w:p>
        </w:tc>
        <w:tc>
          <w:tcPr>
            <w:tcW w:w="1365" w:type="dxa"/>
            <w:vMerge/>
            <w:tcBorders>
              <w:top w:val="nil"/>
              <w:left w:val="nil"/>
              <w:bottom w:val="nil"/>
              <w:right w:val="nil"/>
              <w:tl2br w:val="nil"/>
              <w:tr2bl w:val="nil"/>
            </w:tcBorders>
            <w:shd w:val="solid" w:color="016794" w:fill="FFFFFF"/>
            <w:tcMar>
              <w:left w:w="60" w:type="dxa"/>
              <w:right w:w="60" w:type="dxa"/>
            </w:tcMar>
            <w:vAlign w:val="center"/>
          </w:tcPr>
          <w:p>
            <w:pPr>
              <w:pStyle w:val="DMETW36742BIPMFF1BreakdownCommPaym"/>
              <w:jc w:val="center"/>
              <w:rPr>
                <w:rFonts w:ascii="Verdana" w:eastAsia="Verdana" w:hAnsi="Verdana" w:cs="Verdana"/>
                <w:b/>
                <w:noProof/>
                <w:color w:val="FFFFFF"/>
                <w:sz w:val="16"/>
              </w:rPr>
            </w:pPr>
          </w:p>
        </w:tc>
      </w:tr>
      <w:tr>
        <w:trPr>
          <w:cantSplit/>
          <w:trHeight w:val="255"/>
        </w:trPr>
        <w:tc>
          <w:tcPr>
            <w:tcW w:w="344" w:type="dxa"/>
            <w:tcBorders>
              <w:top w:val="nil"/>
              <w:left w:val="nil"/>
              <w:bottom w:val="nil"/>
              <w:right w:val="nil"/>
              <w:tl2br w:val="nil"/>
              <w:tr2bl w:val="nil"/>
            </w:tcBorders>
            <w:shd w:val="solid" w:color="3487A9" w:fill="FFFFFF"/>
            <w:tcMar>
              <w:left w:w="60" w:type="dxa"/>
              <w:right w:w="60" w:type="dxa"/>
            </w:tcMar>
            <w:vAlign w:val="center"/>
          </w:tcPr>
          <w:p>
            <w:pPr>
              <w:pStyle w:val="DMETW36742BIPMFF1BreakdownCommPaym"/>
              <w:jc w:val="center"/>
              <w:rPr>
                <w:rFonts w:ascii="Verdana" w:eastAsia="Verdana" w:hAnsi="Verdana" w:cs="Verdana"/>
                <w:noProof/>
                <w:color w:val="FFFFFF"/>
                <w:sz w:val="16"/>
              </w:rPr>
            </w:pPr>
          </w:p>
        </w:tc>
        <w:tc>
          <w:tcPr>
            <w:tcW w:w="3094" w:type="dxa"/>
            <w:tcBorders>
              <w:top w:val="nil"/>
              <w:left w:val="nil"/>
              <w:bottom w:val="nil"/>
              <w:right w:val="nil"/>
              <w:tl2br w:val="nil"/>
              <w:tr2bl w:val="nil"/>
            </w:tcBorders>
            <w:shd w:val="solid" w:color="3487A9" w:fill="FFFFFF"/>
            <w:tcMar>
              <w:left w:w="60" w:type="dxa"/>
              <w:right w:w="60" w:type="dxa"/>
            </w:tcMar>
            <w:vAlign w:val="center"/>
          </w:tcPr>
          <w:p>
            <w:pPr>
              <w:pStyle w:val="DMETW36742BIPMFF1BreakdownCommPaym"/>
              <w:jc w:val="center"/>
              <w:rPr>
                <w:rFonts w:ascii="Verdana" w:eastAsia="Verdana" w:hAnsi="Verdana" w:cs="Verdana"/>
                <w:noProof/>
                <w:color w:val="FFFFFF"/>
                <w:sz w:val="16"/>
              </w:rPr>
            </w:pPr>
          </w:p>
        </w:tc>
        <w:tc>
          <w:tcPr>
            <w:tcW w:w="1023" w:type="dxa"/>
            <w:tcBorders>
              <w:top w:val="nil"/>
              <w:left w:val="nil"/>
              <w:bottom w:val="nil"/>
              <w:right w:val="nil"/>
              <w:tl2br w:val="nil"/>
              <w:tr2bl w:val="nil"/>
            </w:tcBorders>
            <w:shd w:val="solid" w:color="3487A9" w:fill="FFFFFF"/>
            <w:tcMar>
              <w:left w:w="60" w:type="dxa"/>
              <w:right w:w="60" w:type="dxa"/>
            </w:tcMar>
            <w:vAlign w:val="center"/>
          </w:tcPr>
          <w:p>
            <w:pPr>
              <w:pStyle w:val="DMETW36742BIPMFF1BreakdownCommPaym"/>
              <w:jc w:val="center"/>
              <w:rPr>
                <w:rFonts w:ascii="Verdana" w:eastAsia="Verdana" w:hAnsi="Verdana" w:cs="Verdana"/>
                <w:noProof/>
                <w:color w:val="FFFFFF"/>
                <w:sz w:val="16"/>
              </w:rPr>
            </w:pPr>
            <w:r>
              <w:rPr>
                <w:rFonts w:ascii="Verdana" w:hAnsi="Verdana"/>
                <w:noProof/>
                <w:color w:val="FFFFFF"/>
                <w:sz w:val="16"/>
              </w:rPr>
              <w:t>1</w:t>
            </w:r>
          </w:p>
        </w:tc>
        <w:tc>
          <w:tcPr>
            <w:tcW w:w="913" w:type="dxa"/>
            <w:tcBorders>
              <w:top w:val="nil"/>
              <w:left w:val="nil"/>
              <w:bottom w:val="nil"/>
              <w:right w:val="nil"/>
              <w:tl2br w:val="nil"/>
              <w:tr2bl w:val="nil"/>
            </w:tcBorders>
            <w:shd w:val="solid" w:color="3487A9" w:fill="FFFFFF"/>
            <w:tcMar>
              <w:left w:w="60" w:type="dxa"/>
              <w:right w:w="60" w:type="dxa"/>
            </w:tcMar>
            <w:vAlign w:val="center"/>
          </w:tcPr>
          <w:p>
            <w:pPr>
              <w:pStyle w:val="DMETW36742BIPMFF1BreakdownCommPaym"/>
              <w:jc w:val="center"/>
              <w:rPr>
                <w:rFonts w:ascii="Verdana" w:eastAsia="Verdana" w:hAnsi="Verdana" w:cs="Verdana"/>
                <w:noProof/>
                <w:color w:val="FFFFFF"/>
                <w:sz w:val="16"/>
              </w:rPr>
            </w:pPr>
            <w:r>
              <w:rPr>
                <w:rFonts w:ascii="Verdana" w:hAnsi="Verdana"/>
                <w:noProof/>
                <w:color w:val="FFFFFF"/>
                <w:sz w:val="16"/>
              </w:rPr>
              <w:t>2</w:t>
            </w:r>
          </w:p>
        </w:tc>
        <w:tc>
          <w:tcPr>
            <w:tcW w:w="890" w:type="dxa"/>
            <w:tcBorders>
              <w:top w:val="nil"/>
              <w:left w:val="nil"/>
              <w:bottom w:val="nil"/>
              <w:right w:val="nil"/>
              <w:tl2br w:val="nil"/>
              <w:tr2bl w:val="nil"/>
            </w:tcBorders>
            <w:shd w:val="solid" w:color="3487A9" w:fill="FFFFFF"/>
            <w:tcMar>
              <w:left w:w="60" w:type="dxa"/>
              <w:right w:w="60" w:type="dxa"/>
            </w:tcMar>
            <w:vAlign w:val="center"/>
          </w:tcPr>
          <w:p>
            <w:pPr>
              <w:pStyle w:val="DMETW36742BIPMFF1BreakdownCommPaym"/>
              <w:jc w:val="center"/>
              <w:rPr>
                <w:rFonts w:ascii="Verdana" w:eastAsia="Verdana" w:hAnsi="Verdana" w:cs="Verdana"/>
                <w:noProof/>
                <w:color w:val="FFFFFF"/>
                <w:sz w:val="16"/>
              </w:rPr>
            </w:pPr>
            <w:r>
              <w:rPr>
                <w:rFonts w:ascii="Verdana" w:hAnsi="Verdana"/>
                <w:noProof/>
                <w:color w:val="FFFFFF"/>
                <w:sz w:val="16"/>
              </w:rPr>
              <w:t>3=1+2</w:t>
            </w:r>
          </w:p>
        </w:tc>
        <w:tc>
          <w:tcPr>
            <w:tcW w:w="690" w:type="dxa"/>
            <w:tcBorders>
              <w:top w:val="nil"/>
              <w:left w:val="nil"/>
              <w:bottom w:val="nil"/>
              <w:right w:val="nil"/>
              <w:tl2br w:val="nil"/>
              <w:tr2bl w:val="nil"/>
            </w:tcBorders>
            <w:shd w:val="solid" w:color="3487A9" w:fill="FFFFFF"/>
            <w:tcMar>
              <w:left w:w="60" w:type="dxa"/>
              <w:right w:w="60" w:type="dxa"/>
            </w:tcMar>
            <w:vAlign w:val="center"/>
          </w:tcPr>
          <w:p>
            <w:pPr>
              <w:pStyle w:val="DMETW36742BIPMFF1BreakdownCommPaym"/>
              <w:jc w:val="center"/>
              <w:rPr>
                <w:rFonts w:ascii="Verdana" w:eastAsia="Verdana" w:hAnsi="Verdana" w:cs="Verdana"/>
                <w:noProof/>
                <w:color w:val="FFFFFF"/>
                <w:sz w:val="16"/>
              </w:rPr>
            </w:pPr>
            <w:r>
              <w:rPr>
                <w:rFonts w:ascii="Verdana" w:hAnsi="Verdana"/>
                <w:noProof/>
                <w:color w:val="FFFFFF"/>
                <w:sz w:val="16"/>
              </w:rPr>
              <w:t>4</w:t>
            </w:r>
          </w:p>
        </w:tc>
        <w:tc>
          <w:tcPr>
            <w:tcW w:w="957" w:type="dxa"/>
            <w:tcBorders>
              <w:top w:val="nil"/>
              <w:left w:val="nil"/>
              <w:bottom w:val="nil"/>
              <w:right w:val="nil"/>
              <w:tl2br w:val="nil"/>
              <w:tr2bl w:val="nil"/>
            </w:tcBorders>
            <w:shd w:val="solid" w:color="3487A9" w:fill="FFFFFF"/>
            <w:tcMar>
              <w:left w:w="60" w:type="dxa"/>
              <w:right w:w="60" w:type="dxa"/>
            </w:tcMar>
            <w:vAlign w:val="center"/>
          </w:tcPr>
          <w:p>
            <w:pPr>
              <w:pStyle w:val="DMETW36742BIPMFF1BreakdownCommPaym"/>
              <w:jc w:val="center"/>
              <w:rPr>
                <w:rFonts w:ascii="Verdana" w:eastAsia="Verdana" w:hAnsi="Verdana" w:cs="Verdana"/>
                <w:noProof/>
                <w:color w:val="FFFFFF"/>
                <w:sz w:val="16"/>
              </w:rPr>
            </w:pPr>
            <w:r>
              <w:rPr>
                <w:rFonts w:ascii="Verdana" w:hAnsi="Verdana"/>
                <w:noProof/>
                <w:color w:val="FFFFFF"/>
                <w:sz w:val="16"/>
              </w:rPr>
              <w:t>5</w:t>
            </w:r>
          </w:p>
        </w:tc>
        <w:tc>
          <w:tcPr>
            <w:tcW w:w="1005" w:type="dxa"/>
            <w:tcBorders>
              <w:top w:val="nil"/>
              <w:left w:val="nil"/>
              <w:bottom w:val="nil"/>
              <w:right w:val="nil"/>
              <w:tl2br w:val="nil"/>
              <w:tr2bl w:val="nil"/>
            </w:tcBorders>
            <w:shd w:val="solid" w:color="3487A9" w:fill="FFFFFF"/>
            <w:tcMar>
              <w:left w:w="60" w:type="dxa"/>
              <w:right w:w="60" w:type="dxa"/>
            </w:tcMar>
            <w:vAlign w:val="center"/>
          </w:tcPr>
          <w:p>
            <w:pPr>
              <w:pStyle w:val="DMETW36742BIPMFF1BreakdownCommPaym"/>
              <w:jc w:val="center"/>
              <w:rPr>
                <w:rFonts w:ascii="Verdana" w:eastAsia="Verdana" w:hAnsi="Verdana" w:cs="Verdana"/>
                <w:noProof/>
                <w:color w:val="FFFFFF"/>
                <w:sz w:val="16"/>
              </w:rPr>
            </w:pPr>
            <w:r>
              <w:rPr>
                <w:rFonts w:ascii="Verdana" w:hAnsi="Verdana"/>
                <w:noProof/>
                <w:color w:val="FFFFFF"/>
                <w:sz w:val="16"/>
              </w:rPr>
              <w:t>6=3+4+5</w:t>
            </w:r>
          </w:p>
        </w:tc>
        <w:tc>
          <w:tcPr>
            <w:tcW w:w="887" w:type="dxa"/>
            <w:tcBorders>
              <w:top w:val="nil"/>
              <w:left w:val="nil"/>
              <w:bottom w:val="nil"/>
              <w:right w:val="nil"/>
              <w:tl2br w:val="nil"/>
              <w:tr2bl w:val="nil"/>
            </w:tcBorders>
            <w:shd w:val="solid" w:color="3487A9" w:fill="FFFFFF"/>
            <w:tcMar>
              <w:left w:w="60" w:type="dxa"/>
              <w:right w:w="60" w:type="dxa"/>
            </w:tcMar>
            <w:vAlign w:val="center"/>
          </w:tcPr>
          <w:p>
            <w:pPr>
              <w:pStyle w:val="DMETW36742BIPMFF1BreakdownCommPaym"/>
              <w:jc w:val="center"/>
              <w:rPr>
                <w:rFonts w:ascii="Verdana" w:eastAsia="Verdana" w:hAnsi="Verdana" w:cs="Verdana"/>
                <w:noProof/>
                <w:color w:val="FFFFFF"/>
                <w:sz w:val="16"/>
              </w:rPr>
            </w:pPr>
            <w:r>
              <w:rPr>
                <w:rFonts w:ascii="Verdana" w:hAnsi="Verdana"/>
                <w:noProof/>
                <w:color w:val="FFFFFF"/>
                <w:sz w:val="16"/>
              </w:rPr>
              <w:t>7</w:t>
            </w:r>
          </w:p>
        </w:tc>
        <w:tc>
          <w:tcPr>
            <w:tcW w:w="913" w:type="dxa"/>
            <w:tcBorders>
              <w:top w:val="nil"/>
              <w:left w:val="nil"/>
              <w:bottom w:val="nil"/>
              <w:right w:val="nil"/>
              <w:tl2br w:val="nil"/>
              <w:tr2bl w:val="nil"/>
            </w:tcBorders>
            <w:shd w:val="solid" w:color="3487A9" w:fill="FFFFFF"/>
            <w:tcMar>
              <w:left w:w="60" w:type="dxa"/>
              <w:right w:w="60" w:type="dxa"/>
            </w:tcMar>
            <w:vAlign w:val="center"/>
          </w:tcPr>
          <w:p>
            <w:pPr>
              <w:pStyle w:val="DMETW36742BIPMFF1BreakdownCommPaym"/>
              <w:jc w:val="center"/>
              <w:rPr>
                <w:rFonts w:ascii="Verdana" w:eastAsia="Verdana" w:hAnsi="Verdana" w:cs="Verdana"/>
                <w:noProof/>
                <w:color w:val="FFFFFF"/>
                <w:sz w:val="16"/>
              </w:rPr>
            </w:pPr>
            <w:r>
              <w:rPr>
                <w:rFonts w:ascii="Verdana" w:hAnsi="Verdana"/>
                <w:noProof/>
                <w:color w:val="FFFFFF"/>
                <w:sz w:val="16"/>
              </w:rPr>
              <w:t>8</w:t>
            </w:r>
          </w:p>
        </w:tc>
        <w:tc>
          <w:tcPr>
            <w:tcW w:w="875" w:type="dxa"/>
            <w:tcBorders>
              <w:top w:val="nil"/>
              <w:left w:val="nil"/>
              <w:bottom w:val="nil"/>
              <w:right w:val="nil"/>
              <w:tl2br w:val="nil"/>
              <w:tr2bl w:val="nil"/>
            </w:tcBorders>
            <w:shd w:val="solid" w:color="3487A9" w:fill="FFFFFF"/>
            <w:tcMar>
              <w:left w:w="60" w:type="dxa"/>
              <w:right w:w="60" w:type="dxa"/>
            </w:tcMar>
            <w:vAlign w:val="center"/>
          </w:tcPr>
          <w:p>
            <w:pPr>
              <w:pStyle w:val="DMETW36742BIPMFF1BreakdownCommPaym"/>
              <w:jc w:val="center"/>
              <w:rPr>
                <w:rFonts w:ascii="Verdana" w:eastAsia="Verdana" w:hAnsi="Verdana" w:cs="Verdana"/>
                <w:noProof/>
                <w:color w:val="FFFFFF"/>
                <w:sz w:val="16"/>
              </w:rPr>
            </w:pPr>
            <w:r>
              <w:rPr>
                <w:rFonts w:ascii="Verdana" w:hAnsi="Verdana"/>
                <w:noProof/>
                <w:color w:val="FFFFFF"/>
                <w:sz w:val="16"/>
              </w:rPr>
              <w:t>9=7+8</w:t>
            </w:r>
          </w:p>
        </w:tc>
        <w:tc>
          <w:tcPr>
            <w:tcW w:w="887" w:type="dxa"/>
            <w:tcBorders>
              <w:top w:val="nil"/>
              <w:left w:val="nil"/>
              <w:bottom w:val="nil"/>
              <w:right w:val="nil"/>
              <w:tl2br w:val="nil"/>
              <w:tr2bl w:val="nil"/>
            </w:tcBorders>
            <w:shd w:val="solid" w:color="3487A9" w:fill="FFFFFF"/>
            <w:tcMar>
              <w:left w:w="60" w:type="dxa"/>
              <w:right w:w="60" w:type="dxa"/>
            </w:tcMar>
            <w:vAlign w:val="center"/>
          </w:tcPr>
          <w:p>
            <w:pPr>
              <w:pStyle w:val="DMETW36742BIPMFF1BreakdownCommPaym"/>
              <w:jc w:val="center"/>
              <w:rPr>
                <w:rFonts w:ascii="Verdana" w:eastAsia="Verdana" w:hAnsi="Verdana" w:cs="Verdana"/>
                <w:noProof/>
                <w:color w:val="FFFFFF"/>
                <w:sz w:val="16"/>
              </w:rPr>
            </w:pPr>
            <w:r>
              <w:rPr>
                <w:rFonts w:ascii="Verdana" w:hAnsi="Verdana"/>
                <w:noProof/>
                <w:color w:val="FFFFFF"/>
                <w:sz w:val="16"/>
              </w:rPr>
              <w:t>10</w:t>
            </w:r>
          </w:p>
        </w:tc>
        <w:tc>
          <w:tcPr>
            <w:tcW w:w="890" w:type="dxa"/>
            <w:tcBorders>
              <w:top w:val="nil"/>
              <w:left w:val="nil"/>
              <w:bottom w:val="nil"/>
              <w:right w:val="nil"/>
              <w:tl2br w:val="nil"/>
              <w:tr2bl w:val="nil"/>
            </w:tcBorders>
            <w:shd w:val="solid" w:color="3487A9" w:fill="FFFFFF"/>
            <w:tcMar>
              <w:left w:w="60" w:type="dxa"/>
              <w:right w:w="60" w:type="dxa"/>
            </w:tcMar>
            <w:vAlign w:val="center"/>
          </w:tcPr>
          <w:p>
            <w:pPr>
              <w:pStyle w:val="DMETW36742BIPMFF1BreakdownCommPaym"/>
              <w:jc w:val="center"/>
              <w:rPr>
                <w:rFonts w:ascii="Verdana" w:eastAsia="Verdana" w:hAnsi="Verdana" w:cs="Verdana"/>
                <w:noProof/>
                <w:color w:val="FFFFFF"/>
                <w:sz w:val="16"/>
              </w:rPr>
            </w:pPr>
            <w:r>
              <w:rPr>
                <w:rFonts w:ascii="Verdana" w:hAnsi="Verdana"/>
                <w:noProof/>
                <w:color w:val="FFFFFF"/>
                <w:sz w:val="16"/>
              </w:rPr>
              <w:t>11</w:t>
            </w:r>
          </w:p>
        </w:tc>
        <w:tc>
          <w:tcPr>
            <w:tcW w:w="1365" w:type="dxa"/>
            <w:tcBorders>
              <w:top w:val="nil"/>
              <w:left w:val="nil"/>
              <w:bottom w:val="nil"/>
              <w:right w:val="nil"/>
              <w:tl2br w:val="nil"/>
              <w:tr2bl w:val="nil"/>
            </w:tcBorders>
            <w:shd w:val="solid" w:color="3487A9" w:fill="FFFFFF"/>
            <w:tcMar>
              <w:left w:w="60" w:type="dxa"/>
              <w:right w:w="60" w:type="dxa"/>
            </w:tcMar>
            <w:vAlign w:val="center"/>
          </w:tcPr>
          <w:p>
            <w:pPr>
              <w:pStyle w:val="DMETW36742BIPMFF1BreakdownCommPaym"/>
              <w:jc w:val="center"/>
              <w:rPr>
                <w:rFonts w:ascii="Verdana" w:eastAsia="Verdana" w:hAnsi="Verdana" w:cs="Verdana"/>
                <w:noProof/>
                <w:color w:val="FFFFFF"/>
                <w:sz w:val="16"/>
              </w:rPr>
            </w:pPr>
            <w:r>
              <w:rPr>
                <w:rFonts w:ascii="Verdana" w:hAnsi="Verdana"/>
                <w:noProof/>
                <w:color w:val="FFFFFF"/>
                <w:sz w:val="16"/>
              </w:rPr>
              <w:t>12=9+10</w:t>
            </w:r>
          </w:p>
          <w:p>
            <w:pPr>
              <w:pStyle w:val="DMETW36742BIPMFF1BreakdownCommPaym"/>
              <w:jc w:val="center"/>
              <w:rPr>
                <w:rFonts w:ascii="Verdana" w:eastAsia="Verdana" w:hAnsi="Verdana" w:cs="Verdana"/>
                <w:noProof/>
                <w:color w:val="FFFFFF"/>
                <w:sz w:val="16"/>
              </w:rPr>
            </w:pPr>
            <w:r>
              <w:rPr>
                <w:rFonts w:ascii="Verdana" w:hAnsi="Verdana"/>
                <w:noProof/>
                <w:color w:val="FFFFFF"/>
                <w:sz w:val="16"/>
              </w:rPr>
              <w:t>+11</w:t>
            </w:r>
          </w:p>
        </w:tc>
      </w:tr>
      <w:tr>
        <w:trPr>
          <w:cantSplit/>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1BreakdownCommPaym"/>
              <w:rPr>
                <w:rFonts w:ascii="Verdana" w:eastAsia="Verdana" w:hAnsi="Verdana" w:cs="Verdana"/>
                <w:noProof/>
                <w:color w:val="000000"/>
                <w:sz w:val="16"/>
              </w:rPr>
            </w:pPr>
            <w:r>
              <w:rPr>
                <w:rFonts w:ascii="Verdana" w:hAnsi="Verdana"/>
                <w:noProof/>
                <w:color w:val="000000"/>
                <w:sz w:val="16"/>
              </w:rPr>
              <w:t>1</w:t>
            </w:r>
          </w:p>
        </w:tc>
        <w:tc>
          <w:tcPr>
            <w:tcW w:w="3094" w:type="dxa"/>
            <w:tcBorders>
              <w:top w:val="nil"/>
              <w:left w:val="nil"/>
              <w:bottom w:val="nil"/>
              <w:right w:val="nil"/>
              <w:tl2br w:val="nil"/>
              <w:tr2bl w:val="nil"/>
            </w:tcBorders>
            <w:tcMar>
              <w:left w:w="60" w:type="dxa"/>
              <w:right w:w="60" w:type="dxa"/>
            </w:tcMar>
            <w:vAlign w:val="center"/>
          </w:tcPr>
          <w:p>
            <w:pPr>
              <w:pStyle w:val="DMETW36742BIPMFF1BreakdownCommPaym"/>
              <w:rPr>
                <w:rFonts w:ascii="Verdana" w:eastAsia="Verdana" w:hAnsi="Verdana" w:cs="Verdana"/>
                <w:noProof/>
                <w:color w:val="000000"/>
                <w:sz w:val="16"/>
              </w:rPr>
            </w:pPr>
            <w:r>
              <w:rPr>
                <w:rFonts w:ascii="Verdana" w:hAnsi="Verdana"/>
                <w:noProof/>
                <w:color w:val="000000"/>
                <w:sz w:val="16"/>
              </w:rPr>
              <w:t>Marché unique, innovation et numérique</w:t>
            </w:r>
          </w:p>
        </w:tc>
        <w:tc>
          <w:tcPr>
            <w:tcW w:w="1023"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21 480</w:t>
            </w:r>
          </w:p>
        </w:tc>
        <w:tc>
          <w:tcPr>
            <w:tcW w:w="913"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 xml:space="preserve"> 59</w:t>
            </w:r>
          </w:p>
        </w:tc>
        <w:tc>
          <w:tcPr>
            <w:tcW w:w="890"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21 539</w:t>
            </w:r>
          </w:p>
        </w:tc>
        <w:tc>
          <w:tcPr>
            <w:tcW w:w="690"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 xml:space="preserve"> 116</w:t>
            </w:r>
          </w:p>
        </w:tc>
        <w:tc>
          <w:tcPr>
            <w:tcW w:w="957"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8 810</w:t>
            </w:r>
          </w:p>
        </w:tc>
        <w:tc>
          <w:tcPr>
            <w:tcW w:w="1005"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30 466</w:t>
            </w:r>
          </w:p>
        </w:tc>
        <w:tc>
          <w:tcPr>
            <w:tcW w:w="887"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20 461</w:t>
            </w:r>
          </w:p>
        </w:tc>
        <w:tc>
          <w:tcPr>
            <w:tcW w:w="913"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 xml:space="preserve"> (205)</w:t>
            </w:r>
          </w:p>
        </w:tc>
        <w:tc>
          <w:tcPr>
            <w:tcW w:w="875"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20 255</w:t>
            </w:r>
          </w:p>
        </w:tc>
        <w:tc>
          <w:tcPr>
            <w:tcW w:w="887"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 xml:space="preserve"> 107</w:t>
            </w:r>
          </w:p>
        </w:tc>
        <w:tc>
          <w:tcPr>
            <w:tcW w:w="890"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13 673</w:t>
            </w:r>
          </w:p>
        </w:tc>
        <w:tc>
          <w:tcPr>
            <w:tcW w:w="1365"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34 035</w:t>
            </w:r>
          </w:p>
        </w:tc>
      </w:tr>
      <w:tr>
        <w:trPr>
          <w:cantSplit/>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1BreakdownCommPaym"/>
              <w:rPr>
                <w:rFonts w:ascii="Verdana" w:eastAsia="Verdana" w:hAnsi="Verdana" w:cs="Verdana"/>
                <w:noProof/>
                <w:color w:val="000000"/>
                <w:sz w:val="16"/>
              </w:rPr>
            </w:pPr>
            <w:r>
              <w:rPr>
                <w:rFonts w:ascii="Verdana" w:hAnsi="Verdana"/>
                <w:noProof/>
                <w:color w:val="000000"/>
                <w:sz w:val="16"/>
              </w:rPr>
              <w:t>2</w:t>
            </w:r>
          </w:p>
        </w:tc>
        <w:tc>
          <w:tcPr>
            <w:tcW w:w="3094" w:type="dxa"/>
            <w:tcBorders>
              <w:top w:val="nil"/>
              <w:left w:val="nil"/>
              <w:bottom w:val="nil"/>
              <w:right w:val="nil"/>
              <w:tl2br w:val="nil"/>
              <w:tr2bl w:val="nil"/>
            </w:tcBorders>
            <w:tcMar>
              <w:left w:w="60" w:type="dxa"/>
              <w:right w:w="60" w:type="dxa"/>
            </w:tcMar>
            <w:vAlign w:val="center"/>
          </w:tcPr>
          <w:p>
            <w:pPr>
              <w:pStyle w:val="DMETW36742BIPMFF1BreakdownCommPaym"/>
              <w:rPr>
                <w:rFonts w:ascii="Verdana" w:eastAsia="Verdana" w:hAnsi="Verdana" w:cs="Verdana"/>
                <w:noProof/>
                <w:color w:val="000000"/>
                <w:sz w:val="16"/>
              </w:rPr>
            </w:pPr>
            <w:r>
              <w:rPr>
                <w:rFonts w:ascii="Verdana" w:hAnsi="Verdana"/>
                <w:noProof/>
                <w:color w:val="000000"/>
                <w:sz w:val="16"/>
              </w:rPr>
              <w:t>Cohésion, résilience et valeurs</w:t>
            </w:r>
          </w:p>
        </w:tc>
        <w:tc>
          <w:tcPr>
            <w:tcW w:w="1023"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77 980</w:t>
            </w:r>
          </w:p>
        </w:tc>
        <w:tc>
          <w:tcPr>
            <w:tcW w:w="913"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 xml:space="preserve"> (1)</w:t>
            </w:r>
          </w:p>
        </w:tc>
        <w:tc>
          <w:tcPr>
            <w:tcW w:w="890"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77 979</w:t>
            </w:r>
          </w:p>
        </w:tc>
        <w:tc>
          <w:tcPr>
            <w:tcW w:w="690"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 xml:space="preserve"> 0</w:t>
            </w:r>
          </w:p>
        </w:tc>
        <w:tc>
          <w:tcPr>
            <w:tcW w:w="957"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2 825</w:t>
            </w:r>
          </w:p>
        </w:tc>
        <w:tc>
          <w:tcPr>
            <w:tcW w:w="1005"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80 804</w:t>
            </w:r>
          </w:p>
        </w:tc>
        <w:tc>
          <w:tcPr>
            <w:tcW w:w="887"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44 445</w:t>
            </w:r>
          </w:p>
        </w:tc>
        <w:tc>
          <w:tcPr>
            <w:tcW w:w="913"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2 696</w:t>
            </w:r>
          </w:p>
        </w:tc>
        <w:tc>
          <w:tcPr>
            <w:tcW w:w="875"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47 141</w:t>
            </w:r>
          </w:p>
        </w:tc>
        <w:tc>
          <w:tcPr>
            <w:tcW w:w="887"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1 897</w:t>
            </w:r>
          </w:p>
        </w:tc>
        <w:tc>
          <w:tcPr>
            <w:tcW w:w="890"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47 563</w:t>
            </w:r>
          </w:p>
        </w:tc>
        <w:tc>
          <w:tcPr>
            <w:tcW w:w="1365"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96 601</w:t>
            </w:r>
          </w:p>
        </w:tc>
      </w:tr>
      <w:tr>
        <w:trPr>
          <w:cantSplit/>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1BreakdownCommPaym"/>
              <w:rPr>
                <w:rFonts w:ascii="Verdana" w:eastAsia="Verdana" w:hAnsi="Verdana" w:cs="Verdana"/>
                <w:noProof/>
                <w:color w:val="000000"/>
                <w:sz w:val="16"/>
              </w:rPr>
            </w:pPr>
            <w:r>
              <w:rPr>
                <w:rFonts w:ascii="Verdana" w:hAnsi="Verdana"/>
                <w:noProof/>
                <w:color w:val="000000"/>
                <w:sz w:val="16"/>
              </w:rPr>
              <w:t>3</w:t>
            </w:r>
          </w:p>
        </w:tc>
        <w:tc>
          <w:tcPr>
            <w:tcW w:w="3094" w:type="dxa"/>
            <w:tcBorders>
              <w:top w:val="nil"/>
              <w:left w:val="nil"/>
              <w:bottom w:val="nil"/>
              <w:right w:val="nil"/>
              <w:tl2br w:val="nil"/>
              <w:tr2bl w:val="nil"/>
            </w:tcBorders>
            <w:tcMar>
              <w:left w:w="60" w:type="dxa"/>
              <w:right w:w="60" w:type="dxa"/>
            </w:tcMar>
            <w:vAlign w:val="center"/>
          </w:tcPr>
          <w:p>
            <w:pPr>
              <w:pStyle w:val="DMETW36742BIPMFF1BreakdownCommPaym"/>
              <w:rPr>
                <w:rFonts w:ascii="Verdana" w:eastAsia="Verdana" w:hAnsi="Verdana" w:cs="Verdana"/>
                <w:noProof/>
                <w:color w:val="000000"/>
                <w:sz w:val="16"/>
              </w:rPr>
            </w:pPr>
            <w:r>
              <w:rPr>
                <w:rFonts w:ascii="Verdana" w:hAnsi="Verdana"/>
                <w:noProof/>
                <w:color w:val="000000"/>
                <w:sz w:val="16"/>
              </w:rPr>
              <w:t>Ressources naturelles et environnement</w:t>
            </w:r>
          </w:p>
        </w:tc>
        <w:tc>
          <w:tcPr>
            <w:tcW w:w="1023"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56 731</w:t>
            </w:r>
          </w:p>
        </w:tc>
        <w:tc>
          <w:tcPr>
            <w:tcW w:w="913"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 xml:space="preserve"> (32)</w:t>
            </w:r>
          </w:p>
        </w:tc>
        <w:tc>
          <w:tcPr>
            <w:tcW w:w="890"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56 700</w:t>
            </w:r>
          </w:p>
        </w:tc>
        <w:tc>
          <w:tcPr>
            <w:tcW w:w="690"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 xml:space="preserve"> 366</w:t>
            </w:r>
          </w:p>
        </w:tc>
        <w:tc>
          <w:tcPr>
            <w:tcW w:w="957"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1 894</w:t>
            </w:r>
          </w:p>
        </w:tc>
        <w:tc>
          <w:tcPr>
            <w:tcW w:w="1005"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58 961</w:t>
            </w:r>
          </w:p>
        </w:tc>
        <w:tc>
          <w:tcPr>
            <w:tcW w:w="887"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52 092</w:t>
            </w:r>
          </w:p>
        </w:tc>
        <w:tc>
          <w:tcPr>
            <w:tcW w:w="913"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3 948</w:t>
            </w:r>
          </w:p>
        </w:tc>
        <w:tc>
          <w:tcPr>
            <w:tcW w:w="875"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56 039</w:t>
            </w:r>
          </w:p>
        </w:tc>
        <w:tc>
          <w:tcPr>
            <w:tcW w:w="887"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 xml:space="preserve"> 375</w:t>
            </w:r>
          </w:p>
        </w:tc>
        <w:tc>
          <w:tcPr>
            <w:tcW w:w="890"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4 914</w:t>
            </w:r>
          </w:p>
        </w:tc>
        <w:tc>
          <w:tcPr>
            <w:tcW w:w="1365"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61 329</w:t>
            </w:r>
          </w:p>
        </w:tc>
      </w:tr>
      <w:tr>
        <w:trPr>
          <w:cantSplit/>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1BreakdownCommPaym"/>
              <w:rPr>
                <w:rFonts w:ascii="Verdana" w:eastAsia="Verdana" w:hAnsi="Verdana" w:cs="Verdana"/>
                <w:noProof/>
                <w:color w:val="000000"/>
                <w:sz w:val="16"/>
              </w:rPr>
            </w:pPr>
            <w:r>
              <w:rPr>
                <w:rFonts w:ascii="Verdana" w:hAnsi="Verdana"/>
                <w:noProof/>
                <w:color w:val="000000"/>
                <w:sz w:val="16"/>
              </w:rPr>
              <w:t>4</w:t>
            </w:r>
          </w:p>
        </w:tc>
        <w:tc>
          <w:tcPr>
            <w:tcW w:w="3094" w:type="dxa"/>
            <w:tcBorders>
              <w:top w:val="nil"/>
              <w:left w:val="nil"/>
              <w:bottom w:val="nil"/>
              <w:right w:val="nil"/>
              <w:tl2br w:val="nil"/>
              <w:tr2bl w:val="nil"/>
            </w:tcBorders>
            <w:tcMar>
              <w:left w:w="60" w:type="dxa"/>
              <w:right w:w="60" w:type="dxa"/>
            </w:tcMar>
            <w:vAlign w:val="center"/>
          </w:tcPr>
          <w:p>
            <w:pPr>
              <w:pStyle w:val="DMETW36742BIPMFF1BreakdownCommPaym"/>
              <w:rPr>
                <w:rFonts w:ascii="Verdana" w:eastAsia="Verdana" w:hAnsi="Verdana" w:cs="Verdana"/>
                <w:noProof/>
                <w:color w:val="000000"/>
                <w:sz w:val="16"/>
              </w:rPr>
            </w:pPr>
            <w:r>
              <w:rPr>
                <w:rFonts w:ascii="Verdana" w:hAnsi="Verdana"/>
                <w:noProof/>
                <w:color w:val="000000"/>
                <w:sz w:val="16"/>
              </w:rPr>
              <w:t>Migration et gestion des frontières</w:t>
            </w:r>
          </w:p>
        </w:tc>
        <w:tc>
          <w:tcPr>
            <w:tcW w:w="1023"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4 791</w:t>
            </w:r>
          </w:p>
        </w:tc>
        <w:tc>
          <w:tcPr>
            <w:tcW w:w="913"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 xml:space="preserve"> (146)</w:t>
            </w:r>
          </w:p>
        </w:tc>
        <w:tc>
          <w:tcPr>
            <w:tcW w:w="890"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4 645</w:t>
            </w:r>
          </w:p>
        </w:tc>
        <w:tc>
          <w:tcPr>
            <w:tcW w:w="690"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w:t>
            </w:r>
          </w:p>
        </w:tc>
        <w:tc>
          <w:tcPr>
            <w:tcW w:w="957"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 xml:space="preserve"> 693</w:t>
            </w:r>
          </w:p>
        </w:tc>
        <w:tc>
          <w:tcPr>
            <w:tcW w:w="1005"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5 338</w:t>
            </w:r>
          </w:p>
        </w:tc>
        <w:tc>
          <w:tcPr>
            <w:tcW w:w="887"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3 204</w:t>
            </w:r>
          </w:p>
        </w:tc>
        <w:tc>
          <w:tcPr>
            <w:tcW w:w="913"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 xml:space="preserve"> 360</w:t>
            </w:r>
          </w:p>
        </w:tc>
        <w:tc>
          <w:tcPr>
            <w:tcW w:w="875"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3 564</w:t>
            </w:r>
          </w:p>
        </w:tc>
        <w:tc>
          <w:tcPr>
            <w:tcW w:w="887"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 xml:space="preserve"> 28</w:t>
            </w:r>
          </w:p>
        </w:tc>
        <w:tc>
          <w:tcPr>
            <w:tcW w:w="890"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 xml:space="preserve"> 794</w:t>
            </w:r>
          </w:p>
        </w:tc>
        <w:tc>
          <w:tcPr>
            <w:tcW w:w="1365"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4 386</w:t>
            </w:r>
          </w:p>
        </w:tc>
      </w:tr>
      <w:tr>
        <w:trPr>
          <w:cantSplit/>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1BreakdownCommPaym"/>
              <w:rPr>
                <w:rFonts w:ascii="Verdana" w:eastAsia="Verdana" w:hAnsi="Verdana" w:cs="Verdana"/>
                <w:noProof/>
                <w:color w:val="000000"/>
                <w:sz w:val="16"/>
              </w:rPr>
            </w:pPr>
            <w:r>
              <w:rPr>
                <w:rFonts w:ascii="Verdana" w:hAnsi="Verdana"/>
                <w:noProof/>
                <w:color w:val="000000"/>
                <w:sz w:val="16"/>
              </w:rPr>
              <w:t>5</w:t>
            </w:r>
          </w:p>
        </w:tc>
        <w:tc>
          <w:tcPr>
            <w:tcW w:w="3094" w:type="dxa"/>
            <w:tcBorders>
              <w:top w:val="nil"/>
              <w:left w:val="nil"/>
              <w:bottom w:val="nil"/>
              <w:right w:val="nil"/>
              <w:tl2br w:val="nil"/>
              <w:tr2bl w:val="nil"/>
            </w:tcBorders>
            <w:tcMar>
              <w:left w:w="60" w:type="dxa"/>
              <w:right w:w="60" w:type="dxa"/>
            </w:tcMar>
            <w:vAlign w:val="center"/>
          </w:tcPr>
          <w:p>
            <w:pPr>
              <w:pStyle w:val="DMETW36742BIPMFF1BreakdownCommPaym"/>
              <w:rPr>
                <w:rFonts w:ascii="Verdana" w:eastAsia="Verdana" w:hAnsi="Verdana" w:cs="Verdana"/>
                <w:noProof/>
                <w:color w:val="000000"/>
                <w:sz w:val="16"/>
              </w:rPr>
            </w:pPr>
            <w:r>
              <w:rPr>
                <w:rFonts w:ascii="Verdana" w:hAnsi="Verdana"/>
                <w:noProof/>
                <w:color w:val="000000"/>
                <w:sz w:val="16"/>
              </w:rPr>
              <w:t>Sécurité et défense</w:t>
            </w:r>
          </w:p>
        </w:tc>
        <w:tc>
          <w:tcPr>
            <w:tcW w:w="1023"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2 633</w:t>
            </w:r>
          </w:p>
        </w:tc>
        <w:tc>
          <w:tcPr>
            <w:tcW w:w="913"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 xml:space="preserve"> 0</w:t>
            </w:r>
          </w:p>
        </w:tc>
        <w:tc>
          <w:tcPr>
            <w:tcW w:w="890"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2 633</w:t>
            </w:r>
          </w:p>
        </w:tc>
        <w:tc>
          <w:tcPr>
            <w:tcW w:w="690"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w:t>
            </w:r>
          </w:p>
        </w:tc>
        <w:tc>
          <w:tcPr>
            <w:tcW w:w="957"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 xml:space="preserve"> 109</w:t>
            </w:r>
          </w:p>
        </w:tc>
        <w:tc>
          <w:tcPr>
            <w:tcW w:w="1005"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2 742</w:t>
            </w:r>
          </w:p>
        </w:tc>
        <w:tc>
          <w:tcPr>
            <w:tcW w:w="887"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2 143</w:t>
            </w:r>
          </w:p>
        </w:tc>
        <w:tc>
          <w:tcPr>
            <w:tcW w:w="913"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 xml:space="preserve"> (304)</w:t>
            </w:r>
          </w:p>
        </w:tc>
        <w:tc>
          <w:tcPr>
            <w:tcW w:w="875"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1 839</w:t>
            </w:r>
          </w:p>
        </w:tc>
        <w:tc>
          <w:tcPr>
            <w:tcW w:w="887"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 xml:space="preserve"> 6</w:t>
            </w:r>
          </w:p>
        </w:tc>
        <w:tc>
          <w:tcPr>
            <w:tcW w:w="890"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 xml:space="preserve"> 103</w:t>
            </w:r>
          </w:p>
        </w:tc>
        <w:tc>
          <w:tcPr>
            <w:tcW w:w="1365"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1 947</w:t>
            </w:r>
          </w:p>
        </w:tc>
      </w:tr>
      <w:tr>
        <w:trPr>
          <w:cantSplit/>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1BreakdownCommPaym"/>
              <w:rPr>
                <w:rFonts w:ascii="Verdana" w:eastAsia="Verdana" w:hAnsi="Verdana" w:cs="Verdana"/>
                <w:noProof/>
                <w:color w:val="000000"/>
                <w:sz w:val="16"/>
              </w:rPr>
            </w:pPr>
            <w:r>
              <w:rPr>
                <w:rFonts w:ascii="Verdana" w:hAnsi="Verdana"/>
                <w:noProof/>
                <w:color w:val="000000"/>
                <w:sz w:val="16"/>
              </w:rPr>
              <w:t>6</w:t>
            </w:r>
          </w:p>
        </w:tc>
        <w:tc>
          <w:tcPr>
            <w:tcW w:w="3094" w:type="dxa"/>
            <w:tcBorders>
              <w:top w:val="nil"/>
              <w:left w:val="nil"/>
              <w:bottom w:val="nil"/>
              <w:right w:val="nil"/>
              <w:tl2br w:val="nil"/>
              <w:tr2bl w:val="nil"/>
            </w:tcBorders>
            <w:tcMar>
              <w:left w:w="60" w:type="dxa"/>
              <w:right w:w="60" w:type="dxa"/>
            </w:tcMar>
            <w:vAlign w:val="center"/>
          </w:tcPr>
          <w:p>
            <w:pPr>
              <w:pStyle w:val="DMETW36742BIPMFF1BreakdownCommPaym"/>
              <w:rPr>
                <w:rFonts w:ascii="Verdana" w:eastAsia="Verdana" w:hAnsi="Verdana" w:cs="Verdana"/>
                <w:noProof/>
                <w:color w:val="000000"/>
                <w:sz w:val="16"/>
              </w:rPr>
            </w:pPr>
            <w:r>
              <w:rPr>
                <w:rFonts w:ascii="Verdana" w:hAnsi="Verdana"/>
                <w:noProof/>
                <w:color w:val="000000"/>
                <w:sz w:val="16"/>
              </w:rPr>
              <w:t>Le voisinage et le monde</w:t>
            </w:r>
          </w:p>
        </w:tc>
        <w:tc>
          <w:tcPr>
            <w:tcW w:w="1023"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16 308</w:t>
            </w:r>
          </w:p>
        </w:tc>
        <w:tc>
          <w:tcPr>
            <w:tcW w:w="913"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 xml:space="preserve"> 584</w:t>
            </w:r>
          </w:p>
        </w:tc>
        <w:tc>
          <w:tcPr>
            <w:tcW w:w="890"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16 892</w:t>
            </w:r>
          </w:p>
        </w:tc>
        <w:tc>
          <w:tcPr>
            <w:tcW w:w="690"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 xml:space="preserve"> 970</w:t>
            </w:r>
          </w:p>
        </w:tc>
        <w:tc>
          <w:tcPr>
            <w:tcW w:w="957"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2 966</w:t>
            </w:r>
          </w:p>
        </w:tc>
        <w:tc>
          <w:tcPr>
            <w:tcW w:w="1005"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20 828</w:t>
            </w:r>
          </w:p>
        </w:tc>
        <w:tc>
          <w:tcPr>
            <w:tcW w:w="887"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14 426</w:t>
            </w:r>
          </w:p>
        </w:tc>
        <w:tc>
          <w:tcPr>
            <w:tcW w:w="913"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 xml:space="preserve"> 584</w:t>
            </w:r>
          </w:p>
        </w:tc>
        <w:tc>
          <w:tcPr>
            <w:tcW w:w="875"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15 010</w:t>
            </w:r>
          </w:p>
        </w:tc>
        <w:tc>
          <w:tcPr>
            <w:tcW w:w="887"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 xml:space="preserve"> 116</w:t>
            </w:r>
          </w:p>
        </w:tc>
        <w:tc>
          <w:tcPr>
            <w:tcW w:w="890"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3 343</w:t>
            </w:r>
          </w:p>
        </w:tc>
        <w:tc>
          <w:tcPr>
            <w:tcW w:w="1365"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18 469</w:t>
            </w:r>
          </w:p>
        </w:tc>
      </w:tr>
      <w:tr>
        <w:trPr>
          <w:cantSplit/>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1BreakdownCommPaym"/>
              <w:rPr>
                <w:rFonts w:ascii="Verdana" w:eastAsia="Verdana" w:hAnsi="Verdana" w:cs="Verdana"/>
                <w:noProof/>
                <w:color w:val="000000"/>
                <w:sz w:val="16"/>
              </w:rPr>
            </w:pPr>
            <w:r>
              <w:rPr>
                <w:rFonts w:ascii="Verdana" w:hAnsi="Verdana"/>
                <w:noProof/>
                <w:color w:val="000000"/>
                <w:sz w:val="16"/>
              </w:rPr>
              <w:t>7</w:t>
            </w:r>
          </w:p>
        </w:tc>
        <w:tc>
          <w:tcPr>
            <w:tcW w:w="3094" w:type="dxa"/>
            <w:tcBorders>
              <w:top w:val="nil"/>
              <w:left w:val="nil"/>
              <w:bottom w:val="nil"/>
              <w:right w:val="nil"/>
              <w:tl2br w:val="nil"/>
              <w:tr2bl w:val="nil"/>
            </w:tcBorders>
            <w:tcMar>
              <w:left w:w="60" w:type="dxa"/>
              <w:right w:w="60" w:type="dxa"/>
            </w:tcMar>
            <w:vAlign w:val="center"/>
          </w:tcPr>
          <w:p>
            <w:pPr>
              <w:pStyle w:val="DMETW36742BIPMFF1BreakdownCommPaym"/>
              <w:rPr>
                <w:rFonts w:ascii="Verdana" w:eastAsia="Verdana" w:hAnsi="Verdana" w:cs="Verdana"/>
                <w:noProof/>
                <w:color w:val="000000"/>
                <w:sz w:val="16"/>
              </w:rPr>
            </w:pPr>
            <w:r>
              <w:rPr>
                <w:rFonts w:ascii="Verdana" w:hAnsi="Verdana"/>
                <w:noProof/>
                <w:color w:val="000000"/>
                <w:sz w:val="16"/>
              </w:rPr>
              <w:t>Administration publique européenne</w:t>
            </w:r>
          </w:p>
        </w:tc>
        <w:tc>
          <w:tcPr>
            <w:tcW w:w="1023"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12 845</w:t>
            </w:r>
          </w:p>
        </w:tc>
        <w:tc>
          <w:tcPr>
            <w:tcW w:w="913"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 xml:space="preserve"> (79)</w:t>
            </w:r>
          </w:p>
        </w:tc>
        <w:tc>
          <w:tcPr>
            <w:tcW w:w="890"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12 766</w:t>
            </w:r>
          </w:p>
        </w:tc>
        <w:tc>
          <w:tcPr>
            <w:tcW w:w="690"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 xml:space="preserve"> 1</w:t>
            </w:r>
          </w:p>
        </w:tc>
        <w:tc>
          <w:tcPr>
            <w:tcW w:w="957"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2 348</w:t>
            </w:r>
          </w:p>
        </w:tc>
        <w:tc>
          <w:tcPr>
            <w:tcW w:w="1005"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15 115</w:t>
            </w:r>
          </w:p>
        </w:tc>
        <w:tc>
          <w:tcPr>
            <w:tcW w:w="887"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12 845</w:t>
            </w:r>
          </w:p>
        </w:tc>
        <w:tc>
          <w:tcPr>
            <w:tcW w:w="913"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 xml:space="preserve"> (79)</w:t>
            </w:r>
          </w:p>
        </w:tc>
        <w:tc>
          <w:tcPr>
            <w:tcW w:w="875"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12 766</w:t>
            </w:r>
          </w:p>
        </w:tc>
        <w:tc>
          <w:tcPr>
            <w:tcW w:w="887"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 xml:space="preserve"> 927</w:t>
            </w:r>
          </w:p>
        </w:tc>
        <w:tc>
          <w:tcPr>
            <w:tcW w:w="890"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2 440</w:t>
            </w:r>
          </w:p>
        </w:tc>
        <w:tc>
          <w:tcPr>
            <w:tcW w:w="1365"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16 133</w:t>
            </w:r>
          </w:p>
        </w:tc>
      </w:tr>
      <w:tr>
        <w:trPr>
          <w:cantSplit/>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1BreakdownCommPaym"/>
              <w:rPr>
                <w:rFonts w:ascii="Verdana" w:eastAsia="Verdana" w:hAnsi="Verdana" w:cs="Verdana"/>
                <w:noProof/>
                <w:color w:val="000000"/>
                <w:sz w:val="16"/>
              </w:rPr>
            </w:pPr>
            <w:r>
              <w:rPr>
                <w:rFonts w:ascii="Verdana" w:hAnsi="Verdana"/>
                <w:noProof/>
                <w:color w:val="000000"/>
                <w:sz w:val="16"/>
              </w:rPr>
              <w:t>O</w:t>
            </w:r>
          </w:p>
        </w:tc>
        <w:tc>
          <w:tcPr>
            <w:tcW w:w="3094" w:type="dxa"/>
            <w:tcBorders>
              <w:top w:val="nil"/>
              <w:left w:val="nil"/>
              <w:bottom w:val="nil"/>
              <w:right w:val="nil"/>
              <w:tl2br w:val="nil"/>
              <w:tr2bl w:val="nil"/>
            </w:tcBorders>
            <w:tcMar>
              <w:left w:w="60" w:type="dxa"/>
              <w:right w:w="60" w:type="dxa"/>
            </w:tcMar>
            <w:vAlign w:val="center"/>
          </w:tcPr>
          <w:p>
            <w:pPr>
              <w:pStyle w:val="DMETW36742BIPMFF1BreakdownCommPaym"/>
              <w:rPr>
                <w:rFonts w:ascii="Verdana" w:eastAsia="Verdana" w:hAnsi="Verdana" w:cs="Verdana"/>
                <w:noProof/>
                <w:color w:val="000000"/>
                <w:sz w:val="16"/>
              </w:rPr>
            </w:pPr>
            <w:r>
              <w:rPr>
                <w:rFonts w:ascii="Verdana" w:hAnsi="Verdana"/>
                <w:noProof/>
                <w:color w:val="000000"/>
                <w:sz w:val="16"/>
              </w:rPr>
              <w:t>Hors CFP</w:t>
            </w:r>
          </w:p>
        </w:tc>
        <w:tc>
          <w:tcPr>
            <w:tcW w:w="1023"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4 320</w:t>
            </w:r>
          </w:p>
        </w:tc>
        <w:tc>
          <w:tcPr>
            <w:tcW w:w="913"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 xml:space="preserve"> (0)</w:t>
            </w:r>
          </w:p>
        </w:tc>
        <w:tc>
          <w:tcPr>
            <w:tcW w:w="890"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4 320</w:t>
            </w:r>
          </w:p>
        </w:tc>
        <w:tc>
          <w:tcPr>
            <w:tcW w:w="690"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 xml:space="preserve"> 31</w:t>
            </w:r>
          </w:p>
        </w:tc>
        <w:tc>
          <w:tcPr>
            <w:tcW w:w="957"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7 415</w:t>
            </w:r>
          </w:p>
        </w:tc>
        <w:tc>
          <w:tcPr>
            <w:tcW w:w="1005"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11 767</w:t>
            </w:r>
          </w:p>
        </w:tc>
        <w:tc>
          <w:tcPr>
            <w:tcW w:w="887"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3 274</w:t>
            </w:r>
          </w:p>
        </w:tc>
        <w:tc>
          <w:tcPr>
            <w:tcW w:w="913"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 xml:space="preserve"> (469)</w:t>
            </w:r>
          </w:p>
        </w:tc>
        <w:tc>
          <w:tcPr>
            <w:tcW w:w="875"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2 805</w:t>
            </w:r>
          </w:p>
        </w:tc>
        <w:tc>
          <w:tcPr>
            <w:tcW w:w="887"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 xml:space="preserve"> 121</w:t>
            </w:r>
          </w:p>
        </w:tc>
        <w:tc>
          <w:tcPr>
            <w:tcW w:w="890"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13 069</w:t>
            </w:r>
          </w:p>
        </w:tc>
        <w:tc>
          <w:tcPr>
            <w:tcW w:w="1365"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15 994</w:t>
            </w:r>
          </w:p>
        </w:tc>
      </w:tr>
      <w:tr>
        <w:trPr>
          <w:cantSplit/>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1BreakdownCommPaym"/>
              <w:rPr>
                <w:rFonts w:ascii="Verdana" w:eastAsia="Verdana" w:hAnsi="Verdana" w:cs="Verdana"/>
                <w:noProof/>
                <w:color w:val="000000"/>
                <w:sz w:val="16"/>
              </w:rPr>
            </w:pPr>
            <w:r>
              <w:rPr>
                <w:rFonts w:ascii="Verdana" w:hAnsi="Verdana"/>
                <w:noProof/>
                <w:color w:val="000000"/>
                <w:sz w:val="16"/>
              </w:rPr>
              <w:t>S</w:t>
            </w:r>
          </w:p>
        </w:tc>
        <w:tc>
          <w:tcPr>
            <w:tcW w:w="3094" w:type="dxa"/>
            <w:tcBorders>
              <w:top w:val="nil"/>
              <w:left w:val="nil"/>
              <w:bottom w:val="nil"/>
              <w:right w:val="nil"/>
              <w:tl2br w:val="nil"/>
              <w:tr2bl w:val="nil"/>
            </w:tcBorders>
            <w:tcMar>
              <w:left w:w="60" w:type="dxa"/>
              <w:right w:w="60" w:type="dxa"/>
            </w:tcMar>
            <w:vAlign w:val="center"/>
          </w:tcPr>
          <w:p>
            <w:pPr>
              <w:pStyle w:val="DMETW36742BIPMFF1BreakdownCommPaym"/>
              <w:rPr>
                <w:rFonts w:ascii="Verdana" w:eastAsia="Verdana" w:hAnsi="Verdana" w:cs="Verdana"/>
                <w:noProof/>
                <w:color w:val="000000"/>
                <w:sz w:val="16"/>
              </w:rPr>
            </w:pPr>
            <w:r>
              <w:rPr>
                <w:rFonts w:ascii="Verdana" w:hAnsi="Verdana"/>
                <w:noProof/>
                <w:color w:val="000000"/>
                <w:sz w:val="16"/>
              </w:rPr>
              <w:t>Mécanismes de solidarité à l’intérieur et à l’extérieur de l’Union (instruments spéciaux)</w:t>
            </w:r>
          </w:p>
        </w:tc>
        <w:tc>
          <w:tcPr>
            <w:tcW w:w="1023"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2 349</w:t>
            </w:r>
          </w:p>
        </w:tc>
        <w:tc>
          <w:tcPr>
            <w:tcW w:w="913"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 xml:space="preserve"> (584)</w:t>
            </w:r>
          </w:p>
        </w:tc>
        <w:tc>
          <w:tcPr>
            <w:tcW w:w="890"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1 766</w:t>
            </w:r>
          </w:p>
        </w:tc>
        <w:tc>
          <w:tcPr>
            <w:tcW w:w="690"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 xml:space="preserve"> 310</w:t>
            </w:r>
          </w:p>
        </w:tc>
        <w:tc>
          <w:tcPr>
            <w:tcW w:w="957"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 xml:space="preserve"> 9</w:t>
            </w:r>
          </w:p>
        </w:tc>
        <w:tc>
          <w:tcPr>
            <w:tcW w:w="1005"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2 085</w:t>
            </w:r>
          </w:p>
        </w:tc>
        <w:tc>
          <w:tcPr>
            <w:tcW w:w="887"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2 320</w:t>
            </w:r>
          </w:p>
        </w:tc>
        <w:tc>
          <w:tcPr>
            <w:tcW w:w="913"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 xml:space="preserve"> (576)</w:t>
            </w:r>
          </w:p>
        </w:tc>
        <w:tc>
          <w:tcPr>
            <w:tcW w:w="875"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1 744</w:t>
            </w:r>
          </w:p>
        </w:tc>
        <w:tc>
          <w:tcPr>
            <w:tcW w:w="887"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 xml:space="preserve"> 310</w:t>
            </w:r>
          </w:p>
        </w:tc>
        <w:tc>
          <w:tcPr>
            <w:tcW w:w="890"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 xml:space="preserve"> 9</w:t>
            </w:r>
          </w:p>
        </w:tc>
        <w:tc>
          <w:tcPr>
            <w:tcW w:w="1365"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2 063</w:t>
            </w:r>
          </w:p>
        </w:tc>
      </w:tr>
      <w:tr>
        <w:trPr>
          <w:trHeight w:val="255"/>
        </w:trPr>
        <w:tc>
          <w:tcPr>
            <w:tcW w:w="344" w:type="dxa"/>
            <w:tcBorders>
              <w:top w:val="nil"/>
              <w:left w:val="nil"/>
              <w:bottom w:val="nil"/>
              <w:right w:val="nil"/>
              <w:tl2br w:val="nil"/>
              <w:tr2bl w:val="nil"/>
            </w:tcBorders>
            <w:shd w:val="solid" w:color="CCE1EA" w:fill="FFFFFF"/>
            <w:tcMar>
              <w:left w:w="60" w:type="dxa"/>
              <w:right w:w="60" w:type="dxa"/>
            </w:tcMar>
            <w:vAlign w:val="center"/>
          </w:tcPr>
          <w:p>
            <w:pPr>
              <w:pStyle w:val="DMETW36742BIPMFF1BreakdownCommPaym"/>
              <w:rPr>
                <w:rFonts w:ascii="Verdana" w:eastAsia="Verdana" w:hAnsi="Verdana" w:cs="Verdana"/>
                <w:b/>
                <w:noProof/>
                <w:color w:val="000000"/>
                <w:sz w:val="16"/>
              </w:rPr>
            </w:pPr>
          </w:p>
        </w:tc>
        <w:tc>
          <w:tcPr>
            <w:tcW w:w="3094" w:type="dxa"/>
            <w:tcBorders>
              <w:top w:val="nil"/>
              <w:left w:val="nil"/>
              <w:bottom w:val="nil"/>
              <w:right w:val="nil"/>
              <w:tl2br w:val="nil"/>
              <w:tr2bl w:val="nil"/>
            </w:tcBorders>
            <w:shd w:val="solid" w:color="CCE1EA" w:fill="FFFFFF"/>
            <w:tcMar>
              <w:left w:w="60" w:type="dxa"/>
              <w:right w:w="60" w:type="dxa"/>
            </w:tcMar>
            <w:vAlign w:val="center"/>
          </w:tcPr>
          <w:p>
            <w:pPr>
              <w:pStyle w:val="DMETW36742BIPMFF1BreakdownCommPaym"/>
              <w:jc w:val="right"/>
              <w:rPr>
                <w:rFonts w:ascii="Verdana" w:eastAsia="Verdana" w:hAnsi="Verdana" w:cs="Verdana"/>
                <w:b/>
                <w:noProof/>
                <w:color w:val="000000"/>
                <w:sz w:val="16"/>
              </w:rPr>
            </w:pPr>
            <w:r>
              <w:rPr>
                <w:rFonts w:ascii="Verdana" w:hAnsi="Verdana"/>
                <w:b/>
                <w:noProof/>
                <w:color w:val="000000"/>
                <w:sz w:val="16"/>
              </w:rPr>
              <w:t>TOTAL</w:t>
            </w:r>
          </w:p>
        </w:tc>
        <w:tc>
          <w:tcPr>
            <w:tcW w:w="1023" w:type="dxa"/>
            <w:tcBorders>
              <w:top w:val="nil"/>
              <w:left w:val="nil"/>
              <w:bottom w:val="nil"/>
              <w:right w:val="nil"/>
              <w:tl2br w:val="nil"/>
              <w:tr2bl w:val="nil"/>
            </w:tcBorders>
            <w:shd w:val="solid" w:color="CCE1EA" w:fill="FFFFFF"/>
            <w:tcMar>
              <w:left w:w="60" w:type="dxa"/>
              <w:right w:w="60" w:type="dxa"/>
            </w:tcMar>
            <w:vAlign w:val="center"/>
          </w:tcPr>
          <w:p>
            <w:pPr>
              <w:pStyle w:val="DMETW36742BIPMFF1BreakdownCommPaym"/>
              <w:jc w:val="right"/>
              <w:rPr>
                <w:rFonts w:ascii="Verdana" w:eastAsia="Verdana" w:hAnsi="Verdana" w:cs="Verdana"/>
                <w:b/>
                <w:noProof/>
                <w:color w:val="000000"/>
                <w:sz w:val="16"/>
              </w:rPr>
            </w:pPr>
            <w:r>
              <w:rPr>
                <w:rFonts w:ascii="Verdana" w:hAnsi="Verdana"/>
                <w:b/>
                <w:noProof/>
                <w:color w:val="000000"/>
                <w:sz w:val="16"/>
              </w:rPr>
              <w:t>199 438</w:t>
            </w:r>
          </w:p>
        </w:tc>
        <w:tc>
          <w:tcPr>
            <w:tcW w:w="913" w:type="dxa"/>
            <w:tcBorders>
              <w:top w:val="nil"/>
              <w:left w:val="nil"/>
              <w:bottom w:val="nil"/>
              <w:right w:val="nil"/>
              <w:tl2br w:val="nil"/>
              <w:tr2bl w:val="nil"/>
            </w:tcBorders>
            <w:shd w:val="solid" w:color="CCE1EA" w:fill="FFFFFF"/>
            <w:tcMar>
              <w:left w:w="60" w:type="dxa"/>
              <w:right w:w="60" w:type="dxa"/>
            </w:tcMar>
            <w:vAlign w:val="center"/>
          </w:tcPr>
          <w:p>
            <w:pPr>
              <w:pStyle w:val="DMETW36742BIPMFF1BreakdownCommPaym"/>
              <w:jc w:val="right"/>
              <w:rPr>
                <w:rFonts w:ascii="Verdana" w:eastAsia="Verdana" w:hAnsi="Verdana" w:cs="Verdana"/>
                <w:b/>
                <w:noProof/>
                <w:color w:val="000000"/>
                <w:sz w:val="16"/>
              </w:rPr>
            </w:pPr>
            <w:r>
              <w:rPr>
                <w:rFonts w:ascii="Verdana" w:hAnsi="Verdana"/>
                <w:b/>
                <w:noProof/>
                <w:color w:val="000000"/>
                <w:sz w:val="16"/>
              </w:rPr>
              <w:t xml:space="preserve"> (199)</w:t>
            </w:r>
          </w:p>
        </w:tc>
        <w:tc>
          <w:tcPr>
            <w:tcW w:w="890" w:type="dxa"/>
            <w:tcBorders>
              <w:top w:val="nil"/>
              <w:left w:val="nil"/>
              <w:bottom w:val="nil"/>
              <w:right w:val="nil"/>
              <w:tl2br w:val="nil"/>
              <w:tr2bl w:val="nil"/>
            </w:tcBorders>
            <w:shd w:val="solid" w:color="CCE1EA" w:fill="FFFFFF"/>
            <w:tcMar>
              <w:left w:w="60" w:type="dxa"/>
              <w:right w:w="60" w:type="dxa"/>
            </w:tcMar>
            <w:vAlign w:val="center"/>
          </w:tcPr>
          <w:p>
            <w:pPr>
              <w:pStyle w:val="DMETW36742BIPMFF1BreakdownCommPaym"/>
              <w:jc w:val="right"/>
              <w:rPr>
                <w:rFonts w:ascii="Verdana" w:eastAsia="Verdana" w:hAnsi="Verdana" w:cs="Verdana"/>
                <w:b/>
                <w:noProof/>
                <w:color w:val="000000"/>
                <w:sz w:val="16"/>
              </w:rPr>
            </w:pPr>
            <w:r>
              <w:rPr>
                <w:rFonts w:ascii="Verdana" w:hAnsi="Verdana"/>
                <w:b/>
                <w:noProof/>
                <w:color w:val="000000"/>
                <w:sz w:val="16"/>
              </w:rPr>
              <w:t>199 239</w:t>
            </w:r>
          </w:p>
        </w:tc>
        <w:tc>
          <w:tcPr>
            <w:tcW w:w="690" w:type="dxa"/>
            <w:tcBorders>
              <w:top w:val="nil"/>
              <w:left w:val="nil"/>
              <w:bottom w:val="nil"/>
              <w:right w:val="nil"/>
              <w:tl2br w:val="nil"/>
              <w:tr2bl w:val="nil"/>
            </w:tcBorders>
            <w:shd w:val="solid" w:color="CCE1EA" w:fill="FFFFFF"/>
            <w:tcMar>
              <w:left w:w="60" w:type="dxa"/>
              <w:right w:w="60" w:type="dxa"/>
            </w:tcMar>
            <w:vAlign w:val="center"/>
          </w:tcPr>
          <w:p>
            <w:pPr>
              <w:pStyle w:val="DMETW36742BIPMFF1BreakdownCommPaym"/>
              <w:jc w:val="right"/>
              <w:rPr>
                <w:rFonts w:ascii="Verdana" w:eastAsia="Verdana" w:hAnsi="Verdana" w:cs="Verdana"/>
                <w:b/>
                <w:noProof/>
                <w:color w:val="000000"/>
                <w:sz w:val="16"/>
              </w:rPr>
            </w:pPr>
            <w:r>
              <w:rPr>
                <w:rFonts w:ascii="Verdana" w:hAnsi="Verdana"/>
                <w:b/>
                <w:noProof/>
                <w:color w:val="000000"/>
                <w:sz w:val="16"/>
              </w:rPr>
              <w:t>1 795</w:t>
            </w:r>
          </w:p>
        </w:tc>
        <w:tc>
          <w:tcPr>
            <w:tcW w:w="957" w:type="dxa"/>
            <w:tcBorders>
              <w:top w:val="nil"/>
              <w:left w:val="nil"/>
              <w:bottom w:val="nil"/>
              <w:right w:val="nil"/>
              <w:tl2br w:val="nil"/>
              <w:tr2bl w:val="nil"/>
            </w:tcBorders>
            <w:shd w:val="solid" w:color="CCE1EA" w:fill="FFFFFF"/>
            <w:tcMar>
              <w:left w:w="60" w:type="dxa"/>
              <w:right w:w="60" w:type="dxa"/>
            </w:tcMar>
            <w:vAlign w:val="center"/>
          </w:tcPr>
          <w:p>
            <w:pPr>
              <w:pStyle w:val="DMETW36742BIPMFF1BreakdownCommPaym"/>
              <w:jc w:val="right"/>
              <w:rPr>
                <w:rFonts w:ascii="Verdana" w:eastAsia="Verdana" w:hAnsi="Verdana" w:cs="Verdana"/>
                <w:b/>
                <w:noProof/>
                <w:color w:val="000000"/>
                <w:sz w:val="16"/>
              </w:rPr>
            </w:pPr>
            <w:r>
              <w:rPr>
                <w:rFonts w:ascii="Verdana" w:hAnsi="Verdana"/>
                <w:b/>
                <w:noProof/>
                <w:color w:val="000000"/>
                <w:sz w:val="16"/>
              </w:rPr>
              <w:t>27 070</w:t>
            </w:r>
          </w:p>
        </w:tc>
        <w:tc>
          <w:tcPr>
            <w:tcW w:w="1005" w:type="dxa"/>
            <w:tcBorders>
              <w:top w:val="nil"/>
              <w:left w:val="nil"/>
              <w:bottom w:val="nil"/>
              <w:right w:val="nil"/>
              <w:tl2br w:val="nil"/>
              <w:tr2bl w:val="nil"/>
            </w:tcBorders>
            <w:shd w:val="solid" w:color="CCE1EA" w:fill="FFFFFF"/>
            <w:tcMar>
              <w:left w:w="60" w:type="dxa"/>
              <w:right w:w="60" w:type="dxa"/>
            </w:tcMar>
            <w:vAlign w:val="center"/>
          </w:tcPr>
          <w:p>
            <w:pPr>
              <w:pStyle w:val="DMETW36742BIPMFF1BreakdownCommPaym"/>
              <w:jc w:val="right"/>
              <w:rPr>
                <w:rFonts w:ascii="Verdana" w:eastAsia="Verdana" w:hAnsi="Verdana" w:cs="Verdana"/>
                <w:b/>
                <w:noProof/>
                <w:color w:val="000000"/>
                <w:sz w:val="16"/>
              </w:rPr>
            </w:pPr>
            <w:r>
              <w:rPr>
                <w:rFonts w:ascii="Verdana" w:hAnsi="Verdana"/>
                <w:b/>
                <w:noProof/>
                <w:color w:val="000000"/>
                <w:sz w:val="16"/>
              </w:rPr>
              <w:t>228 104</w:t>
            </w:r>
          </w:p>
        </w:tc>
        <w:tc>
          <w:tcPr>
            <w:tcW w:w="887" w:type="dxa"/>
            <w:tcBorders>
              <w:top w:val="nil"/>
              <w:left w:val="nil"/>
              <w:bottom w:val="nil"/>
              <w:right w:val="nil"/>
              <w:tl2br w:val="nil"/>
              <w:tr2bl w:val="nil"/>
            </w:tcBorders>
            <w:shd w:val="solid" w:color="CCE1EA" w:fill="FFFFFF"/>
            <w:tcMar>
              <w:left w:w="60" w:type="dxa"/>
              <w:right w:w="60" w:type="dxa"/>
            </w:tcMar>
            <w:vAlign w:val="center"/>
          </w:tcPr>
          <w:p>
            <w:pPr>
              <w:pStyle w:val="DMETW36742BIPMFF1BreakdownCommPaym"/>
              <w:jc w:val="right"/>
              <w:rPr>
                <w:rFonts w:ascii="Verdana" w:eastAsia="Verdana" w:hAnsi="Verdana" w:cs="Verdana"/>
                <w:b/>
                <w:noProof/>
                <w:color w:val="000000"/>
                <w:sz w:val="16"/>
              </w:rPr>
            </w:pPr>
            <w:r>
              <w:rPr>
                <w:rFonts w:ascii="Verdana" w:hAnsi="Verdana"/>
                <w:b/>
                <w:noProof/>
                <w:color w:val="000000"/>
                <w:sz w:val="16"/>
              </w:rPr>
              <w:t>155 209</w:t>
            </w:r>
          </w:p>
        </w:tc>
        <w:tc>
          <w:tcPr>
            <w:tcW w:w="913" w:type="dxa"/>
            <w:tcBorders>
              <w:top w:val="nil"/>
              <w:left w:val="nil"/>
              <w:bottom w:val="nil"/>
              <w:right w:val="nil"/>
              <w:tl2br w:val="nil"/>
              <w:tr2bl w:val="nil"/>
            </w:tcBorders>
            <w:shd w:val="solid" w:color="CCE1EA" w:fill="FFFFFF"/>
            <w:tcMar>
              <w:left w:w="60" w:type="dxa"/>
              <w:right w:w="60" w:type="dxa"/>
            </w:tcMar>
            <w:vAlign w:val="center"/>
          </w:tcPr>
          <w:p>
            <w:pPr>
              <w:pStyle w:val="DMETW36742BIPMFF1BreakdownCommPaym"/>
              <w:jc w:val="right"/>
              <w:rPr>
                <w:rFonts w:ascii="Verdana" w:eastAsia="Verdana" w:hAnsi="Verdana" w:cs="Verdana"/>
                <w:b/>
                <w:noProof/>
                <w:color w:val="000000"/>
                <w:sz w:val="16"/>
              </w:rPr>
            </w:pPr>
            <w:r>
              <w:rPr>
                <w:rFonts w:ascii="Verdana" w:hAnsi="Verdana"/>
                <w:b/>
                <w:noProof/>
                <w:color w:val="000000"/>
                <w:sz w:val="16"/>
              </w:rPr>
              <w:t>5 953</w:t>
            </w:r>
          </w:p>
        </w:tc>
        <w:tc>
          <w:tcPr>
            <w:tcW w:w="875" w:type="dxa"/>
            <w:tcBorders>
              <w:top w:val="nil"/>
              <w:left w:val="nil"/>
              <w:bottom w:val="nil"/>
              <w:right w:val="nil"/>
              <w:tl2br w:val="nil"/>
              <w:tr2bl w:val="nil"/>
            </w:tcBorders>
            <w:shd w:val="solid" w:color="CCE1EA" w:fill="FFFFFF"/>
            <w:tcMar>
              <w:left w:w="60" w:type="dxa"/>
              <w:right w:w="60" w:type="dxa"/>
            </w:tcMar>
            <w:vAlign w:val="center"/>
          </w:tcPr>
          <w:p>
            <w:pPr>
              <w:pStyle w:val="DMETW36742BIPMFF1BreakdownCommPaym"/>
              <w:jc w:val="right"/>
              <w:rPr>
                <w:rFonts w:ascii="Verdana" w:eastAsia="Verdana" w:hAnsi="Verdana" w:cs="Verdana"/>
                <w:b/>
                <w:noProof/>
                <w:color w:val="000000"/>
                <w:sz w:val="16"/>
              </w:rPr>
            </w:pPr>
            <w:r>
              <w:rPr>
                <w:rFonts w:ascii="Verdana" w:hAnsi="Verdana"/>
                <w:b/>
                <w:noProof/>
                <w:color w:val="000000"/>
                <w:sz w:val="16"/>
              </w:rPr>
              <w:t>161 163</w:t>
            </w:r>
          </w:p>
        </w:tc>
        <w:tc>
          <w:tcPr>
            <w:tcW w:w="887" w:type="dxa"/>
            <w:tcBorders>
              <w:top w:val="nil"/>
              <w:left w:val="nil"/>
              <w:bottom w:val="nil"/>
              <w:right w:val="nil"/>
              <w:tl2br w:val="nil"/>
              <w:tr2bl w:val="nil"/>
            </w:tcBorders>
            <w:shd w:val="solid" w:color="CCE1EA" w:fill="FFFFFF"/>
            <w:tcMar>
              <w:left w:w="60" w:type="dxa"/>
              <w:right w:w="60" w:type="dxa"/>
            </w:tcMar>
            <w:vAlign w:val="center"/>
          </w:tcPr>
          <w:p>
            <w:pPr>
              <w:pStyle w:val="DMETW36742BIPMFF1BreakdownCommPaym"/>
              <w:jc w:val="right"/>
              <w:rPr>
                <w:rFonts w:ascii="Verdana" w:eastAsia="Verdana" w:hAnsi="Verdana" w:cs="Verdana"/>
                <w:b/>
                <w:noProof/>
                <w:color w:val="000000"/>
                <w:sz w:val="16"/>
              </w:rPr>
            </w:pPr>
            <w:r>
              <w:rPr>
                <w:rFonts w:ascii="Verdana" w:hAnsi="Verdana"/>
                <w:b/>
                <w:noProof/>
                <w:color w:val="000000"/>
                <w:sz w:val="16"/>
              </w:rPr>
              <w:t>3 887</w:t>
            </w:r>
          </w:p>
        </w:tc>
        <w:tc>
          <w:tcPr>
            <w:tcW w:w="890" w:type="dxa"/>
            <w:tcBorders>
              <w:top w:val="nil"/>
              <w:left w:val="nil"/>
              <w:bottom w:val="nil"/>
              <w:right w:val="nil"/>
              <w:tl2br w:val="nil"/>
              <w:tr2bl w:val="nil"/>
            </w:tcBorders>
            <w:shd w:val="solid" w:color="CCE1EA" w:fill="FFFFFF"/>
            <w:tcMar>
              <w:left w:w="60" w:type="dxa"/>
              <w:right w:w="60" w:type="dxa"/>
            </w:tcMar>
            <w:vAlign w:val="center"/>
          </w:tcPr>
          <w:p>
            <w:pPr>
              <w:pStyle w:val="DMETW36742BIPMFF1BreakdownCommPaym"/>
              <w:jc w:val="right"/>
              <w:rPr>
                <w:rFonts w:ascii="Verdana" w:eastAsia="Verdana" w:hAnsi="Verdana" w:cs="Verdana"/>
                <w:b/>
                <w:noProof/>
                <w:color w:val="000000"/>
                <w:sz w:val="16"/>
              </w:rPr>
            </w:pPr>
            <w:r>
              <w:rPr>
                <w:rFonts w:ascii="Verdana" w:hAnsi="Verdana"/>
                <w:b/>
                <w:noProof/>
                <w:color w:val="000000"/>
                <w:sz w:val="16"/>
              </w:rPr>
              <w:t>85 907</w:t>
            </w:r>
          </w:p>
        </w:tc>
        <w:tc>
          <w:tcPr>
            <w:tcW w:w="1365" w:type="dxa"/>
            <w:tcBorders>
              <w:top w:val="nil"/>
              <w:left w:val="nil"/>
              <w:bottom w:val="nil"/>
              <w:right w:val="nil"/>
              <w:tl2br w:val="nil"/>
              <w:tr2bl w:val="nil"/>
            </w:tcBorders>
            <w:shd w:val="solid" w:color="CCE1EA" w:fill="FFFFFF"/>
            <w:tcMar>
              <w:left w:w="60" w:type="dxa"/>
              <w:right w:w="60" w:type="dxa"/>
            </w:tcMar>
            <w:vAlign w:val="center"/>
          </w:tcPr>
          <w:p>
            <w:pPr>
              <w:pStyle w:val="DMETW36742BIPMFF1BreakdownCommPaym"/>
              <w:jc w:val="right"/>
              <w:rPr>
                <w:rFonts w:ascii="Verdana" w:eastAsia="Verdana" w:hAnsi="Verdana" w:cs="Verdana"/>
                <w:b/>
                <w:noProof/>
                <w:color w:val="000000"/>
                <w:sz w:val="16"/>
              </w:rPr>
            </w:pPr>
            <w:r>
              <w:rPr>
                <w:rFonts w:ascii="Verdana" w:hAnsi="Verdana"/>
                <w:b/>
                <w:noProof/>
                <w:color w:val="000000"/>
                <w:sz w:val="16"/>
              </w:rPr>
              <w:t>250 956</w:t>
            </w:r>
          </w:p>
        </w:tc>
      </w:tr>
    </w:tbl>
    <w:p>
      <w:pPr>
        <w:pStyle w:val="DGTextstand-alone"/>
        <w:rPr>
          <w:rFonts w:eastAsia="Verdana" w:cs="Verdana"/>
          <w:szCs w:val="14"/>
          <w:highlight w:val="yellow"/>
        </w:rPr>
        <w:sectPr>
          <w:headerReference w:type="default" r:id="rId165"/>
          <w:footerReference w:type="default" r:id="rId166"/>
          <w:pgSz w:w="16840" w:h="11900" w:orient="landscape"/>
          <w:pgMar w:top="1134" w:right="1134" w:bottom="1134" w:left="1134" w:header="708" w:footer="708" w:gutter="0"/>
          <w:cols w:space="720"/>
          <w:docGrid w:linePitch="272"/>
        </w:sectPr>
      </w:pPr>
    </w:p>
    <w:p>
      <w:pPr>
        <w:pStyle w:val="HEADER2PartBUDG"/>
        <w:rPr>
          <w:noProof/>
        </w:rPr>
      </w:pPr>
      <w:bookmarkStart w:id="297" w:name="_Toc237349635"/>
      <w:r>
        <w:rPr>
          <w:noProof/>
        </w:rPr>
        <w:lastRenderedPageBreak/>
        <w:t>CFP: EXÉCUTION DES CRÉDITS D’ENGAGEMENT</w:t>
      </w:r>
      <w:bookmarkEnd w:id="2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6"/>
        <w:gridCol w:w="2854"/>
        <w:gridCol w:w="1239"/>
        <w:gridCol w:w="834"/>
        <w:gridCol w:w="834"/>
        <w:gridCol w:w="834"/>
        <w:gridCol w:w="1089"/>
        <w:gridCol w:w="834"/>
        <w:gridCol w:w="834"/>
        <w:gridCol w:w="834"/>
        <w:gridCol w:w="834"/>
        <w:gridCol w:w="834"/>
        <w:gridCol w:w="834"/>
        <w:gridCol w:w="834"/>
        <w:gridCol w:w="834"/>
      </w:tblGrid>
      <w:tr>
        <w:trPr>
          <w:trHeight w:val="255"/>
        </w:trPr>
        <w:tc>
          <w:tcPr>
            <w:tcW w:w="344" w:type="dxa"/>
            <w:gridSpan w:val="15"/>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i/>
                <w:noProof/>
                <w:color w:val="000000"/>
                <w:sz w:val="16"/>
              </w:rPr>
            </w:pPr>
            <w:bookmarkStart w:id="298" w:name="DOC_TBL00115_1_1"/>
            <w:bookmarkEnd w:id="298"/>
            <w:r>
              <w:rPr>
                <w:rFonts w:ascii="Verdana" w:hAnsi="Verdana"/>
                <w:i/>
                <w:noProof/>
                <w:color w:val="000000"/>
                <w:sz w:val="16"/>
              </w:rPr>
              <w:t>en Mio EUR</w:t>
            </w:r>
          </w:p>
        </w:tc>
      </w:tr>
      <w:tr>
        <w:trPr>
          <w:trHeight w:val="737"/>
        </w:trPr>
        <w:tc>
          <w:tcPr>
            <w:tcW w:w="344" w:type="dxa"/>
            <w:tcBorders>
              <w:top w:val="nil"/>
              <w:left w:val="nil"/>
              <w:bottom w:val="nil"/>
              <w:right w:val="nil"/>
              <w:tl2br w:val="nil"/>
              <w:tr2bl w:val="nil"/>
            </w:tcBorders>
            <w:shd w:val="solid" w:color="016794" w:fill="FFFFFF"/>
            <w:tcMar>
              <w:left w:w="60" w:type="dxa"/>
              <w:right w:w="60" w:type="dxa"/>
            </w:tcMar>
            <w:vAlign w:val="center"/>
          </w:tcPr>
          <w:p>
            <w:pPr>
              <w:pStyle w:val="DMETW36742BIPMFF2ImplementCommitments"/>
              <w:jc w:val="center"/>
              <w:rPr>
                <w:rFonts w:ascii="Verdana" w:eastAsia="Verdana" w:hAnsi="Verdana" w:cs="Verdana"/>
                <w:noProof/>
                <w:color w:val="FFFFFF"/>
                <w:sz w:val="16"/>
              </w:rPr>
            </w:pPr>
          </w:p>
        </w:tc>
        <w:tc>
          <w:tcPr>
            <w:tcW w:w="2944" w:type="dxa"/>
            <w:tcBorders>
              <w:top w:val="nil"/>
              <w:left w:val="nil"/>
              <w:bottom w:val="nil"/>
              <w:right w:val="nil"/>
              <w:tl2br w:val="nil"/>
              <w:tr2bl w:val="nil"/>
            </w:tcBorders>
            <w:shd w:val="solid" w:color="016794" w:fill="FFFFFF"/>
            <w:tcMar>
              <w:left w:w="60" w:type="dxa"/>
              <w:right w:w="60" w:type="dxa"/>
            </w:tcMar>
            <w:vAlign w:val="center"/>
          </w:tcPr>
          <w:p>
            <w:pPr>
              <w:pStyle w:val="DMETW36742BIPMFF2ImplementCommitments"/>
              <w:rPr>
                <w:rFonts w:ascii="Verdana" w:eastAsia="Verdana" w:hAnsi="Verdana" w:cs="Verdana"/>
                <w:b/>
                <w:noProof/>
                <w:color w:val="FFFFFF"/>
                <w:sz w:val="16"/>
              </w:rPr>
            </w:pPr>
          </w:p>
        </w:tc>
        <w:tc>
          <w:tcPr>
            <w:tcW w:w="1275"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742BIPMFF2ImplementCommitments"/>
              <w:jc w:val="center"/>
              <w:rPr>
                <w:rFonts w:ascii="Verdana" w:eastAsia="Verdana" w:hAnsi="Verdana" w:cs="Verdana"/>
                <w:b/>
                <w:noProof/>
                <w:color w:val="FFFFFF"/>
                <w:sz w:val="16"/>
              </w:rPr>
            </w:pPr>
            <w:r>
              <w:rPr>
                <w:rFonts w:ascii="Verdana" w:hAnsi="Verdana"/>
                <w:b/>
                <w:noProof/>
                <w:color w:val="FFFFFF"/>
                <w:sz w:val="16"/>
              </w:rPr>
              <w:t>Total crédits disponibles</w:t>
            </w:r>
          </w:p>
        </w:tc>
        <w:tc>
          <w:tcPr>
            <w:tcW w:w="857" w:type="dxa"/>
            <w:gridSpan w:val="5"/>
            <w:tcBorders>
              <w:top w:val="nil"/>
              <w:left w:val="nil"/>
              <w:bottom w:val="nil"/>
              <w:right w:val="nil"/>
              <w:tl2br w:val="nil"/>
              <w:tr2bl w:val="nil"/>
            </w:tcBorders>
            <w:shd w:val="solid" w:color="016794" w:fill="FFFFFF"/>
            <w:tcMar>
              <w:left w:w="60" w:type="dxa"/>
              <w:right w:w="60" w:type="dxa"/>
            </w:tcMar>
            <w:vAlign w:val="center"/>
          </w:tcPr>
          <w:p>
            <w:pPr>
              <w:pStyle w:val="DMETW36742BIPMFF2ImplementCommitments"/>
              <w:jc w:val="center"/>
              <w:rPr>
                <w:rFonts w:ascii="Verdana" w:eastAsia="Verdana" w:hAnsi="Verdana" w:cs="Verdana"/>
                <w:b/>
                <w:noProof/>
                <w:color w:val="FFFFFF"/>
                <w:sz w:val="16"/>
              </w:rPr>
            </w:pPr>
            <w:r>
              <w:rPr>
                <w:rFonts w:ascii="Verdana" w:hAnsi="Verdana"/>
                <w:b/>
                <w:noProof/>
                <w:color w:val="FFFFFF"/>
                <w:sz w:val="16"/>
              </w:rPr>
              <w:t>Engagements contractés</w:t>
            </w:r>
          </w:p>
        </w:tc>
        <w:tc>
          <w:tcPr>
            <w:tcW w:w="857" w:type="dxa"/>
            <w:gridSpan w:val="3"/>
            <w:tcBorders>
              <w:top w:val="nil"/>
              <w:left w:val="nil"/>
              <w:bottom w:val="nil"/>
              <w:right w:val="nil"/>
              <w:tl2br w:val="nil"/>
              <w:tr2bl w:val="nil"/>
            </w:tcBorders>
            <w:shd w:val="solid" w:color="016794" w:fill="FFFFFF"/>
            <w:tcMar>
              <w:left w:w="60" w:type="dxa"/>
              <w:right w:w="60" w:type="dxa"/>
            </w:tcMar>
            <w:vAlign w:val="center"/>
          </w:tcPr>
          <w:p>
            <w:pPr>
              <w:pStyle w:val="DMETW36742BIPMFF2ImplementCommitments"/>
              <w:jc w:val="center"/>
              <w:rPr>
                <w:rFonts w:ascii="Verdana" w:eastAsia="Verdana" w:hAnsi="Verdana" w:cs="Verdana"/>
                <w:b/>
                <w:noProof/>
                <w:color w:val="FFFFFF"/>
                <w:sz w:val="16"/>
              </w:rPr>
            </w:pPr>
            <w:r>
              <w:rPr>
                <w:rFonts w:ascii="Verdana" w:hAnsi="Verdana"/>
                <w:b/>
                <w:noProof/>
                <w:color w:val="FFFFFF"/>
                <w:sz w:val="16"/>
              </w:rPr>
              <w:t>Crédits reportés</w:t>
            </w:r>
          </w:p>
          <w:p>
            <w:pPr>
              <w:pStyle w:val="DMETW36742BIPMFF2ImplementCommitments"/>
              <w:jc w:val="center"/>
              <w:rPr>
                <w:rFonts w:ascii="Verdana" w:eastAsia="Verdana" w:hAnsi="Verdana" w:cs="Verdana"/>
                <w:b/>
                <w:noProof/>
                <w:color w:val="FFFFFF"/>
                <w:sz w:val="16"/>
              </w:rPr>
            </w:pPr>
            <w:r>
              <w:rPr>
                <w:rFonts w:ascii="Verdana" w:hAnsi="Verdana"/>
                <w:b/>
                <w:noProof/>
                <w:color w:val="FFFFFF"/>
                <w:sz w:val="16"/>
              </w:rPr>
              <w:t>à 2026</w:t>
            </w:r>
          </w:p>
        </w:tc>
        <w:tc>
          <w:tcPr>
            <w:tcW w:w="857" w:type="dxa"/>
            <w:gridSpan w:val="4"/>
            <w:tcBorders>
              <w:top w:val="nil"/>
              <w:left w:val="nil"/>
              <w:bottom w:val="nil"/>
              <w:right w:val="nil"/>
              <w:tl2br w:val="nil"/>
              <w:tr2bl w:val="nil"/>
            </w:tcBorders>
            <w:shd w:val="solid" w:color="016794" w:fill="FFFFFF"/>
            <w:tcMar>
              <w:left w:w="60" w:type="dxa"/>
              <w:right w:w="60" w:type="dxa"/>
            </w:tcMar>
            <w:vAlign w:val="center"/>
          </w:tcPr>
          <w:p>
            <w:pPr>
              <w:pStyle w:val="DMETW36742BIPMFF2ImplementCommitments"/>
              <w:jc w:val="center"/>
              <w:rPr>
                <w:rFonts w:ascii="Verdana" w:eastAsia="Verdana" w:hAnsi="Verdana" w:cs="Verdana"/>
                <w:b/>
                <w:noProof/>
                <w:color w:val="FFFFFF"/>
                <w:sz w:val="16"/>
              </w:rPr>
            </w:pPr>
            <w:r>
              <w:rPr>
                <w:rFonts w:ascii="Verdana" w:hAnsi="Verdana"/>
                <w:b/>
                <w:noProof/>
                <w:color w:val="FFFFFF"/>
                <w:sz w:val="16"/>
              </w:rPr>
              <w:t>Annulations</w:t>
            </w:r>
          </w:p>
        </w:tc>
      </w:tr>
      <w:tr>
        <w:trPr>
          <w:trHeight w:val="255"/>
        </w:trPr>
        <w:tc>
          <w:tcPr>
            <w:tcW w:w="344" w:type="dxa"/>
            <w:tcBorders>
              <w:top w:val="nil"/>
              <w:left w:val="nil"/>
              <w:bottom w:val="nil"/>
              <w:right w:val="nil"/>
              <w:tl2br w:val="nil"/>
              <w:tr2bl w:val="nil"/>
            </w:tcBorders>
            <w:shd w:val="solid" w:color="016794" w:fill="FFFFFF"/>
            <w:tcMar>
              <w:left w:w="60" w:type="dxa"/>
              <w:right w:w="60" w:type="dxa"/>
            </w:tcMar>
            <w:vAlign w:val="center"/>
          </w:tcPr>
          <w:p>
            <w:pPr>
              <w:pStyle w:val="DMETW36742BIPMFF2ImplementCommitments"/>
              <w:jc w:val="center"/>
              <w:rPr>
                <w:rFonts w:ascii="Verdana" w:eastAsia="Verdana" w:hAnsi="Verdana" w:cs="Verdana"/>
                <w:noProof/>
                <w:color w:val="FFFFFF"/>
                <w:sz w:val="16"/>
              </w:rPr>
            </w:pPr>
          </w:p>
        </w:tc>
        <w:tc>
          <w:tcPr>
            <w:tcW w:w="2944" w:type="dxa"/>
            <w:tcBorders>
              <w:top w:val="nil"/>
              <w:left w:val="nil"/>
              <w:bottom w:val="nil"/>
              <w:right w:val="nil"/>
              <w:tl2br w:val="nil"/>
              <w:tr2bl w:val="nil"/>
            </w:tcBorders>
            <w:shd w:val="solid" w:color="016794" w:fill="FFFFFF"/>
            <w:tcMar>
              <w:left w:w="60" w:type="dxa"/>
              <w:right w:w="60" w:type="dxa"/>
            </w:tcMar>
            <w:vAlign w:val="center"/>
          </w:tcPr>
          <w:p>
            <w:pPr>
              <w:pStyle w:val="DMETW36742BIPMFF2ImplementCommitments"/>
              <w:jc w:val="center"/>
              <w:rPr>
                <w:rFonts w:ascii="Verdana" w:eastAsia="Verdana" w:hAnsi="Verdana" w:cs="Verdana"/>
                <w:b/>
                <w:noProof/>
                <w:color w:val="FFFFFF"/>
                <w:sz w:val="16"/>
              </w:rPr>
            </w:pPr>
            <w:r>
              <w:rPr>
                <w:rFonts w:ascii="Verdana" w:hAnsi="Verdana"/>
                <w:b/>
                <w:noProof/>
                <w:color w:val="FFFFFF"/>
                <w:sz w:val="16"/>
              </w:rPr>
              <w:t>Rubrique du CFP</w:t>
            </w:r>
          </w:p>
        </w:tc>
        <w:tc>
          <w:tcPr>
            <w:tcW w:w="1275" w:type="dxa"/>
            <w:vMerge/>
            <w:tcBorders>
              <w:top w:val="nil"/>
              <w:left w:val="nil"/>
              <w:bottom w:val="nil"/>
              <w:right w:val="nil"/>
              <w:tl2br w:val="nil"/>
              <w:tr2bl w:val="nil"/>
            </w:tcBorders>
            <w:shd w:val="solid" w:color="016794" w:fill="FFFFFF"/>
            <w:tcMar>
              <w:left w:w="60" w:type="dxa"/>
              <w:right w:w="60" w:type="dxa"/>
            </w:tcMar>
            <w:vAlign w:val="center"/>
          </w:tcPr>
          <w:p>
            <w:pPr>
              <w:pStyle w:val="DMETW36742BIPMFF2ImplementCommitments"/>
              <w:jc w:val="center"/>
              <w:rPr>
                <w:rFonts w:ascii="Verdana" w:eastAsia="Verdana" w:hAnsi="Verdana" w:cs="Verdana"/>
                <w:b/>
                <w:noProof/>
                <w:color w:val="FFFFFF"/>
                <w:sz w:val="16"/>
              </w:rPr>
            </w:pPr>
          </w:p>
        </w:tc>
        <w:tc>
          <w:tcPr>
            <w:tcW w:w="857" w:type="dxa"/>
            <w:tcBorders>
              <w:top w:val="nil"/>
              <w:left w:val="nil"/>
              <w:bottom w:val="nil"/>
              <w:right w:val="nil"/>
              <w:tl2br w:val="nil"/>
              <w:tr2bl w:val="nil"/>
            </w:tcBorders>
            <w:shd w:val="solid" w:color="3487A9" w:fill="FFFFFF"/>
            <w:tcMar>
              <w:left w:w="60" w:type="dxa"/>
              <w:right w:w="60" w:type="dxa"/>
            </w:tcMar>
            <w:vAlign w:val="center"/>
          </w:tcPr>
          <w:p>
            <w:pPr>
              <w:pStyle w:val="DMETW36742BIPMFF2ImplementCommitments"/>
              <w:jc w:val="center"/>
              <w:rPr>
                <w:rFonts w:ascii="Verdana" w:eastAsia="Verdana" w:hAnsi="Verdana" w:cs="Verdana"/>
                <w:noProof/>
                <w:color w:val="FFFFFF"/>
                <w:sz w:val="16"/>
              </w:rPr>
            </w:pPr>
            <w:r>
              <w:rPr>
                <w:rFonts w:ascii="Verdana" w:hAnsi="Verdana"/>
                <w:noProof/>
                <w:color w:val="FFFFFF"/>
                <w:sz w:val="16"/>
              </w:rPr>
              <w:t>sur budget définitif adopté</w:t>
            </w:r>
          </w:p>
        </w:tc>
        <w:tc>
          <w:tcPr>
            <w:tcW w:w="857" w:type="dxa"/>
            <w:tcBorders>
              <w:top w:val="nil"/>
              <w:left w:val="nil"/>
              <w:bottom w:val="nil"/>
              <w:right w:val="nil"/>
              <w:tl2br w:val="nil"/>
              <w:tr2bl w:val="nil"/>
            </w:tcBorders>
            <w:shd w:val="solid" w:color="3487A9" w:fill="FFFFFF"/>
            <w:tcMar>
              <w:left w:w="60" w:type="dxa"/>
              <w:right w:w="60" w:type="dxa"/>
            </w:tcMar>
            <w:vAlign w:val="center"/>
          </w:tcPr>
          <w:p>
            <w:pPr>
              <w:pStyle w:val="DMETW36742BIPMFF2ImplementCommitments"/>
              <w:jc w:val="center"/>
              <w:rPr>
                <w:rFonts w:ascii="Verdana" w:eastAsia="Verdana" w:hAnsi="Verdana" w:cs="Verdana"/>
                <w:noProof/>
                <w:color w:val="FFFFFF"/>
                <w:sz w:val="16"/>
              </w:rPr>
            </w:pPr>
            <w:r>
              <w:rPr>
                <w:rFonts w:ascii="Verdana" w:hAnsi="Verdana"/>
                <w:noProof/>
                <w:color w:val="FFFFFF"/>
                <w:sz w:val="16"/>
              </w:rPr>
              <w:t>sur crédits reportés</w:t>
            </w:r>
          </w:p>
        </w:tc>
        <w:tc>
          <w:tcPr>
            <w:tcW w:w="857" w:type="dxa"/>
            <w:tcBorders>
              <w:top w:val="nil"/>
              <w:left w:val="nil"/>
              <w:bottom w:val="nil"/>
              <w:right w:val="nil"/>
              <w:tl2br w:val="nil"/>
              <w:tr2bl w:val="nil"/>
            </w:tcBorders>
            <w:shd w:val="solid" w:color="3487A9" w:fill="FFFFFF"/>
            <w:tcMar>
              <w:left w:w="60" w:type="dxa"/>
              <w:right w:w="60" w:type="dxa"/>
            </w:tcMar>
            <w:vAlign w:val="center"/>
          </w:tcPr>
          <w:p>
            <w:pPr>
              <w:pStyle w:val="DMETW36742BIPMFF2ImplementCommitments"/>
              <w:jc w:val="center"/>
              <w:rPr>
                <w:rFonts w:ascii="Verdana" w:eastAsia="Verdana" w:hAnsi="Verdana" w:cs="Verdana"/>
                <w:noProof/>
                <w:color w:val="FFFFFF"/>
                <w:sz w:val="16"/>
              </w:rPr>
            </w:pPr>
            <w:r>
              <w:rPr>
                <w:rFonts w:ascii="Verdana" w:hAnsi="Verdana"/>
                <w:noProof/>
                <w:color w:val="FFFFFF"/>
                <w:sz w:val="16"/>
              </w:rPr>
              <w:t>sur recettes affectées</w:t>
            </w:r>
          </w:p>
        </w:tc>
        <w:tc>
          <w:tcPr>
            <w:tcW w:w="1120" w:type="dxa"/>
            <w:tcBorders>
              <w:top w:val="nil"/>
              <w:left w:val="nil"/>
              <w:bottom w:val="nil"/>
              <w:right w:val="nil"/>
              <w:tl2br w:val="nil"/>
              <w:tr2bl w:val="nil"/>
            </w:tcBorders>
            <w:shd w:val="solid" w:color="3487A9" w:fill="FFFFFF"/>
            <w:tcMar>
              <w:left w:w="60" w:type="dxa"/>
              <w:right w:w="60" w:type="dxa"/>
            </w:tcMar>
            <w:vAlign w:val="center"/>
          </w:tcPr>
          <w:p>
            <w:pPr>
              <w:pStyle w:val="DMETW36742BIPMFF2ImplementCommitments"/>
              <w:jc w:val="center"/>
              <w:rPr>
                <w:rFonts w:ascii="Verdana" w:eastAsia="Verdana" w:hAnsi="Verdana" w:cs="Verdana"/>
                <w:noProof/>
                <w:color w:val="FFFFFF"/>
                <w:sz w:val="16"/>
              </w:rPr>
            </w:pPr>
            <w:r>
              <w:rPr>
                <w:rFonts w:ascii="Verdana" w:hAnsi="Verdana"/>
                <w:noProof/>
                <w:color w:val="FFFFFF"/>
                <w:sz w:val="16"/>
              </w:rPr>
              <w:t>Total</w:t>
            </w:r>
          </w:p>
        </w:tc>
        <w:tc>
          <w:tcPr>
            <w:tcW w:w="857" w:type="dxa"/>
            <w:tcBorders>
              <w:top w:val="nil"/>
              <w:left w:val="nil"/>
              <w:bottom w:val="nil"/>
              <w:right w:val="nil"/>
              <w:tl2br w:val="nil"/>
              <w:tr2bl w:val="nil"/>
            </w:tcBorders>
            <w:shd w:val="solid" w:color="3487A9" w:fill="FFFFFF"/>
            <w:tcMar>
              <w:left w:w="60" w:type="dxa"/>
              <w:right w:w="60" w:type="dxa"/>
            </w:tcMar>
            <w:vAlign w:val="center"/>
          </w:tcPr>
          <w:p>
            <w:pPr>
              <w:pStyle w:val="DMETW36742BIPMFF2ImplementCommitments"/>
              <w:jc w:val="center"/>
              <w:rPr>
                <w:rFonts w:ascii="Verdana" w:eastAsia="Verdana" w:hAnsi="Verdana" w:cs="Verdana"/>
                <w:noProof/>
                <w:color w:val="FFFFFF"/>
                <w:sz w:val="16"/>
              </w:rPr>
            </w:pPr>
            <w:r>
              <w:rPr>
                <w:rFonts w:ascii="Verdana" w:hAnsi="Verdana"/>
                <w:noProof/>
                <w:color w:val="FFFFFF"/>
                <w:sz w:val="16"/>
              </w:rPr>
              <w:t>%</w:t>
            </w:r>
          </w:p>
        </w:tc>
        <w:tc>
          <w:tcPr>
            <w:tcW w:w="857" w:type="dxa"/>
            <w:tcBorders>
              <w:top w:val="nil"/>
              <w:left w:val="nil"/>
              <w:bottom w:val="nil"/>
              <w:right w:val="nil"/>
              <w:tl2br w:val="nil"/>
              <w:tr2bl w:val="nil"/>
            </w:tcBorders>
            <w:shd w:val="solid" w:color="3487A9" w:fill="FFFFFF"/>
            <w:tcMar>
              <w:left w:w="60" w:type="dxa"/>
              <w:right w:w="60" w:type="dxa"/>
            </w:tcMar>
            <w:vAlign w:val="center"/>
          </w:tcPr>
          <w:p>
            <w:pPr>
              <w:pStyle w:val="DMETW36742BIPMFF2ImplementCommitments"/>
              <w:jc w:val="center"/>
              <w:rPr>
                <w:rFonts w:ascii="Verdana" w:eastAsia="Verdana" w:hAnsi="Verdana" w:cs="Verdana"/>
                <w:noProof/>
                <w:color w:val="FFFFFF"/>
                <w:sz w:val="16"/>
              </w:rPr>
            </w:pPr>
            <w:r>
              <w:rPr>
                <w:rFonts w:ascii="Verdana" w:hAnsi="Verdana"/>
                <w:noProof/>
                <w:color w:val="FFFFFF"/>
                <w:sz w:val="16"/>
              </w:rPr>
              <w:t>sur budget définitif adopté</w:t>
            </w:r>
          </w:p>
        </w:tc>
        <w:tc>
          <w:tcPr>
            <w:tcW w:w="857" w:type="dxa"/>
            <w:tcBorders>
              <w:top w:val="nil"/>
              <w:left w:val="nil"/>
              <w:bottom w:val="nil"/>
              <w:right w:val="nil"/>
              <w:tl2br w:val="nil"/>
              <w:tr2bl w:val="nil"/>
            </w:tcBorders>
            <w:shd w:val="solid" w:color="3487A9" w:fill="FFFFFF"/>
            <w:tcMar>
              <w:left w:w="60" w:type="dxa"/>
              <w:right w:w="60" w:type="dxa"/>
            </w:tcMar>
            <w:vAlign w:val="center"/>
          </w:tcPr>
          <w:p>
            <w:pPr>
              <w:pStyle w:val="DMETW36742BIPMFF2ImplementCommitments"/>
              <w:jc w:val="center"/>
              <w:rPr>
                <w:rFonts w:ascii="Verdana" w:eastAsia="Verdana" w:hAnsi="Verdana" w:cs="Verdana"/>
                <w:noProof/>
                <w:color w:val="FFFFFF"/>
                <w:sz w:val="16"/>
              </w:rPr>
            </w:pPr>
            <w:r>
              <w:rPr>
                <w:rFonts w:ascii="Verdana" w:hAnsi="Verdana"/>
                <w:noProof/>
                <w:color w:val="FFFFFF"/>
                <w:sz w:val="16"/>
              </w:rPr>
              <w:t>sur recettes affectées</w:t>
            </w:r>
          </w:p>
        </w:tc>
        <w:tc>
          <w:tcPr>
            <w:tcW w:w="857" w:type="dxa"/>
            <w:tcBorders>
              <w:top w:val="nil"/>
              <w:left w:val="nil"/>
              <w:bottom w:val="nil"/>
              <w:right w:val="nil"/>
              <w:tl2br w:val="nil"/>
              <w:tr2bl w:val="nil"/>
            </w:tcBorders>
            <w:shd w:val="solid" w:color="3487A9" w:fill="FFFFFF"/>
            <w:tcMar>
              <w:left w:w="60" w:type="dxa"/>
              <w:right w:w="60" w:type="dxa"/>
            </w:tcMar>
            <w:vAlign w:val="center"/>
          </w:tcPr>
          <w:p>
            <w:pPr>
              <w:pStyle w:val="DMETW36742BIPMFF2ImplementCommitments"/>
              <w:jc w:val="center"/>
              <w:rPr>
                <w:rFonts w:ascii="Verdana" w:eastAsia="Verdana" w:hAnsi="Verdana" w:cs="Verdana"/>
                <w:noProof/>
                <w:color w:val="FFFFFF"/>
                <w:sz w:val="16"/>
              </w:rPr>
            </w:pPr>
            <w:r>
              <w:rPr>
                <w:rFonts w:ascii="Verdana" w:hAnsi="Verdana"/>
                <w:noProof/>
                <w:color w:val="FFFFFF"/>
                <w:sz w:val="16"/>
              </w:rPr>
              <w:t>Total</w:t>
            </w:r>
          </w:p>
        </w:tc>
        <w:tc>
          <w:tcPr>
            <w:tcW w:w="857" w:type="dxa"/>
            <w:tcBorders>
              <w:top w:val="nil"/>
              <w:left w:val="nil"/>
              <w:bottom w:val="nil"/>
              <w:right w:val="nil"/>
              <w:tl2br w:val="nil"/>
              <w:tr2bl w:val="nil"/>
            </w:tcBorders>
            <w:shd w:val="solid" w:color="3487A9" w:fill="FFFFFF"/>
            <w:tcMar>
              <w:left w:w="60" w:type="dxa"/>
              <w:right w:w="60" w:type="dxa"/>
            </w:tcMar>
            <w:vAlign w:val="center"/>
          </w:tcPr>
          <w:p>
            <w:pPr>
              <w:pStyle w:val="DMETW36742BIPMFF2ImplementCommitments"/>
              <w:jc w:val="center"/>
              <w:rPr>
                <w:rFonts w:ascii="Verdana" w:eastAsia="Verdana" w:hAnsi="Verdana" w:cs="Verdana"/>
                <w:noProof/>
                <w:color w:val="FFFFFF"/>
                <w:sz w:val="16"/>
              </w:rPr>
            </w:pPr>
            <w:r>
              <w:rPr>
                <w:rFonts w:ascii="Verdana" w:hAnsi="Verdana"/>
                <w:noProof/>
                <w:color w:val="FFFFFF"/>
                <w:sz w:val="16"/>
              </w:rPr>
              <w:t>sur budget définitif adopté</w:t>
            </w:r>
          </w:p>
        </w:tc>
        <w:tc>
          <w:tcPr>
            <w:tcW w:w="857" w:type="dxa"/>
            <w:tcBorders>
              <w:top w:val="nil"/>
              <w:left w:val="nil"/>
              <w:bottom w:val="nil"/>
              <w:right w:val="nil"/>
              <w:tl2br w:val="nil"/>
              <w:tr2bl w:val="nil"/>
            </w:tcBorders>
            <w:shd w:val="solid" w:color="3487A9" w:fill="FFFFFF"/>
            <w:tcMar>
              <w:left w:w="60" w:type="dxa"/>
              <w:right w:w="60" w:type="dxa"/>
            </w:tcMar>
            <w:vAlign w:val="center"/>
          </w:tcPr>
          <w:p>
            <w:pPr>
              <w:pStyle w:val="DMETW36742BIPMFF2ImplementCommitments"/>
              <w:jc w:val="center"/>
              <w:rPr>
                <w:rFonts w:ascii="Verdana" w:eastAsia="Verdana" w:hAnsi="Verdana" w:cs="Verdana"/>
                <w:noProof/>
                <w:color w:val="FFFFFF"/>
                <w:sz w:val="16"/>
              </w:rPr>
            </w:pPr>
            <w:r>
              <w:rPr>
                <w:rFonts w:ascii="Verdana" w:hAnsi="Verdana"/>
                <w:noProof/>
                <w:color w:val="FFFFFF"/>
                <w:sz w:val="16"/>
              </w:rPr>
              <w:t>sur crédits reportés</w:t>
            </w:r>
          </w:p>
        </w:tc>
        <w:tc>
          <w:tcPr>
            <w:tcW w:w="857" w:type="dxa"/>
            <w:tcBorders>
              <w:top w:val="nil"/>
              <w:left w:val="nil"/>
              <w:bottom w:val="nil"/>
              <w:right w:val="nil"/>
              <w:tl2br w:val="nil"/>
              <w:tr2bl w:val="nil"/>
            </w:tcBorders>
            <w:shd w:val="solid" w:color="3487A9" w:fill="FFFFFF"/>
            <w:tcMar>
              <w:left w:w="60" w:type="dxa"/>
              <w:right w:w="60" w:type="dxa"/>
            </w:tcMar>
            <w:vAlign w:val="center"/>
          </w:tcPr>
          <w:p>
            <w:pPr>
              <w:pStyle w:val="DMETW36742BIPMFF2ImplementCommitments"/>
              <w:jc w:val="center"/>
              <w:rPr>
                <w:rFonts w:ascii="Verdana" w:eastAsia="Verdana" w:hAnsi="Verdana" w:cs="Verdana"/>
                <w:noProof/>
                <w:color w:val="FFFFFF"/>
                <w:sz w:val="16"/>
              </w:rPr>
            </w:pPr>
            <w:r>
              <w:rPr>
                <w:rFonts w:ascii="Verdana" w:hAnsi="Verdana"/>
                <w:noProof/>
                <w:color w:val="FFFFFF"/>
                <w:sz w:val="16"/>
              </w:rPr>
              <w:t>sur recettes affectées</w:t>
            </w:r>
          </w:p>
        </w:tc>
        <w:tc>
          <w:tcPr>
            <w:tcW w:w="857" w:type="dxa"/>
            <w:tcBorders>
              <w:top w:val="nil"/>
              <w:left w:val="nil"/>
              <w:bottom w:val="nil"/>
              <w:right w:val="nil"/>
              <w:tl2br w:val="nil"/>
              <w:tr2bl w:val="nil"/>
            </w:tcBorders>
            <w:shd w:val="solid" w:color="3487A9" w:fill="FFFFFF"/>
            <w:tcMar>
              <w:left w:w="60" w:type="dxa"/>
              <w:right w:w="60" w:type="dxa"/>
            </w:tcMar>
            <w:vAlign w:val="center"/>
          </w:tcPr>
          <w:p>
            <w:pPr>
              <w:pStyle w:val="DMETW36742BIPMFF2ImplementCommitments"/>
              <w:jc w:val="center"/>
              <w:rPr>
                <w:rFonts w:ascii="Verdana" w:eastAsia="Verdana" w:hAnsi="Verdana" w:cs="Verdana"/>
                <w:noProof/>
                <w:color w:val="FFFFFF"/>
                <w:sz w:val="16"/>
              </w:rPr>
            </w:pPr>
            <w:r>
              <w:rPr>
                <w:rFonts w:ascii="Verdana" w:hAnsi="Verdana"/>
                <w:noProof/>
                <w:color w:val="FFFFFF"/>
                <w:sz w:val="16"/>
              </w:rPr>
              <w:t>Total</w:t>
            </w:r>
          </w:p>
        </w:tc>
      </w:tr>
      <w:tr>
        <w:trPr>
          <w:trHeight w:val="255"/>
        </w:trPr>
        <w:tc>
          <w:tcPr>
            <w:tcW w:w="344" w:type="dxa"/>
            <w:tcBorders>
              <w:top w:val="nil"/>
              <w:left w:val="nil"/>
              <w:bottom w:val="nil"/>
              <w:right w:val="nil"/>
              <w:tl2br w:val="nil"/>
              <w:tr2bl w:val="nil"/>
            </w:tcBorders>
            <w:shd w:val="solid" w:color="3487A9" w:fill="FFFFFF"/>
            <w:tcMar>
              <w:left w:w="60" w:type="dxa"/>
              <w:right w:w="60" w:type="dxa"/>
            </w:tcMar>
            <w:vAlign w:val="center"/>
          </w:tcPr>
          <w:p>
            <w:pPr>
              <w:pStyle w:val="DMETW36742BIPMFF2ImplementCommitments"/>
              <w:jc w:val="center"/>
              <w:rPr>
                <w:rFonts w:ascii="Verdana" w:eastAsia="Verdana" w:hAnsi="Verdana" w:cs="Verdana"/>
                <w:noProof/>
                <w:color w:val="FFFFFF"/>
                <w:sz w:val="16"/>
              </w:rPr>
            </w:pPr>
          </w:p>
        </w:tc>
        <w:tc>
          <w:tcPr>
            <w:tcW w:w="2944" w:type="dxa"/>
            <w:tcBorders>
              <w:top w:val="nil"/>
              <w:left w:val="nil"/>
              <w:bottom w:val="nil"/>
              <w:right w:val="nil"/>
              <w:tl2br w:val="nil"/>
              <w:tr2bl w:val="nil"/>
            </w:tcBorders>
            <w:shd w:val="solid" w:color="3487A9" w:fill="FFFFFF"/>
            <w:tcMar>
              <w:left w:w="60" w:type="dxa"/>
              <w:right w:w="60" w:type="dxa"/>
            </w:tcMar>
            <w:vAlign w:val="center"/>
          </w:tcPr>
          <w:p>
            <w:pPr>
              <w:pStyle w:val="DMETW36742BIPMFF2ImplementCommitments"/>
              <w:jc w:val="center"/>
              <w:rPr>
                <w:rFonts w:ascii="Verdana" w:eastAsia="Verdana" w:hAnsi="Verdana" w:cs="Verdana"/>
                <w:noProof/>
                <w:color w:val="FFFFFF"/>
                <w:sz w:val="16"/>
              </w:rPr>
            </w:pPr>
          </w:p>
        </w:tc>
        <w:tc>
          <w:tcPr>
            <w:tcW w:w="1275" w:type="dxa"/>
            <w:tcBorders>
              <w:top w:val="nil"/>
              <w:left w:val="nil"/>
              <w:bottom w:val="nil"/>
              <w:right w:val="nil"/>
              <w:tl2br w:val="nil"/>
              <w:tr2bl w:val="nil"/>
            </w:tcBorders>
            <w:shd w:val="solid" w:color="3487A9" w:fill="FFFFFF"/>
            <w:tcMar>
              <w:left w:w="60" w:type="dxa"/>
              <w:right w:w="60" w:type="dxa"/>
            </w:tcMar>
            <w:vAlign w:val="center"/>
          </w:tcPr>
          <w:p>
            <w:pPr>
              <w:pStyle w:val="DMETW36742BIPMFF2ImplementCommitments"/>
              <w:jc w:val="center"/>
              <w:rPr>
                <w:rFonts w:ascii="Verdana" w:eastAsia="Verdana" w:hAnsi="Verdana" w:cs="Verdana"/>
                <w:noProof/>
                <w:color w:val="FFFFFF"/>
                <w:sz w:val="16"/>
              </w:rPr>
            </w:pPr>
            <w:r>
              <w:rPr>
                <w:rFonts w:ascii="Verdana" w:hAnsi="Verdana"/>
                <w:noProof/>
                <w:color w:val="FFFFFF"/>
                <w:sz w:val="16"/>
              </w:rPr>
              <w:t>1</w:t>
            </w:r>
          </w:p>
        </w:tc>
        <w:tc>
          <w:tcPr>
            <w:tcW w:w="857" w:type="dxa"/>
            <w:tcBorders>
              <w:top w:val="nil"/>
              <w:left w:val="nil"/>
              <w:bottom w:val="nil"/>
              <w:right w:val="nil"/>
              <w:tl2br w:val="nil"/>
              <w:tr2bl w:val="nil"/>
            </w:tcBorders>
            <w:shd w:val="solid" w:color="3487A9" w:fill="FFFFFF"/>
            <w:tcMar>
              <w:left w:w="60" w:type="dxa"/>
              <w:right w:w="60" w:type="dxa"/>
            </w:tcMar>
            <w:vAlign w:val="center"/>
          </w:tcPr>
          <w:p>
            <w:pPr>
              <w:pStyle w:val="DMETW36742BIPMFF2ImplementCommitments"/>
              <w:jc w:val="center"/>
              <w:rPr>
                <w:rFonts w:ascii="Verdana" w:eastAsia="Verdana" w:hAnsi="Verdana" w:cs="Verdana"/>
                <w:noProof/>
                <w:color w:val="FFFFFF"/>
                <w:sz w:val="16"/>
              </w:rPr>
            </w:pPr>
            <w:r>
              <w:rPr>
                <w:rFonts w:ascii="Verdana" w:hAnsi="Verdana"/>
                <w:noProof/>
                <w:color w:val="FFFFFF"/>
                <w:sz w:val="16"/>
              </w:rPr>
              <w:t>2</w:t>
            </w:r>
          </w:p>
        </w:tc>
        <w:tc>
          <w:tcPr>
            <w:tcW w:w="857" w:type="dxa"/>
            <w:tcBorders>
              <w:top w:val="nil"/>
              <w:left w:val="nil"/>
              <w:bottom w:val="nil"/>
              <w:right w:val="nil"/>
              <w:tl2br w:val="nil"/>
              <w:tr2bl w:val="nil"/>
            </w:tcBorders>
            <w:shd w:val="solid" w:color="3487A9" w:fill="FFFFFF"/>
            <w:tcMar>
              <w:left w:w="60" w:type="dxa"/>
              <w:right w:w="60" w:type="dxa"/>
            </w:tcMar>
            <w:vAlign w:val="center"/>
          </w:tcPr>
          <w:p>
            <w:pPr>
              <w:pStyle w:val="DMETW36742BIPMFF2ImplementCommitments"/>
              <w:jc w:val="center"/>
              <w:rPr>
                <w:rFonts w:ascii="Verdana" w:eastAsia="Verdana" w:hAnsi="Verdana" w:cs="Verdana"/>
                <w:noProof/>
                <w:color w:val="FFFFFF"/>
                <w:sz w:val="16"/>
              </w:rPr>
            </w:pPr>
            <w:r>
              <w:rPr>
                <w:rFonts w:ascii="Verdana" w:hAnsi="Verdana"/>
                <w:noProof/>
                <w:color w:val="FFFFFF"/>
                <w:sz w:val="16"/>
              </w:rPr>
              <w:t>3</w:t>
            </w:r>
          </w:p>
        </w:tc>
        <w:tc>
          <w:tcPr>
            <w:tcW w:w="857" w:type="dxa"/>
            <w:tcBorders>
              <w:top w:val="nil"/>
              <w:left w:val="nil"/>
              <w:bottom w:val="nil"/>
              <w:right w:val="nil"/>
              <w:tl2br w:val="nil"/>
              <w:tr2bl w:val="nil"/>
            </w:tcBorders>
            <w:shd w:val="solid" w:color="3487A9" w:fill="FFFFFF"/>
            <w:tcMar>
              <w:left w:w="60" w:type="dxa"/>
              <w:right w:w="60" w:type="dxa"/>
            </w:tcMar>
            <w:vAlign w:val="center"/>
          </w:tcPr>
          <w:p>
            <w:pPr>
              <w:pStyle w:val="DMETW36742BIPMFF2ImplementCommitments"/>
              <w:jc w:val="center"/>
              <w:rPr>
                <w:rFonts w:ascii="Verdana" w:eastAsia="Verdana" w:hAnsi="Verdana" w:cs="Verdana"/>
                <w:noProof/>
                <w:color w:val="FFFFFF"/>
                <w:sz w:val="16"/>
              </w:rPr>
            </w:pPr>
            <w:r>
              <w:rPr>
                <w:rFonts w:ascii="Verdana" w:hAnsi="Verdana"/>
                <w:noProof/>
                <w:color w:val="FFFFFF"/>
                <w:sz w:val="16"/>
              </w:rPr>
              <w:t>4</w:t>
            </w:r>
          </w:p>
        </w:tc>
        <w:tc>
          <w:tcPr>
            <w:tcW w:w="1120" w:type="dxa"/>
            <w:tcBorders>
              <w:top w:val="nil"/>
              <w:left w:val="nil"/>
              <w:bottom w:val="nil"/>
              <w:right w:val="nil"/>
              <w:tl2br w:val="nil"/>
              <w:tr2bl w:val="nil"/>
            </w:tcBorders>
            <w:shd w:val="solid" w:color="3487A9" w:fill="FFFFFF"/>
            <w:tcMar>
              <w:left w:w="60" w:type="dxa"/>
              <w:right w:w="60" w:type="dxa"/>
            </w:tcMar>
            <w:vAlign w:val="center"/>
          </w:tcPr>
          <w:p>
            <w:pPr>
              <w:pStyle w:val="DMETW36742BIPMFF2ImplementCommitments"/>
              <w:jc w:val="center"/>
              <w:rPr>
                <w:rFonts w:ascii="Verdana" w:eastAsia="Verdana" w:hAnsi="Verdana" w:cs="Verdana"/>
                <w:noProof/>
                <w:color w:val="FFFFFF"/>
                <w:sz w:val="16"/>
              </w:rPr>
            </w:pPr>
            <w:r>
              <w:rPr>
                <w:rFonts w:ascii="Verdana" w:hAnsi="Verdana"/>
                <w:noProof/>
                <w:color w:val="FFFFFF"/>
                <w:sz w:val="16"/>
              </w:rPr>
              <w:t>5=2+3+4</w:t>
            </w:r>
          </w:p>
        </w:tc>
        <w:tc>
          <w:tcPr>
            <w:tcW w:w="857" w:type="dxa"/>
            <w:tcBorders>
              <w:top w:val="nil"/>
              <w:left w:val="nil"/>
              <w:bottom w:val="nil"/>
              <w:right w:val="nil"/>
              <w:tl2br w:val="nil"/>
              <w:tr2bl w:val="nil"/>
            </w:tcBorders>
            <w:shd w:val="solid" w:color="3487A9" w:fill="FFFFFF"/>
            <w:tcMar>
              <w:left w:w="60" w:type="dxa"/>
              <w:right w:w="60" w:type="dxa"/>
            </w:tcMar>
            <w:vAlign w:val="center"/>
          </w:tcPr>
          <w:p>
            <w:pPr>
              <w:pStyle w:val="DMETW36742BIPMFF2ImplementCommitments"/>
              <w:jc w:val="center"/>
              <w:rPr>
                <w:rFonts w:ascii="Verdana" w:eastAsia="Verdana" w:hAnsi="Verdana" w:cs="Verdana"/>
                <w:noProof/>
                <w:color w:val="FFFFFF"/>
                <w:sz w:val="16"/>
              </w:rPr>
            </w:pPr>
            <w:r>
              <w:rPr>
                <w:rFonts w:ascii="Verdana" w:hAnsi="Verdana"/>
                <w:noProof/>
                <w:color w:val="FFFFFF"/>
                <w:sz w:val="16"/>
              </w:rPr>
              <w:t>6=5/1</w:t>
            </w:r>
          </w:p>
        </w:tc>
        <w:tc>
          <w:tcPr>
            <w:tcW w:w="857" w:type="dxa"/>
            <w:tcBorders>
              <w:top w:val="nil"/>
              <w:left w:val="nil"/>
              <w:bottom w:val="nil"/>
              <w:right w:val="nil"/>
              <w:tl2br w:val="nil"/>
              <w:tr2bl w:val="nil"/>
            </w:tcBorders>
            <w:shd w:val="solid" w:color="3487A9" w:fill="FFFFFF"/>
            <w:tcMar>
              <w:left w:w="60" w:type="dxa"/>
              <w:right w:w="60" w:type="dxa"/>
            </w:tcMar>
            <w:vAlign w:val="center"/>
          </w:tcPr>
          <w:p>
            <w:pPr>
              <w:pStyle w:val="DMETW36742BIPMFF2ImplementCommitments"/>
              <w:jc w:val="center"/>
              <w:rPr>
                <w:rFonts w:ascii="Verdana" w:eastAsia="Verdana" w:hAnsi="Verdana" w:cs="Verdana"/>
                <w:noProof/>
                <w:color w:val="FFFFFF"/>
                <w:sz w:val="16"/>
              </w:rPr>
            </w:pPr>
            <w:r>
              <w:rPr>
                <w:rFonts w:ascii="Verdana" w:hAnsi="Verdana"/>
                <w:noProof/>
                <w:color w:val="FFFFFF"/>
                <w:sz w:val="16"/>
              </w:rPr>
              <w:t>7</w:t>
            </w:r>
          </w:p>
        </w:tc>
        <w:tc>
          <w:tcPr>
            <w:tcW w:w="857" w:type="dxa"/>
            <w:tcBorders>
              <w:top w:val="nil"/>
              <w:left w:val="nil"/>
              <w:bottom w:val="nil"/>
              <w:right w:val="nil"/>
              <w:tl2br w:val="nil"/>
              <w:tr2bl w:val="nil"/>
            </w:tcBorders>
            <w:shd w:val="solid" w:color="3487A9" w:fill="FFFFFF"/>
            <w:tcMar>
              <w:left w:w="60" w:type="dxa"/>
              <w:right w:w="60" w:type="dxa"/>
            </w:tcMar>
            <w:vAlign w:val="center"/>
          </w:tcPr>
          <w:p>
            <w:pPr>
              <w:pStyle w:val="DMETW36742BIPMFF2ImplementCommitments"/>
              <w:jc w:val="center"/>
              <w:rPr>
                <w:rFonts w:ascii="Verdana" w:eastAsia="Verdana" w:hAnsi="Verdana" w:cs="Verdana"/>
                <w:noProof/>
                <w:color w:val="FFFFFF"/>
                <w:sz w:val="16"/>
              </w:rPr>
            </w:pPr>
            <w:r>
              <w:rPr>
                <w:rFonts w:ascii="Verdana" w:hAnsi="Verdana"/>
                <w:noProof/>
                <w:color w:val="FFFFFF"/>
                <w:sz w:val="16"/>
              </w:rPr>
              <w:t>8</w:t>
            </w:r>
          </w:p>
        </w:tc>
        <w:tc>
          <w:tcPr>
            <w:tcW w:w="857" w:type="dxa"/>
            <w:tcBorders>
              <w:top w:val="nil"/>
              <w:left w:val="nil"/>
              <w:bottom w:val="nil"/>
              <w:right w:val="nil"/>
              <w:tl2br w:val="nil"/>
              <w:tr2bl w:val="nil"/>
            </w:tcBorders>
            <w:shd w:val="solid" w:color="3487A9" w:fill="FFFFFF"/>
            <w:tcMar>
              <w:left w:w="60" w:type="dxa"/>
              <w:right w:w="60" w:type="dxa"/>
            </w:tcMar>
            <w:vAlign w:val="center"/>
          </w:tcPr>
          <w:p>
            <w:pPr>
              <w:pStyle w:val="DMETW36742BIPMFF2ImplementCommitments"/>
              <w:jc w:val="center"/>
              <w:rPr>
                <w:rFonts w:ascii="Verdana" w:eastAsia="Verdana" w:hAnsi="Verdana" w:cs="Verdana"/>
                <w:noProof/>
                <w:color w:val="FFFFFF"/>
                <w:sz w:val="16"/>
              </w:rPr>
            </w:pPr>
            <w:r>
              <w:rPr>
                <w:rFonts w:ascii="Verdana" w:hAnsi="Verdana"/>
                <w:noProof/>
                <w:color w:val="FFFFFF"/>
                <w:sz w:val="16"/>
              </w:rPr>
              <w:t>9=7+8</w:t>
            </w:r>
          </w:p>
        </w:tc>
        <w:tc>
          <w:tcPr>
            <w:tcW w:w="857" w:type="dxa"/>
            <w:tcBorders>
              <w:top w:val="nil"/>
              <w:left w:val="nil"/>
              <w:bottom w:val="nil"/>
              <w:right w:val="nil"/>
              <w:tl2br w:val="nil"/>
              <w:tr2bl w:val="nil"/>
            </w:tcBorders>
            <w:shd w:val="solid" w:color="3487A9" w:fill="FFFFFF"/>
            <w:tcMar>
              <w:left w:w="60" w:type="dxa"/>
              <w:right w:w="60" w:type="dxa"/>
            </w:tcMar>
            <w:vAlign w:val="center"/>
          </w:tcPr>
          <w:p>
            <w:pPr>
              <w:pStyle w:val="DMETW36742BIPMFF2ImplementCommitments"/>
              <w:jc w:val="center"/>
              <w:rPr>
                <w:rFonts w:ascii="Verdana" w:eastAsia="Verdana" w:hAnsi="Verdana" w:cs="Verdana"/>
                <w:noProof/>
                <w:color w:val="FFFFFF"/>
                <w:sz w:val="16"/>
              </w:rPr>
            </w:pPr>
            <w:r>
              <w:rPr>
                <w:rFonts w:ascii="Verdana" w:hAnsi="Verdana"/>
                <w:noProof/>
                <w:color w:val="FFFFFF"/>
                <w:sz w:val="16"/>
              </w:rPr>
              <w:t>10</w:t>
            </w:r>
          </w:p>
        </w:tc>
        <w:tc>
          <w:tcPr>
            <w:tcW w:w="857" w:type="dxa"/>
            <w:tcBorders>
              <w:top w:val="nil"/>
              <w:left w:val="nil"/>
              <w:bottom w:val="nil"/>
              <w:right w:val="nil"/>
              <w:tl2br w:val="nil"/>
              <w:tr2bl w:val="nil"/>
            </w:tcBorders>
            <w:shd w:val="solid" w:color="3487A9" w:fill="FFFFFF"/>
            <w:tcMar>
              <w:left w:w="60" w:type="dxa"/>
              <w:right w:w="60" w:type="dxa"/>
            </w:tcMar>
            <w:vAlign w:val="center"/>
          </w:tcPr>
          <w:p>
            <w:pPr>
              <w:pStyle w:val="DMETW36742BIPMFF2ImplementCommitments"/>
              <w:jc w:val="center"/>
              <w:rPr>
                <w:rFonts w:ascii="Verdana" w:eastAsia="Verdana" w:hAnsi="Verdana" w:cs="Verdana"/>
                <w:noProof/>
                <w:color w:val="FFFFFF"/>
                <w:sz w:val="16"/>
              </w:rPr>
            </w:pPr>
            <w:r>
              <w:rPr>
                <w:rFonts w:ascii="Verdana" w:hAnsi="Verdana"/>
                <w:noProof/>
                <w:color w:val="FFFFFF"/>
                <w:sz w:val="16"/>
              </w:rPr>
              <w:t>11</w:t>
            </w:r>
          </w:p>
        </w:tc>
        <w:tc>
          <w:tcPr>
            <w:tcW w:w="857" w:type="dxa"/>
            <w:tcBorders>
              <w:top w:val="nil"/>
              <w:left w:val="nil"/>
              <w:bottom w:val="nil"/>
              <w:right w:val="nil"/>
              <w:tl2br w:val="nil"/>
              <w:tr2bl w:val="nil"/>
            </w:tcBorders>
            <w:shd w:val="solid" w:color="3487A9" w:fill="FFFFFF"/>
            <w:tcMar>
              <w:left w:w="60" w:type="dxa"/>
              <w:right w:w="60" w:type="dxa"/>
            </w:tcMar>
            <w:vAlign w:val="center"/>
          </w:tcPr>
          <w:p>
            <w:pPr>
              <w:pStyle w:val="DMETW36742BIPMFF2ImplementCommitments"/>
              <w:jc w:val="center"/>
              <w:rPr>
                <w:rFonts w:ascii="Verdana" w:eastAsia="Verdana" w:hAnsi="Verdana" w:cs="Verdana"/>
                <w:noProof/>
                <w:color w:val="FFFFFF"/>
                <w:sz w:val="16"/>
              </w:rPr>
            </w:pPr>
            <w:r>
              <w:rPr>
                <w:rFonts w:ascii="Verdana" w:hAnsi="Verdana"/>
                <w:noProof/>
                <w:color w:val="FFFFFF"/>
                <w:sz w:val="16"/>
              </w:rPr>
              <w:t>12</w:t>
            </w:r>
          </w:p>
        </w:tc>
        <w:tc>
          <w:tcPr>
            <w:tcW w:w="857" w:type="dxa"/>
            <w:tcBorders>
              <w:top w:val="nil"/>
              <w:left w:val="nil"/>
              <w:bottom w:val="nil"/>
              <w:right w:val="nil"/>
              <w:tl2br w:val="nil"/>
              <w:tr2bl w:val="nil"/>
            </w:tcBorders>
            <w:shd w:val="solid" w:color="3487A9" w:fill="FFFFFF"/>
            <w:tcMar>
              <w:left w:w="60" w:type="dxa"/>
              <w:right w:w="60" w:type="dxa"/>
            </w:tcMar>
            <w:vAlign w:val="center"/>
          </w:tcPr>
          <w:p>
            <w:pPr>
              <w:pStyle w:val="DMETW36742BIPMFF2ImplementCommitments"/>
              <w:jc w:val="center"/>
              <w:rPr>
                <w:rFonts w:ascii="Verdana" w:eastAsia="Verdana" w:hAnsi="Verdana" w:cs="Verdana"/>
                <w:noProof/>
                <w:color w:val="FFFFFF"/>
                <w:sz w:val="16"/>
              </w:rPr>
            </w:pPr>
            <w:r>
              <w:rPr>
                <w:rFonts w:ascii="Verdana" w:hAnsi="Verdana"/>
                <w:noProof/>
                <w:color w:val="FFFFFF"/>
                <w:sz w:val="16"/>
              </w:rPr>
              <w:t>13=10+</w:t>
            </w:r>
          </w:p>
          <w:p>
            <w:pPr>
              <w:pStyle w:val="DMETW36742BIPMFF2ImplementCommitments"/>
              <w:jc w:val="center"/>
              <w:rPr>
                <w:rFonts w:ascii="Verdana" w:eastAsia="Verdana" w:hAnsi="Verdana" w:cs="Verdana"/>
                <w:noProof/>
                <w:color w:val="FFFFFF"/>
                <w:sz w:val="16"/>
              </w:rPr>
            </w:pPr>
            <w:r>
              <w:rPr>
                <w:rFonts w:ascii="Verdana" w:hAnsi="Verdana"/>
                <w:noProof/>
                <w:color w:val="FFFFFF"/>
                <w:sz w:val="16"/>
              </w:rPr>
              <w:t>11+12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2ImplementCommitments"/>
              <w:rPr>
                <w:rFonts w:ascii="Verdana" w:eastAsia="Verdana" w:hAnsi="Verdana" w:cs="Verdana"/>
                <w:noProof/>
                <w:color w:val="000000"/>
                <w:sz w:val="16"/>
              </w:rPr>
            </w:pPr>
            <w:r>
              <w:rPr>
                <w:rFonts w:ascii="Verdana" w:hAnsi="Verdana"/>
                <w:noProof/>
                <w:color w:val="000000"/>
                <w:sz w:val="16"/>
              </w:rPr>
              <w:t>1</w:t>
            </w:r>
          </w:p>
        </w:tc>
        <w:tc>
          <w:tcPr>
            <w:tcW w:w="2944" w:type="dxa"/>
            <w:tcBorders>
              <w:top w:val="nil"/>
              <w:left w:val="nil"/>
              <w:bottom w:val="nil"/>
              <w:right w:val="nil"/>
              <w:tl2br w:val="nil"/>
              <w:tr2bl w:val="nil"/>
            </w:tcBorders>
            <w:tcMar>
              <w:left w:w="60" w:type="dxa"/>
              <w:right w:w="60" w:type="dxa"/>
            </w:tcMar>
            <w:vAlign w:val="center"/>
          </w:tcPr>
          <w:p>
            <w:pPr>
              <w:pStyle w:val="DMETW36742BIPMFF2ImplementCommitments"/>
              <w:rPr>
                <w:rFonts w:ascii="Verdana" w:eastAsia="Verdana" w:hAnsi="Verdana" w:cs="Verdana"/>
                <w:noProof/>
                <w:color w:val="000000"/>
                <w:sz w:val="16"/>
              </w:rPr>
            </w:pPr>
            <w:r>
              <w:rPr>
                <w:rFonts w:ascii="Verdana" w:hAnsi="Verdana"/>
                <w:noProof/>
                <w:color w:val="000000"/>
                <w:sz w:val="16"/>
              </w:rPr>
              <w:t>Marché unique, innovation et numérique</w:t>
            </w:r>
          </w:p>
        </w:tc>
        <w:tc>
          <w:tcPr>
            <w:tcW w:w="1275"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30 466</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21 532</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116</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5 446</w:t>
            </w:r>
          </w:p>
        </w:tc>
        <w:tc>
          <w:tcPr>
            <w:tcW w:w="1120"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27 095</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89 %</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3 362</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3 362</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7</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2</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9</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2ImplementCommitments"/>
              <w:rPr>
                <w:rFonts w:ascii="Verdana" w:eastAsia="Verdana" w:hAnsi="Verdana" w:cs="Verdana"/>
                <w:noProof/>
                <w:color w:val="000000"/>
                <w:sz w:val="16"/>
              </w:rPr>
            </w:pPr>
            <w:r>
              <w:rPr>
                <w:rFonts w:ascii="Verdana" w:hAnsi="Verdana"/>
                <w:noProof/>
                <w:color w:val="000000"/>
                <w:sz w:val="16"/>
              </w:rPr>
              <w:t>2</w:t>
            </w:r>
          </w:p>
        </w:tc>
        <w:tc>
          <w:tcPr>
            <w:tcW w:w="2944" w:type="dxa"/>
            <w:tcBorders>
              <w:top w:val="nil"/>
              <w:left w:val="nil"/>
              <w:bottom w:val="nil"/>
              <w:right w:val="nil"/>
              <w:tl2br w:val="nil"/>
              <w:tr2bl w:val="nil"/>
            </w:tcBorders>
            <w:tcMar>
              <w:left w:w="60" w:type="dxa"/>
              <w:right w:w="60" w:type="dxa"/>
            </w:tcMar>
            <w:vAlign w:val="center"/>
          </w:tcPr>
          <w:p>
            <w:pPr>
              <w:pStyle w:val="DMETW36742BIPMFF2ImplementCommitments"/>
              <w:rPr>
                <w:rFonts w:ascii="Verdana" w:eastAsia="Verdana" w:hAnsi="Verdana" w:cs="Verdana"/>
                <w:noProof/>
                <w:color w:val="000000"/>
                <w:sz w:val="16"/>
              </w:rPr>
            </w:pPr>
            <w:r>
              <w:rPr>
                <w:rFonts w:ascii="Verdana" w:hAnsi="Verdana"/>
                <w:noProof/>
                <w:color w:val="000000"/>
                <w:sz w:val="16"/>
              </w:rPr>
              <w:t>Cohésion, résilience et valeurs</w:t>
            </w:r>
          </w:p>
        </w:tc>
        <w:tc>
          <w:tcPr>
            <w:tcW w:w="1275"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80 804</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76 865</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2 019</w:t>
            </w:r>
          </w:p>
        </w:tc>
        <w:tc>
          <w:tcPr>
            <w:tcW w:w="1120"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78 884</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98 %</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776</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776</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1 113</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30</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1 144</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2ImplementCommitments"/>
              <w:rPr>
                <w:rFonts w:ascii="Verdana" w:eastAsia="Verdana" w:hAnsi="Verdana" w:cs="Verdana"/>
                <w:noProof/>
                <w:color w:val="000000"/>
                <w:sz w:val="16"/>
              </w:rPr>
            </w:pPr>
            <w:r>
              <w:rPr>
                <w:rFonts w:ascii="Verdana" w:hAnsi="Verdana"/>
                <w:noProof/>
                <w:color w:val="000000"/>
                <w:sz w:val="16"/>
              </w:rPr>
              <w:t>3</w:t>
            </w:r>
          </w:p>
        </w:tc>
        <w:tc>
          <w:tcPr>
            <w:tcW w:w="2944" w:type="dxa"/>
            <w:tcBorders>
              <w:top w:val="nil"/>
              <w:left w:val="nil"/>
              <w:bottom w:val="nil"/>
              <w:right w:val="nil"/>
              <w:tl2br w:val="nil"/>
              <w:tr2bl w:val="nil"/>
            </w:tcBorders>
            <w:tcMar>
              <w:left w:w="60" w:type="dxa"/>
              <w:right w:w="60" w:type="dxa"/>
            </w:tcMar>
            <w:vAlign w:val="center"/>
          </w:tcPr>
          <w:p>
            <w:pPr>
              <w:pStyle w:val="DMETW36742BIPMFF2ImplementCommitments"/>
              <w:rPr>
                <w:rFonts w:ascii="Verdana" w:eastAsia="Verdana" w:hAnsi="Verdana" w:cs="Verdana"/>
                <w:noProof/>
                <w:color w:val="000000"/>
                <w:sz w:val="16"/>
              </w:rPr>
            </w:pPr>
            <w:r>
              <w:rPr>
                <w:rFonts w:ascii="Verdana" w:hAnsi="Verdana"/>
                <w:noProof/>
                <w:color w:val="000000"/>
                <w:sz w:val="16"/>
              </w:rPr>
              <w:t>Ressources naturelles et environnement</w:t>
            </w:r>
          </w:p>
        </w:tc>
        <w:tc>
          <w:tcPr>
            <w:tcW w:w="1275"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58 961</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56 472</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192</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995</w:t>
            </w:r>
          </w:p>
        </w:tc>
        <w:tc>
          <w:tcPr>
            <w:tcW w:w="1120"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57 658</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98 %</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391</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705</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1 096</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11</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195</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206</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2ImplementCommitments"/>
              <w:rPr>
                <w:rFonts w:ascii="Verdana" w:eastAsia="Verdana" w:hAnsi="Verdana" w:cs="Verdana"/>
                <w:noProof/>
                <w:color w:val="000000"/>
                <w:sz w:val="16"/>
              </w:rPr>
            </w:pPr>
            <w:r>
              <w:rPr>
                <w:rFonts w:ascii="Verdana" w:hAnsi="Verdana"/>
                <w:noProof/>
                <w:color w:val="000000"/>
                <w:sz w:val="16"/>
              </w:rPr>
              <w:t>4</w:t>
            </w:r>
          </w:p>
        </w:tc>
        <w:tc>
          <w:tcPr>
            <w:tcW w:w="2944" w:type="dxa"/>
            <w:tcBorders>
              <w:top w:val="nil"/>
              <w:left w:val="nil"/>
              <w:bottom w:val="nil"/>
              <w:right w:val="nil"/>
              <w:tl2br w:val="nil"/>
              <w:tr2bl w:val="nil"/>
            </w:tcBorders>
            <w:tcMar>
              <w:left w:w="60" w:type="dxa"/>
              <w:right w:w="60" w:type="dxa"/>
            </w:tcMar>
            <w:vAlign w:val="center"/>
          </w:tcPr>
          <w:p>
            <w:pPr>
              <w:pStyle w:val="DMETW36742BIPMFF2ImplementCommitments"/>
              <w:rPr>
                <w:rFonts w:ascii="Verdana" w:eastAsia="Verdana" w:hAnsi="Verdana" w:cs="Verdana"/>
                <w:noProof/>
                <w:color w:val="000000"/>
                <w:sz w:val="16"/>
              </w:rPr>
            </w:pPr>
            <w:r>
              <w:rPr>
                <w:rFonts w:ascii="Verdana" w:hAnsi="Verdana"/>
                <w:noProof/>
                <w:color w:val="000000"/>
                <w:sz w:val="16"/>
              </w:rPr>
              <w:t>Migration et gestion des frontières</w:t>
            </w:r>
          </w:p>
        </w:tc>
        <w:tc>
          <w:tcPr>
            <w:tcW w:w="1275"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5 338</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4 644</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94</w:t>
            </w:r>
          </w:p>
        </w:tc>
        <w:tc>
          <w:tcPr>
            <w:tcW w:w="1120"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4 738</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89 %</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599</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599</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2ImplementCommitments"/>
              <w:rPr>
                <w:rFonts w:ascii="Verdana" w:eastAsia="Verdana" w:hAnsi="Verdana" w:cs="Verdana"/>
                <w:noProof/>
                <w:color w:val="000000"/>
                <w:sz w:val="16"/>
              </w:rPr>
            </w:pPr>
            <w:r>
              <w:rPr>
                <w:rFonts w:ascii="Verdana" w:hAnsi="Verdana"/>
                <w:noProof/>
                <w:color w:val="000000"/>
                <w:sz w:val="16"/>
              </w:rPr>
              <w:t>5</w:t>
            </w:r>
          </w:p>
        </w:tc>
        <w:tc>
          <w:tcPr>
            <w:tcW w:w="2944" w:type="dxa"/>
            <w:tcBorders>
              <w:top w:val="nil"/>
              <w:left w:val="nil"/>
              <w:bottom w:val="nil"/>
              <w:right w:val="nil"/>
              <w:tl2br w:val="nil"/>
              <w:tr2bl w:val="nil"/>
            </w:tcBorders>
            <w:tcMar>
              <w:left w:w="60" w:type="dxa"/>
              <w:right w:w="60" w:type="dxa"/>
            </w:tcMar>
            <w:vAlign w:val="center"/>
          </w:tcPr>
          <w:p>
            <w:pPr>
              <w:pStyle w:val="DMETW36742BIPMFF2ImplementCommitments"/>
              <w:rPr>
                <w:rFonts w:ascii="Verdana" w:eastAsia="Verdana" w:hAnsi="Verdana" w:cs="Verdana"/>
                <w:noProof/>
                <w:color w:val="000000"/>
                <w:sz w:val="16"/>
              </w:rPr>
            </w:pPr>
            <w:r>
              <w:rPr>
                <w:rFonts w:ascii="Verdana" w:hAnsi="Verdana"/>
                <w:noProof/>
                <w:color w:val="000000"/>
                <w:sz w:val="16"/>
              </w:rPr>
              <w:t>Sécurité et défense</w:t>
            </w:r>
          </w:p>
        </w:tc>
        <w:tc>
          <w:tcPr>
            <w:tcW w:w="1275"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2 742</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2 620</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46</w:t>
            </w:r>
          </w:p>
        </w:tc>
        <w:tc>
          <w:tcPr>
            <w:tcW w:w="1120"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2 666</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97 %</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12</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63</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75</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2ImplementCommitments"/>
              <w:rPr>
                <w:rFonts w:ascii="Verdana" w:eastAsia="Verdana" w:hAnsi="Verdana" w:cs="Verdana"/>
                <w:noProof/>
                <w:color w:val="000000"/>
                <w:sz w:val="16"/>
              </w:rPr>
            </w:pPr>
            <w:r>
              <w:rPr>
                <w:rFonts w:ascii="Verdana" w:hAnsi="Verdana"/>
                <w:noProof/>
                <w:color w:val="000000"/>
                <w:sz w:val="16"/>
              </w:rPr>
              <w:t>6</w:t>
            </w:r>
          </w:p>
        </w:tc>
        <w:tc>
          <w:tcPr>
            <w:tcW w:w="2944" w:type="dxa"/>
            <w:tcBorders>
              <w:top w:val="nil"/>
              <w:left w:val="nil"/>
              <w:bottom w:val="nil"/>
              <w:right w:val="nil"/>
              <w:tl2br w:val="nil"/>
              <w:tr2bl w:val="nil"/>
            </w:tcBorders>
            <w:tcMar>
              <w:left w:w="60" w:type="dxa"/>
              <w:right w:w="60" w:type="dxa"/>
            </w:tcMar>
            <w:vAlign w:val="center"/>
          </w:tcPr>
          <w:p>
            <w:pPr>
              <w:pStyle w:val="DMETW36742BIPMFF2ImplementCommitments"/>
              <w:rPr>
                <w:rFonts w:ascii="Verdana" w:eastAsia="Verdana" w:hAnsi="Verdana" w:cs="Verdana"/>
                <w:noProof/>
                <w:color w:val="000000"/>
                <w:sz w:val="16"/>
              </w:rPr>
            </w:pPr>
            <w:r>
              <w:rPr>
                <w:rFonts w:ascii="Verdana" w:hAnsi="Verdana"/>
                <w:noProof/>
                <w:color w:val="000000"/>
                <w:sz w:val="16"/>
              </w:rPr>
              <w:t>Le voisinage et le monde</w:t>
            </w:r>
          </w:p>
        </w:tc>
        <w:tc>
          <w:tcPr>
            <w:tcW w:w="1275"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20 828</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16 218</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929</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2 498</w:t>
            </w:r>
          </w:p>
        </w:tc>
        <w:tc>
          <w:tcPr>
            <w:tcW w:w="1120"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19 645</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94 %</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682</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468</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1 151</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32</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32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2ImplementCommitments"/>
              <w:rPr>
                <w:rFonts w:ascii="Verdana" w:eastAsia="Verdana" w:hAnsi="Verdana" w:cs="Verdana"/>
                <w:noProof/>
                <w:color w:val="000000"/>
                <w:sz w:val="16"/>
              </w:rPr>
            </w:pPr>
            <w:r>
              <w:rPr>
                <w:rFonts w:ascii="Verdana" w:hAnsi="Verdana"/>
                <w:noProof/>
                <w:color w:val="000000"/>
                <w:sz w:val="16"/>
              </w:rPr>
              <w:t>7</w:t>
            </w:r>
          </w:p>
        </w:tc>
        <w:tc>
          <w:tcPr>
            <w:tcW w:w="2944" w:type="dxa"/>
            <w:tcBorders>
              <w:top w:val="nil"/>
              <w:left w:val="nil"/>
              <w:bottom w:val="nil"/>
              <w:right w:val="nil"/>
              <w:tl2br w:val="nil"/>
              <w:tr2bl w:val="nil"/>
            </w:tcBorders>
            <w:tcMar>
              <w:left w:w="60" w:type="dxa"/>
              <w:right w:w="60" w:type="dxa"/>
            </w:tcMar>
            <w:vAlign w:val="center"/>
          </w:tcPr>
          <w:p>
            <w:pPr>
              <w:pStyle w:val="DMETW36742BIPMFF2ImplementCommitments"/>
              <w:rPr>
                <w:rFonts w:ascii="Verdana" w:eastAsia="Verdana" w:hAnsi="Verdana" w:cs="Verdana"/>
                <w:noProof/>
                <w:color w:val="000000"/>
                <w:sz w:val="16"/>
              </w:rPr>
            </w:pPr>
            <w:r>
              <w:rPr>
                <w:rFonts w:ascii="Verdana" w:hAnsi="Verdana"/>
                <w:noProof/>
                <w:color w:val="000000"/>
                <w:sz w:val="16"/>
              </w:rPr>
              <w:t>Administration publique européenne</w:t>
            </w:r>
          </w:p>
        </w:tc>
        <w:tc>
          <w:tcPr>
            <w:tcW w:w="1275"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15 115</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12 707</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1 247</w:t>
            </w:r>
          </w:p>
        </w:tc>
        <w:tc>
          <w:tcPr>
            <w:tcW w:w="1120"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13 955</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92 %</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1 099</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1 099</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59</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3</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62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2ImplementCommitments"/>
              <w:rPr>
                <w:rFonts w:ascii="Verdana" w:eastAsia="Verdana" w:hAnsi="Verdana" w:cs="Verdana"/>
                <w:noProof/>
                <w:color w:val="000000"/>
                <w:sz w:val="16"/>
              </w:rPr>
            </w:pPr>
            <w:r>
              <w:rPr>
                <w:rFonts w:ascii="Verdana" w:hAnsi="Verdana"/>
                <w:noProof/>
                <w:color w:val="000000"/>
                <w:sz w:val="16"/>
              </w:rPr>
              <w:t>O</w:t>
            </w:r>
          </w:p>
        </w:tc>
        <w:tc>
          <w:tcPr>
            <w:tcW w:w="2944" w:type="dxa"/>
            <w:tcBorders>
              <w:top w:val="nil"/>
              <w:left w:val="nil"/>
              <w:bottom w:val="nil"/>
              <w:right w:val="nil"/>
              <w:tl2br w:val="nil"/>
              <w:tr2bl w:val="nil"/>
            </w:tcBorders>
            <w:tcMar>
              <w:left w:w="60" w:type="dxa"/>
              <w:right w:w="60" w:type="dxa"/>
            </w:tcMar>
            <w:vAlign w:val="center"/>
          </w:tcPr>
          <w:p>
            <w:pPr>
              <w:pStyle w:val="DMETW36742BIPMFF2ImplementCommitments"/>
              <w:rPr>
                <w:rFonts w:ascii="Verdana" w:eastAsia="Verdana" w:hAnsi="Verdana" w:cs="Verdana"/>
                <w:noProof/>
                <w:color w:val="000000"/>
                <w:sz w:val="16"/>
              </w:rPr>
            </w:pPr>
            <w:r>
              <w:rPr>
                <w:rFonts w:ascii="Verdana" w:hAnsi="Verdana"/>
                <w:noProof/>
                <w:color w:val="000000"/>
                <w:sz w:val="16"/>
              </w:rPr>
              <w:t>Hors CFP</w:t>
            </w:r>
          </w:p>
        </w:tc>
        <w:tc>
          <w:tcPr>
            <w:tcW w:w="1275"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11 767</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4 269</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31</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2 110</w:t>
            </w:r>
          </w:p>
        </w:tc>
        <w:tc>
          <w:tcPr>
            <w:tcW w:w="1120"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6 409</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54 %</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51</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5 306</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5 357</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2ImplementCommitments"/>
              <w:rPr>
                <w:rFonts w:ascii="Verdana" w:eastAsia="Verdana" w:hAnsi="Verdana" w:cs="Verdana"/>
                <w:noProof/>
                <w:color w:val="000000"/>
                <w:sz w:val="16"/>
              </w:rPr>
            </w:pPr>
            <w:r>
              <w:rPr>
                <w:rFonts w:ascii="Verdana" w:hAnsi="Verdana"/>
                <w:noProof/>
                <w:color w:val="000000"/>
                <w:sz w:val="16"/>
              </w:rPr>
              <w:t>S</w:t>
            </w:r>
          </w:p>
        </w:tc>
        <w:tc>
          <w:tcPr>
            <w:tcW w:w="2944" w:type="dxa"/>
            <w:tcBorders>
              <w:top w:val="nil"/>
              <w:left w:val="nil"/>
              <w:bottom w:val="nil"/>
              <w:right w:val="nil"/>
              <w:tl2br w:val="nil"/>
              <w:tr2bl w:val="nil"/>
            </w:tcBorders>
            <w:tcMar>
              <w:left w:w="60" w:type="dxa"/>
              <w:right w:w="60" w:type="dxa"/>
            </w:tcMar>
            <w:vAlign w:val="center"/>
          </w:tcPr>
          <w:p>
            <w:pPr>
              <w:pStyle w:val="DMETW36742BIPMFF2ImplementCommitments"/>
              <w:rPr>
                <w:rFonts w:ascii="Verdana" w:eastAsia="Verdana" w:hAnsi="Verdana" w:cs="Verdana"/>
                <w:noProof/>
                <w:color w:val="000000"/>
                <w:sz w:val="16"/>
              </w:rPr>
            </w:pPr>
            <w:r>
              <w:rPr>
                <w:rFonts w:ascii="Verdana" w:hAnsi="Verdana"/>
                <w:noProof/>
                <w:color w:val="000000"/>
                <w:sz w:val="16"/>
              </w:rPr>
              <w:t>Mécanismes de solidarité à l’intérieur et à l’extérieur de l’Union (instruments spéciaux)</w:t>
            </w:r>
          </w:p>
        </w:tc>
        <w:tc>
          <w:tcPr>
            <w:tcW w:w="1275"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2 085</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755</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310</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w:t>
            </w:r>
          </w:p>
        </w:tc>
        <w:tc>
          <w:tcPr>
            <w:tcW w:w="1120"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1 065</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51 %</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997</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998</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14</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7</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21</w:t>
            </w:r>
          </w:p>
        </w:tc>
      </w:tr>
      <w:tr>
        <w:trPr>
          <w:trHeight w:val="255"/>
        </w:trPr>
        <w:tc>
          <w:tcPr>
            <w:tcW w:w="344" w:type="dxa"/>
            <w:tcBorders>
              <w:top w:val="nil"/>
              <w:left w:val="nil"/>
              <w:bottom w:val="nil"/>
              <w:right w:val="nil"/>
              <w:tl2br w:val="nil"/>
              <w:tr2bl w:val="nil"/>
            </w:tcBorders>
            <w:shd w:val="solid" w:color="CCE1EA" w:fill="FFFFFF"/>
            <w:tcMar>
              <w:left w:w="60" w:type="dxa"/>
              <w:right w:w="60" w:type="dxa"/>
            </w:tcMar>
            <w:vAlign w:val="center"/>
          </w:tcPr>
          <w:p>
            <w:pPr>
              <w:pStyle w:val="DMETW36742BIPMFF2ImplementCommitments"/>
              <w:rPr>
                <w:rFonts w:ascii="Verdana" w:eastAsia="Verdana" w:hAnsi="Verdana" w:cs="Verdana"/>
                <w:b/>
                <w:noProof/>
                <w:color w:val="000000"/>
                <w:sz w:val="16"/>
              </w:rPr>
            </w:pPr>
          </w:p>
        </w:tc>
        <w:tc>
          <w:tcPr>
            <w:tcW w:w="2944" w:type="dxa"/>
            <w:tcBorders>
              <w:top w:val="nil"/>
              <w:left w:val="nil"/>
              <w:bottom w:val="nil"/>
              <w:right w:val="nil"/>
              <w:tl2br w:val="nil"/>
              <w:tr2bl w:val="nil"/>
            </w:tcBorders>
            <w:shd w:val="solid" w:color="CCE1EA" w:fill="FFFFFF"/>
            <w:tcMar>
              <w:left w:w="60" w:type="dxa"/>
              <w:right w:w="60" w:type="dxa"/>
            </w:tcMar>
            <w:vAlign w:val="center"/>
          </w:tcPr>
          <w:p>
            <w:pPr>
              <w:pStyle w:val="DMETW36742BIPMFF2ImplementCommitments"/>
              <w:jc w:val="right"/>
              <w:rPr>
                <w:rFonts w:ascii="Verdana" w:eastAsia="Verdana" w:hAnsi="Verdana" w:cs="Verdana"/>
                <w:b/>
                <w:noProof/>
                <w:color w:val="000000"/>
                <w:sz w:val="16"/>
              </w:rPr>
            </w:pPr>
            <w:r>
              <w:rPr>
                <w:rFonts w:ascii="Verdana" w:hAnsi="Verdana"/>
                <w:b/>
                <w:noProof/>
                <w:color w:val="000000"/>
                <w:sz w:val="16"/>
              </w:rPr>
              <w:t>Somme:</w:t>
            </w:r>
          </w:p>
        </w:tc>
        <w:tc>
          <w:tcPr>
            <w:tcW w:w="1275" w:type="dxa"/>
            <w:tcBorders>
              <w:top w:val="nil"/>
              <w:left w:val="nil"/>
              <w:bottom w:val="nil"/>
              <w:right w:val="nil"/>
              <w:tl2br w:val="nil"/>
              <w:tr2bl w:val="nil"/>
            </w:tcBorders>
            <w:shd w:val="solid" w:color="CCE1EA" w:fill="FFFFFF"/>
            <w:tcMar>
              <w:left w:w="60" w:type="dxa"/>
              <w:right w:w="60" w:type="dxa"/>
            </w:tcMar>
            <w:vAlign w:val="center"/>
          </w:tcPr>
          <w:p>
            <w:pPr>
              <w:pStyle w:val="DMETW36742BIPMFF2ImplementCommitments"/>
              <w:jc w:val="right"/>
              <w:rPr>
                <w:rFonts w:ascii="Verdana" w:eastAsia="Verdana" w:hAnsi="Verdana" w:cs="Verdana"/>
                <w:b/>
                <w:noProof/>
                <w:color w:val="000000"/>
                <w:sz w:val="16"/>
              </w:rPr>
            </w:pPr>
            <w:r>
              <w:rPr>
                <w:rFonts w:ascii="Verdana" w:hAnsi="Verdana"/>
                <w:b/>
                <w:noProof/>
                <w:color w:val="000000"/>
                <w:sz w:val="16"/>
              </w:rPr>
              <w:t>228 104</w:t>
            </w:r>
          </w:p>
        </w:tc>
        <w:tc>
          <w:tcPr>
            <w:tcW w:w="857" w:type="dxa"/>
            <w:tcBorders>
              <w:top w:val="nil"/>
              <w:left w:val="nil"/>
              <w:bottom w:val="nil"/>
              <w:right w:val="nil"/>
              <w:tl2br w:val="nil"/>
              <w:tr2bl w:val="nil"/>
            </w:tcBorders>
            <w:shd w:val="solid" w:color="CCE1EA" w:fill="FFFFFF"/>
            <w:tcMar>
              <w:left w:w="60" w:type="dxa"/>
              <w:right w:w="60" w:type="dxa"/>
            </w:tcMar>
            <w:vAlign w:val="center"/>
          </w:tcPr>
          <w:p>
            <w:pPr>
              <w:pStyle w:val="DMETW36742BIPMFF2ImplementCommitments"/>
              <w:jc w:val="right"/>
              <w:rPr>
                <w:rFonts w:ascii="Verdana" w:eastAsia="Verdana" w:hAnsi="Verdana" w:cs="Verdana"/>
                <w:b/>
                <w:noProof/>
                <w:color w:val="000000"/>
                <w:sz w:val="16"/>
              </w:rPr>
            </w:pPr>
            <w:r>
              <w:rPr>
                <w:rFonts w:ascii="Verdana" w:hAnsi="Verdana"/>
                <w:b/>
                <w:noProof/>
                <w:color w:val="000000"/>
                <w:sz w:val="16"/>
              </w:rPr>
              <w:t>196 083</w:t>
            </w:r>
          </w:p>
        </w:tc>
        <w:tc>
          <w:tcPr>
            <w:tcW w:w="857" w:type="dxa"/>
            <w:tcBorders>
              <w:top w:val="nil"/>
              <w:left w:val="nil"/>
              <w:bottom w:val="nil"/>
              <w:right w:val="nil"/>
              <w:tl2br w:val="nil"/>
              <w:tr2bl w:val="nil"/>
            </w:tcBorders>
            <w:shd w:val="solid" w:color="CCE1EA" w:fill="FFFFFF"/>
            <w:tcMar>
              <w:left w:w="60" w:type="dxa"/>
              <w:right w:w="60" w:type="dxa"/>
            </w:tcMar>
            <w:vAlign w:val="center"/>
          </w:tcPr>
          <w:p>
            <w:pPr>
              <w:pStyle w:val="DMETW36742BIPMFF2ImplementCommitments"/>
              <w:jc w:val="right"/>
              <w:rPr>
                <w:rFonts w:ascii="Verdana" w:eastAsia="Verdana" w:hAnsi="Verdana" w:cs="Verdana"/>
                <w:b/>
                <w:noProof/>
                <w:color w:val="000000"/>
                <w:sz w:val="16"/>
              </w:rPr>
            </w:pPr>
            <w:r>
              <w:rPr>
                <w:rFonts w:ascii="Verdana" w:hAnsi="Verdana"/>
                <w:b/>
                <w:noProof/>
                <w:color w:val="000000"/>
                <w:sz w:val="16"/>
              </w:rPr>
              <w:t>1 580</w:t>
            </w:r>
          </w:p>
        </w:tc>
        <w:tc>
          <w:tcPr>
            <w:tcW w:w="857" w:type="dxa"/>
            <w:tcBorders>
              <w:top w:val="nil"/>
              <w:left w:val="nil"/>
              <w:bottom w:val="nil"/>
              <w:right w:val="nil"/>
              <w:tl2br w:val="nil"/>
              <w:tr2bl w:val="nil"/>
            </w:tcBorders>
            <w:shd w:val="solid" w:color="CCE1EA" w:fill="FFFFFF"/>
            <w:tcMar>
              <w:left w:w="60" w:type="dxa"/>
              <w:right w:w="60" w:type="dxa"/>
            </w:tcMar>
            <w:vAlign w:val="center"/>
          </w:tcPr>
          <w:p>
            <w:pPr>
              <w:pStyle w:val="DMETW36742BIPMFF2ImplementCommitments"/>
              <w:jc w:val="right"/>
              <w:rPr>
                <w:rFonts w:ascii="Verdana" w:eastAsia="Verdana" w:hAnsi="Verdana" w:cs="Verdana"/>
                <w:b/>
                <w:noProof/>
                <w:color w:val="000000"/>
                <w:sz w:val="16"/>
              </w:rPr>
            </w:pPr>
            <w:r>
              <w:rPr>
                <w:rFonts w:ascii="Verdana" w:hAnsi="Verdana"/>
                <w:b/>
                <w:noProof/>
                <w:color w:val="000000"/>
                <w:sz w:val="16"/>
              </w:rPr>
              <w:t>14 454</w:t>
            </w:r>
          </w:p>
        </w:tc>
        <w:tc>
          <w:tcPr>
            <w:tcW w:w="1120" w:type="dxa"/>
            <w:tcBorders>
              <w:top w:val="nil"/>
              <w:left w:val="nil"/>
              <w:bottom w:val="nil"/>
              <w:right w:val="nil"/>
              <w:tl2br w:val="nil"/>
              <w:tr2bl w:val="nil"/>
            </w:tcBorders>
            <w:shd w:val="solid" w:color="CCE1EA" w:fill="FFFFFF"/>
            <w:tcMar>
              <w:left w:w="60" w:type="dxa"/>
              <w:right w:w="60" w:type="dxa"/>
            </w:tcMar>
            <w:vAlign w:val="center"/>
          </w:tcPr>
          <w:p>
            <w:pPr>
              <w:pStyle w:val="DMETW36742BIPMFF2ImplementCommitments"/>
              <w:jc w:val="right"/>
              <w:rPr>
                <w:rFonts w:ascii="Verdana" w:eastAsia="Verdana" w:hAnsi="Verdana" w:cs="Verdana"/>
                <w:b/>
                <w:noProof/>
                <w:color w:val="000000"/>
                <w:sz w:val="16"/>
              </w:rPr>
            </w:pPr>
            <w:r>
              <w:rPr>
                <w:rFonts w:ascii="Verdana" w:hAnsi="Verdana"/>
                <w:b/>
                <w:noProof/>
                <w:color w:val="000000"/>
                <w:sz w:val="16"/>
              </w:rPr>
              <w:t>212 116</w:t>
            </w:r>
          </w:p>
        </w:tc>
        <w:tc>
          <w:tcPr>
            <w:tcW w:w="857" w:type="dxa"/>
            <w:tcBorders>
              <w:top w:val="nil"/>
              <w:left w:val="nil"/>
              <w:bottom w:val="nil"/>
              <w:right w:val="nil"/>
              <w:tl2br w:val="nil"/>
              <w:tr2bl w:val="nil"/>
            </w:tcBorders>
            <w:shd w:val="solid" w:color="CCE1EB" w:fill="FFFFFF"/>
            <w:tcMar>
              <w:left w:w="60" w:type="dxa"/>
              <w:right w:w="60" w:type="dxa"/>
            </w:tcMar>
            <w:vAlign w:val="center"/>
          </w:tcPr>
          <w:p>
            <w:pPr>
              <w:pStyle w:val="DMETW36742BIPMFF2ImplementCommitments"/>
              <w:jc w:val="right"/>
              <w:rPr>
                <w:rFonts w:ascii="Verdana" w:eastAsia="Verdana" w:hAnsi="Verdana" w:cs="Verdana"/>
                <w:b/>
                <w:noProof/>
                <w:color w:val="000000"/>
                <w:sz w:val="16"/>
              </w:rPr>
            </w:pPr>
            <w:r>
              <w:rPr>
                <w:rFonts w:ascii="Verdana" w:hAnsi="Verdana"/>
                <w:b/>
                <w:noProof/>
                <w:color w:val="000000"/>
                <w:sz w:val="16"/>
              </w:rPr>
              <w:t>93 %</w:t>
            </w:r>
          </w:p>
        </w:tc>
        <w:tc>
          <w:tcPr>
            <w:tcW w:w="857" w:type="dxa"/>
            <w:tcBorders>
              <w:top w:val="nil"/>
              <w:left w:val="nil"/>
              <w:bottom w:val="nil"/>
              <w:right w:val="nil"/>
              <w:tl2br w:val="nil"/>
              <w:tr2bl w:val="nil"/>
            </w:tcBorders>
            <w:shd w:val="solid" w:color="CCE1EA" w:fill="FFFFFF"/>
            <w:tcMar>
              <w:left w:w="60" w:type="dxa"/>
              <w:right w:w="60" w:type="dxa"/>
            </w:tcMar>
            <w:vAlign w:val="center"/>
          </w:tcPr>
          <w:p>
            <w:pPr>
              <w:pStyle w:val="DMETW36742BIPMFF2ImplementCommitments"/>
              <w:jc w:val="right"/>
              <w:rPr>
                <w:rFonts w:ascii="Verdana" w:eastAsia="Verdana" w:hAnsi="Verdana" w:cs="Verdana"/>
                <w:b/>
                <w:noProof/>
                <w:color w:val="000000"/>
                <w:sz w:val="16"/>
              </w:rPr>
            </w:pPr>
            <w:r>
              <w:rPr>
                <w:rFonts w:ascii="Verdana" w:hAnsi="Verdana"/>
                <w:b/>
                <w:noProof/>
                <w:color w:val="000000"/>
                <w:sz w:val="16"/>
              </w:rPr>
              <w:t>2 133</w:t>
            </w:r>
          </w:p>
        </w:tc>
        <w:tc>
          <w:tcPr>
            <w:tcW w:w="857" w:type="dxa"/>
            <w:tcBorders>
              <w:top w:val="nil"/>
              <w:left w:val="nil"/>
              <w:bottom w:val="nil"/>
              <w:right w:val="nil"/>
              <w:tl2br w:val="nil"/>
              <w:tr2bl w:val="nil"/>
            </w:tcBorders>
            <w:shd w:val="solid" w:color="CCE1EA" w:fill="FFFFFF"/>
            <w:tcMar>
              <w:left w:w="60" w:type="dxa"/>
              <w:right w:w="60" w:type="dxa"/>
            </w:tcMar>
            <w:vAlign w:val="center"/>
          </w:tcPr>
          <w:p>
            <w:pPr>
              <w:pStyle w:val="DMETW36742BIPMFF2ImplementCommitments"/>
              <w:jc w:val="right"/>
              <w:rPr>
                <w:rFonts w:ascii="Verdana" w:eastAsia="Verdana" w:hAnsi="Verdana" w:cs="Verdana"/>
                <w:b/>
                <w:noProof/>
                <w:color w:val="000000"/>
                <w:sz w:val="16"/>
              </w:rPr>
            </w:pPr>
            <w:r>
              <w:rPr>
                <w:rFonts w:ascii="Verdana" w:hAnsi="Verdana"/>
                <w:b/>
                <w:noProof/>
                <w:color w:val="000000"/>
                <w:sz w:val="16"/>
              </w:rPr>
              <w:t>12 379</w:t>
            </w:r>
          </w:p>
        </w:tc>
        <w:tc>
          <w:tcPr>
            <w:tcW w:w="857" w:type="dxa"/>
            <w:tcBorders>
              <w:top w:val="nil"/>
              <w:left w:val="nil"/>
              <w:bottom w:val="nil"/>
              <w:right w:val="nil"/>
              <w:tl2br w:val="nil"/>
              <w:tr2bl w:val="nil"/>
            </w:tcBorders>
            <w:shd w:val="solid" w:color="CCE1EA" w:fill="FFFFFF"/>
            <w:tcMar>
              <w:left w:w="60" w:type="dxa"/>
              <w:right w:w="60" w:type="dxa"/>
            </w:tcMar>
            <w:vAlign w:val="center"/>
          </w:tcPr>
          <w:p>
            <w:pPr>
              <w:pStyle w:val="DMETW36742BIPMFF2ImplementCommitments"/>
              <w:jc w:val="right"/>
              <w:rPr>
                <w:rFonts w:ascii="Verdana" w:eastAsia="Verdana" w:hAnsi="Verdana" w:cs="Verdana"/>
                <w:b/>
                <w:noProof/>
                <w:color w:val="000000"/>
                <w:sz w:val="16"/>
              </w:rPr>
            </w:pPr>
            <w:r>
              <w:rPr>
                <w:rFonts w:ascii="Verdana" w:hAnsi="Verdana"/>
                <w:b/>
                <w:noProof/>
                <w:color w:val="000000"/>
                <w:sz w:val="16"/>
              </w:rPr>
              <w:t>14 512</w:t>
            </w:r>
          </w:p>
        </w:tc>
        <w:tc>
          <w:tcPr>
            <w:tcW w:w="857" w:type="dxa"/>
            <w:tcBorders>
              <w:top w:val="nil"/>
              <w:left w:val="nil"/>
              <w:bottom w:val="nil"/>
              <w:right w:val="nil"/>
              <w:tl2br w:val="nil"/>
              <w:tr2bl w:val="nil"/>
            </w:tcBorders>
            <w:shd w:val="solid" w:color="CCE1EA" w:fill="FFFFFF"/>
            <w:tcMar>
              <w:left w:w="60" w:type="dxa"/>
              <w:right w:w="60" w:type="dxa"/>
            </w:tcMar>
            <w:vAlign w:val="center"/>
          </w:tcPr>
          <w:p>
            <w:pPr>
              <w:pStyle w:val="DMETW36742BIPMFF2ImplementCommitments"/>
              <w:jc w:val="right"/>
              <w:rPr>
                <w:rFonts w:ascii="Verdana" w:eastAsia="Verdana" w:hAnsi="Verdana" w:cs="Verdana"/>
                <w:b/>
                <w:noProof/>
                <w:color w:val="000000"/>
                <w:sz w:val="16"/>
              </w:rPr>
            </w:pPr>
            <w:r>
              <w:rPr>
                <w:rFonts w:ascii="Verdana" w:hAnsi="Verdana"/>
                <w:b/>
                <w:noProof/>
                <w:color w:val="000000"/>
                <w:sz w:val="16"/>
              </w:rPr>
              <w:t>1 206</w:t>
            </w:r>
          </w:p>
        </w:tc>
        <w:tc>
          <w:tcPr>
            <w:tcW w:w="857" w:type="dxa"/>
            <w:tcBorders>
              <w:top w:val="nil"/>
              <w:left w:val="nil"/>
              <w:bottom w:val="nil"/>
              <w:right w:val="nil"/>
              <w:tl2br w:val="nil"/>
              <w:tr2bl w:val="nil"/>
            </w:tcBorders>
            <w:shd w:val="solid" w:color="CCE1EA" w:fill="FFFFFF"/>
            <w:tcMar>
              <w:left w:w="60" w:type="dxa"/>
              <w:right w:w="60" w:type="dxa"/>
            </w:tcMar>
            <w:vAlign w:val="center"/>
          </w:tcPr>
          <w:p>
            <w:pPr>
              <w:pStyle w:val="DMETW36742BIPMFF2ImplementCommitments"/>
              <w:jc w:val="right"/>
              <w:rPr>
                <w:rFonts w:ascii="Verdana" w:eastAsia="Verdana" w:hAnsi="Verdana" w:cs="Verdana"/>
                <w:b/>
                <w:noProof/>
                <w:color w:val="000000"/>
                <w:sz w:val="16"/>
              </w:rPr>
            </w:pPr>
            <w:r>
              <w:rPr>
                <w:rFonts w:ascii="Verdana" w:hAnsi="Verdana"/>
                <w:b/>
                <w:noProof/>
                <w:color w:val="000000"/>
                <w:sz w:val="16"/>
              </w:rPr>
              <w:t xml:space="preserve"> 33</w:t>
            </w:r>
          </w:p>
        </w:tc>
        <w:tc>
          <w:tcPr>
            <w:tcW w:w="857" w:type="dxa"/>
            <w:tcBorders>
              <w:top w:val="nil"/>
              <w:left w:val="nil"/>
              <w:bottom w:val="nil"/>
              <w:right w:val="nil"/>
              <w:tl2br w:val="nil"/>
              <w:tr2bl w:val="nil"/>
            </w:tcBorders>
            <w:shd w:val="solid" w:color="CCE1EA" w:fill="FFFFFF"/>
            <w:tcMar>
              <w:left w:w="60" w:type="dxa"/>
              <w:right w:w="60" w:type="dxa"/>
            </w:tcMar>
            <w:vAlign w:val="center"/>
          </w:tcPr>
          <w:p>
            <w:pPr>
              <w:pStyle w:val="DMETW36742BIPMFF2ImplementCommitments"/>
              <w:jc w:val="right"/>
              <w:rPr>
                <w:rFonts w:ascii="Verdana" w:eastAsia="Verdana" w:hAnsi="Verdana" w:cs="Verdana"/>
                <w:b/>
                <w:noProof/>
                <w:color w:val="000000"/>
                <w:sz w:val="16"/>
              </w:rPr>
            </w:pPr>
            <w:r>
              <w:rPr>
                <w:rFonts w:ascii="Verdana" w:hAnsi="Verdana"/>
                <w:b/>
                <w:noProof/>
                <w:color w:val="000000"/>
                <w:sz w:val="16"/>
              </w:rPr>
              <w:t xml:space="preserve"> 237</w:t>
            </w:r>
          </w:p>
        </w:tc>
        <w:tc>
          <w:tcPr>
            <w:tcW w:w="857" w:type="dxa"/>
            <w:tcBorders>
              <w:top w:val="nil"/>
              <w:left w:val="nil"/>
              <w:bottom w:val="nil"/>
              <w:right w:val="nil"/>
              <w:tl2br w:val="nil"/>
              <w:tr2bl w:val="nil"/>
            </w:tcBorders>
            <w:shd w:val="solid" w:color="CCE1EA" w:fill="FFFFFF"/>
            <w:tcMar>
              <w:left w:w="60" w:type="dxa"/>
              <w:right w:w="60" w:type="dxa"/>
            </w:tcMar>
            <w:vAlign w:val="center"/>
          </w:tcPr>
          <w:p>
            <w:pPr>
              <w:pStyle w:val="DMETW36742BIPMFF2ImplementCommitments"/>
              <w:jc w:val="right"/>
              <w:rPr>
                <w:rFonts w:ascii="Verdana" w:eastAsia="Verdana" w:hAnsi="Verdana" w:cs="Verdana"/>
                <w:b/>
                <w:noProof/>
                <w:color w:val="000000"/>
                <w:sz w:val="16"/>
              </w:rPr>
            </w:pPr>
            <w:r>
              <w:rPr>
                <w:rFonts w:ascii="Verdana" w:hAnsi="Verdana"/>
                <w:b/>
                <w:noProof/>
                <w:color w:val="000000"/>
                <w:sz w:val="16"/>
              </w:rPr>
              <w:t>1 476</w:t>
            </w:r>
          </w:p>
        </w:tc>
      </w:tr>
    </w:tbl>
    <w:p>
      <w:pPr>
        <w:pStyle w:val="Textstand-alone"/>
        <w:rPr>
          <w:lang w:bidi="en-GB"/>
        </w:rPr>
      </w:pPr>
    </w:p>
    <w:p>
      <w:pPr>
        <w:pStyle w:val="DGTextstand-alone"/>
        <w:sectPr>
          <w:headerReference w:type="default" r:id="rId167"/>
          <w:footerReference w:type="default" r:id="rId168"/>
          <w:type w:val="nextColumn"/>
          <w:pgSz w:w="16840" w:h="11900" w:orient="landscape"/>
          <w:pgMar w:top="1134" w:right="1134" w:bottom="1134" w:left="1134" w:header="720" w:footer="720" w:gutter="0"/>
          <w:cols w:space="720"/>
          <w:docGrid w:linePitch="272"/>
        </w:sectPr>
      </w:pPr>
    </w:p>
    <w:p>
      <w:pPr>
        <w:pStyle w:val="HEADER2PartBUDG"/>
        <w:rPr>
          <w:noProof/>
        </w:rPr>
      </w:pPr>
      <w:bookmarkStart w:id="299" w:name="_Toc237349636"/>
      <w:r>
        <w:rPr>
          <w:noProof/>
        </w:rPr>
        <w:lastRenderedPageBreak/>
        <w:t>CFP: EXÉCUTION DES CRÉDITS DE PAIEMENT</w:t>
      </w:r>
      <w:bookmarkEnd w:id="2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4"/>
        <w:gridCol w:w="2625"/>
        <w:gridCol w:w="957"/>
        <w:gridCol w:w="894"/>
        <w:gridCol w:w="894"/>
        <w:gridCol w:w="894"/>
        <w:gridCol w:w="894"/>
        <w:gridCol w:w="894"/>
        <w:gridCol w:w="894"/>
        <w:gridCol w:w="894"/>
        <w:gridCol w:w="894"/>
        <w:gridCol w:w="894"/>
        <w:gridCol w:w="894"/>
        <w:gridCol w:w="932"/>
        <w:gridCol w:w="894"/>
      </w:tblGrid>
      <w:tr>
        <w:trPr>
          <w:trHeight w:val="255"/>
        </w:trPr>
        <w:tc>
          <w:tcPr>
            <w:tcW w:w="344" w:type="dxa"/>
            <w:gridSpan w:val="15"/>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i/>
                <w:noProof/>
                <w:color w:val="000000"/>
                <w:sz w:val="16"/>
              </w:rPr>
            </w:pPr>
            <w:bookmarkStart w:id="300" w:name="DOC_TBL00116_1_1"/>
            <w:bookmarkEnd w:id="300"/>
            <w:r>
              <w:rPr>
                <w:rFonts w:ascii="Verdana" w:hAnsi="Verdana"/>
                <w:i/>
                <w:noProof/>
                <w:color w:val="000000"/>
                <w:sz w:val="16"/>
              </w:rPr>
              <w:t>en Mio EUR</w:t>
            </w:r>
          </w:p>
        </w:tc>
      </w:tr>
      <w:tr>
        <w:trPr>
          <w:trHeight w:val="255"/>
        </w:trPr>
        <w:tc>
          <w:tcPr>
            <w:tcW w:w="344" w:type="dxa"/>
            <w:tcBorders>
              <w:top w:val="nil"/>
              <w:left w:val="nil"/>
              <w:bottom w:val="nil"/>
              <w:right w:val="nil"/>
              <w:tl2br w:val="nil"/>
              <w:tr2bl w:val="nil"/>
            </w:tcBorders>
            <w:shd w:val="solid" w:color="016794" w:fill="FFFFFF"/>
            <w:tcMar>
              <w:left w:w="60" w:type="dxa"/>
              <w:right w:w="60" w:type="dxa"/>
            </w:tcMar>
            <w:vAlign w:val="center"/>
          </w:tcPr>
          <w:p>
            <w:pPr>
              <w:pStyle w:val="DMETW36742BIPMFF3ImplementPayments"/>
              <w:jc w:val="center"/>
              <w:rPr>
                <w:rFonts w:ascii="Verdana" w:eastAsia="Verdana" w:hAnsi="Verdana" w:cs="Verdana"/>
                <w:noProof/>
                <w:color w:val="FFFFFF"/>
                <w:sz w:val="16"/>
              </w:rPr>
            </w:pPr>
          </w:p>
        </w:tc>
        <w:tc>
          <w:tcPr>
            <w:tcW w:w="2636" w:type="dxa"/>
            <w:tcBorders>
              <w:top w:val="nil"/>
              <w:left w:val="nil"/>
              <w:bottom w:val="nil"/>
              <w:right w:val="nil"/>
              <w:tl2br w:val="nil"/>
              <w:tr2bl w:val="nil"/>
            </w:tcBorders>
            <w:shd w:val="solid" w:color="016794" w:fill="FFFFFF"/>
            <w:tcMar>
              <w:left w:w="60" w:type="dxa"/>
              <w:right w:w="60" w:type="dxa"/>
            </w:tcMar>
            <w:vAlign w:val="center"/>
          </w:tcPr>
          <w:p>
            <w:pPr>
              <w:pStyle w:val="DMETW36742BIPMFF3ImplementPayments"/>
              <w:rPr>
                <w:rFonts w:ascii="Verdana" w:eastAsia="Verdana" w:hAnsi="Verdana" w:cs="Verdana"/>
                <w:b/>
                <w:noProof/>
                <w:color w:val="FFFFFF"/>
                <w:sz w:val="16"/>
              </w:rPr>
            </w:pPr>
          </w:p>
        </w:tc>
        <w:tc>
          <w:tcPr>
            <w:tcW w:w="960"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742BIPMFF3ImplementPayments"/>
              <w:jc w:val="center"/>
              <w:rPr>
                <w:rFonts w:ascii="Verdana" w:eastAsia="Verdana" w:hAnsi="Verdana" w:cs="Verdana"/>
                <w:b/>
                <w:noProof/>
                <w:color w:val="FFFFFF"/>
                <w:sz w:val="16"/>
              </w:rPr>
            </w:pPr>
            <w:r>
              <w:rPr>
                <w:rFonts w:ascii="Verdana" w:hAnsi="Verdana"/>
                <w:b/>
                <w:noProof/>
                <w:color w:val="FFFFFF"/>
                <w:sz w:val="16"/>
              </w:rPr>
              <w:t>Total crédits disponibles</w:t>
            </w:r>
          </w:p>
        </w:tc>
        <w:tc>
          <w:tcPr>
            <w:tcW w:w="898" w:type="dxa"/>
            <w:gridSpan w:val="5"/>
            <w:tcBorders>
              <w:top w:val="nil"/>
              <w:left w:val="nil"/>
              <w:bottom w:val="nil"/>
              <w:right w:val="nil"/>
              <w:tl2br w:val="nil"/>
              <w:tr2bl w:val="nil"/>
            </w:tcBorders>
            <w:shd w:val="solid" w:color="016794" w:fill="FFFFFF"/>
            <w:tcMar>
              <w:left w:w="60" w:type="dxa"/>
              <w:right w:w="60" w:type="dxa"/>
            </w:tcMar>
            <w:vAlign w:val="center"/>
          </w:tcPr>
          <w:p>
            <w:pPr>
              <w:pStyle w:val="DMETW36742BIPMFF3ImplementPayments"/>
              <w:jc w:val="center"/>
              <w:rPr>
                <w:rFonts w:ascii="Verdana" w:eastAsia="Verdana" w:hAnsi="Verdana" w:cs="Verdana"/>
                <w:b/>
                <w:noProof/>
                <w:color w:val="FFFFFF"/>
                <w:sz w:val="16"/>
              </w:rPr>
            </w:pPr>
          </w:p>
        </w:tc>
        <w:tc>
          <w:tcPr>
            <w:tcW w:w="898" w:type="dxa"/>
            <w:gridSpan w:val="3"/>
            <w:tcBorders>
              <w:top w:val="nil"/>
              <w:left w:val="nil"/>
              <w:bottom w:val="nil"/>
              <w:right w:val="nil"/>
              <w:tl2br w:val="nil"/>
              <w:tr2bl w:val="nil"/>
            </w:tcBorders>
            <w:shd w:val="solid" w:color="016794" w:fill="FFFFFF"/>
            <w:tcMar>
              <w:left w:w="60" w:type="dxa"/>
              <w:right w:w="60" w:type="dxa"/>
            </w:tcMar>
            <w:vAlign w:val="center"/>
          </w:tcPr>
          <w:p>
            <w:pPr>
              <w:pStyle w:val="DMETW36742BIPMFF3ImplementPayments"/>
              <w:jc w:val="center"/>
              <w:rPr>
                <w:rFonts w:ascii="Verdana" w:eastAsia="Verdana" w:hAnsi="Verdana" w:cs="Verdana"/>
                <w:b/>
                <w:noProof/>
                <w:color w:val="FFFFFF"/>
                <w:sz w:val="16"/>
              </w:rPr>
            </w:pPr>
          </w:p>
        </w:tc>
        <w:tc>
          <w:tcPr>
            <w:tcW w:w="898" w:type="dxa"/>
            <w:gridSpan w:val="4"/>
            <w:tcBorders>
              <w:top w:val="nil"/>
              <w:left w:val="nil"/>
              <w:bottom w:val="nil"/>
              <w:right w:val="nil"/>
              <w:tl2br w:val="nil"/>
              <w:tr2bl w:val="nil"/>
            </w:tcBorders>
            <w:shd w:val="solid" w:color="016794" w:fill="FFFFFF"/>
            <w:tcMar>
              <w:left w:w="60" w:type="dxa"/>
              <w:right w:w="60" w:type="dxa"/>
            </w:tcMar>
            <w:vAlign w:val="center"/>
          </w:tcPr>
          <w:p>
            <w:pPr>
              <w:pStyle w:val="DMETW36742BIPMFF3ImplementPayments"/>
              <w:jc w:val="center"/>
              <w:rPr>
                <w:rFonts w:ascii="Verdana" w:eastAsia="Verdana" w:hAnsi="Verdana" w:cs="Verdana"/>
                <w:b/>
                <w:noProof/>
                <w:color w:val="FFFFFF"/>
                <w:sz w:val="16"/>
                <w:lang w:bidi="en-GB"/>
              </w:rPr>
            </w:pPr>
          </w:p>
        </w:tc>
      </w:tr>
      <w:tr>
        <w:trPr>
          <w:trHeight w:val="255"/>
        </w:trPr>
        <w:tc>
          <w:tcPr>
            <w:tcW w:w="344" w:type="dxa"/>
            <w:tcBorders>
              <w:top w:val="nil"/>
              <w:left w:val="nil"/>
              <w:bottom w:val="nil"/>
              <w:right w:val="nil"/>
              <w:tl2br w:val="nil"/>
              <w:tr2bl w:val="nil"/>
            </w:tcBorders>
            <w:shd w:val="solid" w:color="016794" w:fill="FFFFFF"/>
            <w:tcMar>
              <w:left w:w="60" w:type="dxa"/>
              <w:right w:w="60" w:type="dxa"/>
            </w:tcMar>
            <w:vAlign w:val="center"/>
          </w:tcPr>
          <w:p>
            <w:pPr>
              <w:pStyle w:val="DMETW36742BIPMFF3ImplementPayments"/>
              <w:jc w:val="center"/>
              <w:rPr>
                <w:rFonts w:ascii="Verdana" w:eastAsia="Verdana" w:hAnsi="Verdana" w:cs="Verdana"/>
                <w:noProof/>
                <w:color w:val="FFFFFF"/>
                <w:sz w:val="16"/>
              </w:rPr>
            </w:pPr>
          </w:p>
        </w:tc>
        <w:tc>
          <w:tcPr>
            <w:tcW w:w="2636" w:type="dxa"/>
            <w:tcBorders>
              <w:top w:val="nil"/>
              <w:left w:val="nil"/>
              <w:bottom w:val="nil"/>
              <w:right w:val="nil"/>
              <w:tl2br w:val="nil"/>
              <w:tr2bl w:val="nil"/>
            </w:tcBorders>
            <w:shd w:val="solid" w:color="016794" w:fill="FFFFFF"/>
            <w:tcMar>
              <w:left w:w="60" w:type="dxa"/>
              <w:right w:w="60" w:type="dxa"/>
            </w:tcMar>
            <w:vAlign w:val="center"/>
          </w:tcPr>
          <w:p>
            <w:pPr>
              <w:pStyle w:val="DMETW36742BIPMFF3ImplementPayments"/>
              <w:jc w:val="center"/>
              <w:rPr>
                <w:rFonts w:ascii="Verdana" w:eastAsia="Verdana" w:hAnsi="Verdana" w:cs="Verdana"/>
                <w:b/>
                <w:noProof/>
                <w:color w:val="FFFFFF"/>
                <w:sz w:val="16"/>
              </w:rPr>
            </w:pPr>
            <w:r>
              <w:rPr>
                <w:rFonts w:ascii="Verdana" w:hAnsi="Verdana"/>
                <w:b/>
                <w:noProof/>
                <w:color w:val="FFFFFF"/>
                <w:sz w:val="16"/>
              </w:rPr>
              <w:t>Rubrique du CFP</w:t>
            </w:r>
          </w:p>
        </w:tc>
        <w:tc>
          <w:tcPr>
            <w:tcW w:w="960" w:type="dxa"/>
            <w:vMerge/>
            <w:tcBorders>
              <w:top w:val="nil"/>
              <w:left w:val="nil"/>
              <w:bottom w:val="nil"/>
              <w:right w:val="nil"/>
              <w:tl2br w:val="nil"/>
              <w:tr2bl w:val="nil"/>
            </w:tcBorders>
            <w:shd w:val="solid" w:color="016794" w:fill="FFFFFF"/>
            <w:tcMar>
              <w:left w:w="60" w:type="dxa"/>
              <w:right w:w="60" w:type="dxa"/>
            </w:tcMar>
            <w:vAlign w:val="center"/>
          </w:tcPr>
          <w:p>
            <w:pPr>
              <w:pStyle w:val="DMETW36742BIPMFF3ImplementPayments"/>
              <w:jc w:val="center"/>
              <w:rPr>
                <w:rFonts w:ascii="Verdana" w:eastAsia="Verdana" w:hAnsi="Verdana" w:cs="Verdana"/>
                <w:b/>
                <w:noProof/>
                <w:color w:val="FFFFFF"/>
                <w:sz w:val="16"/>
              </w:rPr>
            </w:pPr>
          </w:p>
        </w:tc>
        <w:tc>
          <w:tcPr>
            <w:tcW w:w="898" w:type="dxa"/>
            <w:tcBorders>
              <w:top w:val="nil"/>
              <w:left w:val="nil"/>
              <w:bottom w:val="nil"/>
              <w:right w:val="nil"/>
              <w:tl2br w:val="nil"/>
              <w:tr2bl w:val="nil"/>
            </w:tcBorders>
            <w:shd w:val="solid" w:color="3487A9" w:fill="FFFFFF"/>
            <w:tcMar>
              <w:left w:w="60" w:type="dxa"/>
              <w:right w:w="60" w:type="dxa"/>
            </w:tcMar>
            <w:vAlign w:val="center"/>
          </w:tcPr>
          <w:p>
            <w:pPr>
              <w:pStyle w:val="DMETW36742BIPMFF3ImplementPayments"/>
              <w:jc w:val="center"/>
              <w:rPr>
                <w:rFonts w:ascii="Verdana" w:eastAsia="Verdana" w:hAnsi="Verdana" w:cs="Verdana"/>
                <w:noProof/>
                <w:color w:val="FFFFFF"/>
                <w:sz w:val="16"/>
              </w:rPr>
            </w:pPr>
            <w:r>
              <w:rPr>
                <w:rFonts w:ascii="Verdana" w:hAnsi="Verdana"/>
                <w:noProof/>
                <w:color w:val="FFFFFF"/>
                <w:sz w:val="16"/>
              </w:rPr>
              <w:t>sur budget définitif adopté</w:t>
            </w:r>
          </w:p>
        </w:tc>
        <w:tc>
          <w:tcPr>
            <w:tcW w:w="898" w:type="dxa"/>
            <w:tcBorders>
              <w:top w:val="nil"/>
              <w:left w:val="nil"/>
              <w:bottom w:val="nil"/>
              <w:right w:val="nil"/>
              <w:tl2br w:val="nil"/>
              <w:tr2bl w:val="nil"/>
            </w:tcBorders>
            <w:shd w:val="solid" w:color="3487A9" w:fill="FFFFFF"/>
            <w:tcMar>
              <w:left w:w="60" w:type="dxa"/>
              <w:right w:w="60" w:type="dxa"/>
            </w:tcMar>
            <w:vAlign w:val="center"/>
          </w:tcPr>
          <w:p>
            <w:pPr>
              <w:pStyle w:val="DMETW36742BIPMFF3ImplementPayments"/>
              <w:jc w:val="center"/>
              <w:rPr>
                <w:rFonts w:ascii="Verdana" w:eastAsia="Verdana" w:hAnsi="Verdana" w:cs="Verdana"/>
                <w:noProof/>
                <w:color w:val="FFFFFF"/>
                <w:sz w:val="16"/>
              </w:rPr>
            </w:pPr>
            <w:r>
              <w:rPr>
                <w:rFonts w:ascii="Verdana" w:hAnsi="Verdana"/>
                <w:noProof/>
                <w:color w:val="FFFFFF"/>
                <w:sz w:val="16"/>
              </w:rPr>
              <w:t>sur crédits reportés</w:t>
            </w:r>
          </w:p>
        </w:tc>
        <w:tc>
          <w:tcPr>
            <w:tcW w:w="898" w:type="dxa"/>
            <w:tcBorders>
              <w:top w:val="nil"/>
              <w:left w:val="nil"/>
              <w:bottom w:val="nil"/>
              <w:right w:val="nil"/>
              <w:tl2br w:val="nil"/>
              <w:tr2bl w:val="nil"/>
            </w:tcBorders>
            <w:shd w:val="solid" w:color="3487A9" w:fill="FFFFFF"/>
            <w:tcMar>
              <w:left w:w="60" w:type="dxa"/>
              <w:right w:w="60" w:type="dxa"/>
            </w:tcMar>
            <w:vAlign w:val="center"/>
          </w:tcPr>
          <w:p>
            <w:pPr>
              <w:pStyle w:val="DMETW36742BIPMFF3ImplementPayments"/>
              <w:jc w:val="center"/>
              <w:rPr>
                <w:rFonts w:ascii="Verdana" w:eastAsia="Verdana" w:hAnsi="Verdana" w:cs="Verdana"/>
                <w:noProof/>
                <w:color w:val="FFFFFF"/>
                <w:sz w:val="16"/>
              </w:rPr>
            </w:pPr>
            <w:r>
              <w:rPr>
                <w:rFonts w:ascii="Verdana" w:hAnsi="Verdana"/>
                <w:noProof/>
                <w:color w:val="FFFFFF"/>
                <w:sz w:val="16"/>
              </w:rPr>
              <w:t>sur recettes affectées</w:t>
            </w:r>
          </w:p>
        </w:tc>
        <w:tc>
          <w:tcPr>
            <w:tcW w:w="898" w:type="dxa"/>
            <w:tcBorders>
              <w:top w:val="nil"/>
              <w:left w:val="nil"/>
              <w:bottom w:val="nil"/>
              <w:right w:val="nil"/>
              <w:tl2br w:val="nil"/>
              <w:tr2bl w:val="nil"/>
            </w:tcBorders>
            <w:shd w:val="solid" w:color="3487A9" w:fill="FFFFFF"/>
            <w:tcMar>
              <w:left w:w="60" w:type="dxa"/>
              <w:right w:w="60" w:type="dxa"/>
            </w:tcMar>
            <w:vAlign w:val="center"/>
          </w:tcPr>
          <w:p>
            <w:pPr>
              <w:pStyle w:val="DMETW36742BIPMFF3ImplementPayments"/>
              <w:jc w:val="center"/>
              <w:rPr>
                <w:rFonts w:ascii="Verdana" w:eastAsia="Verdana" w:hAnsi="Verdana" w:cs="Verdana"/>
                <w:noProof/>
                <w:color w:val="FFFFFF"/>
                <w:sz w:val="16"/>
              </w:rPr>
            </w:pPr>
            <w:r>
              <w:rPr>
                <w:rFonts w:ascii="Verdana" w:hAnsi="Verdana"/>
                <w:noProof/>
                <w:color w:val="FFFFFF"/>
                <w:sz w:val="16"/>
              </w:rPr>
              <w:t>Total</w:t>
            </w:r>
          </w:p>
        </w:tc>
        <w:tc>
          <w:tcPr>
            <w:tcW w:w="898" w:type="dxa"/>
            <w:tcBorders>
              <w:top w:val="nil"/>
              <w:left w:val="nil"/>
              <w:bottom w:val="nil"/>
              <w:right w:val="nil"/>
              <w:tl2br w:val="nil"/>
              <w:tr2bl w:val="nil"/>
            </w:tcBorders>
            <w:shd w:val="solid" w:color="3487A9" w:fill="FFFFFF"/>
            <w:tcMar>
              <w:left w:w="60" w:type="dxa"/>
              <w:right w:w="60" w:type="dxa"/>
            </w:tcMar>
            <w:vAlign w:val="center"/>
          </w:tcPr>
          <w:p>
            <w:pPr>
              <w:pStyle w:val="DMETW36742BIPMFF3ImplementPayments"/>
              <w:jc w:val="center"/>
              <w:rPr>
                <w:rFonts w:ascii="Verdana" w:eastAsia="Verdana" w:hAnsi="Verdana" w:cs="Verdana"/>
                <w:noProof/>
                <w:color w:val="FFFFFF"/>
                <w:sz w:val="16"/>
              </w:rPr>
            </w:pPr>
            <w:r>
              <w:rPr>
                <w:rFonts w:ascii="Verdana" w:hAnsi="Verdana"/>
                <w:noProof/>
                <w:color w:val="FFFFFF"/>
                <w:sz w:val="16"/>
              </w:rPr>
              <w:t>%</w:t>
            </w:r>
          </w:p>
        </w:tc>
        <w:tc>
          <w:tcPr>
            <w:tcW w:w="898" w:type="dxa"/>
            <w:tcBorders>
              <w:top w:val="nil"/>
              <w:left w:val="nil"/>
              <w:bottom w:val="nil"/>
              <w:right w:val="nil"/>
              <w:tl2br w:val="nil"/>
              <w:tr2bl w:val="nil"/>
            </w:tcBorders>
            <w:shd w:val="solid" w:color="3487A9" w:fill="FFFFFF"/>
            <w:tcMar>
              <w:left w:w="60" w:type="dxa"/>
              <w:right w:w="60" w:type="dxa"/>
            </w:tcMar>
            <w:vAlign w:val="center"/>
          </w:tcPr>
          <w:p>
            <w:pPr>
              <w:pStyle w:val="DMETW36742BIPMFF3ImplementPayments"/>
              <w:jc w:val="center"/>
              <w:rPr>
                <w:rFonts w:ascii="Verdana" w:eastAsia="Verdana" w:hAnsi="Verdana" w:cs="Verdana"/>
                <w:noProof/>
                <w:color w:val="FFFFFF"/>
                <w:sz w:val="16"/>
              </w:rPr>
            </w:pPr>
            <w:r>
              <w:rPr>
                <w:rFonts w:ascii="Verdana" w:hAnsi="Verdana"/>
                <w:noProof/>
                <w:color w:val="FFFFFF"/>
                <w:sz w:val="16"/>
              </w:rPr>
              <w:t>sur budget définitif adopté</w:t>
            </w:r>
          </w:p>
        </w:tc>
        <w:tc>
          <w:tcPr>
            <w:tcW w:w="898" w:type="dxa"/>
            <w:tcBorders>
              <w:top w:val="nil"/>
              <w:left w:val="nil"/>
              <w:bottom w:val="nil"/>
              <w:right w:val="nil"/>
              <w:tl2br w:val="nil"/>
              <w:tr2bl w:val="nil"/>
            </w:tcBorders>
            <w:shd w:val="solid" w:color="3487A9" w:fill="FFFFFF"/>
            <w:tcMar>
              <w:left w:w="60" w:type="dxa"/>
              <w:right w:w="60" w:type="dxa"/>
            </w:tcMar>
            <w:vAlign w:val="center"/>
          </w:tcPr>
          <w:p>
            <w:pPr>
              <w:pStyle w:val="DMETW36742BIPMFF3ImplementPayments"/>
              <w:jc w:val="center"/>
              <w:rPr>
                <w:rFonts w:ascii="Verdana" w:eastAsia="Verdana" w:hAnsi="Verdana" w:cs="Verdana"/>
                <w:noProof/>
                <w:color w:val="FFFFFF"/>
                <w:sz w:val="16"/>
              </w:rPr>
            </w:pPr>
            <w:r>
              <w:rPr>
                <w:rFonts w:ascii="Verdana" w:hAnsi="Verdana"/>
                <w:noProof/>
                <w:color w:val="FFFFFF"/>
                <w:sz w:val="16"/>
              </w:rPr>
              <w:t>sur recettes affectées</w:t>
            </w:r>
          </w:p>
        </w:tc>
        <w:tc>
          <w:tcPr>
            <w:tcW w:w="898" w:type="dxa"/>
            <w:tcBorders>
              <w:top w:val="nil"/>
              <w:left w:val="nil"/>
              <w:bottom w:val="nil"/>
              <w:right w:val="nil"/>
              <w:tl2br w:val="nil"/>
              <w:tr2bl w:val="nil"/>
            </w:tcBorders>
            <w:shd w:val="solid" w:color="3487A9" w:fill="FFFFFF"/>
            <w:tcMar>
              <w:left w:w="60" w:type="dxa"/>
              <w:right w:w="60" w:type="dxa"/>
            </w:tcMar>
            <w:vAlign w:val="center"/>
          </w:tcPr>
          <w:p>
            <w:pPr>
              <w:pStyle w:val="DMETW36742BIPMFF3ImplementPayments"/>
              <w:jc w:val="center"/>
              <w:rPr>
                <w:rFonts w:ascii="Verdana" w:eastAsia="Verdana" w:hAnsi="Verdana" w:cs="Verdana"/>
                <w:noProof/>
                <w:color w:val="FFFFFF"/>
                <w:sz w:val="16"/>
              </w:rPr>
            </w:pPr>
            <w:r>
              <w:rPr>
                <w:rFonts w:ascii="Verdana" w:hAnsi="Verdana"/>
                <w:noProof/>
                <w:color w:val="FFFFFF"/>
                <w:sz w:val="16"/>
              </w:rPr>
              <w:t>Total</w:t>
            </w:r>
          </w:p>
        </w:tc>
        <w:tc>
          <w:tcPr>
            <w:tcW w:w="898" w:type="dxa"/>
            <w:tcBorders>
              <w:top w:val="nil"/>
              <w:left w:val="nil"/>
              <w:bottom w:val="nil"/>
              <w:right w:val="nil"/>
              <w:tl2br w:val="nil"/>
              <w:tr2bl w:val="nil"/>
            </w:tcBorders>
            <w:shd w:val="solid" w:color="3487A9" w:fill="FFFFFF"/>
            <w:tcMar>
              <w:left w:w="60" w:type="dxa"/>
              <w:right w:w="60" w:type="dxa"/>
            </w:tcMar>
            <w:vAlign w:val="center"/>
          </w:tcPr>
          <w:p>
            <w:pPr>
              <w:pStyle w:val="DMETW36742BIPMFF3ImplementPayments"/>
              <w:jc w:val="center"/>
              <w:rPr>
                <w:rFonts w:ascii="Verdana" w:eastAsia="Verdana" w:hAnsi="Verdana" w:cs="Verdana"/>
                <w:noProof/>
                <w:color w:val="FFFFFF"/>
                <w:sz w:val="16"/>
              </w:rPr>
            </w:pPr>
            <w:r>
              <w:rPr>
                <w:rFonts w:ascii="Verdana" w:hAnsi="Verdana"/>
                <w:noProof/>
                <w:color w:val="FFFFFF"/>
                <w:sz w:val="16"/>
              </w:rPr>
              <w:t>sur budget définitif adopté</w:t>
            </w:r>
          </w:p>
        </w:tc>
        <w:tc>
          <w:tcPr>
            <w:tcW w:w="898" w:type="dxa"/>
            <w:tcBorders>
              <w:top w:val="nil"/>
              <w:left w:val="nil"/>
              <w:bottom w:val="nil"/>
              <w:right w:val="nil"/>
              <w:tl2br w:val="nil"/>
              <w:tr2bl w:val="nil"/>
            </w:tcBorders>
            <w:shd w:val="solid" w:color="3487A9" w:fill="FFFFFF"/>
            <w:tcMar>
              <w:left w:w="60" w:type="dxa"/>
              <w:right w:w="60" w:type="dxa"/>
            </w:tcMar>
            <w:vAlign w:val="center"/>
          </w:tcPr>
          <w:p>
            <w:pPr>
              <w:pStyle w:val="DMETW36742BIPMFF3ImplementPayments"/>
              <w:jc w:val="center"/>
              <w:rPr>
                <w:rFonts w:ascii="Verdana" w:eastAsia="Verdana" w:hAnsi="Verdana" w:cs="Verdana"/>
                <w:noProof/>
                <w:color w:val="FFFFFF"/>
                <w:sz w:val="16"/>
              </w:rPr>
            </w:pPr>
            <w:r>
              <w:rPr>
                <w:rFonts w:ascii="Verdana" w:hAnsi="Verdana"/>
                <w:noProof/>
                <w:color w:val="FFFFFF"/>
                <w:sz w:val="16"/>
              </w:rPr>
              <w:t>sur crédits reportés</w:t>
            </w:r>
          </w:p>
        </w:tc>
        <w:tc>
          <w:tcPr>
            <w:tcW w:w="936" w:type="dxa"/>
            <w:tcBorders>
              <w:top w:val="nil"/>
              <w:left w:val="nil"/>
              <w:bottom w:val="nil"/>
              <w:right w:val="nil"/>
              <w:tl2br w:val="nil"/>
              <w:tr2bl w:val="nil"/>
            </w:tcBorders>
            <w:shd w:val="solid" w:color="3487A9" w:fill="FFFFFF"/>
            <w:tcMar>
              <w:left w:w="60" w:type="dxa"/>
              <w:right w:w="60" w:type="dxa"/>
            </w:tcMar>
            <w:vAlign w:val="center"/>
          </w:tcPr>
          <w:p>
            <w:pPr>
              <w:pStyle w:val="DMETW36742BIPMFF3ImplementPayments"/>
              <w:jc w:val="center"/>
              <w:rPr>
                <w:rFonts w:ascii="Verdana" w:eastAsia="Verdana" w:hAnsi="Verdana" w:cs="Verdana"/>
                <w:noProof/>
                <w:color w:val="FFFFFF"/>
                <w:sz w:val="16"/>
              </w:rPr>
            </w:pPr>
            <w:r>
              <w:rPr>
                <w:rFonts w:ascii="Verdana" w:hAnsi="Verdana"/>
                <w:noProof/>
                <w:color w:val="FFFFFF"/>
                <w:sz w:val="16"/>
              </w:rPr>
              <w:t>sur recettes affectées</w:t>
            </w:r>
          </w:p>
        </w:tc>
        <w:tc>
          <w:tcPr>
            <w:tcW w:w="898" w:type="dxa"/>
            <w:tcBorders>
              <w:top w:val="nil"/>
              <w:left w:val="nil"/>
              <w:bottom w:val="nil"/>
              <w:right w:val="nil"/>
              <w:tl2br w:val="nil"/>
              <w:tr2bl w:val="nil"/>
            </w:tcBorders>
            <w:shd w:val="solid" w:color="3487A9" w:fill="FFFFFF"/>
            <w:tcMar>
              <w:left w:w="60" w:type="dxa"/>
              <w:right w:w="60" w:type="dxa"/>
            </w:tcMar>
            <w:vAlign w:val="center"/>
          </w:tcPr>
          <w:p>
            <w:pPr>
              <w:pStyle w:val="DMETW36742BIPMFF3ImplementPayments"/>
              <w:jc w:val="center"/>
              <w:rPr>
                <w:rFonts w:ascii="Verdana" w:eastAsia="Verdana" w:hAnsi="Verdana" w:cs="Verdana"/>
                <w:noProof/>
                <w:color w:val="FFFFFF"/>
                <w:sz w:val="16"/>
              </w:rPr>
            </w:pPr>
            <w:r>
              <w:rPr>
                <w:rFonts w:ascii="Verdana" w:hAnsi="Verdana"/>
                <w:noProof/>
                <w:color w:val="FFFFFF"/>
                <w:sz w:val="16"/>
              </w:rPr>
              <w:t>Total</w:t>
            </w:r>
          </w:p>
        </w:tc>
      </w:tr>
      <w:tr>
        <w:trPr>
          <w:trHeight w:val="255"/>
        </w:trPr>
        <w:tc>
          <w:tcPr>
            <w:tcW w:w="344" w:type="dxa"/>
            <w:tcBorders>
              <w:top w:val="nil"/>
              <w:left w:val="nil"/>
              <w:bottom w:val="nil"/>
              <w:right w:val="nil"/>
              <w:tl2br w:val="nil"/>
              <w:tr2bl w:val="nil"/>
            </w:tcBorders>
            <w:shd w:val="solid" w:color="3487A9" w:fill="FFFFFF"/>
            <w:tcMar>
              <w:left w:w="60" w:type="dxa"/>
              <w:right w:w="60" w:type="dxa"/>
            </w:tcMar>
            <w:vAlign w:val="center"/>
          </w:tcPr>
          <w:p>
            <w:pPr>
              <w:pStyle w:val="DMETW36742BIPMFF3ImplementPayments"/>
              <w:jc w:val="center"/>
              <w:rPr>
                <w:rFonts w:ascii="Verdana" w:eastAsia="Verdana" w:hAnsi="Verdana" w:cs="Verdana"/>
                <w:noProof/>
                <w:color w:val="FFFFFF"/>
                <w:sz w:val="16"/>
              </w:rPr>
            </w:pPr>
          </w:p>
        </w:tc>
        <w:tc>
          <w:tcPr>
            <w:tcW w:w="2636" w:type="dxa"/>
            <w:tcBorders>
              <w:top w:val="nil"/>
              <w:left w:val="nil"/>
              <w:bottom w:val="nil"/>
              <w:right w:val="nil"/>
              <w:tl2br w:val="nil"/>
              <w:tr2bl w:val="nil"/>
            </w:tcBorders>
            <w:shd w:val="solid" w:color="3487A9" w:fill="FFFFFF"/>
            <w:tcMar>
              <w:left w:w="60" w:type="dxa"/>
              <w:right w:w="60" w:type="dxa"/>
            </w:tcMar>
            <w:vAlign w:val="center"/>
          </w:tcPr>
          <w:p>
            <w:pPr>
              <w:pStyle w:val="DMETW36742BIPMFF3ImplementPayments"/>
              <w:jc w:val="center"/>
              <w:rPr>
                <w:rFonts w:ascii="Verdana" w:eastAsia="Verdana" w:hAnsi="Verdana" w:cs="Verdana"/>
                <w:noProof/>
                <w:color w:val="FFFFFF"/>
                <w:sz w:val="16"/>
              </w:rPr>
            </w:pPr>
          </w:p>
        </w:tc>
        <w:tc>
          <w:tcPr>
            <w:tcW w:w="960" w:type="dxa"/>
            <w:tcBorders>
              <w:top w:val="nil"/>
              <w:left w:val="nil"/>
              <w:bottom w:val="nil"/>
              <w:right w:val="nil"/>
              <w:tl2br w:val="nil"/>
              <w:tr2bl w:val="nil"/>
            </w:tcBorders>
            <w:shd w:val="solid" w:color="3487A9" w:fill="FFFFFF"/>
            <w:tcMar>
              <w:left w:w="60" w:type="dxa"/>
              <w:right w:w="60" w:type="dxa"/>
            </w:tcMar>
            <w:vAlign w:val="center"/>
          </w:tcPr>
          <w:p>
            <w:pPr>
              <w:pStyle w:val="DMETW36742BIPMFF3ImplementPayments"/>
              <w:jc w:val="center"/>
              <w:rPr>
                <w:rFonts w:ascii="Verdana" w:eastAsia="Verdana" w:hAnsi="Verdana" w:cs="Verdana"/>
                <w:noProof/>
                <w:color w:val="FFFFFF"/>
                <w:sz w:val="16"/>
              </w:rPr>
            </w:pPr>
            <w:r>
              <w:rPr>
                <w:rFonts w:ascii="Verdana" w:hAnsi="Verdana"/>
                <w:noProof/>
                <w:color w:val="FFFFFF"/>
                <w:sz w:val="16"/>
              </w:rPr>
              <w:t>1</w:t>
            </w:r>
          </w:p>
        </w:tc>
        <w:tc>
          <w:tcPr>
            <w:tcW w:w="898" w:type="dxa"/>
            <w:tcBorders>
              <w:top w:val="nil"/>
              <w:left w:val="nil"/>
              <w:bottom w:val="nil"/>
              <w:right w:val="nil"/>
              <w:tl2br w:val="nil"/>
              <w:tr2bl w:val="nil"/>
            </w:tcBorders>
            <w:shd w:val="solid" w:color="3487A9" w:fill="FFFFFF"/>
            <w:tcMar>
              <w:left w:w="60" w:type="dxa"/>
              <w:right w:w="60" w:type="dxa"/>
            </w:tcMar>
            <w:vAlign w:val="center"/>
          </w:tcPr>
          <w:p>
            <w:pPr>
              <w:pStyle w:val="DMETW36742BIPMFF3ImplementPayments"/>
              <w:jc w:val="center"/>
              <w:rPr>
                <w:rFonts w:ascii="Verdana" w:eastAsia="Verdana" w:hAnsi="Verdana" w:cs="Verdana"/>
                <w:noProof/>
                <w:color w:val="FFFFFF"/>
                <w:sz w:val="16"/>
              </w:rPr>
            </w:pPr>
            <w:r>
              <w:rPr>
                <w:rFonts w:ascii="Verdana" w:hAnsi="Verdana"/>
                <w:noProof/>
                <w:color w:val="FFFFFF"/>
                <w:sz w:val="16"/>
              </w:rPr>
              <w:t>2</w:t>
            </w:r>
          </w:p>
        </w:tc>
        <w:tc>
          <w:tcPr>
            <w:tcW w:w="898" w:type="dxa"/>
            <w:tcBorders>
              <w:top w:val="nil"/>
              <w:left w:val="nil"/>
              <w:bottom w:val="nil"/>
              <w:right w:val="nil"/>
              <w:tl2br w:val="nil"/>
              <w:tr2bl w:val="nil"/>
            </w:tcBorders>
            <w:shd w:val="solid" w:color="3487A9" w:fill="FFFFFF"/>
            <w:tcMar>
              <w:left w:w="60" w:type="dxa"/>
              <w:right w:w="60" w:type="dxa"/>
            </w:tcMar>
            <w:vAlign w:val="center"/>
          </w:tcPr>
          <w:p>
            <w:pPr>
              <w:pStyle w:val="DMETW36742BIPMFF3ImplementPayments"/>
              <w:jc w:val="center"/>
              <w:rPr>
                <w:rFonts w:ascii="Verdana" w:eastAsia="Verdana" w:hAnsi="Verdana" w:cs="Verdana"/>
                <w:noProof/>
                <w:color w:val="FFFFFF"/>
                <w:sz w:val="16"/>
              </w:rPr>
            </w:pPr>
            <w:r>
              <w:rPr>
                <w:rFonts w:ascii="Verdana" w:hAnsi="Verdana"/>
                <w:noProof/>
                <w:color w:val="FFFFFF"/>
                <w:sz w:val="16"/>
              </w:rPr>
              <w:t>3</w:t>
            </w:r>
          </w:p>
        </w:tc>
        <w:tc>
          <w:tcPr>
            <w:tcW w:w="898" w:type="dxa"/>
            <w:tcBorders>
              <w:top w:val="nil"/>
              <w:left w:val="nil"/>
              <w:bottom w:val="nil"/>
              <w:right w:val="nil"/>
              <w:tl2br w:val="nil"/>
              <w:tr2bl w:val="nil"/>
            </w:tcBorders>
            <w:shd w:val="solid" w:color="3487A9" w:fill="FFFFFF"/>
            <w:tcMar>
              <w:left w:w="60" w:type="dxa"/>
              <w:right w:w="60" w:type="dxa"/>
            </w:tcMar>
            <w:vAlign w:val="center"/>
          </w:tcPr>
          <w:p>
            <w:pPr>
              <w:pStyle w:val="DMETW36742BIPMFF3ImplementPayments"/>
              <w:jc w:val="center"/>
              <w:rPr>
                <w:rFonts w:ascii="Verdana" w:eastAsia="Verdana" w:hAnsi="Verdana" w:cs="Verdana"/>
                <w:noProof/>
                <w:color w:val="FFFFFF"/>
                <w:sz w:val="16"/>
              </w:rPr>
            </w:pPr>
            <w:r>
              <w:rPr>
                <w:rFonts w:ascii="Verdana" w:hAnsi="Verdana"/>
                <w:noProof/>
                <w:color w:val="FFFFFF"/>
                <w:sz w:val="16"/>
              </w:rPr>
              <w:t>4</w:t>
            </w:r>
          </w:p>
        </w:tc>
        <w:tc>
          <w:tcPr>
            <w:tcW w:w="898" w:type="dxa"/>
            <w:tcBorders>
              <w:top w:val="nil"/>
              <w:left w:val="nil"/>
              <w:bottom w:val="nil"/>
              <w:right w:val="nil"/>
              <w:tl2br w:val="nil"/>
              <w:tr2bl w:val="nil"/>
            </w:tcBorders>
            <w:shd w:val="solid" w:color="3487A9" w:fill="FFFFFF"/>
            <w:tcMar>
              <w:left w:w="60" w:type="dxa"/>
              <w:right w:w="60" w:type="dxa"/>
            </w:tcMar>
            <w:vAlign w:val="center"/>
          </w:tcPr>
          <w:p>
            <w:pPr>
              <w:pStyle w:val="DMETW36742BIPMFF3ImplementPayments"/>
              <w:jc w:val="center"/>
              <w:rPr>
                <w:rFonts w:ascii="Verdana" w:eastAsia="Verdana" w:hAnsi="Verdana" w:cs="Verdana"/>
                <w:noProof/>
                <w:color w:val="FFFFFF"/>
                <w:sz w:val="16"/>
              </w:rPr>
            </w:pPr>
            <w:r>
              <w:rPr>
                <w:rFonts w:ascii="Verdana" w:hAnsi="Verdana"/>
                <w:noProof/>
                <w:color w:val="FFFFFF"/>
                <w:sz w:val="16"/>
              </w:rPr>
              <w:t>5=2+3+4</w:t>
            </w:r>
          </w:p>
        </w:tc>
        <w:tc>
          <w:tcPr>
            <w:tcW w:w="898" w:type="dxa"/>
            <w:tcBorders>
              <w:top w:val="nil"/>
              <w:left w:val="nil"/>
              <w:bottom w:val="nil"/>
              <w:right w:val="nil"/>
              <w:tl2br w:val="nil"/>
              <w:tr2bl w:val="nil"/>
            </w:tcBorders>
            <w:shd w:val="solid" w:color="3487A9" w:fill="FFFFFF"/>
            <w:tcMar>
              <w:left w:w="60" w:type="dxa"/>
              <w:right w:w="60" w:type="dxa"/>
            </w:tcMar>
            <w:vAlign w:val="center"/>
          </w:tcPr>
          <w:p>
            <w:pPr>
              <w:pStyle w:val="DMETW36742BIPMFF3ImplementPayments"/>
              <w:jc w:val="center"/>
              <w:rPr>
                <w:rFonts w:ascii="Verdana" w:eastAsia="Verdana" w:hAnsi="Verdana" w:cs="Verdana"/>
                <w:noProof/>
                <w:color w:val="FFFFFF"/>
                <w:sz w:val="16"/>
              </w:rPr>
            </w:pPr>
            <w:r>
              <w:rPr>
                <w:rFonts w:ascii="Verdana" w:hAnsi="Verdana"/>
                <w:noProof/>
                <w:color w:val="FFFFFF"/>
                <w:sz w:val="16"/>
              </w:rPr>
              <w:t>6=5/1</w:t>
            </w:r>
          </w:p>
        </w:tc>
        <w:tc>
          <w:tcPr>
            <w:tcW w:w="898" w:type="dxa"/>
            <w:tcBorders>
              <w:top w:val="nil"/>
              <w:left w:val="nil"/>
              <w:bottom w:val="nil"/>
              <w:right w:val="nil"/>
              <w:tl2br w:val="nil"/>
              <w:tr2bl w:val="nil"/>
            </w:tcBorders>
            <w:shd w:val="solid" w:color="3487A9" w:fill="FFFFFF"/>
            <w:tcMar>
              <w:left w:w="60" w:type="dxa"/>
              <w:right w:w="60" w:type="dxa"/>
            </w:tcMar>
            <w:vAlign w:val="center"/>
          </w:tcPr>
          <w:p>
            <w:pPr>
              <w:pStyle w:val="DMETW36742BIPMFF3ImplementPayments"/>
              <w:jc w:val="center"/>
              <w:rPr>
                <w:rFonts w:ascii="Verdana" w:eastAsia="Verdana" w:hAnsi="Verdana" w:cs="Verdana"/>
                <w:noProof/>
                <w:color w:val="FFFFFF"/>
                <w:sz w:val="16"/>
              </w:rPr>
            </w:pPr>
            <w:r>
              <w:rPr>
                <w:rFonts w:ascii="Verdana" w:hAnsi="Verdana"/>
                <w:noProof/>
                <w:color w:val="FFFFFF"/>
                <w:sz w:val="16"/>
              </w:rPr>
              <w:t>7</w:t>
            </w:r>
          </w:p>
        </w:tc>
        <w:tc>
          <w:tcPr>
            <w:tcW w:w="898" w:type="dxa"/>
            <w:tcBorders>
              <w:top w:val="nil"/>
              <w:left w:val="nil"/>
              <w:bottom w:val="nil"/>
              <w:right w:val="nil"/>
              <w:tl2br w:val="nil"/>
              <w:tr2bl w:val="nil"/>
            </w:tcBorders>
            <w:shd w:val="solid" w:color="3487A9" w:fill="FFFFFF"/>
            <w:tcMar>
              <w:left w:w="60" w:type="dxa"/>
              <w:right w:w="60" w:type="dxa"/>
            </w:tcMar>
            <w:vAlign w:val="center"/>
          </w:tcPr>
          <w:p>
            <w:pPr>
              <w:pStyle w:val="DMETW36742BIPMFF3ImplementPayments"/>
              <w:jc w:val="center"/>
              <w:rPr>
                <w:rFonts w:ascii="Verdana" w:eastAsia="Verdana" w:hAnsi="Verdana" w:cs="Verdana"/>
                <w:noProof/>
                <w:color w:val="FFFFFF"/>
                <w:sz w:val="16"/>
              </w:rPr>
            </w:pPr>
            <w:r>
              <w:rPr>
                <w:rFonts w:ascii="Verdana" w:hAnsi="Verdana"/>
                <w:noProof/>
                <w:color w:val="FFFFFF"/>
                <w:sz w:val="16"/>
              </w:rPr>
              <w:t>8</w:t>
            </w:r>
          </w:p>
        </w:tc>
        <w:tc>
          <w:tcPr>
            <w:tcW w:w="898" w:type="dxa"/>
            <w:tcBorders>
              <w:top w:val="nil"/>
              <w:left w:val="nil"/>
              <w:bottom w:val="nil"/>
              <w:right w:val="nil"/>
              <w:tl2br w:val="nil"/>
              <w:tr2bl w:val="nil"/>
            </w:tcBorders>
            <w:shd w:val="solid" w:color="3487A9" w:fill="FFFFFF"/>
            <w:tcMar>
              <w:left w:w="60" w:type="dxa"/>
              <w:right w:w="60" w:type="dxa"/>
            </w:tcMar>
            <w:vAlign w:val="center"/>
          </w:tcPr>
          <w:p>
            <w:pPr>
              <w:pStyle w:val="DMETW36742BIPMFF3ImplementPayments"/>
              <w:jc w:val="center"/>
              <w:rPr>
                <w:rFonts w:ascii="Verdana" w:eastAsia="Verdana" w:hAnsi="Verdana" w:cs="Verdana"/>
                <w:noProof/>
                <w:color w:val="FFFFFF"/>
                <w:sz w:val="16"/>
              </w:rPr>
            </w:pPr>
            <w:r>
              <w:rPr>
                <w:rFonts w:ascii="Verdana" w:hAnsi="Verdana"/>
                <w:noProof/>
                <w:color w:val="FFFFFF"/>
                <w:sz w:val="16"/>
              </w:rPr>
              <w:t>9=7+8</w:t>
            </w:r>
          </w:p>
        </w:tc>
        <w:tc>
          <w:tcPr>
            <w:tcW w:w="898" w:type="dxa"/>
            <w:tcBorders>
              <w:top w:val="nil"/>
              <w:left w:val="nil"/>
              <w:bottom w:val="nil"/>
              <w:right w:val="nil"/>
              <w:tl2br w:val="nil"/>
              <w:tr2bl w:val="nil"/>
            </w:tcBorders>
            <w:shd w:val="solid" w:color="3487A9" w:fill="FFFFFF"/>
            <w:tcMar>
              <w:left w:w="60" w:type="dxa"/>
              <w:right w:w="60" w:type="dxa"/>
            </w:tcMar>
            <w:vAlign w:val="center"/>
          </w:tcPr>
          <w:p>
            <w:pPr>
              <w:pStyle w:val="DMETW36742BIPMFF3ImplementPayments"/>
              <w:jc w:val="center"/>
              <w:rPr>
                <w:rFonts w:ascii="Verdana" w:eastAsia="Verdana" w:hAnsi="Verdana" w:cs="Verdana"/>
                <w:noProof/>
                <w:color w:val="FFFFFF"/>
                <w:sz w:val="16"/>
              </w:rPr>
            </w:pPr>
            <w:r>
              <w:rPr>
                <w:rFonts w:ascii="Verdana" w:hAnsi="Verdana"/>
                <w:noProof/>
                <w:color w:val="FFFFFF"/>
                <w:sz w:val="16"/>
              </w:rPr>
              <w:t>10</w:t>
            </w:r>
          </w:p>
        </w:tc>
        <w:tc>
          <w:tcPr>
            <w:tcW w:w="898" w:type="dxa"/>
            <w:tcBorders>
              <w:top w:val="nil"/>
              <w:left w:val="nil"/>
              <w:bottom w:val="nil"/>
              <w:right w:val="nil"/>
              <w:tl2br w:val="nil"/>
              <w:tr2bl w:val="nil"/>
            </w:tcBorders>
            <w:shd w:val="solid" w:color="3487A9" w:fill="FFFFFF"/>
            <w:tcMar>
              <w:left w:w="60" w:type="dxa"/>
              <w:right w:w="60" w:type="dxa"/>
            </w:tcMar>
            <w:vAlign w:val="center"/>
          </w:tcPr>
          <w:p>
            <w:pPr>
              <w:pStyle w:val="DMETW36742BIPMFF3ImplementPayments"/>
              <w:jc w:val="center"/>
              <w:rPr>
                <w:rFonts w:ascii="Verdana" w:eastAsia="Verdana" w:hAnsi="Verdana" w:cs="Verdana"/>
                <w:noProof/>
                <w:color w:val="FFFFFF"/>
                <w:sz w:val="16"/>
              </w:rPr>
            </w:pPr>
            <w:r>
              <w:rPr>
                <w:rFonts w:ascii="Verdana" w:hAnsi="Verdana"/>
                <w:noProof/>
                <w:color w:val="FFFFFF"/>
                <w:sz w:val="16"/>
              </w:rPr>
              <w:t>11</w:t>
            </w:r>
          </w:p>
        </w:tc>
        <w:tc>
          <w:tcPr>
            <w:tcW w:w="936" w:type="dxa"/>
            <w:tcBorders>
              <w:top w:val="nil"/>
              <w:left w:val="nil"/>
              <w:bottom w:val="nil"/>
              <w:right w:val="nil"/>
              <w:tl2br w:val="nil"/>
              <w:tr2bl w:val="nil"/>
            </w:tcBorders>
            <w:shd w:val="solid" w:color="3487A9" w:fill="FFFFFF"/>
            <w:tcMar>
              <w:left w:w="60" w:type="dxa"/>
              <w:right w:w="60" w:type="dxa"/>
            </w:tcMar>
            <w:vAlign w:val="center"/>
          </w:tcPr>
          <w:p>
            <w:pPr>
              <w:pStyle w:val="DMETW36742BIPMFF3ImplementPayments"/>
              <w:jc w:val="center"/>
              <w:rPr>
                <w:rFonts w:ascii="Verdana" w:eastAsia="Verdana" w:hAnsi="Verdana" w:cs="Verdana"/>
                <w:noProof/>
                <w:color w:val="FFFFFF"/>
                <w:sz w:val="16"/>
              </w:rPr>
            </w:pPr>
            <w:r>
              <w:rPr>
                <w:rFonts w:ascii="Verdana" w:hAnsi="Verdana"/>
                <w:noProof/>
                <w:color w:val="FFFFFF"/>
                <w:sz w:val="16"/>
              </w:rPr>
              <w:t>12</w:t>
            </w:r>
          </w:p>
        </w:tc>
        <w:tc>
          <w:tcPr>
            <w:tcW w:w="898" w:type="dxa"/>
            <w:tcBorders>
              <w:top w:val="nil"/>
              <w:left w:val="nil"/>
              <w:bottom w:val="nil"/>
              <w:right w:val="nil"/>
              <w:tl2br w:val="nil"/>
              <w:tr2bl w:val="nil"/>
            </w:tcBorders>
            <w:shd w:val="solid" w:color="3487A9" w:fill="FFFFFF"/>
            <w:tcMar>
              <w:left w:w="60" w:type="dxa"/>
              <w:right w:w="60" w:type="dxa"/>
            </w:tcMar>
            <w:vAlign w:val="center"/>
          </w:tcPr>
          <w:p>
            <w:pPr>
              <w:pStyle w:val="DMETW36742BIPMFF3ImplementPayments"/>
              <w:jc w:val="center"/>
              <w:rPr>
                <w:rFonts w:ascii="Verdana" w:eastAsia="Verdana" w:hAnsi="Verdana" w:cs="Verdana"/>
                <w:noProof/>
                <w:color w:val="FFFFFF"/>
                <w:sz w:val="16"/>
              </w:rPr>
            </w:pPr>
            <w:r>
              <w:rPr>
                <w:rFonts w:ascii="Verdana" w:hAnsi="Verdana"/>
                <w:noProof/>
                <w:color w:val="FFFFFF"/>
                <w:sz w:val="16"/>
              </w:rPr>
              <w:t>13=10+</w:t>
            </w:r>
          </w:p>
          <w:p>
            <w:pPr>
              <w:pStyle w:val="DMETW36742BIPMFF3ImplementPayments"/>
              <w:jc w:val="center"/>
              <w:rPr>
                <w:rFonts w:ascii="Verdana" w:eastAsia="Verdana" w:hAnsi="Verdana" w:cs="Verdana"/>
                <w:noProof/>
                <w:color w:val="FFFFFF"/>
                <w:sz w:val="16"/>
              </w:rPr>
            </w:pPr>
            <w:r>
              <w:rPr>
                <w:rFonts w:ascii="Verdana" w:hAnsi="Verdana"/>
                <w:noProof/>
                <w:color w:val="FFFFFF"/>
                <w:sz w:val="16"/>
              </w:rPr>
              <w:t>11+12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3ImplementPayments"/>
              <w:rPr>
                <w:rFonts w:ascii="Verdana" w:eastAsia="Verdana" w:hAnsi="Verdana" w:cs="Verdana"/>
                <w:noProof/>
                <w:color w:val="000000"/>
                <w:sz w:val="16"/>
              </w:rPr>
            </w:pPr>
            <w:r>
              <w:rPr>
                <w:rFonts w:ascii="Verdana" w:hAnsi="Verdana"/>
                <w:noProof/>
                <w:color w:val="000000"/>
                <w:sz w:val="16"/>
              </w:rPr>
              <w:t>1</w:t>
            </w:r>
          </w:p>
        </w:tc>
        <w:tc>
          <w:tcPr>
            <w:tcW w:w="2636" w:type="dxa"/>
            <w:tcBorders>
              <w:top w:val="nil"/>
              <w:left w:val="nil"/>
              <w:bottom w:val="nil"/>
              <w:right w:val="nil"/>
              <w:tl2br w:val="nil"/>
              <w:tr2bl w:val="nil"/>
            </w:tcBorders>
            <w:tcMar>
              <w:left w:w="60" w:type="dxa"/>
              <w:right w:w="60" w:type="dxa"/>
            </w:tcMar>
            <w:vAlign w:val="center"/>
          </w:tcPr>
          <w:p>
            <w:pPr>
              <w:pStyle w:val="DMETW36742BIPMFF3ImplementPayments"/>
              <w:rPr>
                <w:rFonts w:ascii="Verdana" w:eastAsia="Verdana" w:hAnsi="Verdana" w:cs="Verdana"/>
                <w:noProof/>
                <w:color w:val="000000"/>
                <w:sz w:val="16"/>
              </w:rPr>
            </w:pPr>
            <w:r>
              <w:rPr>
                <w:rFonts w:ascii="Verdana" w:hAnsi="Verdana"/>
                <w:noProof/>
                <w:color w:val="000000"/>
                <w:sz w:val="16"/>
              </w:rPr>
              <w:t>Marché unique, innovation et numérique</w:t>
            </w:r>
          </w:p>
        </w:tc>
        <w:tc>
          <w:tcPr>
            <w:tcW w:w="960"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34 035</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20 128</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96</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4 258</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24 483</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72 %</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107</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9 414</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9 521</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20</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10</w:t>
            </w:r>
          </w:p>
        </w:tc>
        <w:tc>
          <w:tcPr>
            <w:tcW w:w="936"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31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3ImplementPayments"/>
              <w:rPr>
                <w:rFonts w:ascii="Verdana" w:eastAsia="Verdana" w:hAnsi="Verdana" w:cs="Verdana"/>
                <w:noProof/>
                <w:color w:val="000000"/>
                <w:sz w:val="16"/>
              </w:rPr>
            </w:pPr>
            <w:r>
              <w:rPr>
                <w:rFonts w:ascii="Verdana" w:hAnsi="Verdana"/>
                <w:noProof/>
                <w:color w:val="000000"/>
                <w:sz w:val="16"/>
              </w:rPr>
              <w:t>2</w:t>
            </w:r>
          </w:p>
        </w:tc>
        <w:tc>
          <w:tcPr>
            <w:tcW w:w="2636" w:type="dxa"/>
            <w:tcBorders>
              <w:top w:val="nil"/>
              <w:left w:val="nil"/>
              <w:bottom w:val="nil"/>
              <w:right w:val="nil"/>
              <w:tl2br w:val="nil"/>
              <w:tr2bl w:val="nil"/>
            </w:tcBorders>
            <w:tcMar>
              <w:left w:w="60" w:type="dxa"/>
              <w:right w:w="60" w:type="dxa"/>
            </w:tcMar>
            <w:vAlign w:val="center"/>
          </w:tcPr>
          <w:p>
            <w:pPr>
              <w:pStyle w:val="DMETW36742BIPMFF3ImplementPayments"/>
              <w:rPr>
                <w:rFonts w:ascii="Verdana" w:eastAsia="Verdana" w:hAnsi="Verdana" w:cs="Verdana"/>
                <w:noProof/>
                <w:color w:val="000000"/>
                <w:sz w:val="16"/>
              </w:rPr>
            </w:pPr>
            <w:r>
              <w:rPr>
                <w:rFonts w:ascii="Verdana" w:hAnsi="Verdana"/>
                <w:noProof/>
                <w:color w:val="000000"/>
                <w:sz w:val="16"/>
              </w:rPr>
              <w:t>Cohésion, résilience et valeurs</w:t>
            </w:r>
          </w:p>
        </w:tc>
        <w:tc>
          <w:tcPr>
            <w:tcW w:w="960"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96 601</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45 231</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1 895</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45 180</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92 306</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96 %</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1 906</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2 377</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4 283</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4</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936"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6</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11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3ImplementPayments"/>
              <w:rPr>
                <w:rFonts w:ascii="Verdana" w:eastAsia="Verdana" w:hAnsi="Verdana" w:cs="Verdana"/>
                <w:noProof/>
                <w:color w:val="000000"/>
                <w:sz w:val="16"/>
              </w:rPr>
            </w:pPr>
            <w:r>
              <w:rPr>
                <w:rFonts w:ascii="Verdana" w:hAnsi="Verdana"/>
                <w:noProof/>
                <w:color w:val="000000"/>
                <w:sz w:val="16"/>
              </w:rPr>
              <w:t>3</w:t>
            </w:r>
          </w:p>
        </w:tc>
        <w:tc>
          <w:tcPr>
            <w:tcW w:w="2636" w:type="dxa"/>
            <w:tcBorders>
              <w:top w:val="nil"/>
              <w:left w:val="nil"/>
              <w:bottom w:val="nil"/>
              <w:right w:val="nil"/>
              <w:tl2br w:val="nil"/>
              <w:tr2bl w:val="nil"/>
            </w:tcBorders>
            <w:tcMar>
              <w:left w:w="60" w:type="dxa"/>
              <w:right w:w="60" w:type="dxa"/>
            </w:tcMar>
            <w:vAlign w:val="center"/>
          </w:tcPr>
          <w:p>
            <w:pPr>
              <w:pStyle w:val="DMETW36742BIPMFF3ImplementPayments"/>
              <w:rPr>
                <w:rFonts w:ascii="Verdana" w:eastAsia="Verdana" w:hAnsi="Verdana" w:cs="Verdana"/>
                <w:noProof/>
                <w:color w:val="000000"/>
                <w:sz w:val="16"/>
              </w:rPr>
            </w:pPr>
            <w:r>
              <w:rPr>
                <w:rFonts w:ascii="Verdana" w:hAnsi="Verdana"/>
                <w:noProof/>
                <w:color w:val="000000"/>
                <w:sz w:val="16"/>
              </w:rPr>
              <w:t>Ressources naturelles et environnement</w:t>
            </w:r>
          </w:p>
        </w:tc>
        <w:tc>
          <w:tcPr>
            <w:tcW w:w="960"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61 329</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55 799</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200</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3 590</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59 589</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97 %</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399</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1 323</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1 722</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16</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936"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17</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3ImplementPayments"/>
              <w:rPr>
                <w:rFonts w:ascii="Verdana" w:eastAsia="Verdana" w:hAnsi="Verdana" w:cs="Verdana"/>
                <w:noProof/>
                <w:color w:val="000000"/>
                <w:sz w:val="16"/>
              </w:rPr>
            </w:pPr>
            <w:r>
              <w:rPr>
                <w:rFonts w:ascii="Verdana" w:hAnsi="Verdana"/>
                <w:noProof/>
                <w:color w:val="000000"/>
                <w:sz w:val="16"/>
              </w:rPr>
              <w:t>4</w:t>
            </w:r>
          </w:p>
        </w:tc>
        <w:tc>
          <w:tcPr>
            <w:tcW w:w="2636" w:type="dxa"/>
            <w:tcBorders>
              <w:top w:val="nil"/>
              <w:left w:val="nil"/>
              <w:bottom w:val="nil"/>
              <w:right w:val="nil"/>
              <w:tl2br w:val="nil"/>
              <w:tr2bl w:val="nil"/>
            </w:tcBorders>
            <w:tcMar>
              <w:left w:w="60" w:type="dxa"/>
              <w:right w:w="60" w:type="dxa"/>
            </w:tcMar>
            <w:vAlign w:val="center"/>
          </w:tcPr>
          <w:p>
            <w:pPr>
              <w:pStyle w:val="DMETW36742BIPMFF3ImplementPayments"/>
              <w:rPr>
                <w:rFonts w:ascii="Verdana" w:eastAsia="Verdana" w:hAnsi="Verdana" w:cs="Verdana"/>
                <w:noProof/>
                <w:color w:val="000000"/>
                <w:sz w:val="16"/>
              </w:rPr>
            </w:pPr>
            <w:r>
              <w:rPr>
                <w:rFonts w:ascii="Verdana" w:hAnsi="Verdana"/>
                <w:noProof/>
                <w:color w:val="000000"/>
                <w:sz w:val="16"/>
              </w:rPr>
              <w:t>Migration et gestion des frontières</w:t>
            </w:r>
          </w:p>
        </w:tc>
        <w:tc>
          <w:tcPr>
            <w:tcW w:w="960"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4 386</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3 560</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19</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239</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3 819</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87 %</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3</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554</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557</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9</w:t>
            </w:r>
          </w:p>
        </w:tc>
        <w:tc>
          <w:tcPr>
            <w:tcW w:w="936"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10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3ImplementPayments"/>
              <w:rPr>
                <w:rFonts w:ascii="Verdana" w:eastAsia="Verdana" w:hAnsi="Verdana" w:cs="Verdana"/>
                <w:noProof/>
                <w:color w:val="000000"/>
                <w:sz w:val="16"/>
              </w:rPr>
            </w:pPr>
            <w:r>
              <w:rPr>
                <w:rFonts w:ascii="Verdana" w:hAnsi="Verdana"/>
                <w:noProof/>
                <w:color w:val="000000"/>
                <w:sz w:val="16"/>
              </w:rPr>
              <w:t>5</w:t>
            </w:r>
          </w:p>
        </w:tc>
        <w:tc>
          <w:tcPr>
            <w:tcW w:w="2636" w:type="dxa"/>
            <w:tcBorders>
              <w:top w:val="nil"/>
              <w:left w:val="nil"/>
              <w:bottom w:val="nil"/>
              <w:right w:val="nil"/>
              <w:tl2br w:val="nil"/>
              <w:tr2bl w:val="nil"/>
            </w:tcBorders>
            <w:tcMar>
              <w:left w:w="60" w:type="dxa"/>
              <w:right w:w="60" w:type="dxa"/>
            </w:tcMar>
            <w:vAlign w:val="center"/>
          </w:tcPr>
          <w:p>
            <w:pPr>
              <w:pStyle w:val="DMETW36742BIPMFF3ImplementPayments"/>
              <w:rPr>
                <w:rFonts w:ascii="Verdana" w:eastAsia="Verdana" w:hAnsi="Verdana" w:cs="Verdana"/>
                <w:noProof/>
                <w:color w:val="000000"/>
                <w:sz w:val="16"/>
              </w:rPr>
            </w:pPr>
            <w:r>
              <w:rPr>
                <w:rFonts w:ascii="Verdana" w:hAnsi="Verdana"/>
                <w:noProof/>
                <w:color w:val="000000"/>
                <w:sz w:val="16"/>
              </w:rPr>
              <w:t>Sécurité et défense</w:t>
            </w:r>
          </w:p>
        </w:tc>
        <w:tc>
          <w:tcPr>
            <w:tcW w:w="960"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1 947</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1 814</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5</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52</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1 872</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96 %</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22</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51</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73</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3</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936"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3</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3ImplementPayments"/>
              <w:rPr>
                <w:rFonts w:ascii="Verdana" w:eastAsia="Verdana" w:hAnsi="Verdana" w:cs="Verdana"/>
                <w:noProof/>
                <w:color w:val="000000"/>
                <w:sz w:val="16"/>
              </w:rPr>
            </w:pPr>
            <w:r>
              <w:rPr>
                <w:rFonts w:ascii="Verdana" w:hAnsi="Verdana"/>
                <w:noProof/>
                <w:color w:val="000000"/>
                <w:sz w:val="16"/>
              </w:rPr>
              <w:t>6</w:t>
            </w:r>
          </w:p>
        </w:tc>
        <w:tc>
          <w:tcPr>
            <w:tcW w:w="2636" w:type="dxa"/>
            <w:tcBorders>
              <w:top w:val="nil"/>
              <w:left w:val="nil"/>
              <w:bottom w:val="nil"/>
              <w:right w:val="nil"/>
              <w:tl2br w:val="nil"/>
              <w:tr2bl w:val="nil"/>
            </w:tcBorders>
            <w:tcMar>
              <w:left w:w="60" w:type="dxa"/>
              <w:right w:w="60" w:type="dxa"/>
            </w:tcMar>
            <w:vAlign w:val="center"/>
          </w:tcPr>
          <w:p>
            <w:pPr>
              <w:pStyle w:val="DMETW36742BIPMFF3ImplementPayments"/>
              <w:rPr>
                <w:rFonts w:ascii="Verdana" w:eastAsia="Verdana" w:hAnsi="Verdana" w:cs="Verdana"/>
                <w:noProof/>
                <w:color w:val="000000"/>
                <w:sz w:val="16"/>
              </w:rPr>
            </w:pPr>
            <w:r>
              <w:rPr>
                <w:rFonts w:ascii="Verdana" w:hAnsi="Verdana"/>
                <w:noProof/>
                <w:color w:val="000000"/>
                <w:sz w:val="16"/>
              </w:rPr>
              <w:t>Le voisinage et le monde</w:t>
            </w:r>
          </w:p>
        </w:tc>
        <w:tc>
          <w:tcPr>
            <w:tcW w:w="960"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18 469</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14 444</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89</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2 637</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17 170</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93 %</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584</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706</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1 290</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7</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936"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9</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3ImplementPayments"/>
              <w:rPr>
                <w:rFonts w:ascii="Verdana" w:eastAsia="Verdana" w:hAnsi="Verdana" w:cs="Verdana"/>
                <w:noProof/>
                <w:color w:val="000000"/>
                <w:sz w:val="16"/>
              </w:rPr>
            </w:pPr>
            <w:r>
              <w:rPr>
                <w:rFonts w:ascii="Verdana" w:hAnsi="Verdana"/>
                <w:noProof/>
                <w:color w:val="000000"/>
                <w:sz w:val="16"/>
              </w:rPr>
              <w:t>7</w:t>
            </w:r>
          </w:p>
        </w:tc>
        <w:tc>
          <w:tcPr>
            <w:tcW w:w="2636" w:type="dxa"/>
            <w:tcBorders>
              <w:top w:val="nil"/>
              <w:left w:val="nil"/>
              <w:bottom w:val="nil"/>
              <w:right w:val="nil"/>
              <w:tl2br w:val="nil"/>
              <w:tr2bl w:val="nil"/>
            </w:tcBorders>
            <w:tcMar>
              <w:left w:w="60" w:type="dxa"/>
              <w:right w:w="60" w:type="dxa"/>
            </w:tcMar>
            <w:vAlign w:val="center"/>
          </w:tcPr>
          <w:p>
            <w:pPr>
              <w:pStyle w:val="DMETW36742BIPMFF3ImplementPayments"/>
              <w:rPr>
                <w:rFonts w:ascii="Verdana" w:eastAsia="Verdana" w:hAnsi="Verdana" w:cs="Verdana"/>
                <w:noProof/>
                <w:color w:val="000000"/>
                <w:sz w:val="16"/>
              </w:rPr>
            </w:pPr>
            <w:r>
              <w:rPr>
                <w:rFonts w:ascii="Verdana" w:hAnsi="Verdana"/>
                <w:noProof/>
                <w:color w:val="000000"/>
                <w:sz w:val="16"/>
              </w:rPr>
              <w:t>Administration publique européenne</w:t>
            </w:r>
          </w:p>
        </w:tc>
        <w:tc>
          <w:tcPr>
            <w:tcW w:w="960"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16 133</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11 775</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847</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1 144</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13 767</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85 %</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932</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1 291</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2 222</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59</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80</w:t>
            </w:r>
          </w:p>
        </w:tc>
        <w:tc>
          <w:tcPr>
            <w:tcW w:w="936"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5</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144</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3ImplementPayments"/>
              <w:rPr>
                <w:rFonts w:ascii="Verdana" w:eastAsia="Verdana" w:hAnsi="Verdana" w:cs="Verdana"/>
                <w:noProof/>
                <w:color w:val="000000"/>
                <w:sz w:val="16"/>
              </w:rPr>
            </w:pPr>
            <w:r>
              <w:rPr>
                <w:rFonts w:ascii="Verdana" w:hAnsi="Verdana"/>
                <w:noProof/>
                <w:color w:val="000000"/>
                <w:sz w:val="16"/>
              </w:rPr>
              <w:t>O</w:t>
            </w:r>
          </w:p>
        </w:tc>
        <w:tc>
          <w:tcPr>
            <w:tcW w:w="2636" w:type="dxa"/>
            <w:tcBorders>
              <w:top w:val="nil"/>
              <w:left w:val="nil"/>
              <w:bottom w:val="nil"/>
              <w:right w:val="nil"/>
              <w:tl2br w:val="nil"/>
              <w:tr2bl w:val="nil"/>
            </w:tcBorders>
            <w:tcMar>
              <w:left w:w="60" w:type="dxa"/>
              <w:right w:w="60" w:type="dxa"/>
            </w:tcMar>
            <w:vAlign w:val="center"/>
          </w:tcPr>
          <w:p>
            <w:pPr>
              <w:pStyle w:val="DMETW36742BIPMFF3ImplementPayments"/>
              <w:rPr>
                <w:rFonts w:ascii="Verdana" w:eastAsia="Verdana" w:hAnsi="Verdana" w:cs="Verdana"/>
                <w:noProof/>
                <w:color w:val="000000"/>
                <w:sz w:val="16"/>
              </w:rPr>
            </w:pPr>
            <w:r>
              <w:rPr>
                <w:rFonts w:ascii="Verdana" w:hAnsi="Verdana"/>
                <w:noProof/>
                <w:color w:val="000000"/>
                <w:sz w:val="16"/>
              </w:rPr>
              <w:t>Hors CFP</w:t>
            </w:r>
          </w:p>
        </w:tc>
        <w:tc>
          <w:tcPr>
            <w:tcW w:w="960"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15 994</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1 693</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113</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514</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2 319</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15 %</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1 120</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12 555</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13 675</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936"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3ImplementPayments"/>
              <w:rPr>
                <w:rFonts w:ascii="Verdana" w:eastAsia="Verdana" w:hAnsi="Verdana" w:cs="Verdana"/>
                <w:noProof/>
                <w:color w:val="000000"/>
                <w:sz w:val="16"/>
              </w:rPr>
            </w:pPr>
            <w:r>
              <w:rPr>
                <w:rFonts w:ascii="Verdana" w:hAnsi="Verdana"/>
                <w:noProof/>
                <w:color w:val="000000"/>
                <w:sz w:val="16"/>
              </w:rPr>
              <w:t>S</w:t>
            </w:r>
          </w:p>
        </w:tc>
        <w:tc>
          <w:tcPr>
            <w:tcW w:w="2636" w:type="dxa"/>
            <w:tcBorders>
              <w:top w:val="nil"/>
              <w:left w:val="nil"/>
              <w:bottom w:val="nil"/>
              <w:right w:val="nil"/>
              <w:tl2br w:val="nil"/>
              <w:tr2bl w:val="nil"/>
            </w:tcBorders>
            <w:tcMar>
              <w:left w:w="60" w:type="dxa"/>
              <w:right w:w="60" w:type="dxa"/>
            </w:tcMar>
            <w:vAlign w:val="center"/>
          </w:tcPr>
          <w:p>
            <w:pPr>
              <w:pStyle w:val="DMETW36742BIPMFF3ImplementPayments"/>
              <w:rPr>
                <w:rFonts w:ascii="Verdana" w:eastAsia="Verdana" w:hAnsi="Verdana" w:cs="Verdana"/>
                <w:noProof/>
                <w:color w:val="000000"/>
                <w:sz w:val="16"/>
              </w:rPr>
            </w:pPr>
            <w:r>
              <w:rPr>
                <w:rFonts w:ascii="Verdana" w:hAnsi="Verdana"/>
                <w:noProof/>
                <w:color w:val="000000"/>
                <w:sz w:val="16"/>
              </w:rPr>
              <w:t>Mécanismes de solidarité à l’intérieur et à l’extérieur de l’Union (instruments spéciaux)</w:t>
            </w:r>
          </w:p>
        </w:tc>
        <w:tc>
          <w:tcPr>
            <w:tcW w:w="960"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2 063</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729</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310</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9</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1 048</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51 %</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1 015</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1 015</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936"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shd w:val="solid" w:color="CCE1EA" w:fill="FFFFFF"/>
            <w:tcMar>
              <w:left w:w="60" w:type="dxa"/>
              <w:right w:w="60" w:type="dxa"/>
            </w:tcMar>
            <w:vAlign w:val="center"/>
          </w:tcPr>
          <w:p>
            <w:pPr>
              <w:pStyle w:val="DMETW36742BIPMFF3ImplementPayments"/>
              <w:rPr>
                <w:rFonts w:ascii="Verdana" w:eastAsia="Verdana" w:hAnsi="Verdana" w:cs="Verdana"/>
                <w:b/>
                <w:noProof/>
                <w:color w:val="000000"/>
                <w:sz w:val="16"/>
              </w:rPr>
            </w:pPr>
          </w:p>
        </w:tc>
        <w:tc>
          <w:tcPr>
            <w:tcW w:w="2636" w:type="dxa"/>
            <w:tcBorders>
              <w:top w:val="nil"/>
              <w:left w:val="nil"/>
              <w:bottom w:val="nil"/>
              <w:right w:val="nil"/>
              <w:tl2br w:val="nil"/>
              <w:tr2bl w:val="nil"/>
            </w:tcBorders>
            <w:shd w:val="solid" w:color="CCE1EA" w:fill="FFFFFF"/>
            <w:tcMar>
              <w:left w:w="60" w:type="dxa"/>
              <w:right w:w="60" w:type="dxa"/>
            </w:tcMar>
            <w:vAlign w:val="center"/>
          </w:tcPr>
          <w:p>
            <w:pPr>
              <w:pStyle w:val="DMETW36742BIPMFF3ImplementPayments"/>
              <w:jc w:val="right"/>
              <w:rPr>
                <w:rFonts w:ascii="Verdana" w:eastAsia="Verdana" w:hAnsi="Verdana" w:cs="Verdana"/>
                <w:b/>
                <w:noProof/>
                <w:color w:val="000000"/>
                <w:sz w:val="16"/>
              </w:rPr>
            </w:pPr>
            <w:r>
              <w:rPr>
                <w:rFonts w:ascii="Verdana" w:hAnsi="Verdana"/>
                <w:b/>
                <w:noProof/>
                <w:color w:val="000000"/>
                <w:sz w:val="16"/>
              </w:rPr>
              <w:t>TOTAL</w:t>
            </w:r>
          </w:p>
        </w:tc>
        <w:tc>
          <w:tcPr>
            <w:tcW w:w="960" w:type="dxa"/>
            <w:tcBorders>
              <w:top w:val="nil"/>
              <w:left w:val="nil"/>
              <w:bottom w:val="nil"/>
              <w:right w:val="nil"/>
              <w:tl2br w:val="nil"/>
              <w:tr2bl w:val="nil"/>
            </w:tcBorders>
            <w:shd w:val="solid" w:color="CCE1EA" w:fill="FFFFFF"/>
            <w:tcMar>
              <w:left w:w="60" w:type="dxa"/>
              <w:right w:w="60" w:type="dxa"/>
            </w:tcMar>
            <w:vAlign w:val="center"/>
          </w:tcPr>
          <w:p>
            <w:pPr>
              <w:pStyle w:val="DMETW36742BIPMFF3ImplementPayments"/>
              <w:jc w:val="right"/>
              <w:rPr>
                <w:rFonts w:ascii="Verdana" w:eastAsia="Verdana" w:hAnsi="Verdana" w:cs="Verdana"/>
                <w:b/>
                <w:noProof/>
                <w:color w:val="000000"/>
                <w:sz w:val="16"/>
              </w:rPr>
            </w:pPr>
            <w:r>
              <w:rPr>
                <w:rFonts w:ascii="Verdana" w:hAnsi="Verdana"/>
                <w:b/>
                <w:noProof/>
                <w:color w:val="000000"/>
                <w:sz w:val="16"/>
              </w:rPr>
              <w:t>250 956</w:t>
            </w:r>
          </w:p>
        </w:tc>
        <w:tc>
          <w:tcPr>
            <w:tcW w:w="898" w:type="dxa"/>
            <w:tcBorders>
              <w:top w:val="nil"/>
              <w:left w:val="nil"/>
              <w:bottom w:val="nil"/>
              <w:right w:val="nil"/>
              <w:tl2br w:val="nil"/>
              <w:tr2bl w:val="nil"/>
            </w:tcBorders>
            <w:shd w:val="solid" w:color="CCE1EA" w:fill="FFFFFF"/>
            <w:tcMar>
              <w:left w:w="60" w:type="dxa"/>
              <w:right w:w="60" w:type="dxa"/>
            </w:tcMar>
            <w:vAlign w:val="center"/>
          </w:tcPr>
          <w:p>
            <w:pPr>
              <w:pStyle w:val="DMETW36742BIPMFF3ImplementPayments"/>
              <w:jc w:val="right"/>
              <w:rPr>
                <w:rFonts w:ascii="Verdana" w:eastAsia="Verdana" w:hAnsi="Verdana" w:cs="Verdana"/>
                <w:b/>
                <w:noProof/>
                <w:color w:val="000000"/>
                <w:sz w:val="16"/>
              </w:rPr>
            </w:pPr>
            <w:r>
              <w:rPr>
                <w:rFonts w:ascii="Verdana" w:hAnsi="Verdana"/>
                <w:b/>
                <w:noProof/>
                <w:color w:val="000000"/>
                <w:sz w:val="16"/>
              </w:rPr>
              <w:t>155 173</w:t>
            </w:r>
          </w:p>
        </w:tc>
        <w:tc>
          <w:tcPr>
            <w:tcW w:w="898" w:type="dxa"/>
            <w:tcBorders>
              <w:top w:val="nil"/>
              <w:left w:val="nil"/>
              <w:bottom w:val="nil"/>
              <w:right w:val="nil"/>
              <w:tl2br w:val="nil"/>
              <w:tr2bl w:val="nil"/>
            </w:tcBorders>
            <w:shd w:val="solid" w:color="CCE1EA" w:fill="FFFFFF"/>
            <w:tcMar>
              <w:left w:w="60" w:type="dxa"/>
              <w:right w:w="60" w:type="dxa"/>
            </w:tcMar>
            <w:vAlign w:val="center"/>
          </w:tcPr>
          <w:p>
            <w:pPr>
              <w:pStyle w:val="DMETW36742BIPMFF3ImplementPayments"/>
              <w:jc w:val="right"/>
              <w:rPr>
                <w:rFonts w:ascii="Verdana" w:eastAsia="Verdana" w:hAnsi="Verdana" w:cs="Verdana"/>
                <w:b/>
                <w:noProof/>
                <w:color w:val="000000"/>
                <w:sz w:val="16"/>
              </w:rPr>
            </w:pPr>
            <w:r>
              <w:rPr>
                <w:rFonts w:ascii="Verdana" w:hAnsi="Verdana"/>
                <w:b/>
                <w:noProof/>
                <w:color w:val="000000"/>
                <w:sz w:val="16"/>
              </w:rPr>
              <w:t>3 575</w:t>
            </w:r>
          </w:p>
        </w:tc>
        <w:tc>
          <w:tcPr>
            <w:tcW w:w="898" w:type="dxa"/>
            <w:tcBorders>
              <w:top w:val="nil"/>
              <w:left w:val="nil"/>
              <w:bottom w:val="nil"/>
              <w:right w:val="nil"/>
              <w:tl2br w:val="nil"/>
              <w:tr2bl w:val="nil"/>
            </w:tcBorders>
            <w:shd w:val="solid" w:color="CCE1EA" w:fill="FFFFFF"/>
            <w:tcMar>
              <w:left w:w="60" w:type="dxa"/>
              <w:right w:w="60" w:type="dxa"/>
            </w:tcMar>
            <w:vAlign w:val="center"/>
          </w:tcPr>
          <w:p>
            <w:pPr>
              <w:pStyle w:val="DMETW36742BIPMFF3ImplementPayments"/>
              <w:jc w:val="right"/>
              <w:rPr>
                <w:rFonts w:ascii="Verdana" w:eastAsia="Verdana" w:hAnsi="Verdana" w:cs="Verdana"/>
                <w:b/>
                <w:noProof/>
                <w:color w:val="000000"/>
                <w:sz w:val="16"/>
              </w:rPr>
            </w:pPr>
            <w:r>
              <w:rPr>
                <w:rFonts w:ascii="Verdana" w:hAnsi="Verdana"/>
                <w:b/>
                <w:noProof/>
                <w:color w:val="000000"/>
                <w:sz w:val="16"/>
              </w:rPr>
              <w:t>57 624</w:t>
            </w:r>
          </w:p>
        </w:tc>
        <w:tc>
          <w:tcPr>
            <w:tcW w:w="898" w:type="dxa"/>
            <w:tcBorders>
              <w:top w:val="nil"/>
              <w:left w:val="nil"/>
              <w:bottom w:val="nil"/>
              <w:right w:val="nil"/>
              <w:tl2br w:val="nil"/>
              <w:tr2bl w:val="nil"/>
            </w:tcBorders>
            <w:shd w:val="solid" w:color="CCE1EA" w:fill="FFFFFF"/>
            <w:tcMar>
              <w:left w:w="60" w:type="dxa"/>
              <w:right w:w="60" w:type="dxa"/>
            </w:tcMar>
            <w:vAlign w:val="center"/>
          </w:tcPr>
          <w:p>
            <w:pPr>
              <w:pStyle w:val="DMETW36742BIPMFF3ImplementPayments"/>
              <w:jc w:val="right"/>
              <w:rPr>
                <w:rFonts w:ascii="Verdana" w:eastAsia="Verdana" w:hAnsi="Verdana" w:cs="Verdana"/>
                <w:b/>
                <w:noProof/>
                <w:color w:val="000000"/>
                <w:sz w:val="16"/>
              </w:rPr>
            </w:pPr>
            <w:r>
              <w:rPr>
                <w:rFonts w:ascii="Verdana" w:hAnsi="Verdana"/>
                <w:b/>
                <w:noProof/>
                <w:color w:val="000000"/>
                <w:sz w:val="16"/>
              </w:rPr>
              <w:t>216 373</w:t>
            </w:r>
          </w:p>
        </w:tc>
        <w:tc>
          <w:tcPr>
            <w:tcW w:w="898" w:type="dxa"/>
            <w:tcBorders>
              <w:top w:val="nil"/>
              <w:left w:val="nil"/>
              <w:bottom w:val="nil"/>
              <w:right w:val="nil"/>
              <w:tl2br w:val="nil"/>
              <w:tr2bl w:val="nil"/>
            </w:tcBorders>
            <w:shd w:val="solid" w:color="CCE1EB" w:fill="FFFFFF"/>
            <w:tcMar>
              <w:left w:w="60" w:type="dxa"/>
              <w:right w:w="60" w:type="dxa"/>
            </w:tcMar>
            <w:vAlign w:val="center"/>
          </w:tcPr>
          <w:p>
            <w:pPr>
              <w:pStyle w:val="DMETW36742BIPMFF3ImplementPayments"/>
              <w:jc w:val="right"/>
              <w:rPr>
                <w:rFonts w:ascii="Verdana" w:eastAsia="Verdana" w:hAnsi="Verdana" w:cs="Verdana"/>
                <w:b/>
                <w:noProof/>
                <w:color w:val="000000"/>
                <w:sz w:val="16"/>
              </w:rPr>
            </w:pPr>
            <w:r>
              <w:rPr>
                <w:rFonts w:ascii="Verdana" w:hAnsi="Verdana"/>
                <w:b/>
                <w:noProof/>
                <w:color w:val="000000"/>
                <w:sz w:val="16"/>
              </w:rPr>
              <w:t>86 %</w:t>
            </w:r>
          </w:p>
        </w:tc>
        <w:tc>
          <w:tcPr>
            <w:tcW w:w="898" w:type="dxa"/>
            <w:tcBorders>
              <w:top w:val="nil"/>
              <w:left w:val="nil"/>
              <w:bottom w:val="nil"/>
              <w:right w:val="nil"/>
              <w:tl2br w:val="nil"/>
              <w:tr2bl w:val="nil"/>
            </w:tcBorders>
            <w:shd w:val="solid" w:color="CCE1EA" w:fill="FFFFFF"/>
            <w:tcMar>
              <w:left w:w="60" w:type="dxa"/>
              <w:right w:w="60" w:type="dxa"/>
            </w:tcMar>
            <w:vAlign w:val="center"/>
          </w:tcPr>
          <w:p>
            <w:pPr>
              <w:pStyle w:val="DMETW36742BIPMFF3ImplementPayments"/>
              <w:jc w:val="right"/>
              <w:rPr>
                <w:rFonts w:ascii="Verdana" w:eastAsia="Verdana" w:hAnsi="Verdana" w:cs="Verdana"/>
                <w:b/>
                <w:noProof/>
                <w:color w:val="000000"/>
                <w:sz w:val="16"/>
              </w:rPr>
            </w:pPr>
            <w:r>
              <w:rPr>
                <w:rFonts w:ascii="Verdana" w:hAnsi="Verdana"/>
                <w:b/>
                <w:noProof/>
                <w:color w:val="000000"/>
                <w:sz w:val="16"/>
              </w:rPr>
              <w:t>6 087</w:t>
            </w:r>
          </w:p>
        </w:tc>
        <w:tc>
          <w:tcPr>
            <w:tcW w:w="898" w:type="dxa"/>
            <w:tcBorders>
              <w:top w:val="nil"/>
              <w:left w:val="nil"/>
              <w:bottom w:val="nil"/>
              <w:right w:val="nil"/>
              <w:tl2br w:val="nil"/>
              <w:tr2bl w:val="nil"/>
            </w:tcBorders>
            <w:shd w:val="solid" w:color="CCE1EA" w:fill="FFFFFF"/>
            <w:tcMar>
              <w:left w:w="60" w:type="dxa"/>
              <w:right w:w="60" w:type="dxa"/>
            </w:tcMar>
            <w:vAlign w:val="center"/>
          </w:tcPr>
          <w:p>
            <w:pPr>
              <w:pStyle w:val="DMETW36742BIPMFF3ImplementPayments"/>
              <w:jc w:val="right"/>
              <w:rPr>
                <w:rFonts w:ascii="Verdana" w:eastAsia="Verdana" w:hAnsi="Verdana" w:cs="Verdana"/>
                <w:b/>
                <w:noProof/>
                <w:color w:val="000000"/>
                <w:sz w:val="16"/>
              </w:rPr>
            </w:pPr>
            <w:r>
              <w:rPr>
                <w:rFonts w:ascii="Verdana" w:hAnsi="Verdana"/>
                <w:b/>
                <w:noProof/>
                <w:color w:val="000000"/>
                <w:sz w:val="16"/>
              </w:rPr>
              <w:t>28 271</w:t>
            </w:r>
          </w:p>
        </w:tc>
        <w:tc>
          <w:tcPr>
            <w:tcW w:w="898" w:type="dxa"/>
            <w:tcBorders>
              <w:top w:val="nil"/>
              <w:left w:val="nil"/>
              <w:bottom w:val="nil"/>
              <w:right w:val="nil"/>
              <w:tl2br w:val="nil"/>
              <w:tr2bl w:val="nil"/>
            </w:tcBorders>
            <w:shd w:val="solid" w:color="CCE1EA" w:fill="FFFFFF"/>
            <w:tcMar>
              <w:left w:w="60" w:type="dxa"/>
              <w:right w:w="60" w:type="dxa"/>
            </w:tcMar>
            <w:vAlign w:val="center"/>
          </w:tcPr>
          <w:p>
            <w:pPr>
              <w:pStyle w:val="DMETW36742BIPMFF3ImplementPayments"/>
              <w:jc w:val="right"/>
              <w:rPr>
                <w:rFonts w:ascii="Verdana" w:eastAsia="Verdana" w:hAnsi="Verdana" w:cs="Verdana"/>
                <w:b/>
                <w:noProof/>
                <w:color w:val="000000"/>
                <w:sz w:val="16"/>
              </w:rPr>
            </w:pPr>
            <w:r>
              <w:rPr>
                <w:rFonts w:ascii="Verdana" w:hAnsi="Verdana"/>
                <w:b/>
                <w:noProof/>
                <w:color w:val="000000"/>
                <w:sz w:val="16"/>
              </w:rPr>
              <w:t>34 358</w:t>
            </w:r>
          </w:p>
        </w:tc>
        <w:tc>
          <w:tcPr>
            <w:tcW w:w="898" w:type="dxa"/>
            <w:tcBorders>
              <w:top w:val="nil"/>
              <w:left w:val="nil"/>
              <w:bottom w:val="nil"/>
              <w:right w:val="nil"/>
              <w:tl2br w:val="nil"/>
              <w:tr2bl w:val="nil"/>
            </w:tcBorders>
            <w:shd w:val="solid" w:color="CCE1EA" w:fill="FFFFFF"/>
            <w:tcMar>
              <w:left w:w="60" w:type="dxa"/>
              <w:right w:w="60" w:type="dxa"/>
            </w:tcMar>
            <w:vAlign w:val="center"/>
          </w:tcPr>
          <w:p>
            <w:pPr>
              <w:pStyle w:val="DMETW36742BIPMFF3ImplementPayments"/>
              <w:jc w:val="right"/>
              <w:rPr>
                <w:rFonts w:ascii="Verdana" w:eastAsia="Verdana" w:hAnsi="Verdana" w:cs="Verdana"/>
                <w:b/>
                <w:noProof/>
                <w:color w:val="000000"/>
                <w:sz w:val="16"/>
              </w:rPr>
            </w:pPr>
            <w:r>
              <w:rPr>
                <w:rFonts w:ascii="Verdana" w:hAnsi="Verdana"/>
                <w:b/>
                <w:noProof/>
                <w:color w:val="000000"/>
                <w:sz w:val="16"/>
              </w:rPr>
              <w:t xml:space="preserve"> 110</w:t>
            </w:r>
          </w:p>
        </w:tc>
        <w:tc>
          <w:tcPr>
            <w:tcW w:w="898" w:type="dxa"/>
            <w:tcBorders>
              <w:top w:val="nil"/>
              <w:left w:val="nil"/>
              <w:bottom w:val="nil"/>
              <w:right w:val="nil"/>
              <w:tl2br w:val="nil"/>
              <w:tr2bl w:val="nil"/>
            </w:tcBorders>
            <w:shd w:val="solid" w:color="CCE1EA" w:fill="FFFFFF"/>
            <w:tcMar>
              <w:left w:w="60" w:type="dxa"/>
              <w:right w:w="60" w:type="dxa"/>
            </w:tcMar>
            <w:vAlign w:val="center"/>
          </w:tcPr>
          <w:p>
            <w:pPr>
              <w:pStyle w:val="DMETW36742BIPMFF3ImplementPayments"/>
              <w:jc w:val="right"/>
              <w:rPr>
                <w:rFonts w:ascii="Verdana" w:eastAsia="Verdana" w:hAnsi="Verdana" w:cs="Verdana"/>
                <w:b/>
                <w:noProof/>
                <w:color w:val="000000"/>
                <w:sz w:val="16"/>
              </w:rPr>
            </w:pPr>
            <w:r>
              <w:rPr>
                <w:rFonts w:ascii="Verdana" w:hAnsi="Verdana"/>
                <w:b/>
                <w:noProof/>
                <w:color w:val="000000"/>
                <w:sz w:val="16"/>
              </w:rPr>
              <w:t xml:space="preserve"> 104</w:t>
            </w:r>
          </w:p>
        </w:tc>
        <w:tc>
          <w:tcPr>
            <w:tcW w:w="936" w:type="dxa"/>
            <w:tcBorders>
              <w:top w:val="nil"/>
              <w:left w:val="nil"/>
              <w:bottom w:val="nil"/>
              <w:right w:val="nil"/>
              <w:tl2br w:val="nil"/>
              <w:tr2bl w:val="nil"/>
            </w:tcBorders>
            <w:shd w:val="solid" w:color="CCE1EA" w:fill="FFFFFF"/>
            <w:tcMar>
              <w:left w:w="60" w:type="dxa"/>
              <w:right w:w="60" w:type="dxa"/>
            </w:tcMar>
            <w:vAlign w:val="center"/>
          </w:tcPr>
          <w:p>
            <w:pPr>
              <w:pStyle w:val="DMETW36742BIPMFF3ImplementPayments"/>
              <w:jc w:val="right"/>
              <w:rPr>
                <w:rFonts w:ascii="Verdana" w:eastAsia="Verdana" w:hAnsi="Verdana" w:cs="Verdana"/>
                <w:b/>
                <w:noProof/>
                <w:color w:val="000000"/>
                <w:sz w:val="16"/>
              </w:rPr>
            </w:pPr>
            <w:r>
              <w:rPr>
                <w:rFonts w:ascii="Verdana" w:hAnsi="Verdana"/>
                <w:b/>
                <w:noProof/>
                <w:color w:val="000000"/>
                <w:sz w:val="16"/>
              </w:rPr>
              <w:t xml:space="preserve"> 12</w:t>
            </w:r>
          </w:p>
        </w:tc>
        <w:tc>
          <w:tcPr>
            <w:tcW w:w="898" w:type="dxa"/>
            <w:tcBorders>
              <w:top w:val="nil"/>
              <w:left w:val="nil"/>
              <w:bottom w:val="nil"/>
              <w:right w:val="nil"/>
              <w:tl2br w:val="nil"/>
              <w:tr2bl w:val="nil"/>
            </w:tcBorders>
            <w:shd w:val="solid" w:color="CCE1EA" w:fill="FFFFFF"/>
            <w:tcMar>
              <w:left w:w="60" w:type="dxa"/>
              <w:right w:w="60" w:type="dxa"/>
            </w:tcMar>
            <w:vAlign w:val="center"/>
          </w:tcPr>
          <w:p>
            <w:pPr>
              <w:pStyle w:val="DMETW36742BIPMFF3ImplementPayments"/>
              <w:jc w:val="right"/>
              <w:rPr>
                <w:rFonts w:ascii="Verdana" w:eastAsia="Verdana" w:hAnsi="Verdana" w:cs="Verdana"/>
                <w:b/>
                <w:noProof/>
                <w:color w:val="000000"/>
                <w:sz w:val="16"/>
              </w:rPr>
            </w:pPr>
            <w:r>
              <w:rPr>
                <w:rFonts w:ascii="Verdana" w:hAnsi="Verdana"/>
                <w:b/>
                <w:noProof/>
                <w:color w:val="000000"/>
                <w:sz w:val="16"/>
              </w:rPr>
              <w:t xml:space="preserve"> 226</w:t>
            </w:r>
          </w:p>
        </w:tc>
      </w:tr>
    </w:tbl>
    <w:p>
      <w:pPr>
        <w:pStyle w:val="DGTextstand-alone"/>
        <w:rPr>
          <w:lang w:bidi="en-GB"/>
        </w:rPr>
      </w:pPr>
    </w:p>
    <w:p>
      <w:pPr>
        <w:pStyle w:val="DGTextstand-alone"/>
        <w:rPr>
          <w:lang w:bidi="en-GB"/>
        </w:rPr>
        <w:sectPr>
          <w:headerReference w:type="default" r:id="rId169"/>
          <w:footerReference w:type="default" r:id="rId170"/>
          <w:type w:val="nextColumn"/>
          <w:pgSz w:w="16840" w:h="11900" w:orient="landscape"/>
          <w:pgMar w:top="1134" w:right="1134" w:bottom="1134" w:left="1134" w:header="720" w:footer="720" w:gutter="0"/>
          <w:cols w:space="720"/>
          <w:docGrid w:linePitch="272"/>
        </w:sectPr>
      </w:pPr>
    </w:p>
    <w:p>
      <w:pPr>
        <w:pStyle w:val="HEADER2PartBUDG"/>
        <w:rPr>
          <w:noProof/>
        </w:rPr>
      </w:pPr>
      <w:bookmarkStart w:id="301" w:name="_Toc237349637"/>
      <w:r>
        <w:rPr>
          <w:noProof/>
        </w:rPr>
        <w:lastRenderedPageBreak/>
        <w:t>CFP: ÉVOLUTION DES ENGAGEMENTS RESTANT À LIQUIDER (RAL)</w:t>
      </w:r>
      <w:bookmarkEnd w:id="301"/>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4"/>
        <w:gridCol w:w="4401"/>
        <w:gridCol w:w="1960"/>
        <w:gridCol w:w="1960"/>
        <w:gridCol w:w="1960"/>
        <w:gridCol w:w="1960"/>
        <w:gridCol w:w="1960"/>
      </w:tblGrid>
      <w:tr>
        <w:trPr>
          <w:cantSplit/>
          <w:trHeight w:val="255"/>
        </w:trPr>
        <w:tc>
          <w:tcPr>
            <w:tcW w:w="344" w:type="dxa"/>
            <w:gridSpan w:val="7"/>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i/>
                <w:noProof/>
                <w:color w:val="000000"/>
                <w:sz w:val="16"/>
              </w:rPr>
            </w:pPr>
            <w:bookmarkStart w:id="302" w:name="DOC_TBL00117_1_1"/>
            <w:bookmarkEnd w:id="302"/>
            <w:r>
              <w:rPr>
                <w:rFonts w:ascii="Verdana" w:hAnsi="Verdana"/>
                <w:i/>
                <w:noProof/>
                <w:color w:val="000000"/>
                <w:sz w:val="16"/>
              </w:rPr>
              <w:t>en Mio EUR</w:t>
            </w:r>
          </w:p>
        </w:tc>
      </w:tr>
      <w:tr>
        <w:trPr>
          <w:cantSplit/>
          <w:trHeight w:val="255"/>
        </w:trPr>
        <w:tc>
          <w:tcPr>
            <w:tcW w:w="344" w:type="dxa"/>
            <w:tcBorders>
              <w:top w:val="nil"/>
              <w:left w:val="nil"/>
              <w:bottom w:val="nil"/>
              <w:right w:val="nil"/>
              <w:tl2br w:val="nil"/>
              <w:tr2bl w:val="nil"/>
            </w:tcBorders>
            <w:shd w:val="solid" w:color="016794" w:fill="FFFFFF"/>
            <w:tcMar>
              <w:left w:w="60" w:type="dxa"/>
              <w:right w:w="60" w:type="dxa"/>
            </w:tcMar>
            <w:vAlign w:val="center"/>
          </w:tcPr>
          <w:p>
            <w:pPr>
              <w:pStyle w:val="DMETW36742BIPMFF4Commitmentsoutstanding"/>
              <w:rPr>
                <w:rFonts w:ascii="Verdana" w:eastAsia="Verdana" w:hAnsi="Verdana" w:cs="Verdana"/>
                <w:b/>
                <w:noProof/>
                <w:color w:val="FFFFFF"/>
                <w:sz w:val="16"/>
              </w:rPr>
            </w:pPr>
          </w:p>
        </w:tc>
        <w:tc>
          <w:tcPr>
            <w:tcW w:w="4401"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742BIPMFF4Commitmentsoutstanding"/>
              <w:jc w:val="center"/>
              <w:rPr>
                <w:rFonts w:ascii="Verdana" w:eastAsia="Verdana" w:hAnsi="Verdana" w:cs="Verdana"/>
                <w:b/>
                <w:noProof/>
                <w:color w:val="FFFFFF"/>
                <w:sz w:val="16"/>
              </w:rPr>
            </w:pPr>
            <w:r>
              <w:rPr>
                <w:rFonts w:ascii="Verdana" w:hAnsi="Verdana"/>
                <w:b/>
                <w:noProof/>
                <w:color w:val="FFFFFF"/>
                <w:sz w:val="16"/>
              </w:rPr>
              <w:t>Rubrique du CFP</w:t>
            </w:r>
          </w:p>
        </w:tc>
        <w:tc>
          <w:tcPr>
            <w:tcW w:w="1960" w:type="dxa"/>
            <w:tcBorders>
              <w:top w:val="nil"/>
              <w:left w:val="nil"/>
              <w:bottom w:val="nil"/>
              <w:right w:val="nil"/>
              <w:tl2br w:val="nil"/>
              <w:tr2bl w:val="nil"/>
            </w:tcBorders>
            <w:shd w:val="solid" w:color="016794" w:fill="FFFFFF"/>
            <w:tcMar>
              <w:left w:w="60" w:type="dxa"/>
              <w:right w:w="60" w:type="dxa"/>
            </w:tcMar>
            <w:vAlign w:val="center"/>
          </w:tcPr>
          <w:p>
            <w:pPr>
              <w:pStyle w:val="DMETW36742BIPMFF4Commitmentsoutstanding"/>
              <w:jc w:val="center"/>
              <w:rPr>
                <w:rFonts w:ascii="Verdana" w:eastAsia="Verdana" w:hAnsi="Verdana" w:cs="Verdana"/>
                <w:noProof/>
                <w:color w:val="FFFFFF"/>
                <w:sz w:val="16"/>
              </w:rPr>
            </w:pPr>
            <w:r>
              <w:rPr>
                <w:rFonts w:ascii="Verdana" w:hAnsi="Verdana"/>
                <w:noProof/>
                <w:color w:val="FFFFFF"/>
                <w:sz w:val="16"/>
              </w:rPr>
              <w:t>Engagements reportés de l’exercice précédent</w:t>
            </w:r>
          </w:p>
        </w:tc>
        <w:tc>
          <w:tcPr>
            <w:tcW w:w="1960" w:type="dxa"/>
            <w:tcBorders>
              <w:top w:val="nil"/>
              <w:left w:val="nil"/>
              <w:bottom w:val="nil"/>
              <w:right w:val="nil"/>
              <w:tl2br w:val="nil"/>
              <w:tr2bl w:val="nil"/>
            </w:tcBorders>
            <w:shd w:val="solid" w:color="016794" w:fill="FFFFFF"/>
            <w:tcMar>
              <w:left w:w="60" w:type="dxa"/>
              <w:right w:w="60" w:type="dxa"/>
            </w:tcMar>
            <w:vAlign w:val="center"/>
          </w:tcPr>
          <w:p>
            <w:pPr>
              <w:pStyle w:val="DMETW36742BIPMFF4Commitmentsoutstanding"/>
              <w:jc w:val="center"/>
              <w:rPr>
                <w:rFonts w:ascii="Verdana" w:eastAsia="Verdana" w:hAnsi="Verdana" w:cs="Verdana"/>
                <w:noProof/>
                <w:color w:val="FFFFFF"/>
                <w:sz w:val="16"/>
              </w:rPr>
            </w:pPr>
            <w:r>
              <w:rPr>
                <w:rFonts w:ascii="Verdana" w:hAnsi="Verdana"/>
                <w:noProof/>
                <w:color w:val="FFFFFF"/>
                <w:sz w:val="16"/>
              </w:rPr>
              <w:t>Engagements contractés en cours d’exercice</w:t>
            </w:r>
          </w:p>
        </w:tc>
        <w:tc>
          <w:tcPr>
            <w:tcW w:w="1960" w:type="dxa"/>
            <w:tcBorders>
              <w:top w:val="nil"/>
              <w:left w:val="nil"/>
              <w:bottom w:val="nil"/>
              <w:right w:val="nil"/>
              <w:tl2br w:val="nil"/>
              <w:tr2bl w:val="nil"/>
            </w:tcBorders>
            <w:shd w:val="solid" w:color="016794" w:fill="FFFFFF"/>
            <w:tcMar>
              <w:left w:w="60" w:type="dxa"/>
              <w:right w:w="60" w:type="dxa"/>
            </w:tcMar>
            <w:vAlign w:val="center"/>
          </w:tcPr>
          <w:p>
            <w:pPr>
              <w:pStyle w:val="DMETW36742BIPMFF4Commitmentsoutstanding"/>
              <w:jc w:val="center"/>
              <w:rPr>
                <w:rFonts w:ascii="Verdana" w:eastAsia="Verdana" w:hAnsi="Verdana" w:cs="Verdana"/>
                <w:noProof/>
                <w:color w:val="FFFFFF"/>
                <w:sz w:val="16"/>
              </w:rPr>
            </w:pPr>
            <w:r>
              <w:rPr>
                <w:rFonts w:ascii="Verdana" w:hAnsi="Verdana"/>
                <w:noProof/>
                <w:color w:val="FFFFFF"/>
                <w:sz w:val="16"/>
              </w:rPr>
              <w:t>Variations des engagements reportés</w:t>
            </w:r>
          </w:p>
        </w:tc>
        <w:tc>
          <w:tcPr>
            <w:tcW w:w="1960" w:type="dxa"/>
            <w:tcBorders>
              <w:top w:val="nil"/>
              <w:left w:val="nil"/>
              <w:bottom w:val="nil"/>
              <w:right w:val="nil"/>
              <w:tl2br w:val="nil"/>
              <w:tr2bl w:val="nil"/>
            </w:tcBorders>
            <w:shd w:val="solid" w:color="016794" w:fill="FFFFFF"/>
            <w:tcMar>
              <w:left w:w="60" w:type="dxa"/>
              <w:right w:w="60" w:type="dxa"/>
            </w:tcMar>
            <w:vAlign w:val="center"/>
          </w:tcPr>
          <w:p>
            <w:pPr>
              <w:pStyle w:val="DMETW36742BIPMFF4Commitmentsoutstanding"/>
              <w:jc w:val="center"/>
              <w:rPr>
                <w:rFonts w:ascii="Verdana" w:eastAsia="Verdana" w:hAnsi="Verdana" w:cs="Verdana"/>
                <w:noProof/>
                <w:color w:val="FFFFFF"/>
                <w:sz w:val="16"/>
              </w:rPr>
            </w:pPr>
            <w:r>
              <w:rPr>
                <w:rFonts w:ascii="Verdana" w:hAnsi="Verdana"/>
                <w:noProof/>
                <w:color w:val="FFFFFF"/>
                <w:sz w:val="16"/>
              </w:rPr>
              <w:t>Paiements</w:t>
            </w:r>
          </w:p>
        </w:tc>
        <w:tc>
          <w:tcPr>
            <w:tcW w:w="1960" w:type="dxa"/>
            <w:tcBorders>
              <w:top w:val="nil"/>
              <w:left w:val="nil"/>
              <w:bottom w:val="nil"/>
              <w:right w:val="nil"/>
              <w:tl2br w:val="nil"/>
              <w:tr2bl w:val="nil"/>
            </w:tcBorders>
            <w:shd w:val="solid" w:color="016794" w:fill="FFFFFF"/>
            <w:tcMar>
              <w:left w:w="60" w:type="dxa"/>
              <w:right w:w="60" w:type="dxa"/>
            </w:tcMar>
            <w:vAlign w:val="center"/>
          </w:tcPr>
          <w:p>
            <w:pPr>
              <w:pStyle w:val="DMETW36742BIPMFF4Commitmentsoutstanding"/>
              <w:jc w:val="center"/>
              <w:rPr>
                <w:rFonts w:ascii="Verdana" w:eastAsia="Verdana" w:hAnsi="Verdana" w:cs="Verdana"/>
                <w:noProof/>
                <w:color w:val="FFFFFF"/>
                <w:sz w:val="16"/>
              </w:rPr>
            </w:pPr>
            <w:r>
              <w:rPr>
                <w:rFonts w:ascii="Verdana" w:hAnsi="Verdana"/>
                <w:noProof/>
                <w:color w:val="FFFFFF"/>
                <w:sz w:val="16"/>
              </w:rPr>
              <w:t>RAL total à la fin de l’exercice</w:t>
            </w:r>
          </w:p>
        </w:tc>
      </w:tr>
      <w:tr>
        <w:trPr>
          <w:cantSplit/>
          <w:trHeight w:val="255"/>
        </w:trPr>
        <w:tc>
          <w:tcPr>
            <w:tcW w:w="344" w:type="dxa"/>
            <w:tcBorders>
              <w:top w:val="nil"/>
              <w:left w:val="nil"/>
              <w:bottom w:val="nil"/>
              <w:right w:val="nil"/>
              <w:tl2br w:val="nil"/>
              <w:tr2bl w:val="nil"/>
            </w:tcBorders>
            <w:shd w:val="solid" w:color="016794" w:fill="FFFFFF"/>
            <w:tcMar>
              <w:left w:w="60" w:type="dxa"/>
              <w:right w:w="60" w:type="dxa"/>
            </w:tcMar>
            <w:vAlign w:val="center"/>
          </w:tcPr>
          <w:p>
            <w:pPr>
              <w:pStyle w:val="DMETW36742BIPMFF4Commitmentsoutstanding"/>
              <w:rPr>
                <w:rFonts w:ascii="Verdana" w:eastAsia="Verdana" w:hAnsi="Verdana" w:cs="Verdana"/>
                <w:b/>
                <w:noProof/>
                <w:color w:val="FFFFFF"/>
                <w:sz w:val="16"/>
              </w:rPr>
            </w:pPr>
          </w:p>
        </w:tc>
        <w:tc>
          <w:tcPr>
            <w:tcW w:w="2010" w:type="dxa"/>
            <w:vMerge/>
            <w:tcBorders>
              <w:top w:val="nil"/>
              <w:left w:val="nil"/>
              <w:bottom w:val="nil"/>
              <w:right w:val="nil"/>
              <w:tl2br w:val="nil"/>
              <w:tr2bl w:val="nil"/>
            </w:tcBorders>
            <w:shd w:val="solid" w:color="016794" w:fill="FFFFFF"/>
            <w:tcMar>
              <w:left w:w="60" w:type="dxa"/>
              <w:right w:w="60" w:type="dxa"/>
            </w:tcMar>
            <w:vAlign w:val="center"/>
          </w:tcPr>
          <w:p>
            <w:pPr>
              <w:pStyle w:val="DMETW36742BIPMFF4Commitmentsoutstanding"/>
              <w:jc w:val="center"/>
              <w:rPr>
                <w:rFonts w:ascii="Verdana" w:eastAsia="Verdana" w:hAnsi="Verdana" w:cs="Verdana"/>
                <w:b/>
                <w:noProof/>
                <w:color w:val="FFFFFF"/>
                <w:sz w:val="16"/>
              </w:rPr>
            </w:pPr>
          </w:p>
        </w:tc>
        <w:tc>
          <w:tcPr>
            <w:tcW w:w="1960" w:type="dxa"/>
            <w:tcBorders>
              <w:top w:val="nil"/>
              <w:left w:val="nil"/>
              <w:bottom w:val="nil"/>
              <w:right w:val="nil"/>
              <w:tl2br w:val="nil"/>
              <w:tr2bl w:val="nil"/>
            </w:tcBorders>
            <w:shd w:val="solid" w:color="3487A9" w:fill="FFFFFF"/>
            <w:tcMar>
              <w:left w:w="60" w:type="dxa"/>
              <w:right w:w="60" w:type="dxa"/>
            </w:tcMar>
            <w:vAlign w:val="center"/>
          </w:tcPr>
          <w:p>
            <w:pPr>
              <w:pStyle w:val="DMETW36742BIPMFF4Commitmentsoutstanding"/>
              <w:jc w:val="center"/>
              <w:rPr>
                <w:rFonts w:ascii="Verdana" w:eastAsia="Verdana" w:hAnsi="Verdana" w:cs="Verdana"/>
                <w:noProof/>
                <w:color w:val="FFFFFF"/>
                <w:sz w:val="16"/>
              </w:rPr>
            </w:pPr>
            <w:r>
              <w:rPr>
                <w:rFonts w:ascii="Verdana" w:hAnsi="Verdana"/>
                <w:noProof/>
                <w:color w:val="FFFFFF"/>
                <w:sz w:val="16"/>
              </w:rPr>
              <w:t>1</w:t>
            </w:r>
          </w:p>
        </w:tc>
        <w:tc>
          <w:tcPr>
            <w:tcW w:w="1960" w:type="dxa"/>
            <w:tcBorders>
              <w:top w:val="nil"/>
              <w:left w:val="nil"/>
              <w:bottom w:val="nil"/>
              <w:right w:val="nil"/>
              <w:tl2br w:val="nil"/>
              <w:tr2bl w:val="nil"/>
            </w:tcBorders>
            <w:shd w:val="solid" w:color="3487A9" w:fill="FFFFFF"/>
            <w:tcMar>
              <w:left w:w="60" w:type="dxa"/>
              <w:right w:w="60" w:type="dxa"/>
            </w:tcMar>
            <w:vAlign w:val="center"/>
          </w:tcPr>
          <w:p>
            <w:pPr>
              <w:pStyle w:val="DMETW36742BIPMFF4Commitmentsoutstanding"/>
              <w:jc w:val="center"/>
              <w:rPr>
                <w:rFonts w:ascii="Verdana" w:eastAsia="Verdana" w:hAnsi="Verdana" w:cs="Verdana"/>
                <w:noProof/>
                <w:color w:val="FFFFFF"/>
                <w:sz w:val="16"/>
              </w:rPr>
            </w:pPr>
            <w:r>
              <w:rPr>
                <w:rFonts w:ascii="Verdana" w:hAnsi="Verdana"/>
                <w:noProof/>
                <w:color w:val="FFFFFF"/>
                <w:sz w:val="16"/>
              </w:rPr>
              <w:t>2</w:t>
            </w:r>
          </w:p>
        </w:tc>
        <w:tc>
          <w:tcPr>
            <w:tcW w:w="1960" w:type="dxa"/>
            <w:tcBorders>
              <w:top w:val="nil"/>
              <w:left w:val="nil"/>
              <w:bottom w:val="nil"/>
              <w:right w:val="nil"/>
              <w:tl2br w:val="nil"/>
              <w:tr2bl w:val="nil"/>
            </w:tcBorders>
            <w:shd w:val="solid" w:color="3487A9" w:fill="FFFFFF"/>
            <w:tcMar>
              <w:left w:w="60" w:type="dxa"/>
              <w:right w:w="60" w:type="dxa"/>
            </w:tcMar>
            <w:vAlign w:val="center"/>
          </w:tcPr>
          <w:p>
            <w:pPr>
              <w:pStyle w:val="DMETW36742BIPMFF4Commitmentsoutstanding"/>
              <w:jc w:val="center"/>
              <w:rPr>
                <w:rFonts w:ascii="Verdana" w:eastAsia="Verdana" w:hAnsi="Verdana" w:cs="Verdana"/>
                <w:noProof/>
                <w:color w:val="FFFFFF"/>
                <w:sz w:val="16"/>
              </w:rPr>
            </w:pPr>
            <w:r>
              <w:rPr>
                <w:rFonts w:ascii="Verdana" w:hAnsi="Verdana"/>
                <w:noProof/>
                <w:color w:val="FFFFFF"/>
                <w:sz w:val="16"/>
              </w:rPr>
              <w:t>3</w:t>
            </w:r>
          </w:p>
        </w:tc>
        <w:tc>
          <w:tcPr>
            <w:tcW w:w="1960" w:type="dxa"/>
            <w:tcBorders>
              <w:top w:val="nil"/>
              <w:left w:val="nil"/>
              <w:bottom w:val="nil"/>
              <w:right w:val="nil"/>
              <w:tl2br w:val="nil"/>
              <w:tr2bl w:val="nil"/>
            </w:tcBorders>
            <w:shd w:val="solid" w:color="3487A9" w:fill="FFFFFF"/>
            <w:tcMar>
              <w:left w:w="60" w:type="dxa"/>
              <w:right w:w="60" w:type="dxa"/>
            </w:tcMar>
            <w:vAlign w:val="center"/>
          </w:tcPr>
          <w:p>
            <w:pPr>
              <w:pStyle w:val="DMETW36742BIPMFF4Commitmentsoutstanding"/>
              <w:jc w:val="center"/>
              <w:rPr>
                <w:rFonts w:ascii="Verdana" w:eastAsia="Verdana" w:hAnsi="Verdana" w:cs="Verdana"/>
                <w:noProof/>
                <w:color w:val="FFFFFF"/>
                <w:sz w:val="16"/>
              </w:rPr>
            </w:pPr>
            <w:r>
              <w:rPr>
                <w:rFonts w:ascii="Verdana" w:hAnsi="Verdana"/>
                <w:noProof/>
                <w:color w:val="FFFFFF"/>
                <w:sz w:val="16"/>
              </w:rPr>
              <w:t>4</w:t>
            </w:r>
          </w:p>
        </w:tc>
        <w:tc>
          <w:tcPr>
            <w:tcW w:w="1960" w:type="dxa"/>
            <w:tcBorders>
              <w:top w:val="nil"/>
              <w:left w:val="nil"/>
              <w:bottom w:val="nil"/>
              <w:right w:val="nil"/>
              <w:tl2br w:val="nil"/>
              <w:tr2bl w:val="nil"/>
            </w:tcBorders>
            <w:shd w:val="solid" w:color="3487A9" w:fill="FFFFFF"/>
            <w:tcMar>
              <w:left w:w="60" w:type="dxa"/>
              <w:right w:w="60" w:type="dxa"/>
            </w:tcMar>
            <w:vAlign w:val="center"/>
          </w:tcPr>
          <w:p>
            <w:pPr>
              <w:pStyle w:val="DMETW36742BIPMFF4Commitmentsoutstanding"/>
              <w:jc w:val="center"/>
              <w:rPr>
                <w:rFonts w:ascii="Verdana" w:eastAsia="Verdana" w:hAnsi="Verdana" w:cs="Verdana"/>
                <w:noProof/>
                <w:color w:val="FFFFFF"/>
                <w:sz w:val="16"/>
              </w:rPr>
            </w:pPr>
            <w:r>
              <w:rPr>
                <w:rFonts w:ascii="Verdana" w:hAnsi="Verdana"/>
                <w:noProof/>
                <w:color w:val="FFFFFF"/>
                <w:sz w:val="16"/>
              </w:rPr>
              <w:t>5=1+2+3+4</w:t>
            </w:r>
          </w:p>
        </w:tc>
      </w:tr>
      <w:tr>
        <w:trPr>
          <w:cantSplit/>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4Commitmentsoutstanding"/>
              <w:rPr>
                <w:rFonts w:ascii="Verdana" w:eastAsia="Verdana" w:hAnsi="Verdana" w:cs="Verdana"/>
                <w:noProof/>
                <w:color w:val="000000"/>
                <w:sz w:val="16"/>
              </w:rPr>
            </w:pPr>
            <w:r>
              <w:rPr>
                <w:rFonts w:ascii="Verdana" w:hAnsi="Verdana"/>
                <w:noProof/>
                <w:color w:val="000000"/>
                <w:sz w:val="16"/>
              </w:rPr>
              <w:t>1</w:t>
            </w:r>
          </w:p>
        </w:tc>
        <w:tc>
          <w:tcPr>
            <w:tcW w:w="4401" w:type="dxa"/>
            <w:tcBorders>
              <w:top w:val="nil"/>
              <w:left w:val="nil"/>
              <w:bottom w:val="nil"/>
              <w:right w:val="nil"/>
              <w:tl2br w:val="nil"/>
              <w:tr2bl w:val="nil"/>
            </w:tcBorders>
            <w:tcMar>
              <w:left w:w="60" w:type="dxa"/>
              <w:right w:w="60" w:type="dxa"/>
            </w:tcMar>
            <w:vAlign w:val="center"/>
          </w:tcPr>
          <w:p>
            <w:pPr>
              <w:pStyle w:val="DMETW36742BIPMFF4Commitmentsoutstanding"/>
              <w:rPr>
                <w:rFonts w:ascii="Verdana" w:eastAsia="Verdana" w:hAnsi="Verdana" w:cs="Verdana"/>
                <w:noProof/>
                <w:color w:val="000000"/>
                <w:sz w:val="16"/>
              </w:rPr>
            </w:pPr>
            <w:r>
              <w:rPr>
                <w:rFonts w:ascii="Verdana" w:hAnsi="Verdana"/>
                <w:noProof/>
                <w:color w:val="000000"/>
                <w:sz w:val="16"/>
              </w:rPr>
              <w:t>Marché unique, innovation et numérique</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51 164</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27 095</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 xml:space="preserve"> (583)</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(24 482)</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53 194</w:t>
            </w:r>
          </w:p>
        </w:tc>
      </w:tr>
      <w:tr>
        <w:trPr>
          <w:cantSplit/>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4Commitmentsoutstanding"/>
              <w:rPr>
                <w:rFonts w:ascii="Verdana" w:eastAsia="Verdana" w:hAnsi="Verdana" w:cs="Verdana"/>
                <w:noProof/>
                <w:color w:val="000000"/>
                <w:sz w:val="16"/>
              </w:rPr>
            </w:pPr>
            <w:r>
              <w:rPr>
                <w:rFonts w:ascii="Verdana" w:hAnsi="Verdana"/>
                <w:noProof/>
                <w:color w:val="000000"/>
                <w:sz w:val="16"/>
              </w:rPr>
              <w:t>2</w:t>
            </w:r>
          </w:p>
        </w:tc>
        <w:tc>
          <w:tcPr>
            <w:tcW w:w="4401" w:type="dxa"/>
            <w:tcBorders>
              <w:top w:val="nil"/>
              <w:left w:val="nil"/>
              <w:bottom w:val="nil"/>
              <w:right w:val="nil"/>
              <w:tl2br w:val="nil"/>
              <w:tr2bl w:val="nil"/>
            </w:tcBorders>
            <w:tcMar>
              <w:left w:w="60" w:type="dxa"/>
              <w:right w:w="60" w:type="dxa"/>
            </w:tcMar>
            <w:vAlign w:val="center"/>
          </w:tcPr>
          <w:p>
            <w:pPr>
              <w:pStyle w:val="DMETW36742BIPMFF4Commitmentsoutstanding"/>
              <w:rPr>
                <w:rFonts w:ascii="Verdana" w:eastAsia="Verdana" w:hAnsi="Verdana" w:cs="Verdana"/>
                <w:noProof/>
                <w:color w:val="000000"/>
                <w:sz w:val="16"/>
              </w:rPr>
            </w:pPr>
            <w:r>
              <w:rPr>
                <w:rFonts w:ascii="Verdana" w:hAnsi="Verdana"/>
                <w:noProof/>
                <w:color w:val="000000"/>
                <w:sz w:val="16"/>
              </w:rPr>
              <w:t>Cohésion, résilience et valeurs</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344 088</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78 884</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 xml:space="preserve"> (275)</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(92 361)</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330 336</w:t>
            </w:r>
          </w:p>
        </w:tc>
      </w:tr>
      <w:tr>
        <w:trPr>
          <w:cantSplit/>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4Commitmentsoutstanding"/>
              <w:rPr>
                <w:rFonts w:ascii="Verdana" w:eastAsia="Verdana" w:hAnsi="Verdana" w:cs="Verdana"/>
                <w:noProof/>
                <w:color w:val="000000"/>
                <w:sz w:val="16"/>
              </w:rPr>
            </w:pPr>
            <w:r>
              <w:rPr>
                <w:rFonts w:ascii="Verdana" w:hAnsi="Verdana"/>
                <w:noProof/>
                <w:color w:val="000000"/>
                <w:sz w:val="16"/>
              </w:rPr>
              <w:t>3</w:t>
            </w:r>
          </w:p>
        </w:tc>
        <w:tc>
          <w:tcPr>
            <w:tcW w:w="4401" w:type="dxa"/>
            <w:tcBorders>
              <w:top w:val="nil"/>
              <w:left w:val="nil"/>
              <w:bottom w:val="nil"/>
              <w:right w:val="nil"/>
              <w:tl2br w:val="nil"/>
              <w:tr2bl w:val="nil"/>
            </w:tcBorders>
            <w:tcMar>
              <w:left w:w="60" w:type="dxa"/>
              <w:right w:w="60" w:type="dxa"/>
            </w:tcMar>
            <w:vAlign w:val="center"/>
          </w:tcPr>
          <w:p>
            <w:pPr>
              <w:pStyle w:val="DMETW36742BIPMFF4Commitmentsoutstanding"/>
              <w:rPr>
                <w:rFonts w:ascii="Verdana" w:eastAsia="Verdana" w:hAnsi="Verdana" w:cs="Verdana"/>
                <w:noProof/>
                <w:color w:val="000000"/>
                <w:sz w:val="16"/>
              </w:rPr>
            </w:pPr>
            <w:r>
              <w:rPr>
                <w:rFonts w:ascii="Verdana" w:hAnsi="Verdana"/>
                <w:noProof/>
                <w:color w:val="000000"/>
                <w:sz w:val="16"/>
              </w:rPr>
              <w:t>Ressources naturelles et environnement</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50 867</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57 658</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 xml:space="preserve"> (263)</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(59 544)</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48 718</w:t>
            </w:r>
          </w:p>
        </w:tc>
      </w:tr>
      <w:tr>
        <w:trPr>
          <w:cantSplit/>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4Commitmentsoutstanding"/>
              <w:rPr>
                <w:rFonts w:ascii="Verdana" w:eastAsia="Verdana" w:hAnsi="Verdana" w:cs="Verdana"/>
                <w:noProof/>
                <w:color w:val="000000"/>
                <w:sz w:val="16"/>
              </w:rPr>
            </w:pPr>
            <w:r>
              <w:rPr>
                <w:rFonts w:ascii="Verdana" w:hAnsi="Verdana"/>
                <w:noProof/>
                <w:color w:val="000000"/>
                <w:sz w:val="16"/>
              </w:rPr>
              <w:t>4</w:t>
            </w:r>
          </w:p>
        </w:tc>
        <w:tc>
          <w:tcPr>
            <w:tcW w:w="4401" w:type="dxa"/>
            <w:tcBorders>
              <w:top w:val="nil"/>
              <w:left w:val="nil"/>
              <w:bottom w:val="nil"/>
              <w:right w:val="nil"/>
              <w:tl2br w:val="nil"/>
              <w:tr2bl w:val="nil"/>
            </w:tcBorders>
            <w:tcMar>
              <w:left w:w="60" w:type="dxa"/>
              <w:right w:w="60" w:type="dxa"/>
            </w:tcMar>
            <w:vAlign w:val="center"/>
          </w:tcPr>
          <w:p>
            <w:pPr>
              <w:pStyle w:val="DMETW36742BIPMFF4Commitmentsoutstanding"/>
              <w:rPr>
                <w:rFonts w:ascii="Verdana" w:eastAsia="Verdana" w:hAnsi="Verdana" w:cs="Verdana"/>
                <w:noProof/>
                <w:color w:val="000000"/>
                <w:sz w:val="16"/>
              </w:rPr>
            </w:pPr>
            <w:r>
              <w:rPr>
                <w:rFonts w:ascii="Verdana" w:hAnsi="Verdana"/>
                <w:noProof/>
                <w:color w:val="000000"/>
                <w:sz w:val="16"/>
              </w:rPr>
              <w:t>Migration et gestion des frontières</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5 754</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4 738</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 xml:space="preserve"> (0)</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(3 809)</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6 683</w:t>
            </w:r>
          </w:p>
        </w:tc>
      </w:tr>
      <w:tr>
        <w:trPr>
          <w:cantSplit/>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4Commitmentsoutstanding"/>
              <w:rPr>
                <w:rFonts w:ascii="Verdana" w:eastAsia="Verdana" w:hAnsi="Verdana" w:cs="Verdana"/>
                <w:noProof/>
                <w:color w:val="000000"/>
                <w:sz w:val="16"/>
              </w:rPr>
            </w:pPr>
            <w:r>
              <w:rPr>
                <w:rFonts w:ascii="Verdana" w:hAnsi="Verdana"/>
                <w:noProof/>
                <w:color w:val="000000"/>
                <w:sz w:val="16"/>
              </w:rPr>
              <w:t>5</w:t>
            </w:r>
          </w:p>
        </w:tc>
        <w:tc>
          <w:tcPr>
            <w:tcW w:w="4401" w:type="dxa"/>
            <w:tcBorders>
              <w:top w:val="nil"/>
              <w:left w:val="nil"/>
              <w:bottom w:val="nil"/>
              <w:right w:val="nil"/>
              <w:tl2br w:val="nil"/>
              <w:tr2bl w:val="nil"/>
            </w:tcBorders>
            <w:tcMar>
              <w:left w:w="60" w:type="dxa"/>
              <w:right w:w="60" w:type="dxa"/>
            </w:tcMar>
            <w:vAlign w:val="center"/>
          </w:tcPr>
          <w:p>
            <w:pPr>
              <w:pStyle w:val="DMETW36742BIPMFF4Commitmentsoutstanding"/>
              <w:rPr>
                <w:rFonts w:ascii="Verdana" w:eastAsia="Verdana" w:hAnsi="Verdana" w:cs="Verdana"/>
                <w:noProof/>
                <w:color w:val="000000"/>
                <w:sz w:val="16"/>
              </w:rPr>
            </w:pPr>
            <w:r>
              <w:rPr>
                <w:rFonts w:ascii="Verdana" w:hAnsi="Verdana"/>
                <w:noProof/>
                <w:color w:val="000000"/>
                <w:sz w:val="16"/>
              </w:rPr>
              <w:t>Sécurité et défense</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4 445</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2 666</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 xml:space="preserve"> (1)</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(1 872)</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5 239</w:t>
            </w:r>
          </w:p>
        </w:tc>
      </w:tr>
      <w:tr>
        <w:trPr>
          <w:cantSplit/>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4Commitmentsoutstanding"/>
              <w:rPr>
                <w:rFonts w:ascii="Verdana" w:eastAsia="Verdana" w:hAnsi="Verdana" w:cs="Verdana"/>
                <w:noProof/>
                <w:color w:val="000000"/>
                <w:sz w:val="16"/>
              </w:rPr>
            </w:pPr>
            <w:r>
              <w:rPr>
                <w:rFonts w:ascii="Verdana" w:hAnsi="Verdana"/>
                <w:noProof/>
                <w:color w:val="000000"/>
                <w:sz w:val="16"/>
              </w:rPr>
              <w:t>6</w:t>
            </w:r>
          </w:p>
        </w:tc>
        <w:tc>
          <w:tcPr>
            <w:tcW w:w="4401" w:type="dxa"/>
            <w:tcBorders>
              <w:top w:val="nil"/>
              <w:left w:val="nil"/>
              <w:bottom w:val="nil"/>
              <w:right w:val="nil"/>
              <w:tl2br w:val="nil"/>
              <w:tr2bl w:val="nil"/>
            </w:tcBorders>
            <w:tcMar>
              <w:left w:w="60" w:type="dxa"/>
              <w:right w:w="60" w:type="dxa"/>
            </w:tcMar>
            <w:vAlign w:val="center"/>
          </w:tcPr>
          <w:p>
            <w:pPr>
              <w:pStyle w:val="DMETW36742BIPMFF4Commitmentsoutstanding"/>
              <w:rPr>
                <w:rFonts w:ascii="Verdana" w:eastAsia="Verdana" w:hAnsi="Verdana" w:cs="Verdana"/>
                <w:noProof/>
                <w:color w:val="000000"/>
                <w:sz w:val="16"/>
              </w:rPr>
            </w:pPr>
            <w:r>
              <w:rPr>
                <w:rFonts w:ascii="Verdana" w:hAnsi="Verdana"/>
                <w:noProof/>
                <w:color w:val="000000"/>
                <w:sz w:val="16"/>
              </w:rPr>
              <w:t>Le voisinage et le monde</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42 097</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19 645</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 xml:space="preserve"> (443)</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(17 170)</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44 129</w:t>
            </w:r>
          </w:p>
        </w:tc>
      </w:tr>
      <w:tr>
        <w:trPr>
          <w:cantSplit/>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4Commitmentsoutstanding"/>
              <w:rPr>
                <w:rFonts w:ascii="Verdana" w:eastAsia="Verdana" w:hAnsi="Verdana" w:cs="Verdana"/>
                <w:noProof/>
                <w:color w:val="000000"/>
                <w:sz w:val="16"/>
              </w:rPr>
            </w:pPr>
            <w:r>
              <w:rPr>
                <w:rFonts w:ascii="Verdana" w:hAnsi="Verdana"/>
                <w:noProof/>
                <w:color w:val="000000"/>
                <w:sz w:val="16"/>
              </w:rPr>
              <w:t>7</w:t>
            </w:r>
          </w:p>
        </w:tc>
        <w:tc>
          <w:tcPr>
            <w:tcW w:w="4401" w:type="dxa"/>
            <w:tcBorders>
              <w:top w:val="nil"/>
              <w:left w:val="nil"/>
              <w:bottom w:val="nil"/>
              <w:right w:val="nil"/>
              <w:tl2br w:val="nil"/>
              <w:tr2bl w:val="nil"/>
            </w:tcBorders>
            <w:tcMar>
              <w:left w:w="60" w:type="dxa"/>
              <w:right w:w="60" w:type="dxa"/>
            </w:tcMar>
            <w:vAlign w:val="center"/>
          </w:tcPr>
          <w:p>
            <w:pPr>
              <w:pStyle w:val="DMETW36742BIPMFF4Commitmentsoutstanding"/>
              <w:rPr>
                <w:rFonts w:ascii="Verdana" w:eastAsia="Verdana" w:hAnsi="Verdana" w:cs="Verdana"/>
                <w:noProof/>
                <w:color w:val="000000"/>
                <w:sz w:val="16"/>
              </w:rPr>
            </w:pPr>
            <w:r>
              <w:rPr>
                <w:rFonts w:ascii="Verdana" w:hAnsi="Verdana"/>
                <w:noProof/>
                <w:color w:val="000000"/>
                <w:sz w:val="16"/>
              </w:rPr>
              <w:t>Administration publique européenne</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1 011</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13 955</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 xml:space="preserve"> (65)</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(13 767)</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1 134</w:t>
            </w:r>
          </w:p>
        </w:tc>
      </w:tr>
      <w:tr>
        <w:trPr>
          <w:cantSplit/>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4Commitmentsoutstanding"/>
              <w:rPr>
                <w:rFonts w:ascii="Verdana" w:eastAsia="Verdana" w:hAnsi="Verdana" w:cs="Verdana"/>
                <w:noProof/>
                <w:color w:val="000000"/>
                <w:sz w:val="16"/>
              </w:rPr>
            </w:pPr>
            <w:r>
              <w:rPr>
                <w:rFonts w:ascii="Verdana" w:hAnsi="Verdana"/>
                <w:noProof/>
                <w:color w:val="000000"/>
                <w:sz w:val="16"/>
              </w:rPr>
              <w:t>O</w:t>
            </w:r>
          </w:p>
        </w:tc>
        <w:tc>
          <w:tcPr>
            <w:tcW w:w="4401" w:type="dxa"/>
            <w:tcBorders>
              <w:top w:val="nil"/>
              <w:left w:val="nil"/>
              <w:bottom w:val="nil"/>
              <w:right w:val="nil"/>
              <w:tl2br w:val="nil"/>
              <w:tr2bl w:val="nil"/>
            </w:tcBorders>
            <w:tcMar>
              <w:left w:w="60" w:type="dxa"/>
              <w:right w:w="60" w:type="dxa"/>
            </w:tcMar>
            <w:vAlign w:val="center"/>
          </w:tcPr>
          <w:p>
            <w:pPr>
              <w:pStyle w:val="DMETW36742BIPMFF4Commitmentsoutstanding"/>
              <w:rPr>
                <w:rFonts w:ascii="Verdana" w:eastAsia="Verdana" w:hAnsi="Verdana" w:cs="Verdana"/>
                <w:noProof/>
                <w:color w:val="000000"/>
                <w:sz w:val="16"/>
              </w:rPr>
            </w:pPr>
            <w:r>
              <w:rPr>
                <w:rFonts w:ascii="Verdana" w:hAnsi="Verdana"/>
                <w:noProof/>
                <w:color w:val="000000"/>
                <w:sz w:val="16"/>
              </w:rPr>
              <w:t>Hors CFP</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7 899</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6 409</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 xml:space="preserve"> (410)</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(2 319)</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11 578</w:t>
            </w:r>
          </w:p>
        </w:tc>
      </w:tr>
      <w:tr>
        <w:trPr>
          <w:cantSplit/>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4Commitmentsoutstanding"/>
              <w:rPr>
                <w:rFonts w:ascii="Verdana" w:eastAsia="Verdana" w:hAnsi="Verdana" w:cs="Verdana"/>
                <w:noProof/>
                <w:color w:val="000000"/>
                <w:sz w:val="16"/>
              </w:rPr>
            </w:pPr>
            <w:r>
              <w:rPr>
                <w:rFonts w:ascii="Verdana" w:hAnsi="Verdana"/>
                <w:noProof/>
                <w:color w:val="000000"/>
                <w:sz w:val="16"/>
              </w:rPr>
              <w:t>S</w:t>
            </w:r>
          </w:p>
        </w:tc>
        <w:tc>
          <w:tcPr>
            <w:tcW w:w="4401" w:type="dxa"/>
            <w:tcBorders>
              <w:top w:val="nil"/>
              <w:left w:val="nil"/>
              <w:bottom w:val="nil"/>
              <w:right w:val="nil"/>
              <w:tl2br w:val="nil"/>
              <w:tr2bl w:val="nil"/>
            </w:tcBorders>
            <w:tcMar>
              <w:left w:w="60" w:type="dxa"/>
              <w:right w:w="60" w:type="dxa"/>
            </w:tcMar>
            <w:vAlign w:val="center"/>
          </w:tcPr>
          <w:p>
            <w:pPr>
              <w:pStyle w:val="DMETW36742BIPMFF4Commitmentsoutstanding"/>
              <w:rPr>
                <w:rFonts w:ascii="Verdana" w:eastAsia="Verdana" w:hAnsi="Verdana" w:cs="Verdana"/>
                <w:noProof/>
                <w:color w:val="000000"/>
                <w:sz w:val="16"/>
              </w:rPr>
            </w:pPr>
            <w:r>
              <w:rPr>
                <w:rFonts w:ascii="Verdana" w:hAnsi="Verdana"/>
                <w:noProof/>
                <w:color w:val="000000"/>
                <w:sz w:val="16"/>
              </w:rPr>
              <w:t>Mécanismes de solidarité à l’intérieur et à l’extérieur de l’Union (instruments spéciaux)</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 xml:space="preserve"> 53</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1 065</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(1 048)</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 xml:space="preserve"> 71</w:t>
            </w:r>
          </w:p>
        </w:tc>
      </w:tr>
      <w:tr>
        <w:trPr>
          <w:trHeight w:val="255"/>
        </w:trPr>
        <w:tc>
          <w:tcPr>
            <w:tcW w:w="344" w:type="dxa"/>
            <w:tcBorders>
              <w:top w:val="nil"/>
              <w:left w:val="nil"/>
              <w:bottom w:val="nil"/>
              <w:right w:val="nil"/>
              <w:tl2br w:val="nil"/>
              <w:tr2bl w:val="nil"/>
            </w:tcBorders>
            <w:shd w:val="solid" w:color="CCE1EA" w:fill="FFFFFF"/>
            <w:tcMar>
              <w:left w:w="60" w:type="dxa"/>
              <w:right w:w="60" w:type="dxa"/>
            </w:tcMar>
            <w:vAlign w:val="center"/>
          </w:tcPr>
          <w:p>
            <w:pPr>
              <w:pStyle w:val="DMETW36742BIPMFF4Commitmentsoutstanding"/>
              <w:rPr>
                <w:rFonts w:ascii="Verdana" w:eastAsia="Verdana" w:hAnsi="Verdana" w:cs="Verdana"/>
                <w:b/>
                <w:noProof/>
                <w:color w:val="000000"/>
                <w:sz w:val="16"/>
              </w:rPr>
            </w:pPr>
          </w:p>
        </w:tc>
        <w:tc>
          <w:tcPr>
            <w:tcW w:w="4401" w:type="dxa"/>
            <w:tcBorders>
              <w:top w:val="nil"/>
              <w:left w:val="nil"/>
              <w:bottom w:val="nil"/>
              <w:right w:val="nil"/>
              <w:tl2br w:val="nil"/>
              <w:tr2bl w:val="nil"/>
            </w:tcBorders>
            <w:shd w:val="solid" w:color="CCE1EA" w:fill="FFFFFF"/>
            <w:tcMar>
              <w:left w:w="60" w:type="dxa"/>
              <w:right w:w="60" w:type="dxa"/>
            </w:tcMar>
            <w:vAlign w:val="center"/>
          </w:tcPr>
          <w:p>
            <w:pPr>
              <w:pStyle w:val="DMETW36742BIPMFF4Commitmentsoutstanding"/>
              <w:rPr>
                <w:rFonts w:ascii="Verdana" w:eastAsia="Verdana" w:hAnsi="Verdana" w:cs="Verdana"/>
                <w:b/>
                <w:noProof/>
                <w:color w:val="000000"/>
                <w:sz w:val="16"/>
              </w:rPr>
            </w:pPr>
            <w:r>
              <w:rPr>
                <w:rFonts w:ascii="Verdana" w:hAnsi="Verdana"/>
                <w:b/>
                <w:noProof/>
                <w:color w:val="000000"/>
                <w:sz w:val="16"/>
              </w:rPr>
              <w:t>TOTAL</w:t>
            </w:r>
          </w:p>
        </w:tc>
        <w:tc>
          <w:tcPr>
            <w:tcW w:w="1960" w:type="dxa"/>
            <w:tcBorders>
              <w:top w:val="nil"/>
              <w:left w:val="nil"/>
              <w:bottom w:val="nil"/>
              <w:right w:val="nil"/>
              <w:tl2br w:val="nil"/>
              <w:tr2bl w:val="nil"/>
            </w:tcBorders>
            <w:shd w:val="solid" w:color="CCE1EA" w:fill="FFFFFF"/>
            <w:tcMar>
              <w:left w:w="60" w:type="dxa"/>
              <w:right w:w="60" w:type="dxa"/>
            </w:tcMar>
            <w:vAlign w:val="center"/>
          </w:tcPr>
          <w:p>
            <w:pPr>
              <w:pStyle w:val="DMETW36742BIPMFF4Commitmentsoutstanding"/>
              <w:jc w:val="right"/>
              <w:rPr>
                <w:rFonts w:ascii="Verdana" w:eastAsia="Verdana" w:hAnsi="Verdana" w:cs="Verdana"/>
                <w:b/>
                <w:noProof/>
                <w:color w:val="000000"/>
                <w:sz w:val="16"/>
              </w:rPr>
            </w:pPr>
            <w:r>
              <w:rPr>
                <w:rFonts w:ascii="Verdana" w:hAnsi="Verdana"/>
                <w:b/>
                <w:noProof/>
                <w:color w:val="000000"/>
                <w:sz w:val="16"/>
              </w:rPr>
              <w:t>507 378</w:t>
            </w:r>
          </w:p>
        </w:tc>
        <w:tc>
          <w:tcPr>
            <w:tcW w:w="1960" w:type="dxa"/>
            <w:tcBorders>
              <w:top w:val="nil"/>
              <w:left w:val="nil"/>
              <w:bottom w:val="nil"/>
              <w:right w:val="nil"/>
              <w:tl2br w:val="nil"/>
              <w:tr2bl w:val="nil"/>
            </w:tcBorders>
            <w:shd w:val="solid" w:color="CCE1EA" w:fill="FFFFFF"/>
            <w:tcMar>
              <w:left w:w="60" w:type="dxa"/>
              <w:right w:w="60" w:type="dxa"/>
            </w:tcMar>
            <w:vAlign w:val="center"/>
          </w:tcPr>
          <w:p>
            <w:pPr>
              <w:pStyle w:val="DMETW36742BIPMFF4Commitmentsoutstanding"/>
              <w:jc w:val="right"/>
              <w:rPr>
                <w:rFonts w:ascii="Verdana" w:eastAsia="Verdana" w:hAnsi="Verdana" w:cs="Verdana"/>
                <w:b/>
                <w:noProof/>
                <w:color w:val="000000"/>
                <w:sz w:val="16"/>
              </w:rPr>
            </w:pPr>
            <w:r>
              <w:rPr>
                <w:rFonts w:ascii="Verdana" w:hAnsi="Verdana"/>
                <w:b/>
                <w:noProof/>
                <w:color w:val="000000"/>
                <w:sz w:val="16"/>
              </w:rPr>
              <w:t>212 116</w:t>
            </w:r>
          </w:p>
        </w:tc>
        <w:tc>
          <w:tcPr>
            <w:tcW w:w="1960" w:type="dxa"/>
            <w:tcBorders>
              <w:top w:val="nil"/>
              <w:left w:val="nil"/>
              <w:bottom w:val="nil"/>
              <w:right w:val="nil"/>
              <w:tl2br w:val="nil"/>
              <w:tr2bl w:val="nil"/>
            </w:tcBorders>
            <w:shd w:val="solid" w:color="CCE1EA" w:fill="FFFFFF"/>
            <w:tcMar>
              <w:left w:w="60" w:type="dxa"/>
              <w:right w:w="60" w:type="dxa"/>
            </w:tcMar>
            <w:vAlign w:val="center"/>
          </w:tcPr>
          <w:p>
            <w:pPr>
              <w:pStyle w:val="DMETW36742BIPMFF4Commitmentsoutstanding"/>
              <w:jc w:val="right"/>
              <w:rPr>
                <w:rFonts w:ascii="Verdana" w:eastAsia="Verdana" w:hAnsi="Verdana" w:cs="Verdana"/>
                <w:b/>
                <w:noProof/>
                <w:color w:val="000000"/>
                <w:sz w:val="16"/>
              </w:rPr>
            </w:pPr>
            <w:r>
              <w:rPr>
                <w:rFonts w:ascii="Verdana" w:hAnsi="Verdana"/>
                <w:b/>
                <w:noProof/>
                <w:color w:val="000000"/>
                <w:sz w:val="16"/>
              </w:rPr>
              <w:t>(2 039)</w:t>
            </w:r>
          </w:p>
        </w:tc>
        <w:tc>
          <w:tcPr>
            <w:tcW w:w="1960" w:type="dxa"/>
            <w:tcBorders>
              <w:top w:val="nil"/>
              <w:left w:val="nil"/>
              <w:bottom w:val="nil"/>
              <w:right w:val="nil"/>
              <w:tl2br w:val="nil"/>
              <w:tr2bl w:val="nil"/>
            </w:tcBorders>
            <w:shd w:val="solid" w:color="CCE1EA" w:fill="FFFFFF"/>
            <w:tcMar>
              <w:left w:w="60" w:type="dxa"/>
              <w:right w:w="60" w:type="dxa"/>
            </w:tcMar>
            <w:vAlign w:val="center"/>
          </w:tcPr>
          <w:p>
            <w:pPr>
              <w:pStyle w:val="DMETW36742BIPMFF4Commitmentsoutstanding"/>
              <w:jc w:val="right"/>
              <w:rPr>
                <w:rFonts w:ascii="Verdana" w:eastAsia="Verdana" w:hAnsi="Verdana" w:cs="Verdana"/>
                <w:b/>
                <w:noProof/>
                <w:color w:val="000000"/>
                <w:sz w:val="16"/>
              </w:rPr>
            </w:pPr>
            <w:r>
              <w:rPr>
                <w:rFonts w:ascii="Verdana" w:hAnsi="Verdana"/>
                <w:b/>
                <w:noProof/>
                <w:color w:val="000000"/>
                <w:sz w:val="16"/>
              </w:rPr>
              <w:t>(216 371)</w:t>
            </w:r>
          </w:p>
        </w:tc>
        <w:tc>
          <w:tcPr>
            <w:tcW w:w="1960" w:type="dxa"/>
            <w:tcBorders>
              <w:top w:val="nil"/>
              <w:left w:val="nil"/>
              <w:bottom w:val="nil"/>
              <w:right w:val="nil"/>
              <w:tl2br w:val="nil"/>
              <w:tr2bl w:val="nil"/>
            </w:tcBorders>
            <w:shd w:val="solid" w:color="CCE1EA" w:fill="FFFFFF"/>
            <w:tcMar>
              <w:left w:w="60" w:type="dxa"/>
              <w:right w:w="60" w:type="dxa"/>
            </w:tcMar>
            <w:vAlign w:val="center"/>
          </w:tcPr>
          <w:p>
            <w:pPr>
              <w:pStyle w:val="DMETW36742BIPMFF4Commitmentsoutstanding"/>
              <w:jc w:val="right"/>
              <w:rPr>
                <w:rFonts w:ascii="Verdana" w:eastAsia="Verdana" w:hAnsi="Verdana" w:cs="Verdana"/>
                <w:b/>
                <w:noProof/>
                <w:color w:val="000000"/>
                <w:sz w:val="16"/>
              </w:rPr>
            </w:pPr>
            <w:r>
              <w:rPr>
                <w:rFonts w:ascii="Verdana" w:hAnsi="Verdana"/>
                <w:b/>
                <w:noProof/>
                <w:color w:val="000000"/>
                <w:sz w:val="16"/>
              </w:rPr>
              <w:t>501 084</w:t>
            </w:r>
          </w:p>
        </w:tc>
      </w:tr>
    </w:tbl>
    <w:p>
      <w:pPr>
        <w:pStyle w:val="DGTextstand-alone"/>
        <w:rPr>
          <w:lang w:bidi="en-GB"/>
        </w:rPr>
      </w:pPr>
    </w:p>
    <w:p>
      <w:pPr>
        <w:pStyle w:val="Textstand-alone"/>
        <w:rPr>
          <w:lang w:bidi="en-GB"/>
        </w:rPr>
      </w:pPr>
    </w:p>
    <w:p>
      <w:pPr>
        <w:pStyle w:val="Textstand-alone"/>
        <w:rPr>
          <w:lang w:bidi="en-GB"/>
        </w:rPr>
        <w:sectPr>
          <w:headerReference w:type="default" r:id="rId171"/>
          <w:footerReference w:type="default" r:id="rId172"/>
          <w:type w:val="nextColumn"/>
          <w:pgSz w:w="16840" w:h="11900" w:orient="landscape"/>
          <w:pgMar w:top="1134" w:right="1134" w:bottom="1134" w:left="1134" w:header="720" w:footer="720" w:gutter="0"/>
          <w:cols w:space="720"/>
          <w:docGrid w:linePitch="272"/>
        </w:sectPr>
      </w:pPr>
    </w:p>
    <w:p>
      <w:pPr>
        <w:pStyle w:val="HEADER2PartBUDG"/>
        <w:rPr>
          <w:noProof/>
        </w:rPr>
      </w:pPr>
      <w:bookmarkStart w:id="303" w:name="_Toc237349638"/>
      <w:r>
        <w:rPr>
          <w:noProof/>
        </w:rPr>
        <w:lastRenderedPageBreak/>
        <w:t>CFP: ENGAGEMENTS RESTANT À LIQUIDER PAR ANNÉE D’ORIGINE</w:t>
      </w:r>
      <w:bookmarkEnd w:id="303"/>
      <w:r>
        <w:rPr>
          <w:noProof/>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4"/>
        <w:gridCol w:w="4712"/>
        <w:gridCol w:w="919"/>
        <w:gridCol w:w="919"/>
        <w:gridCol w:w="919"/>
        <w:gridCol w:w="919"/>
        <w:gridCol w:w="919"/>
        <w:gridCol w:w="919"/>
        <w:gridCol w:w="919"/>
        <w:gridCol w:w="991"/>
        <w:gridCol w:w="919"/>
        <w:gridCol w:w="1293"/>
      </w:tblGrid>
      <w:tr>
        <w:trPr>
          <w:cantSplit/>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5RALYoO"/>
              <w:rPr>
                <w:rFonts w:ascii="Verdana" w:eastAsia="Verdana" w:hAnsi="Verdana" w:cs="Verdana"/>
                <w:noProof/>
                <w:color w:val="000000"/>
                <w:sz w:val="16"/>
              </w:rPr>
            </w:pPr>
            <w:bookmarkStart w:id="304" w:name="DOC_TBL00118_1_1"/>
            <w:bookmarkEnd w:id="304"/>
          </w:p>
        </w:tc>
        <w:tc>
          <w:tcPr>
            <w:tcW w:w="4712" w:type="dxa"/>
            <w:tcBorders>
              <w:top w:val="nil"/>
              <w:left w:val="nil"/>
              <w:bottom w:val="nil"/>
              <w:right w:val="nil"/>
              <w:tl2br w:val="nil"/>
              <w:tr2bl w:val="nil"/>
            </w:tcBorders>
            <w:tcMar>
              <w:left w:w="60" w:type="dxa"/>
              <w:right w:w="60" w:type="dxa"/>
            </w:tcMar>
            <w:vAlign w:val="center"/>
          </w:tcPr>
          <w:p>
            <w:pPr>
              <w:pStyle w:val="DMETW36742BIPMFF5RALYoO"/>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pPr>
              <w:pStyle w:val="DMETW36742BIPMFF5RALYoO"/>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pPr>
              <w:pStyle w:val="DMETW36742BIPMFF5RALYoO"/>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pPr>
              <w:pStyle w:val="DMETW36742BIPMFF5RALYoO"/>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pPr>
              <w:pStyle w:val="DMETW36742BIPMFF5RALYoO"/>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pPr>
              <w:pStyle w:val="DMETW36742BIPMFF5RALYoO"/>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pPr>
              <w:pStyle w:val="DMETW36742BIPMFF5RALYoO"/>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pPr>
              <w:pStyle w:val="DMETW36742BIPMFF5RALYoO"/>
              <w:rPr>
                <w:rFonts w:ascii="Verdana" w:eastAsia="Verdana" w:hAnsi="Verdana" w:cs="Verdana"/>
                <w:noProof/>
                <w:color w:val="000000"/>
                <w:sz w:val="16"/>
              </w:rPr>
            </w:pPr>
          </w:p>
        </w:tc>
        <w:tc>
          <w:tcPr>
            <w:tcW w:w="991" w:type="dxa"/>
            <w:tcBorders>
              <w:top w:val="nil"/>
              <w:left w:val="nil"/>
              <w:bottom w:val="nil"/>
              <w:right w:val="nil"/>
              <w:tl2br w:val="nil"/>
              <w:tr2bl w:val="nil"/>
            </w:tcBorders>
            <w:tcMar>
              <w:left w:w="60" w:type="dxa"/>
              <w:right w:w="60" w:type="dxa"/>
            </w:tcMar>
            <w:vAlign w:val="center"/>
          </w:tcPr>
          <w:p>
            <w:pPr>
              <w:pStyle w:val="DMETW36742BIPMFF5RALYoO"/>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pPr>
              <w:pStyle w:val="DMETW36742BIPMFF5RALYoO"/>
              <w:rPr>
                <w:rFonts w:ascii="Verdana" w:eastAsia="Verdana" w:hAnsi="Verdana" w:cs="Verdana"/>
                <w:noProof/>
                <w:color w:val="000000"/>
                <w:sz w:val="16"/>
              </w:rPr>
            </w:pPr>
          </w:p>
        </w:tc>
        <w:tc>
          <w:tcPr>
            <w:tcW w:w="1293"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i/>
                <w:noProof/>
                <w:color w:val="000000"/>
                <w:sz w:val="16"/>
              </w:rPr>
            </w:pPr>
            <w:r>
              <w:rPr>
                <w:rFonts w:ascii="Verdana" w:hAnsi="Verdana"/>
                <w:i/>
                <w:noProof/>
                <w:color w:val="000000"/>
                <w:sz w:val="16"/>
              </w:rPr>
              <w:t>en Mio EUR</w:t>
            </w:r>
          </w:p>
        </w:tc>
      </w:tr>
      <w:tr>
        <w:trPr>
          <w:cantSplit/>
          <w:trHeight w:val="255"/>
        </w:trPr>
        <w:tc>
          <w:tcPr>
            <w:tcW w:w="344" w:type="dxa"/>
            <w:tcBorders>
              <w:top w:val="nil"/>
              <w:left w:val="nil"/>
              <w:bottom w:val="nil"/>
              <w:right w:val="nil"/>
              <w:tl2br w:val="nil"/>
              <w:tr2bl w:val="nil"/>
            </w:tcBorders>
            <w:shd w:val="solid" w:color="016794" w:fill="FFFFFF"/>
            <w:tcMar>
              <w:left w:w="60" w:type="dxa"/>
              <w:right w:w="60" w:type="dxa"/>
            </w:tcMar>
            <w:vAlign w:val="center"/>
          </w:tcPr>
          <w:p>
            <w:pPr>
              <w:pStyle w:val="DMETW36742BIPMFF5RALYoO"/>
              <w:jc w:val="center"/>
              <w:rPr>
                <w:rFonts w:ascii="Verdana" w:eastAsia="Verdana" w:hAnsi="Verdana" w:cs="Verdana"/>
                <w:noProof/>
                <w:color w:val="FFFFFF"/>
                <w:sz w:val="16"/>
              </w:rPr>
            </w:pPr>
          </w:p>
        </w:tc>
        <w:tc>
          <w:tcPr>
            <w:tcW w:w="4712" w:type="dxa"/>
            <w:tcBorders>
              <w:top w:val="nil"/>
              <w:left w:val="nil"/>
              <w:bottom w:val="nil"/>
              <w:right w:val="nil"/>
              <w:tl2br w:val="nil"/>
              <w:tr2bl w:val="nil"/>
            </w:tcBorders>
            <w:shd w:val="solid" w:color="016794" w:fill="FFFFFF"/>
            <w:tcMar>
              <w:left w:w="60" w:type="dxa"/>
              <w:right w:w="60" w:type="dxa"/>
            </w:tcMar>
            <w:vAlign w:val="center"/>
          </w:tcPr>
          <w:p>
            <w:pPr>
              <w:pStyle w:val="DMETW36742BIPMFF5RALYoO"/>
              <w:jc w:val="center"/>
              <w:rPr>
                <w:rFonts w:ascii="Verdana" w:eastAsia="Verdana" w:hAnsi="Verdana" w:cs="Verdana"/>
                <w:noProof/>
                <w:color w:val="FFFFFF"/>
                <w:sz w:val="16"/>
              </w:rPr>
            </w:pPr>
            <w:r>
              <w:rPr>
                <w:rFonts w:ascii="Verdana" w:hAnsi="Verdana"/>
                <w:noProof/>
                <w:color w:val="FFFFFF"/>
                <w:sz w:val="16"/>
              </w:rPr>
              <w:t>Rubrique du CFP</w:t>
            </w:r>
          </w:p>
        </w:tc>
        <w:tc>
          <w:tcPr>
            <w:tcW w:w="919" w:type="dxa"/>
            <w:tcBorders>
              <w:top w:val="nil"/>
              <w:left w:val="nil"/>
              <w:bottom w:val="nil"/>
              <w:right w:val="nil"/>
              <w:tl2br w:val="nil"/>
              <w:tr2bl w:val="nil"/>
            </w:tcBorders>
            <w:shd w:val="solid" w:color="016794" w:fill="FFFFFF"/>
            <w:tcMar>
              <w:left w:w="60" w:type="dxa"/>
              <w:right w:w="60" w:type="dxa"/>
            </w:tcMar>
            <w:vAlign w:val="center"/>
          </w:tcPr>
          <w:p>
            <w:pPr>
              <w:pStyle w:val="DMETW36742BIPMFF5RALYoO"/>
              <w:jc w:val="center"/>
              <w:rPr>
                <w:rFonts w:ascii="Verdana" w:eastAsia="Verdana" w:hAnsi="Verdana" w:cs="Verdana"/>
                <w:noProof/>
                <w:color w:val="FFFFFF"/>
                <w:sz w:val="16"/>
              </w:rPr>
            </w:pPr>
            <w:r>
              <w:rPr>
                <w:rFonts w:ascii="Verdana" w:hAnsi="Verdana"/>
                <w:noProof/>
                <w:color w:val="FFFFFF"/>
                <w:sz w:val="16"/>
              </w:rPr>
              <w:t>&lt;2018</w:t>
            </w:r>
          </w:p>
        </w:tc>
        <w:tc>
          <w:tcPr>
            <w:tcW w:w="919" w:type="dxa"/>
            <w:tcBorders>
              <w:top w:val="nil"/>
              <w:left w:val="nil"/>
              <w:bottom w:val="nil"/>
              <w:right w:val="nil"/>
              <w:tl2br w:val="nil"/>
              <w:tr2bl w:val="nil"/>
            </w:tcBorders>
            <w:shd w:val="solid" w:color="016794" w:fill="FFFFFF"/>
            <w:tcMar>
              <w:left w:w="60" w:type="dxa"/>
              <w:right w:w="60" w:type="dxa"/>
            </w:tcMar>
            <w:vAlign w:val="center"/>
          </w:tcPr>
          <w:p>
            <w:pPr>
              <w:pStyle w:val="DMETW36742BIPMFF5RALYoO"/>
              <w:jc w:val="center"/>
              <w:rPr>
                <w:rFonts w:ascii="Verdana" w:eastAsia="Verdana" w:hAnsi="Verdana" w:cs="Verdana"/>
                <w:noProof/>
                <w:color w:val="FFFFFF"/>
                <w:sz w:val="16"/>
              </w:rPr>
            </w:pPr>
            <w:r>
              <w:rPr>
                <w:rFonts w:ascii="Verdana" w:hAnsi="Verdana"/>
                <w:noProof/>
                <w:color w:val="FFFFFF"/>
                <w:sz w:val="16"/>
              </w:rPr>
              <w:t>2018</w:t>
            </w:r>
          </w:p>
        </w:tc>
        <w:tc>
          <w:tcPr>
            <w:tcW w:w="919" w:type="dxa"/>
            <w:tcBorders>
              <w:top w:val="nil"/>
              <w:left w:val="nil"/>
              <w:bottom w:val="nil"/>
              <w:right w:val="nil"/>
              <w:tl2br w:val="nil"/>
              <w:tr2bl w:val="nil"/>
            </w:tcBorders>
            <w:shd w:val="solid" w:color="016794" w:fill="FFFFFF"/>
            <w:tcMar>
              <w:left w:w="60" w:type="dxa"/>
              <w:right w:w="60" w:type="dxa"/>
            </w:tcMar>
            <w:vAlign w:val="center"/>
          </w:tcPr>
          <w:p>
            <w:pPr>
              <w:pStyle w:val="DMETW36742BIPMFF5RALYoO"/>
              <w:jc w:val="center"/>
              <w:rPr>
                <w:rFonts w:ascii="Verdana" w:eastAsia="Verdana" w:hAnsi="Verdana" w:cs="Verdana"/>
                <w:noProof/>
                <w:color w:val="FFFFFF"/>
                <w:sz w:val="16"/>
              </w:rPr>
            </w:pPr>
            <w:r>
              <w:rPr>
                <w:rFonts w:ascii="Verdana" w:hAnsi="Verdana"/>
                <w:noProof/>
                <w:color w:val="FFFFFF"/>
                <w:sz w:val="16"/>
              </w:rPr>
              <w:t>2019</w:t>
            </w:r>
          </w:p>
        </w:tc>
        <w:tc>
          <w:tcPr>
            <w:tcW w:w="919" w:type="dxa"/>
            <w:tcBorders>
              <w:top w:val="nil"/>
              <w:left w:val="nil"/>
              <w:bottom w:val="nil"/>
              <w:right w:val="nil"/>
              <w:tl2br w:val="nil"/>
              <w:tr2bl w:val="nil"/>
            </w:tcBorders>
            <w:shd w:val="solid" w:color="016794" w:fill="FFFFFF"/>
            <w:tcMar>
              <w:left w:w="60" w:type="dxa"/>
              <w:right w:w="60" w:type="dxa"/>
            </w:tcMar>
            <w:vAlign w:val="center"/>
          </w:tcPr>
          <w:p>
            <w:pPr>
              <w:pStyle w:val="DMETW36742BIPMFF5RALYoO"/>
              <w:jc w:val="center"/>
              <w:rPr>
                <w:rFonts w:ascii="Verdana" w:eastAsia="Verdana" w:hAnsi="Verdana" w:cs="Verdana"/>
                <w:noProof/>
                <w:color w:val="FFFFFF"/>
                <w:sz w:val="16"/>
              </w:rPr>
            </w:pPr>
            <w:r>
              <w:rPr>
                <w:rFonts w:ascii="Verdana" w:hAnsi="Verdana"/>
                <w:noProof/>
                <w:color w:val="FFFFFF"/>
                <w:sz w:val="16"/>
              </w:rPr>
              <w:t>2020</w:t>
            </w:r>
          </w:p>
        </w:tc>
        <w:tc>
          <w:tcPr>
            <w:tcW w:w="919" w:type="dxa"/>
            <w:tcBorders>
              <w:top w:val="nil"/>
              <w:left w:val="nil"/>
              <w:bottom w:val="nil"/>
              <w:right w:val="nil"/>
              <w:tl2br w:val="nil"/>
              <w:tr2bl w:val="nil"/>
            </w:tcBorders>
            <w:shd w:val="solid" w:color="016794" w:fill="FFFFFF"/>
            <w:tcMar>
              <w:left w:w="60" w:type="dxa"/>
              <w:right w:w="60" w:type="dxa"/>
            </w:tcMar>
            <w:vAlign w:val="center"/>
          </w:tcPr>
          <w:p>
            <w:pPr>
              <w:pStyle w:val="DMETW36742BIPMFF5RALYoO"/>
              <w:jc w:val="center"/>
              <w:rPr>
                <w:rFonts w:ascii="Verdana" w:eastAsia="Verdana" w:hAnsi="Verdana" w:cs="Verdana"/>
                <w:noProof/>
                <w:color w:val="FFFFFF"/>
                <w:sz w:val="16"/>
              </w:rPr>
            </w:pPr>
            <w:r>
              <w:rPr>
                <w:rFonts w:ascii="Verdana" w:hAnsi="Verdana"/>
                <w:noProof/>
                <w:color w:val="FFFFFF"/>
                <w:sz w:val="16"/>
              </w:rPr>
              <w:t>2021</w:t>
            </w:r>
          </w:p>
        </w:tc>
        <w:tc>
          <w:tcPr>
            <w:tcW w:w="919" w:type="dxa"/>
            <w:tcBorders>
              <w:top w:val="nil"/>
              <w:left w:val="nil"/>
              <w:bottom w:val="nil"/>
              <w:right w:val="nil"/>
              <w:tl2br w:val="nil"/>
              <w:tr2bl w:val="nil"/>
            </w:tcBorders>
            <w:shd w:val="solid" w:color="016794" w:fill="FFFFFF"/>
            <w:tcMar>
              <w:left w:w="60" w:type="dxa"/>
              <w:right w:w="60" w:type="dxa"/>
            </w:tcMar>
            <w:vAlign w:val="center"/>
          </w:tcPr>
          <w:p>
            <w:pPr>
              <w:pStyle w:val="DMETW36742BIPMFF5RALYoO"/>
              <w:jc w:val="center"/>
              <w:rPr>
                <w:rFonts w:ascii="Verdana" w:eastAsia="Verdana" w:hAnsi="Verdana" w:cs="Verdana"/>
                <w:noProof/>
                <w:color w:val="FFFFFF"/>
                <w:sz w:val="16"/>
              </w:rPr>
            </w:pPr>
            <w:r>
              <w:rPr>
                <w:rFonts w:ascii="Verdana" w:hAnsi="Verdana"/>
                <w:noProof/>
                <w:color w:val="FFFFFF"/>
                <w:sz w:val="16"/>
              </w:rPr>
              <w:t>2022</w:t>
            </w:r>
          </w:p>
        </w:tc>
        <w:tc>
          <w:tcPr>
            <w:tcW w:w="919" w:type="dxa"/>
            <w:tcBorders>
              <w:top w:val="nil"/>
              <w:left w:val="nil"/>
              <w:bottom w:val="nil"/>
              <w:right w:val="nil"/>
              <w:tl2br w:val="nil"/>
              <w:tr2bl w:val="nil"/>
            </w:tcBorders>
            <w:shd w:val="solid" w:color="016794" w:fill="FFFFFF"/>
            <w:tcMar>
              <w:left w:w="60" w:type="dxa"/>
              <w:right w:w="60" w:type="dxa"/>
            </w:tcMar>
            <w:vAlign w:val="center"/>
          </w:tcPr>
          <w:p>
            <w:pPr>
              <w:pStyle w:val="DMETW36742BIPMFF5RALYoO"/>
              <w:jc w:val="center"/>
              <w:rPr>
                <w:rFonts w:ascii="Verdana" w:eastAsia="Verdana" w:hAnsi="Verdana" w:cs="Verdana"/>
                <w:noProof/>
                <w:color w:val="FFFFFF"/>
                <w:sz w:val="16"/>
              </w:rPr>
            </w:pPr>
            <w:r>
              <w:rPr>
                <w:rFonts w:ascii="Verdana" w:hAnsi="Verdana"/>
                <w:noProof/>
                <w:color w:val="FFFFFF"/>
                <w:sz w:val="16"/>
              </w:rPr>
              <w:t>2023</w:t>
            </w:r>
          </w:p>
        </w:tc>
        <w:tc>
          <w:tcPr>
            <w:tcW w:w="991" w:type="dxa"/>
            <w:tcBorders>
              <w:top w:val="nil"/>
              <w:left w:val="nil"/>
              <w:bottom w:val="nil"/>
              <w:right w:val="nil"/>
              <w:tl2br w:val="nil"/>
              <w:tr2bl w:val="nil"/>
            </w:tcBorders>
            <w:shd w:val="solid" w:color="016794" w:fill="FFFFFF"/>
            <w:tcMar>
              <w:left w:w="60" w:type="dxa"/>
              <w:right w:w="60" w:type="dxa"/>
            </w:tcMar>
            <w:vAlign w:val="center"/>
          </w:tcPr>
          <w:p>
            <w:pPr>
              <w:pStyle w:val="DMETW36742BIPMFF5RALYoO"/>
              <w:jc w:val="center"/>
              <w:rPr>
                <w:rFonts w:ascii="Verdana" w:eastAsia="Verdana" w:hAnsi="Verdana" w:cs="Verdana"/>
                <w:noProof/>
                <w:color w:val="FFFFFF"/>
                <w:sz w:val="16"/>
              </w:rPr>
            </w:pPr>
            <w:r>
              <w:rPr>
                <w:rFonts w:ascii="Verdana" w:hAnsi="Verdana"/>
                <w:noProof/>
                <w:color w:val="FFFFFF"/>
                <w:sz w:val="16"/>
              </w:rPr>
              <w:t>2024</w:t>
            </w:r>
          </w:p>
        </w:tc>
        <w:tc>
          <w:tcPr>
            <w:tcW w:w="919" w:type="dxa"/>
            <w:tcBorders>
              <w:top w:val="nil"/>
              <w:left w:val="nil"/>
              <w:bottom w:val="nil"/>
              <w:right w:val="nil"/>
              <w:tl2br w:val="nil"/>
              <w:tr2bl w:val="nil"/>
            </w:tcBorders>
            <w:shd w:val="solid" w:color="016794" w:fill="FFFFFF"/>
            <w:tcMar>
              <w:left w:w="60" w:type="dxa"/>
              <w:right w:w="60" w:type="dxa"/>
            </w:tcMar>
            <w:vAlign w:val="center"/>
          </w:tcPr>
          <w:p>
            <w:pPr>
              <w:pStyle w:val="DMETW36742BIPMFF5RALYoO"/>
              <w:jc w:val="center"/>
              <w:rPr>
                <w:rFonts w:ascii="Verdana" w:eastAsia="Verdana" w:hAnsi="Verdana" w:cs="Verdana"/>
                <w:noProof/>
                <w:color w:val="FFFFFF"/>
                <w:sz w:val="16"/>
              </w:rPr>
            </w:pPr>
            <w:r>
              <w:rPr>
                <w:rFonts w:ascii="Verdana" w:hAnsi="Verdana"/>
                <w:noProof/>
                <w:color w:val="FFFFFF"/>
                <w:sz w:val="16"/>
              </w:rPr>
              <w:t>2025</w:t>
            </w:r>
          </w:p>
        </w:tc>
        <w:tc>
          <w:tcPr>
            <w:tcW w:w="1293" w:type="dxa"/>
            <w:tcBorders>
              <w:top w:val="nil"/>
              <w:left w:val="nil"/>
              <w:bottom w:val="nil"/>
              <w:right w:val="nil"/>
              <w:tl2br w:val="nil"/>
              <w:tr2bl w:val="nil"/>
            </w:tcBorders>
            <w:shd w:val="solid" w:color="016794" w:fill="FFFFFF"/>
            <w:tcMar>
              <w:left w:w="60" w:type="dxa"/>
              <w:right w:w="60" w:type="dxa"/>
            </w:tcMar>
            <w:vAlign w:val="center"/>
          </w:tcPr>
          <w:p>
            <w:pPr>
              <w:pStyle w:val="DMETW36742BIPMFF5RALYoO"/>
              <w:jc w:val="center"/>
              <w:rPr>
                <w:rFonts w:ascii="Verdana" w:eastAsia="Verdana" w:hAnsi="Verdana" w:cs="Verdana"/>
                <w:noProof/>
                <w:color w:val="FFFFFF"/>
                <w:sz w:val="16"/>
              </w:rPr>
            </w:pPr>
            <w:r>
              <w:rPr>
                <w:rFonts w:ascii="Verdana" w:hAnsi="Verdana"/>
                <w:noProof/>
                <w:color w:val="FFFFFF"/>
                <w:sz w:val="16"/>
              </w:rPr>
              <w:t>Total</w:t>
            </w:r>
          </w:p>
        </w:tc>
      </w:tr>
      <w:tr>
        <w:trPr>
          <w:cantSplit/>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5RALYoO"/>
              <w:rPr>
                <w:rFonts w:ascii="Verdana" w:eastAsia="Verdana" w:hAnsi="Verdana" w:cs="Verdana"/>
                <w:noProof/>
                <w:color w:val="000000"/>
                <w:sz w:val="16"/>
              </w:rPr>
            </w:pPr>
            <w:r>
              <w:rPr>
                <w:rFonts w:ascii="Verdana" w:hAnsi="Verdana"/>
                <w:noProof/>
                <w:color w:val="000000"/>
                <w:sz w:val="16"/>
              </w:rPr>
              <w:t>1</w:t>
            </w:r>
          </w:p>
        </w:tc>
        <w:tc>
          <w:tcPr>
            <w:tcW w:w="4712" w:type="dxa"/>
            <w:tcBorders>
              <w:top w:val="nil"/>
              <w:left w:val="nil"/>
              <w:bottom w:val="nil"/>
              <w:right w:val="nil"/>
              <w:tl2br w:val="nil"/>
              <w:tr2bl w:val="nil"/>
            </w:tcBorders>
            <w:tcMar>
              <w:left w:w="60" w:type="dxa"/>
              <w:right w:w="60" w:type="dxa"/>
            </w:tcMar>
            <w:vAlign w:val="center"/>
          </w:tcPr>
          <w:p>
            <w:pPr>
              <w:pStyle w:val="DMETW36742BIPMFF5RALYoO"/>
              <w:rPr>
                <w:rFonts w:ascii="Verdana" w:eastAsia="Verdana" w:hAnsi="Verdana" w:cs="Verdana"/>
                <w:noProof/>
                <w:color w:val="000000"/>
                <w:sz w:val="16"/>
              </w:rPr>
            </w:pPr>
            <w:r>
              <w:rPr>
                <w:rFonts w:ascii="Verdana" w:hAnsi="Verdana"/>
                <w:noProof/>
                <w:color w:val="000000"/>
                <w:sz w:val="16"/>
              </w:rPr>
              <w:t>Marché unique, innovation et numérique</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 xml:space="preserve"> 617</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 xml:space="preserve"> 411</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1 430</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2 551</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2 771</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4 555</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6 282</w:t>
            </w:r>
          </w:p>
        </w:tc>
        <w:tc>
          <w:tcPr>
            <w:tcW w:w="991"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15 261</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19 315</w:t>
            </w:r>
          </w:p>
        </w:tc>
        <w:tc>
          <w:tcPr>
            <w:tcW w:w="1293"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53 194</w:t>
            </w:r>
          </w:p>
        </w:tc>
      </w:tr>
      <w:tr>
        <w:trPr>
          <w:cantSplit/>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5RALYoO"/>
              <w:rPr>
                <w:rFonts w:ascii="Verdana" w:eastAsia="Verdana" w:hAnsi="Verdana" w:cs="Verdana"/>
                <w:noProof/>
                <w:color w:val="000000"/>
                <w:sz w:val="16"/>
              </w:rPr>
            </w:pPr>
            <w:r>
              <w:rPr>
                <w:rFonts w:ascii="Verdana" w:hAnsi="Verdana"/>
                <w:noProof/>
                <w:color w:val="000000"/>
                <w:sz w:val="16"/>
              </w:rPr>
              <w:t>2</w:t>
            </w:r>
          </w:p>
        </w:tc>
        <w:tc>
          <w:tcPr>
            <w:tcW w:w="4712" w:type="dxa"/>
            <w:tcBorders>
              <w:top w:val="nil"/>
              <w:left w:val="nil"/>
              <w:bottom w:val="nil"/>
              <w:right w:val="nil"/>
              <w:tl2br w:val="nil"/>
              <w:tr2bl w:val="nil"/>
            </w:tcBorders>
            <w:tcMar>
              <w:left w:w="60" w:type="dxa"/>
              <w:right w:w="60" w:type="dxa"/>
            </w:tcMar>
            <w:vAlign w:val="center"/>
          </w:tcPr>
          <w:p>
            <w:pPr>
              <w:pStyle w:val="DMETW36742BIPMFF5RALYoO"/>
              <w:rPr>
                <w:rFonts w:ascii="Verdana" w:eastAsia="Verdana" w:hAnsi="Verdana" w:cs="Verdana"/>
                <w:noProof/>
                <w:color w:val="000000"/>
                <w:sz w:val="16"/>
              </w:rPr>
            </w:pPr>
            <w:r>
              <w:rPr>
                <w:rFonts w:ascii="Verdana" w:hAnsi="Verdana"/>
                <w:noProof/>
                <w:color w:val="000000"/>
                <w:sz w:val="16"/>
              </w:rPr>
              <w:t>Cohésion, résilience et valeurs</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1 368</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 xml:space="preserve"> 225</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 xml:space="preserve"> 538</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1 061</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 xml:space="preserve"> 878</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13 776</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52 352</w:t>
            </w:r>
          </w:p>
        </w:tc>
        <w:tc>
          <w:tcPr>
            <w:tcW w:w="991"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190 270</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69 869</w:t>
            </w:r>
          </w:p>
        </w:tc>
        <w:tc>
          <w:tcPr>
            <w:tcW w:w="1293"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330 336</w:t>
            </w:r>
          </w:p>
        </w:tc>
      </w:tr>
      <w:tr>
        <w:trPr>
          <w:cantSplit/>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5RALYoO"/>
              <w:rPr>
                <w:rFonts w:ascii="Verdana" w:eastAsia="Verdana" w:hAnsi="Verdana" w:cs="Verdana"/>
                <w:noProof/>
                <w:color w:val="000000"/>
                <w:sz w:val="16"/>
              </w:rPr>
            </w:pPr>
            <w:r>
              <w:rPr>
                <w:rFonts w:ascii="Verdana" w:hAnsi="Verdana"/>
                <w:noProof/>
                <w:color w:val="000000"/>
                <w:sz w:val="16"/>
              </w:rPr>
              <w:t>3</w:t>
            </w:r>
          </w:p>
        </w:tc>
        <w:tc>
          <w:tcPr>
            <w:tcW w:w="4712" w:type="dxa"/>
            <w:tcBorders>
              <w:top w:val="nil"/>
              <w:left w:val="nil"/>
              <w:bottom w:val="nil"/>
              <w:right w:val="nil"/>
              <w:tl2br w:val="nil"/>
              <w:tr2bl w:val="nil"/>
            </w:tcBorders>
            <w:tcMar>
              <w:left w:w="60" w:type="dxa"/>
              <w:right w:w="60" w:type="dxa"/>
            </w:tcMar>
            <w:vAlign w:val="center"/>
          </w:tcPr>
          <w:p>
            <w:pPr>
              <w:pStyle w:val="DMETW36742BIPMFF5RALYoO"/>
              <w:rPr>
                <w:rFonts w:ascii="Verdana" w:eastAsia="Verdana" w:hAnsi="Verdana" w:cs="Verdana"/>
                <w:noProof/>
                <w:color w:val="000000"/>
                <w:sz w:val="16"/>
              </w:rPr>
            </w:pPr>
            <w:r>
              <w:rPr>
                <w:rFonts w:ascii="Verdana" w:hAnsi="Verdana"/>
                <w:noProof/>
                <w:color w:val="000000"/>
                <w:sz w:val="16"/>
              </w:rPr>
              <w:t>Ressources naturelles et environnement</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2 507</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 xml:space="preserve"> 907</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 xml:space="preserve"> 896</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 xml:space="preserve"> 946</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 xml:space="preserve"> 275</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2 859</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3 882</w:t>
            </w:r>
          </w:p>
        </w:tc>
        <w:tc>
          <w:tcPr>
            <w:tcW w:w="991"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19 889</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16 558</w:t>
            </w:r>
          </w:p>
        </w:tc>
        <w:tc>
          <w:tcPr>
            <w:tcW w:w="1293"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48 718</w:t>
            </w:r>
          </w:p>
        </w:tc>
      </w:tr>
      <w:tr>
        <w:trPr>
          <w:cantSplit/>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5RALYoO"/>
              <w:rPr>
                <w:rFonts w:ascii="Verdana" w:eastAsia="Verdana" w:hAnsi="Verdana" w:cs="Verdana"/>
                <w:noProof/>
                <w:color w:val="000000"/>
                <w:sz w:val="16"/>
              </w:rPr>
            </w:pPr>
            <w:r>
              <w:rPr>
                <w:rFonts w:ascii="Verdana" w:hAnsi="Verdana"/>
                <w:noProof/>
                <w:color w:val="000000"/>
                <w:sz w:val="16"/>
              </w:rPr>
              <w:t>4</w:t>
            </w:r>
          </w:p>
        </w:tc>
        <w:tc>
          <w:tcPr>
            <w:tcW w:w="4712" w:type="dxa"/>
            <w:tcBorders>
              <w:top w:val="nil"/>
              <w:left w:val="nil"/>
              <w:bottom w:val="nil"/>
              <w:right w:val="nil"/>
              <w:tl2br w:val="nil"/>
              <w:tr2bl w:val="nil"/>
            </w:tcBorders>
            <w:tcMar>
              <w:left w:w="60" w:type="dxa"/>
              <w:right w:w="60" w:type="dxa"/>
            </w:tcMar>
            <w:vAlign w:val="center"/>
          </w:tcPr>
          <w:p>
            <w:pPr>
              <w:pStyle w:val="DMETW36742BIPMFF5RALYoO"/>
              <w:rPr>
                <w:rFonts w:ascii="Verdana" w:eastAsia="Verdana" w:hAnsi="Verdana" w:cs="Verdana"/>
                <w:noProof/>
                <w:color w:val="000000"/>
                <w:sz w:val="16"/>
              </w:rPr>
            </w:pPr>
            <w:r>
              <w:rPr>
                <w:rFonts w:ascii="Verdana" w:hAnsi="Verdana"/>
                <w:noProof/>
                <w:color w:val="000000"/>
                <w:sz w:val="16"/>
              </w:rPr>
              <w:t>Migration et gestion des frontières</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 xml:space="preserve"> 72</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 xml:space="preserve"> 47</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 xml:space="preserve"> 97</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 xml:space="preserve"> 553</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 xml:space="preserve"> 69</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 xml:space="preserve"> 110</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 xml:space="preserve"> 679</w:t>
            </w:r>
          </w:p>
        </w:tc>
        <w:tc>
          <w:tcPr>
            <w:tcW w:w="991"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1 920</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3 138</w:t>
            </w:r>
          </w:p>
        </w:tc>
        <w:tc>
          <w:tcPr>
            <w:tcW w:w="1293"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6 683</w:t>
            </w:r>
          </w:p>
        </w:tc>
      </w:tr>
      <w:tr>
        <w:trPr>
          <w:cantSplit/>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5RALYoO"/>
              <w:rPr>
                <w:rFonts w:ascii="Verdana" w:eastAsia="Verdana" w:hAnsi="Verdana" w:cs="Verdana"/>
                <w:noProof/>
                <w:color w:val="000000"/>
                <w:sz w:val="16"/>
              </w:rPr>
            </w:pPr>
            <w:r>
              <w:rPr>
                <w:rFonts w:ascii="Verdana" w:hAnsi="Verdana"/>
                <w:noProof/>
                <w:color w:val="000000"/>
                <w:sz w:val="16"/>
              </w:rPr>
              <w:t>5</w:t>
            </w:r>
          </w:p>
        </w:tc>
        <w:tc>
          <w:tcPr>
            <w:tcW w:w="4712" w:type="dxa"/>
            <w:tcBorders>
              <w:top w:val="nil"/>
              <w:left w:val="nil"/>
              <w:bottom w:val="nil"/>
              <w:right w:val="nil"/>
              <w:tl2br w:val="nil"/>
              <w:tr2bl w:val="nil"/>
            </w:tcBorders>
            <w:tcMar>
              <w:left w:w="60" w:type="dxa"/>
              <w:right w:w="60" w:type="dxa"/>
            </w:tcMar>
            <w:vAlign w:val="center"/>
          </w:tcPr>
          <w:p>
            <w:pPr>
              <w:pStyle w:val="DMETW36742BIPMFF5RALYoO"/>
              <w:rPr>
                <w:rFonts w:ascii="Verdana" w:eastAsia="Verdana" w:hAnsi="Verdana" w:cs="Verdana"/>
                <w:noProof/>
                <w:color w:val="000000"/>
                <w:sz w:val="16"/>
              </w:rPr>
            </w:pPr>
            <w:r>
              <w:rPr>
                <w:rFonts w:ascii="Verdana" w:hAnsi="Verdana"/>
                <w:noProof/>
                <w:color w:val="000000"/>
                <w:sz w:val="16"/>
              </w:rPr>
              <w:t>Sécurité et défense</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 xml:space="preserve"> 27</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 xml:space="preserve"> 55</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 xml:space="preserve"> 78</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 xml:space="preserve"> 125</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 xml:space="preserve"> 364</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 xml:space="preserve"> 410</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 xml:space="preserve"> 725</w:t>
            </w:r>
          </w:p>
        </w:tc>
        <w:tc>
          <w:tcPr>
            <w:tcW w:w="991"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1 367</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2 089</w:t>
            </w:r>
          </w:p>
        </w:tc>
        <w:tc>
          <w:tcPr>
            <w:tcW w:w="1293"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5 239</w:t>
            </w:r>
          </w:p>
        </w:tc>
      </w:tr>
      <w:tr>
        <w:trPr>
          <w:cantSplit/>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5RALYoO"/>
              <w:rPr>
                <w:rFonts w:ascii="Verdana" w:eastAsia="Verdana" w:hAnsi="Verdana" w:cs="Verdana"/>
                <w:noProof/>
                <w:color w:val="000000"/>
                <w:sz w:val="16"/>
              </w:rPr>
            </w:pPr>
            <w:r>
              <w:rPr>
                <w:rFonts w:ascii="Verdana" w:hAnsi="Verdana"/>
                <w:noProof/>
                <w:color w:val="000000"/>
                <w:sz w:val="16"/>
              </w:rPr>
              <w:t>6</w:t>
            </w:r>
          </w:p>
        </w:tc>
        <w:tc>
          <w:tcPr>
            <w:tcW w:w="4712" w:type="dxa"/>
            <w:tcBorders>
              <w:top w:val="nil"/>
              <w:left w:val="nil"/>
              <w:bottom w:val="nil"/>
              <w:right w:val="nil"/>
              <w:tl2br w:val="nil"/>
              <w:tr2bl w:val="nil"/>
            </w:tcBorders>
            <w:tcMar>
              <w:left w:w="60" w:type="dxa"/>
              <w:right w:w="60" w:type="dxa"/>
            </w:tcMar>
            <w:vAlign w:val="center"/>
          </w:tcPr>
          <w:p>
            <w:pPr>
              <w:pStyle w:val="DMETW36742BIPMFF5RALYoO"/>
              <w:rPr>
                <w:rFonts w:ascii="Verdana" w:eastAsia="Verdana" w:hAnsi="Verdana" w:cs="Verdana"/>
                <w:noProof/>
                <w:color w:val="000000"/>
                <w:sz w:val="16"/>
              </w:rPr>
            </w:pPr>
            <w:r>
              <w:rPr>
                <w:rFonts w:ascii="Verdana" w:hAnsi="Verdana"/>
                <w:noProof/>
                <w:color w:val="000000"/>
                <w:sz w:val="16"/>
              </w:rPr>
              <w:t>Le voisinage et le monde</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1 032</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 xml:space="preserve"> 943</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1 047</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1 370</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2 908</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6 392</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7 312</w:t>
            </w:r>
          </w:p>
        </w:tc>
        <w:tc>
          <w:tcPr>
            <w:tcW w:w="991"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10 589</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12 534</w:t>
            </w:r>
          </w:p>
        </w:tc>
        <w:tc>
          <w:tcPr>
            <w:tcW w:w="1293"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44 129</w:t>
            </w:r>
          </w:p>
        </w:tc>
      </w:tr>
      <w:tr>
        <w:trPr>
          <w:cantSplit/>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5RALYoO"/>
              <w:rPr>
                <w:rFonts w:ascii="Verdana" w:eastAsia="Verdana" w:hAnsi="Verdana" w:cs="Verdana"/>
                <w:noProof/>
                <w:color w:val="000000"/>
                <w:sz w:val="16"/>
              </w:rPr>
            </w:pPr>
            <w:r>
              <w:rPr>
                <w:rFonts w:ascii="Verdana" w:hAnsi="Verdana"/>
                <w:noProof/>
                <w:color w:val="000000"/>
                <w:sz w:val="16"/>
              </w:rPr>
              <w:t>7</w:t>
            </w:r>
          </w:p>
        </w:tc>
        <w:tc>
          <w:tcPr>
            <w:tcW w:w="4712" w:type="dxa"/>
            <w:tcBorders>
              <w:top w:val="nil"/>
              <w:left w:val="nil"/>
              <w:bottom w:val="nil"/>
              <w:right w:val="nil"/>
              <w:tl2br w:val="nil"/>
              <w:tr2bl w:val="nil"/>
            </w:tcBorders>
            <w:tcMar>
              <w:left w:w="60" w:type="dxa"/>
              <w:right w:w="60" w:type="dxa"/>
            </w:tcMar>
            <w:vAlign w:val="center"/>
          </w:tcPr>
          <w:p>
            <w:pPr>
              <w:pStyle w:val="DMETW36742BIPMFF5RALYoO"/>
              <w:rPr>
                <w:rFonts w:ascii="Verdana" w:eastAsia="Verdana" w:hAnsi="Verdana" w:cs="Verdana"/>
                <w:noProof/>
                <w:color w:val="000000"/>
                <w:sz w:val="16"/>
              </w:rPr>
            </w:pPr>
            <w:r>
              <w:rPr>
                <w:rFonts w:ascii="Verdana" w:hAnsi="Verdana"/>
                <w:noProof/>
                <w:color w:val="000000"/>
                <w:sz w:val="16"/>
              </w:rPr>
              <w:t>Administration publique européenne</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991"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 xml:space="preserve"> 51</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1 083</w:t>
            </w:r>
          </w:p>
        </w:tc>
        <w:tc>
          <w:tcPr>
            <w:tcW w:w="1293"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1 134</w:t>
            </w:r>
          </w:p>
        </w:tc>
      </w:tr>
      <w:tr>
        <w:trPr>
          <w:cantSplit/>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5RALYoO"/>
              <w:rPr>
                <w:rFonts w:ascii="Verdana" w:eastAsia="Verdana" w:hAnsi="Verdana" w:cs="Verdana"/>
                <w:noProof/>
                <w:color w:val="000000"/>
                <w:sz w:val="16"/>
              </w:rPr>
            </w:pPr>
            <w:r>
              <w:rPr>
                <w:rFonts w:ascii="Verdana" w:hAnsi="Verdana"/>
                <w:noProof/>
                <w:color w:val="000000"/>
                <w:sz w:val="16"/>
              </w:rPr>
              <w:t>O</w:t>
            </w:r>
          </w:p>
        </w:tc>
        <w:tc>
          <w:tcPr>
            <w:tcW w:w="4712" w:type="dxa"/>
            <w:tcBorders>
              <w:top w:val="nil"/>
              <w:left w:val="nil"/>
              <w:bottom w:val="nil"/>
              <w:right w:val="nil"/>
              <w:tl2br w:val="nil"/>
              <w:tr2bl w:val="nil"/>
            </w:tcBorders>
            <w:tcMar>
              <w:left w:w="60" w:type="dxa"/>
              <w:right w:w="60" w:type="dxa"/>
            </w:tcMar>
            <w:vAlign w:val="center"/>
          </w:tcPr>
          <w:p>
            <w:pPr>
              <w:pStyle w:val="DMETW36742BIPMFF5RALYoO"/>
              <w:rPr>
                <w:rFonts w:ascii="Verdana" w:eastAsia="Verdana" w:hAnsi="Verdana" w:cs="Verdana"/>
                <w:noProof/>
                <w:color w:val="000000"/>
                <w:sz w:val="16"/>
              </w:rPr>
            </w:pPr>
            <w:r>
              <w:rPr>
                <w:rFonts w:ascii="Verdana" w:hAnsi="Verdana"/>
                <w:noProof/>
                <w:color w:val="000000"/>
                <w:sz w:val="16"/>
              </w:rPr>
              <w:t>Hors CFP</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p>
        </w:tc>
        <w:tc>
          <w:tcPr>
            <w:tcW w:w="991"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8 287</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3 291</w:t>
            </w:r>
          </w:p>
        </w:tc>
        <w:tc>
          <w:tcPr>
            <w:tcW w:w="1293"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11 578</w:t>
            </w:r>
          </w:p>
        </w:tc>
      </w:tr>
      <w:tr>
        <w:trPr>
          <w:cantSplit/>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5RALYoO"/>
              <w:rPr>
                <w:rFonts w:ascii="Verdana" w:eastAsia="Verdana" w:hAnsi="Verdana" w:cs="Verdana"/>
                <w:noProof/>
                <w:color w:val="000000"/>
                <w:sz w:val="16"/>
              </w:rPr>
            </w:pPr>
            <w:r>
              <w:rPr>
                <w:rFonts w:ascii="Verdana" w:hAnsi="Verdana"/>
                <w:noProof/>
                <w:color w:val="000000"/>
                <w:sz w:val="16"/>
              </w:rPr>
              <w:t>S</w:t>
            </w:r>
          </w:p>
        </w:tc>
        <w:tc>
          <w:tcPr>
            <w:tcW w:w="4712" w:type="dxa"/>
            <w:tcBorders>
              <w:top w:val="nil"/>
              <w:left w:val="nil"/>
              <w:bottom w:val="nil"/>
              <w:right w:val="nil"/>
              <w:tl2br w:val="nil"/>
              <w:tr2bl w:val="nil"/>
            </w:tcBorders>
            <w:tcMar>
              <w:left w:w="60" w:type="dxa"/>
              <w:right w:w="60" w:type="dxa"/>
            </w:tcMar>
            <w:vAlign w:val="center"/>
          </w:tcPr>
          <w:p>
            <w:pPr>
              <w:pStyle w:val="DMETW36742BIPMFF5RALYoO"/>
              <w:rPr>
                <w:rFonts w:ascii="Verdana" w:eastAsia="Verdana" w:hAnsi="Verdana" w:cs="Verdana"/>
                <w:noProof/>
                <w:color w:val="000000"/>
                <w:sz w:val="16"/>
              </w:rPr>
            </w:pPr>
            <w:r>
              <w:rPr>
                <w:rFonts w:ascii="Verdana" w:hAnsi="Verdana"/>
                <w:noProof/>
                <w:color w:val="000000"/>
                <w:sz w:val="16"/>
              </w:rPr>
              <w:t>Mécanismes de solidarité à l’intérieur et à l’extérieur de l’Union (instruments spéciaux)</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w:t>
            </w:r>
          </w:p>
        </w:tc>
        <w:tc>
          <w:tcPr>
            <w:tcW w:w="991"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 xml:space="preserve"> 71</w:t>
            </w:r>
          </w:p>
        </w:tc>
        <w:tc>
          <w:tcPr>
            <w:tcW w:w="1293"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 xml:space="preserve"> 71</w:t>
            </w:r>
          </w:p>
        </w:tc>
      </w:tr>
      <w:tr>
        <w:trPr>
          <w:trHeight w:val="255"/>
        </w:trPr>
        <w:tc>
          <w:tcPr>
            <w:tcW w:w="344" w:type="dxa"/>
            <w:tcBorders>
              <w:top w:val="nil"/>
              <w:left w:val="nil"/>
              <w:bottom w:val="nil"/>
              <w:right w:val="nil"/>
              <w:tl2br w:val="nil"/>
              <w:tr2bl w:val="nil"/>
            </w:tcBorders>
            <w:shd w:val="solid" w:color="CCE1EA" w:fill="FFFFFF"/>
            <w:tcMar>
              <w:left w:w="60" w:type="dxa"/>
              <w:right w:w="60" w:type="dxa"/>
            </w:tcMar>
            <w:vAlign w:val="center"/>
          </w:tcPr>
          <w:p>
            <w:pPr>
              <w:pStyle w:val="DMETW36742BIPMFF5RALYoO"/>
              <w:rPr>
                <w:rFonts w:ascii="Verdana" w:eastAsia="Verdana" w:hAnsi="Verdana" w:cs="Verdana"/>
                <w:b/>
                <w:noProof/>
                <w:color w:val="000000"/>
                <w:sz w:val="16"/>
              </w:rPr>
            </w:pPr>
          </w:p>
        </w:tc>
        <w:tc>
          <w:tcPr>
            <w:tcW w:w="4712" w:type="dxa"/>
            <w:tcBorders>
              <w:top w:val="nil"/>
              <w:left w:val="nil"/>
              <w:bottom w:val="nil"/>
              <w:right w:val="nil"/>
              <w:tl2br w:val="nil"/>
              <w:tr2bl w:val="nil"/>
            </w:tcBorders>
            <w:shd w:val="solid" w:color="CCE1EA" w:fill="FFFFFF"/>
            <w:tcMar>
              <w:left w:w="60" w:type="dxa"/>
              <w:right w:w="60" w:type="dxa"/>
            </w:tcMar>
            <w:vAlign w:val="center"/>
          </w:tcPr>
          <w:p>
            <w:pPr>
              <w:pStyle w:val="DMETW36742BIPMFF5RALYoO"/>
              <w:rPr>
                <w:rFonts w:ascii="Verdana" w:eastAsia="Verdana" w:hAnsi="Verdana" w:cs="Verdana"/>
                <w:b/>
                <w:noProof/>
                <w:color w:val="000000"/>
                <w:sz w:val="16"/>
              </w:rPr>
            </w:pPr>
            <w:r>
              <w:rPr>
                <w:rFonts w:ascii="Verdana" w:hAnsi="Verdana"/>
                <w:b/>
                <w:noProof/>
                <w:color w:val="000000"/>
                <w:sz w:val="16"/>
              </w:rPr>
              <w:t>Total</w:t>
            </w:r>
          </w:p>
        </w:tc>
        <w:tc>
          <w:tcPr>
            <w:tcW w:w="919" w:type="dxa"/>
            <w:tcBorders>
              <w:top w:val="nil"/>
              <w:left w:val="nil"/>
              <w:bottom w:val="nil"/>
              <w:right w:val="nil"/>
              <w:tl2br w:val="nil"/>
              <w:tr2bl w:val="nil"/>
            </w:tcBorders>
            <w:shd w:val="solid" w:color="CCE1EA" w:fill="FFFFFF"/>
            <w:tcMar>
              <w:left w:w="60" w:type="dxa"/>
              <w:right w:w="60" w:type="dxa"/>
            </w:tcMar>
            <w:vAlign w:val="center"/>
          </w:tcPr>
          <w:p>
            <w:pPr>
              <w:pStyle w:val="DMETW36742BIPMFF5RALYoO"/>
              <w:jc w:val="right"/>
              <w:rPr>
                <w:rFonts w:ascii="Verdana" w:eastAsia="Verdana" w:hAnsi="Verdana" w:cs="Verdana"/>
                <w:b/>
                <w:noProof/>
                <w:color w:val="000000"/>
                <w:sz w:val="16"/>
              </w:rPr>
            </w:pPr>
            <w:r>
              <w:rPr>
                <w:rFonts w:ascii="Verdana" w:hAnsi="Verdana"/>
                <w:b/>
                <w:noProof/>
                <w:color w:val="000000"/>
                <w:sz w:val="16"/>
              </w:rPr>
              <w:t>5 623</w:t>
            </w:r>
          </w:p>
        </w:tc>
        <w:tc>
          <w:tcPr>
            <w:tcW w:w="919" w:type="dxa"/>
            <w:tcBorders>
              <w:top w:val="nil"/>
              <w:left w:val="nil"/>
              <w:bottom w:val="nil"/>
              <w:right w:val="nil"/>
              <w:tl2br w:val="nil"/>
              <w:tr2bl w:val="nil"/>
            </w:tcBorders>
            <w:shd w:val="solid" w:color="CCE1EA" w:fill="FFFFFF"/>
            <w:tcMar>
              <w:left w:w="60" w:type="dxa"/>
              <w:right w:w="60" w:type="dxa"/>
            </w:tcMar>
            <w:vAlign w:val="center"/>
          </w:tcPr>
          <w:p>
            <w:pPr>
              <w:pStyle w:val="DMETW36742BIPMFF5RALYoO"/>
              <w:jc w:val="right"/>
              <w:rPr>
                <w:rFonts w:ascii="Verdana" w:eastAsia="Verdana" w:hAnsi="Verdana" w:cs="Verdana"/>
                <w:b/>
                <w:noProof/>
                <w:color w:val="000000"/>
                <w:sz w:val="16"/>
              </w:rPr>
            </w:pPr>
            <w:r>
              <w:rPr>
                <w:rFonts w:ascii="Verdana" w:hAnsi="Verdana"/>
                <w:b/>
                <w:noProof/>
                <w:color w:val="000000"/>
                <w:sz w:val="16"/>
              </w:rPr>
              <w:t>2 588</w:t>
            </w:r>
          </w:p>
        </w:tc>
        <w:tc>
          <w:tcPr>
            <w:tcW w:w="919" w:type="dxa"/>
            <w:tcBorders>
              <w:top w:val="nil"/>
              <w:left w:val="nil"/>
              <w:bottom w:val="nil"/>
              <w:right w:val="nil"/>
              <w:tl2br w:val="nil"/>
              <w:tr2bl w:val="nil"/>
            </w:tcBorders>
            <w:shd w:val="solid" w:color="CCE1EA" w:fill="FFFFFF"/>
            <w:tcMar>
              <w:left w:w="60" w:type="dxa"/>
              <w:right w:w="60" w:type="dxa"/>
            </w:tcMar>
            <w:vAlign w:val="center"/>
          </w:tcPr>
          <w:p>
            <w:pPr>
              <w:pStyle w:val="DMETW36742BIPMFF5RALYoO"/>
              <w:jc w:val="right"/>
              <w:rPr>
                <w:rFonts w:ascii="Verdana" w:eastAsia="Verdana" w:hAnsi="Verdana" w:cs="Verdana"/>
                <w:b/>
                <w:noProof/>
                <w:color w:val="000000"/>
                <w:sz w:val="16"/>
              </w:rPr>
            </w:pPr>
            <w:r>
              <w:rPr>
                <w:rFonts w:ascii="Verdana" w:hAnsi="Verdana"/>
                <w:b/>
                <w:noProof/>
                <w:color w:val="000000"/>
                <w:sz w:val="16"/>
              </w:rPr>
              <w:t>4 086</w:t>
            </w:r>
          </w:p>
        </w:tc>
        <w:tc>
          <w:tcPr>
            <w:tcW w:w="919" w:type="dxa"/>
            <w:tcBorders>
              <w:top w:val="nil"/>
              <w:left w:val="nil"/>
              <w:bottom w:val="nil"/>
              <w:right w:val="nil"/>
              <w:tl2br w:val="nil"/>
              <w:tr2bl w:val="nil"/>
            </w:tcBorders>
            <w:shd w:val="solid" w:color="CCE1EA" w:fill="FFFFFF"/>
            <w:tcMar>
              <w:left w:w="60" w:type="dxa"/>
              <w:right w:w="60" w:type="dxa"/>
            </w:tcMar>
            <w:vAlign w:val="center"/>
          </w:tcPr>
          <w:p>
            <w:pPr>
              <w:pStyle w:val="DMETW36742BIPMFF5RALYoO"/>
              <w:jc w:val="right"/>
              <w:rPr>
                <w:rFonts w:ascii="Verdana" w:eastAsia="Verdana" w:hAnsi="Verdana" w:cs="Verdana"/>
                <w:b/>
                <w:noProof/>
                <w:color w:val="000000"/>
                <w:sz w:val="16"/>
              </w:rPr>
            </w:pPr>
            <w:r>
              <w:rPr>
                <w:rFonts w:ascii="Verdana" w:hAnsi="Verdana"/>
                <w:b/>
                <w:noProof/>
                <w:color w:val="000000"/>
                <w:sz w:val="16"/>
              </w:rPr>
              <w:t>6 605</w:t>
            </w:r>
          </w:p>
        </w:tc>
        <w:tc>
          <w:tcPr>
            <w:tcW w:w="919" w:type="dxa"/>
            <w:tcBorders>
              <w:top w:val="nil"/>
              <w:left w:val="nil"/>
              <w:bottom w:val="nil"/>
              <w:right w:val="nil"/>
              <w:tl2br w:val="nil"/>
              <w:tr2bl w:val="nil"/>
            </w:tcBorders>
            <w:shd w:val="solid" w:color="CCE1EA" w:fill="FFFFFF"/>
            <w:tcMar>
              <w:left w:w="60" w:type="dxa"/>
              <w:right w:w="60" w:type="dxa"/>
            </w:tcMar>
            <w:vAlign w:val="center"/>
          </w:tcPr>
          <w:p>
            <w:pPr>
              <w:pStyle w:val="DMETW36742BIPMFF5RALYoO"/>
              <w:jc w:val="right"/>
              <w:rPr>
                <w:rFonts w:ascii="Verdana" w:eastAsia="Verdana" w:hAnsi="Verdana" w:cs="Verdana"/>
                <w:b/>
                <w:noProof/>
                <w:color w:val="000000"/>
                <w:sz w:val="16"/>
              </w:rPr>
            </w:pPr>
            <w:r>
              <w:rPr>
                <w:rFonts w:ascii="Verdana" w:hAnsi="Verdana"/>
                <w:b/>
                <w:noProof/>
                <w:color w:val="000000"/>
                <w:sz w:val="16"/>
              </w:rPr>
              <w:t>7 265</w:t>
            </w:r>
          </w:p>
        </w:tc>
        <w:tc>
          <w:tcPr>
            <w:tcW w:w="919" w:type="dxa"/>
            <w:tcBorders>
              <w:top w:val="nil"/>
              <w:left w:val="nil"/>
              <w:bottom w:val="nil"/>
              <w:right w:val="nil"/>
              <w:tl2br w:val="nil"/>
              <w:tr2bl w:val="nil"/>
            </w:tcBorders>
            <w:shd w:val="solid" w:color="CCE1EA" w:fill="FFFFFF"/>
            <w:tcMar>
              <w:left w:w="60" w:type="dxa"/>
              <w:right w:w="60" w:type="dxa"/>
            </w:tcMar>
            <w:vAlign w:val="center"/>
          </w:tcPr>
          <w:p>
            <w:pPr>
              <w:pStyle w:val="DMETW36742BIPMFF5RALYoO"/>
              <w:jc w:val="right"/>
              <w:rPr>
                <w:rFonts w:ascii="Verdana" w:eastAsia="Verdana" w:hAnsi="Verdana" w:cs="Verdana"/>
                <w:b/>
                <w:noProof/>
                <w:color w:val="000000"/>
                <w:sz w:val="16"/>
              </w:rPr>
            </w:pPr>
            <w:r>
              <w:rPr>
                <w:rFonts w:ascii="Verdana" w:hAnsi="Verdana"/>
                <w:b/>
                <w:noProof/>
                <w:color w:val="000000"/>
                <w:sz w:val="16"/>
              </w:rPr>
              <w:t>28 101</w:t>
            </w:r>
          </w:p>
        </w:tc>
        <w:tc>
          <w:tcPr>
            <w:tcW w:w="919" w:type="dxa"/>
            <w:tcBorders>
              <w:top w:val="nil"/>
              <w:left w:val="nil"/>
              <w:bottom w:val="nil"/>
              <w:right w:val="nil"/>
              <w:tl2br w:val="nil"/>
              <w:tr2bl w:val="nil"/>
            </w:tcBorders>
            <w:shd w:val="solid" w:color="CCE1EA" w:fill="FFFFFF"/>
            <w:tcMar>
              <w:left w:w="60" w:type="dxa"/>
              <w:right w:w="60" w:type="dxa"/>
            </w:tcMar>
            <w:vAlign w:val="center"/>
          </w:tcPr>
          <w:p>
            <w:pPr>
              <w:pStyle w:val="DMETW36742BIPMFF5RALYoO"/>
              <w:jc w:val="right"/>
              <w:rPr>
                <w:rFonts w:ascii="Verdana" w:eastAsia="Verdana" w:hAnsi="Verdana" w:cs="Verdana"/>
                <w:b/>
                <w:noProof/>
                <w:color w:val="000000"/>
                <w:sz w:val="16"/>
              </w:rPr>
            </w:pPr>
            <w:r>
              <w:rPr>
                <w:rFonts w:ascii="Verdana" w:hAnsi="Verdana"/>
                <w:b/>
                <w:noProof/>
                <w:color w:val="000000"/>
                <w:sz w:val="16"/>
              </w:rPr>
              <w:t>71 232</w:t>
            </w:r>
          </w:p>
        </w:tc>
        <w:tc>
          <w:tcPr>
            <w:tcW w:w="991" w:type="dxa"/>
            <w:tcBorders>
              <w:top w:val="nil"/>
              <w:left w:val="nil"/>
              <w:bottom w:val="nil"/>
              <w:right w:val="nil"/>
              <w:tl2br w:val="nil"/>
              <w:tr2bl w:val="nil"/>
            </w:tcBorders>
            <w:shd w:val="solid" w:color="CCE1EA" w:fill="FFFFFF"/>
            <w:tcMar>
              <w:left w:w="60" w:type="dxa"/>
              <w:right w:w="60" w:type="dxa"/>
            </w:tcMar>
            <w:vAlign w:val="center"/>
          </w:tcPr>
          <w:p>
            <w:pPr>
              <w:pStyle w:val="DMETW36742BIPMFF5RALYoO"/>
              <w:jc w:val="right"/>
              <w:rPr>
                <w:rFonts w:ascii="Verdana" w:eastAsia="Verdana" w:hAnsi="Verdana" w:cs="Verdana"/>
                <w:b/>
                <w:noProof/>
                <w:color w:val="000000"/>
                <w:sz w:val="16"/>
              </w:rPr>
            </w:pPr>
            <w:r>
              <w:rPr>
                <w:rFonts w:ascii="Verdana" w:hAnsi="Verdana"/>
                <w:b/>
                <w:noProof/>
                <w:color w:val="000000"/>
                <w:sz w:val="16"/>
              </w:rPr>
              <w:t>247 636</w:t>
            </w:r>
          </w:p>
        </w:tc>
        <w:tc>
          <w:tcPr>
            <w:tcW w:w="919" w:type="dxa"/>
            <w:tcBorders>
              <w:top w:val="nil"/>
              <w:left w:val="nil"/>
              <w:bottom w:val="nil"/>
              <w:right w:val="nil"/>
              <w:tl2br w:val="nil"/>
              <w:tr2bl w:val="nil"/>
            </w:tcBorders>
            <w:shd w:val="solid" w:color="CCE1EA" w:fill="FFFFFF"/>
            <w:tcMar>
              <w:left w:w="60" w:type="dxa"/>
              <w:right w:w="60" w:type="dxa"/>
            </w:tcMar>
            <w:vAlign w:val="center"/>
          </w:tcPr>
          <w:p>
            <w:pPr>
              <w:pStyle w:val="DMETW36742BIPMFF5RALYoO"/>
              <w:jc w:val="right"/>
              <w:rPr>
                <w:rFonts w:ascii="Verdana" w:eastAsia="Verdana" w:hAnsi="Verdana" w:cs="Verdana"/>
                <w:b/>
                <w:noProof/>
                <w:color w:val="000000"/>
                <w:sz w:val="16"/>
              </w:rPr>
            </w:pPr>
            <w:r>
              <w:rPr>
                <w:rFonts w:ascii="Verdana" w:hAnsi="Verdana"/>
                <w:b/>
                <w:noProof/>
                <w:color w:val="000000"/>
                <w:sz w:val="16"/>
              </w:rPr>
              <w:t>127 948</w:t>
            </w:r>
          </w:p>
        </w:tc>
        <w:tc>
          <w:tcPr>
            <w:tcW w:w="1293" w:type="dxa"/>
            <w:tcBorders>
              <w:top w:val="nil"/>
              <w:left w:val="nil"/>
              <w:bottom w:val="nil"/>
              <w:right w:val="nil"/>
              <w:tl2br w:val="nil"/>
              <w:tr2bl w:val="nil"/>
            </w:tcBorders>
            <w:shd w:val="solid" w:color="CCE1EA" w:fill="FFFFFF"/>
            <w:tcMar>
              <w:left w:w="60" w:type="dxa"/>
              <w:right w:w="60" w:type="dxa"/>
            </w:tcMar>
            <w:vAlign w:val="center"/>
          </w:tcPr>
          <w:p>
            <w:pPr>
              <w:pStyle w:val="DMETW36742BIPMFF5RALYoO"/>
              <w:jc w:val="right"/>
              <w:rPr>
                <w:rFonts w:ascii="Verdana" w:eastAsia="Verdana" w:hAnsi="Verdana" w:cs="Verdana"/>
                <w:b/>
                <w:noProof/>
                <w:color w:val="000000"/>
                <w:sz w:val="16"/>
              </w:rPr>
            </w:pPr>
            <w:r>
              <w:rPr>
                <w:rFonts w:ascii="Verdana" w:hAnsi="Verdana"/>
                <w:b/>
                <w:noProof/>
                <w:color w:val="000000"/>
                <w:sz w:val="16"/>
              </w:rPr>
              <w:t>501 084</w:t>
            </w:r>
          </w:p>
        </w:tc>
      </w:tr>
    </w:tbl>
    <w:p>
      <w:pPr>
        <w:pStyle w:val="Textstand-alone"/>
      </w:pPr>
    </w:p>
    <w:p>
      <w:pPr>
        <w:pStyle w:val="Textstand-alone"/>
      </w:pPr>
    </w:p>
    <w:p>
      <w:pPr>
        <w:pStyle w:val="Textstand-alone"/>
      </w:pPr>
    </w:p>
    <w:p>
      <w:pPr>
        <w:pStyle w:val="Textstand-alone"/>
      </w:pPr>
    </w:p>
    <w:p>
      <w:pPr>
        <w:pStyle w:val="Textstand-alone"/>
        <w:rPr>
          <w:rFonts w:cstheme="minorHAnsi"/>
          <w:sz w:val="16"/>
          <w:szCs w:val="20"/>
        </w:rPr>
      </w:pPr>
    </w:p>
    <w:p>
      <w:pPr>
        <w:pStyle w:val="Textstand-alone"/>
      </w:pPr>
    </w:p>
    <w:p>
      <w:pPr>
        <w:pStyle w:val="Textstand-alone"/>
        <w:sectPr>
          <w:headerReference w:type="default" r:id="rId173"/>
          <w:footerReference w:type="default" r:id="rId174"/>
          <w:type w:val="nextColumn"/>
          <w:pgSz w:w="16840" w:h="11900" w:orient="landscape"/>
          <w:pgMar w:top="1134" w:right="1134" w:bottom="1134" w:left="1134" w:header="720" w:footer="720" w:gutter="0"/>
          <w:cols w:space="720"/>
          <w:docGrid w:linePitch="272"/>
        </w:sectPr>
      </w:pPr>
    </w:p>
    <w:p>
      <w:pPr>
        <w:pStyle w:val="HEADER2PartBUDG"/>
        <w:spacing w:before="120" w:after="0"/>
        <w:ind w:left="357" w:hanging="357"/>
        <w:rPr>
          <w:noProof/>
        </w:rPr>
      </w:pPr>
      <w:bookmarkStart w:id="305" w:name="_Toc237349639"/>
      <w:r>
        <w:rPr>
          <w:noProof/>
        </w:rPr>
        <w:lastRenderedPageBreak/>
        <w:t>CFP DÉTAILLÉ: COMPOSITION ET ÉVOLUTION DES CRÉDITS D’ENGAGEMENT ET DE PAIEMENT</w:t>
      </w:r>
      <w:bookmarkEnd w:id="3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4"/>
        <w:gridCol w:w="3839"/>
        <w:gridCol w:w="875"/>
        <w:gridCol w:w="875"/>
        <w:gridCol w:w="875"/>
        <w:gridCol w:w="876"/>
        <w:gridCol w:w="876"/>
        <w:gridCol w:w="876"/>
        <w:gridCol w:w="876"/>
        <w:gridCol w:w="876"/>
        <w:gridCol w:w="876"/>
        <w:gridCol w:w="876"/>
        <w:gridCol w:w="876"/>
        <w:gridCol w:w="876"/>
      </w:tblGrid>
      <w:tr>
        <w:trPr>
          <w:trHeight w:hRule="exact" w:val="255"/>
          <w:tblHeader/>
        </w:trPr>
        <w:tc>
          <w:tcPr>
            <w:tcW w:w="14692" w:type="dxa"/>
            <w:gridSpan w:val="14"/>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i/>
                <w:noProof/>
                <w:color w:val="000000"/>
                <w:sz w:val="16"/>
              </w:rPr>
            </w:pPr>
            <w:bookmarkStart w:id="306" w:name="DOC_TBL00119_1_1"/>
            <w:bookmarkEnd w:id="306"/>
            <w:r>
              <w:rPr>
                <w:rFonts w:ascii="Verdana" w:hAnsi="Verdana"/>
                <w:i/>
                <w:noProof/>
                <w:color w:val="000000"/>
                <w:sz w:val="16"/>
              </w:rPr>
              <w:t>en Mio EUR</w:t>
            </w:r>
          </w:p>
        </w:tc>
      </w:tr>
      <w:tr>
        <w:trPr>
          <w:trHeight w:hRule="exact" w:val="255"/>
          <w:tblHeader/>
        </w:trPr>
        <w:tc>
          <w:tcPr>
            <w:tcW w:w="344"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1Breakdown"/>
              <w:rPr>
                <w:rFonts w:ascii="Verdana" w:eastAsia="Verdana" w:hAnsi="Verdana" w:cs="Verdana"/>
                <w:b/>
                <w:noProof/>
                <w:color w:val="FFFFFF"/>
                <w:sz w:val="16"/>
              </w:rPr>
            </w:pPr>
          </w:p>
        </w:tc>
        <w:tc>
          <w:tcPr>
            <w:tcW w:w="3839"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1Breakdown"/>
              <w:rPr>
                <w:rFonts w:ascii="Verdana" w:eastAsia="Verdana" w:hAnsi="Verdana" w:cs="Verdana"/>
                <w:b/>
                <w:noProof/>
                <w:color w:val="FFFFFF"/>
                <w:sz w:val="16"/>
              </w:rPr>
            </w:pPr>
          </w:p>
        </w:tc>
        <w:tc>
          <w:tcPr>
            <w:tcW w:w="5253" w:type="dxa"/>
            <w:gridSpan w:val="6"/>
            <w:tcBorders>
              <w:top w:val="nil"/>
              <w:left w:val="nil"/>
              <w:bottom w:val="nil"/>
              <w:right w:val="nil"/>
              <w:tl2br w:val="nil"/>
              <w:tr2bl w:val="nil"/>
            </w:tcBorders>
            <w:shd w:val="solid" w:color="016794" w:fill="FFFFFF"/>
            <w:tcMar>
              <w:left w:w="60" w:type="dxa"/>
              <w:right w:w="60" w:type="dxa"/>
            </w:tcMar>
            <w:vAlign w:val="center"/>
          </w:tcPr>
          <w:p>
            <w:pPr>
              <w:pStyle w:val="DMETW36742BIPDetailedMFF1Breakdown"/>
              <w:jc w:val="center"/>
              <w:rPr>
                <w:rFonts w:ascii="Verdana" w:eastAsia="Verdana" w:hAnsi="Verdana" w:cs="Verdana"/>
                <w:b/>
                <w:noProof/>
                <w:color w:val="FFFFFF"/>
                <w:sz w:val="16"/>
              </w:rPr>
            </w:pPr>
            <w:r>
              <w:rPr>
                <w:rFonts w:ascii="Verdana" w:hAnsi="Verdana"/>
                <w:b/>
                <w:noProof/>
                <w:color w:val="FFFFFF"/>
                <w:sz w:val="16"/>
              </w:rPr>
              <w:t>Crédits d’engagement</w:t>
            </w:r>
          </w:p>
        </w:tc>
        <w:tc>
          <w:tcPr>
            <w:tcW w:w="5256" w:type="dxa"/>
            <w:gridSpan w:val="6"/>
            <w:tcBorders>
              <w:top w:val="nil"/>
              <w:left w:val="nil"/>
              <w:bottom w:val="nil"/>
              <w:right w:val="nil"/>
              <w:tl2br w:val="nil"/>
              <w:tr2bl w:val="nil"/>
            </w:tcBorders>
            <w:shd w:val="solid" w:color="016794" w:fill="FFFFFF"/>
            <w:tcMar>
              <w:left w:w="60" w:type="dxa"/>
              <w:right w:w="60" w:type="dxa"/>
            </w:tcMar>
            <w:vAlign w:val="center"/>
          </w:tcPr>
          <w:p>
            <w:pPr>
              <w:pStyle w:val="DMETW36742BIPDetailedMFF1Breakdown"/>
              <w:jc w:val="center"/>
              <w:rPr>
                <w:rFonts w:ascii="Verdana" w:eastAsia="Verdana" w:hAnsi="Verdana" w:cs="Verdana"/>
                <w:b/>
                <w:noProof/>
                <w:color w:val="FFFFFF"/>
                <w:sz w:val="16"/>
              </w:rPr>
            </w:pPr>
            <w:r>
              <w:rPr>
                <w:rFonts w:ascii="Verdana" w:hAnsi="Verdana"/>
                <w:b/>
                <w:noProof/>
                <w:color w:val="FFFFFF"/>
                <w:sz w:val="16"/>
              </w:rPr>
              <w:t>Crédits de paiement</w:t>
            </w:r>
          </w:p>
        </w:tc>
      </w:tr>
      <w:tr>
        <w:trPr>
          <w:trHeight w:hRule="exact" w:val="658"/>
          <w:tblHeader/>
        </w:trPr>
        <w:tc>
          <w:tcPr>
            <w:tcW w:w="344"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1Breakdown"/>
              <w:jc w:val="center"/>
              <w:rPr>
                <w:rFonts w:ascii="Verdana" w:eastAsia="Verdana" w:hAnsi="Verdana" w:cs="Verdana"/>
                <w:noProof/>
                <w:color w:val="FFFFFF"/>
                <w:sz w:val="16"/>
              </w:rPr>
            </w:pPr>
          </w:p>
        </w:tc>
        <w:tc>
          <w:tcPr>
            <w:tcW w:w="3839"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1Breakdown"/>
              <w:jc w:val="center"/>
              <w:rPr>
                <w:rFonts w:ascii="Verdana" w:eastAsia="Verdana" w:hAnsi="Verdana" w:cs="Verdana"/>
                <w:noProof/>
                <w:color w:val="FFFFFF"/>
                <w:sz w:val="16"/>
              </w:rPr>
            </w:pPr>
          </w:p>
        </w:tc>
        <w:tc>
          <w:tcPr>
            <w:tcW w:w="2625" w:type="dxa"/>
            <w:gridSpan w:val="3"/>
            <w:tcBorders>
              <w:top w:val="nil"/>
              <w:left w:val="nil"/>
              <w:bottom w:val="nil"/>
              <w:right w:val="nil"/>
              <w:tl2br w:val="nil"/>
              <w:tr2bl w:val="nil"/>
            </w:tcBorders>
            <w:shd w:val="solid" w:color="016794" w:fill="FFFFFF"/>
            <w:tcMar>
              <w:left w:w="60" w:type="dxa"/>
              <w:right w:w="60" w:type="dxa"/>
            </w:tcMar>
            <w:vAlign w:val="center"/>
          </w:tcPr>
          <w:p>
            <w:pPr>
              <w:pStyle w:val="DMETW36742BIPDetailedMFF1Breakdown"/>
              <w:jc w:val="center"/>
              <w:rPr>
                <w:rFonts w:ascii="Verdana" w:eastAsia="Verdana" w:hAnsi="Verdana" w:cs="Verdana"/>
                <w:noProof/>
                <w:color w:val="FFFFFF"/>
                <w:sz w:val="16"/>
              </w:rPr>
            </w:pPr>
            <w:r>
              <w:rPr>
                <w:rFonts w:ascii="Verdana" w:hAnsi="Verdana"/>
                <w:noProof/>
                <w:color w:val="FFFFFF"/>
                <w:sz w:val="16"/>
              </w:rPr>
              <w:t>Crédits budgétaires</w:t>
            </w:r>
          </w:p>
        </w:tc>
        <w:tc>
          <w:tcPr>
            <w:tcW w:w="1752" w:type="dxa"/>
            <w:gridSpan w:val="2"/>
            <w:tcBorders>
              <w:top w:val="nil"/>
              <w:left w:val="nil"/>
              <w:bottom w:val="nil"/>
              <w:right w:val="nil"/>
              <w:tl2br w:val="nil"/>
              <w:tr2bl w:val="nil"/>
            </w:tcBorders>
            <w:shd w:val="solid" w:color="016794" w:fill="FFFFFF"/>
            <w:tcMar>
              <w:left w:w="60" w:type="dxa"/>
              <w:right w:w="60" w:type="dxa"/>
            </w:tcMar>
            <w:vAlign w:val="center"/>
          </w:tcPr>
          <w:p>
            <w:pPr>
              <w:pStyle w:val="DMETW36742BIPDetailedMFF1Breakdown"/>
              <w:jc w:val="center"/>
              <w:rPr>
                <w:rFonts w:ascii="Verdana" w:eastAsia="Verdana" w:hAnsi="Verdana" w:cs="Verdana"/>
                <w:noProof/>
                <w:color w:val="FFFFFF"/>
                <w:sz w:val="16"/>
              </w:rPr>
            </w:pPr>
            <w:r>
              <w:rPr>
                <w:rFonts w:ascii="Verdana" w:hAnsi="Verdana"/>
                <w:noProof/>
                <w:color w:val="FFFFFF"/>
                <w:sz w:val="16"/>
              </w:rPr>
              <w:t>Crédits supplémentaires</w:t>
            </w:r>
          </w:p>
        </w:tc>
        <w:tc>
          <w:tcPr>
            <w:tcW w:w="876"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742BIPDetailedMFF1Breakdown"/>
              <w:jc w:val="center"/>
              <w:rPr>
                <w:rFonts w:ascii="Verdana" w:eastAsia="Verdana" w:hAnsi="Verdana" w:cs="Verdana"/>
                <w:noProof/>
                <w:color w:val="FFFFFF"/>
                <w:sz w:val="16"/>
              </w:rPr>
            </w:pPr>
            <w:r>
              <w:rPr>
                <w:rFonts w:ascii="Verdana" w:hAnsi="Verdana"/>
                <w:noProof/>
                <w:color w:val="FFFFFF"/>
                <w:sz w:val="16"/>
              </w:rPr>
              <w:t>Total crédits disponibles</w:t>
            </w:r>
          </w:p>
        </w:tc>
        <w:tc>
          <w:tcPr>
            <w:tcW w:w="2628" w:type="dxa"/>
            <w:gridSpan w:val="3"/>
            <w:tcBorders>
              <w:top w:val="nil"/>
              <w:left w:val="nil"/>
              <w:bottom w:val="nil"/>
              <w:right w:val="nil"/>
              <w:tl2br w:val="nil"/>
              <w:tr2bl w:val="nil"/>
            </w:tcBorders>
            <w:shd w:val="solid" w:color="016794" w:fill="FFFFFF"/>
            <w:tcMar>
              <w:left w:w="60" w:type="dxa"/>
              <w:right w:w="60" w:type="dxa"/>
            </w:tcMar>
            <w:vAlign w:val="center"/>
          </w:tcPr>
          <w:p>
            <w:pPr>
              <w:pStyle w:val="DMETW36742BIPDetailedMFF1Breakdown"/>
              <w:jc w:val="center"/>
              <w:rPr>
                <w:rFonts w:ascii="Verdana" w:eastAsia="Verdana" w:hAnsi="Verdana" w:cs="Verdana"/>
                <w:noProof/>
                <w:color w:val="FFFFFF"/>
                <w:sz w:val="16"/>
              </w:rPr>
            </w:pPr>
            <w:r>
              <w:rPr>
                <w:rFonts w:ascii="Verdana" w:hAnsi="Verdana"/>
                <w:noProof/>
                <w:color w:val="FFFFFF"/>
                <w:sz w:val="16"/>
              </w:rPr>
              <w:t>Crédits budgétaires</w:t>
            </w:r>
          </w:p>
        </w:tc>
        <w:tc>
          <w:tcPr>
            <w:tcW w:w="1752" w:type="dxa"/>
            <w:gridSpan w:val="2"/>
            <w:tcBorders>
              <w:top w:val="nil"/>
              <w:left w:val="nil"/>
              <w:bottom w:val="nil"/>
              <w:right w:val="nil"/>
              <w:tl2br w:val="nil"/>
              <w:tr2bl w:val="nil"/>
            </w:tcBorders>
            <w:shd w:val="solid" w:color="016794" w:fill="FFFFFF"/>
            <w:tcMar>
              <w:left w:w="60" w:type="dxa"/>
              <w:right w:w="60" w:type="dxa"/>
            </w:tcMar>
            <w:vAlign w:val="center"/>
          </w:tcPr>
          <w:p>
            <w:pPr>
              <w:pStyle w:val="DMETW36742BIPDetailedMFF1Breakdown"/>
              <w:jc w:val="center"/>
              <w:rPr>
                <w:rFonts w:ascii="Verdana" w:eastAsia="Verdana" w:hAnsi="Verdana" w:cs="Verdana"/>
                <w:noProof/>
                <w:color w:val="FFFFFF"/>
                <w:sz w:val="16"/>
              </w:rPr>
            </w:pPr>
            <w:r>
              <w:rPr>
                <w:rFonts w:ascii="Verdana" w:hAnsi="Verdana"/>
                <w:noProof/>
                <w:color w:val="FFFFFF"/>
                <w:sz w:val="16"/>
              </w:rPr>
              <w:t>Crédits supplémentaires</w:t>
            </w:r>
          </w:p>
        </w:tc>
        <w:tc>
          <w:tcPr>
            <w:tcW w:w="876"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742BIPDetailedMFF1Breakdown"/>
              <w:jc w:val="center"/>
              <w:rPr>
                <w:rFonts w:ascii="Verdana" w:eastAsia="Verdana" w:hAnsi="Verdana" w:cs="Verdana"/>
                <w:noProof/>
                <w:color w:val="FFFFFF"/>
                <w:sz w:val="16"/>
              </w:rPr>
            </w:pPr>
            <w:r>
              <w:rPr>
                <w:rFonts w:ascii="Verdana" w:hAnsi="Verdana"/>
                <w:noProof/>
                <w:color w:val="FFFFFF"/>
                <w:sz w:val="16"/>
              </w:rPr>
              <w:t>Total crédits disponibles</w:t>
            </w:r>
          </w:p>
        </w:tc>
      </w:tr>
      <w:tr>
        <w:trPr>
          <w:trHeight w:hRule="exact" w:val="1116"/>
          <w:tblHeader/>
        </w:trPr>
        <w:tc>
          <w:tcPr>
            <w:tcW w:w="344"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1Breakdown"/>
              <w:jc w:val="center"/>
              <w:rPr>
                <w:rFonts w:ascii="Verdana" w:eastAsia="Verdana" w:hAnsi="Verdana" w:cs="Verdana"/>
                <w:noProof/>
                <w:color w:val="FFFFFF"/>
                <w:sz w:val="16"/>
              </w:rPr>
            </w:pPr>
          </w:p>
        </w:tc>
        <w:tc>
          <w:tcPr>
            <w:tcW w:w="3839"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1Breakdown"/>
              <w:jc w:val="center"/>
              <w:rPr>
                <w:rFonts w:ascii="Verdana" w:eastAsia="Verdana" w:hAnsi="Verdana" w:cs="Verdana"/>
                <w:noProof/>
                <w:color w:val="FFFFFF"/>
                <w:sz w:val="16"/>
              </w:rPr>
            </w:pPr>
            <w:r>
              <w:rPr>
                <w:rFonts w:ascii="Verdana" w:hAnsi="Verdana"/>
                <w:noProof/>
                <w:color w:val="FFFFFF"/>
                <w:sz w:val="16"/>
              </w:rPr>
              <w:t>Rubrique du CFP</w:t>
            </w:r>
          </w:p>
        </w:tc>
        <w:tc>
          <w:tcPr>
            <w:tcW w:w="875"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1Breakdown"/>
              <w:jc w:val="center"/>
              <w:rPr>
                <w:rFonts w:ascii="Verdana" w:eastAsia="Verdana" w:hAnsi="Verdana" w:cs="Verdana"/>
                <w:noProof/>
                <w:color w:val="FFFFFF"/>
                <w:sz w:val="16"/>
              </w:rPr>
            </w:pPr>
            <w:r>
              <w:rPr>
                <w:rFonts w:ascii="Verdana" w:hAnsi="Verdana"/>
                <w:noProof/>
                <w:color w:val="FFFFFF"/>
                <w:sz w:val="16"/>
              </w:rPr>
              <w:t>Budget initial adopté</w:t>
            </w:r>
          </w:p>
        </w:tc>
        <w:tc>
          <w:tcPr>
            <w:tcW w:w="875"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1Breakdown"/>
              <w:jc w:val="center"/>
              <w:rPr>
                <w:rFonts w:ascii="Verdana" w:eastAsia="Verdana" w:hAnsi="Verdana" w:cs="Verdana"/>
                <w:noProof/>
                <w:color w:val="FFFFFF"/>
                <w:sz w:val="16"/>
              </w:rPr>
            </w:pPr>
            <w:r>
              <w:rPr>
                <w:rFonts w:ascii="Verdana" w:hAnsi="Verdana"/>
                <w:noProof/>
                <w:color w:val="FFFFFF"/>
                <w:sz w:val="16"/>
              </w:rPr>
              <w:t>Budgets rectificatifs et virements</w:t>
            </w:r>
          </w:p>
        </w:tc>
        <w:tc>
          <w:tcPr>
            <w:tcW w:w="875"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1Breakdown"/>
              <w:jc w:val="center"/>
              <w:rPr>
                <w:rFonts w:ascii="Verdana" w:eastAsia="Verdana" w:hAnsi="Verdana" w:cs="Verdana"/>
                <w:noProof/>
                <w:color w:val="FFFFFF"/>
                <w:sz w:val="16"/>
              </w:rPr>
            </w:pPr>
            <w:r>
              <w:rPr>
                <w:rFonts w:ascii="Verdana" w:hAnsi="Verdana"/>
                <w:noProof/>
                <w:color w:val="FFFFFF"/>
                <w:sz w:val="16"/>
              </w:rPr>
              <w:t>Budget définitif adopté</w:t>
            </w:r>
          </w:p>
        </w:tc>
        <w:tc>
          <w:tcPr>
            <w:tcW w:w="876"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1Breakdown"/>
              <w:jc w:val="center"/>
              <w:rPr>
                <w:rFonts w:ascii="Verdana" w:eastAsia="Verdana" w:hAnsi="Verdana" w:cs="Verdana"/>
                <w:noProof/>
                <w:color w:val="FFFFFF"/>
                <w:sz w:val="16"/>
              </w:rPr>
            </w:pPr>
            <w:r>
              <w:rPr>
                <w:rFonts w:ascii="Verdana" w:hAnsi="Verdana"/>
                <w:noProof/>
                <w:color w:val="FFFFFF"/>
                <w:sz w:val="16"/>
              </w:rPr>
              <w:t>Crédits reportés</w:t>
            </w:r>
          </w:p>
        </w:tc>
        <w:tc>
          <w:tcPr>
            <w:tcW w:w="876"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1Breakdown"/>
              <w:jc w:val="center"/>
              <w:rPr>
                <w:rFonts w:ascii="Verdana" w:eastAsia="Verdana" w:hAnsi="Verdana" w:cs="Verdana"/>
                <w:noProof/>
                <w:color w:val="FFFFFF"/>
                <w:sz w:val="16"/>
              </w:rPr>
            </w:pPr>
            <w:r>
              <w:rPr>
                <w:rFonts w:ascii="Verdana" w:hAnsi="Verdana"/>
                <w:noProof/>
                <w:color w:val="FFFFFF"/>
                <w:sz w:val="16"/>
              </w:rPr>
              <w:t>Recettes affectées</w:t>
            </w:r>
          </w:p>
        </w:tc>
        <w:tc>
          <w:tcPr>
            <w:tcW w:w="876" w:type="dxa"/>
            <w:vMerge/>
            <w:tcBorders>
              <w:top w:val="nil"/>
              <w:left w:val="nil"/>
              <w:bottom w:val="nil"/>
              <w:right w:val="nil"/>
              <w:tl2br w:val="nil"/>
              <w:tr2bl w:val="nil"/>
            </w:tcBorders>
            <w:shd w:val="solid" w:color="016794" w:fill="FFFFFF"/>
            <w:tcMar>
              <w:left w:w="60" w:type="dxa"/>
              <w:right w:w="60" w:type="dxa"/>
            </w:tcMar>
            <w:vAlign w:val="center"/>
          </w:tcPr>
          <w:p>
            <w:pPr>
              <w:pStyle w:val="DMETW36742BIPDetailedMFF1Breakdown"/>
              <w:jc w:val="center"/>
              <w:rPr>
                <w:rFonts w:ascii="Verdana" w:eastAsia="Verdana" w:hAnsi="Verdana" w:cs="Verdana"/>
                <w:noProof/>
                <w:color w:val="FFFFFF"/>
                <w:sz w:val="16"/>
              </w:rPr>
            </w:pPr>
          </w:p>
        </w:tc>
        <w:tc>
          <w:tcPr>
            <w:tcW w:w="876"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1Breakdown"/>
              <w:jc w:val="center"/>
              <w:rPr>
                <w:rFonts w:ascii="Verdana" w:eastAsia="Verdana" w:hAnsi="Verdana" w:cs="Verdana"/>
                <w:noProof/>
                <w:color w:val="FFFFFF"/>
                <w:sz w:val="16"/>
              </w:rPr>
            </w:pPr>
            <w:r>
              <w:rPr>
                <w:rFonts w:ascii="Verdana" w:hAnsi="Verdana"/>
                <w:noProof/>
                <w:color w:val="FFFFFF"/>
                <w:sz w:val="16"/>
              </w:rPr>
              <w:t>Budget initial adopté</w:t>
            </w:r>
          </w:p>
        </w:tc>
        <w:tc>
          <w:tcPr>
            <w:tcW w:w="876"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1Breakdown"/>
              <w:jc w:val="center"/>
              <w:rPr>
                <w:rFonts w:ascii="Verdana" w:eastAsia="Verdana" w:hAnsi="Verdana" w:cs="Verdana"/>
                <w:noProof/>
                <w:color w:val="FFFFFF"/>
                <w:sz w:val="16"/>
              </w:rPr>
            </w:pPr>
            <w:r>
              <w:rPr>
                <w:rFonts w:ascii="Verdana" w:hAnsi="Verdana"/>
                <w:noProof/>
                <w:color w:val="FFFFFF"/>
                <w:sz w:val="16"/>
              </w:rPr>
              <w:t>Budgets rectificatifs et virements</w:t>
            </w:r>
          </w:p>
        </w:tc>
        <w:tc>
          <w:tcPr>
            <w:tcW w:w="876"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1Breakdown"/>
              <w:jc w:val="center"/>
              <w:rPr>
                <w:rFonts w:ascii="Verdana" w:eastAsia="Verdana" w:hAnsi="Verdana" w:cs="Verdana"/>
                <w:noProof/>
                <w:color w:val="FFFFFF"/>
                <w:sz w:val="16"/>
              </w:rPr>
            </w:pPr>
            <w:r>
              <w:rPr>
                <w:rFonts w:ascii="Verdana" w:hAnsi="Verdana"/>
                <w:noProof/>
                <w:color w:val="FFFFFF"/>
                <w:sz w:val="16"/>
              </w:rPr>
              <w:t>Budget définitif adopté</w:t>
            </w:r>
          </w:p>
        </w:tc>
        <w:tc>
          <w:tcPr>
            <w:tcW w:w="876"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1Breakdown"/>
              <w:jc w:val="center"/>
              <w:rPr>
                <w:rFonts w:ascii="Verdana" w:eastAsia="Verdana" w:hAnsi="Verdana" w:cs="Verdana"/>
                <w:noProof/>
                <w:color w:val="FFFFFF"/>
                <w:sz w:val="16"/>
              </w:rPr>
            </w:pPr>
            <w:r>
              <w:rPr>
                <w:rFonts w:ascii="Verdana" w:hAnsi="Verdana"/>
                <w:noProof/>
                <w:color w:val="FFFFFF"/>
                <w:sz w:val="16"/>
              </w:rPr>
              <w:t>Crédits reportés</w:t>
            </w:r>
          </w:p>
        </w:tc>
        <w:tc>
          <w:tcPr>
            <w:tcW w:w="876"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1Breakdown"/>
              <w:jc w:val="center"/>
              <w:rPr>
                <w:rFonts w:ascii="Verdana" w:eastAsia="Verdana" w:hAnsi="Verdana" w:cs="Verdana"/>
                <w:noProof/>
                <w:color w:val="FFFFFF"/>
                <w:sz w:val="16"/>
              </w:rPr>
            </w:pPr>
            <w:r>
              <w:rPr>
                <w:rFonts w:ascii="Verdana" w:hAnsi="Verdana"/>
                <w:noProof/>
                <w:color w:val="FFFFFF"/>
                <w:sz w:val="16"/>
              </w:rPr>
              <w:t>Recettes affectées</w:t>
            </w:r>
          </w:p>
        </w:tc>
        <w:tc>
          <w:tcPr>
            <w:tcW w:w="876" w:type="dxa"/>
            <w:vMerge/>
            <w:tcBorders>
              <w:top w:val="nil"/>
              <w:left w:val="nil"/>
              <w:bottom w:val="nil"/>
              <w:right w:val="nil"/>
              <w:tl2br w:val="nil"/>
              <w:tr2bl w:val="nil"/>
            </w:tcBorders>
            <w:shd w:val="solid" w:color="016794" w:fill="FFFFFF"/>
            <w:tcMar>
              <w:left w:w="60" w:type="dxa"/>
              <w:right w:w="60" w:type="dxa"/>
            </w:tcMar>
            <w:vAlign w:val="center"/>
          </w:tcPr>
          <w:p>
            <w:pPr>
              <w:pStyle w:val="DMETW36742BIPDetailedMFF1Breakdown"/>
              <w:jc w:val="center"/>
              <w:rPr>
                <w:rFonts w:ascii="Verdana" w:eastAsia="Verdana" w:hAnsi="Verdana" w:cs="Verdana"/>
                <w:noProof/>
                <w:color w:val="FFFFFF"/>
                <w:sz w:val="16"/>
              </w:rPr>
            </w:pPr>
          </w:p>
        </w:tc>
      </w:tr>
      <w:tr>
        <w:trPr>
          <w:trHeight w:hRule="exact" w:val="255"/>
        </w:trPr>
        <w:tc>
          <w:tcPr>
            <w:tcW w:w="344"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1Breakdown"/>
              <w:jc w:val="center"/>
              <w:rPr>
                <w:rFonts w:ascii="Verdana" w:eastAsia="Verdana" w:hAnsi="Verdana" w:cs="Verdana"/>
                <w:noProof/>
                <w:color w:val="FFFFFF"/>
                <w:sz w:val="16"/>
              </w:rPr>
            </w:pPr>
          </w:p>
        </w:tc>
        <w:tc>
          <w:tcPr>
            <w:tcW w:w="3839"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1Breakdown"/>
              <w:jc w:val="center"/>
              <w:rPr>
                <w:rFonts w:ascii="Verdana" w:eastAsia="Verdana" w:hAnsi="Verdana" w:cs="Verdana"/>
                <w:noProof/>
                <w:color w:val="FFFFFF"/>
                <w:sz w:val="16"/>
              </w:rPr>
            </w:pPr>
          </w:p>
        </w:tc>
        <w:tc>
          <w:tcPr>
            <w:tcW w:w="875"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1Breakdown"/>
              <w:jc w:val="center"/>
              <w:rPr>
                <w:rFonts w:ascii="Verdana" w:eastAsia="Verdana" w:hAnsi="Verdana" w:cs="Verdana"/>
                <w:noProof/>
                <w:color w:val="FFFFFF"/>
                <w:sz w:val="16"/>
              </w:rPr>
            </w:pPr>
            <w:r>
              <w:rPr>
                <w:rFonts w:ascii="Verdana" w:hAnsi="Verdana"/>
                <w:noProof/>
                <w:color w:val="FFFFFF"/>
                <w:sz w:val="16"/>
              </w:rPr>
              <w:t>1</w:t>
            </w:r>
          </w:p>
        </w:tc>
        <w:tc>
          <w:tcPr>
            <w:tcW w:w="875"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1Breakdown"/>
              <w:jc w:val="center"/>
              <w:rPr>
                <w:rFonts w:ascii="Verdana" w:eastAsia="Verdana" w:hAnsi="Verdana" w:cs="Verdana"/>
                <w:noProof/>
                <w:color w:val="FFFFFF"/>
                <w:sz w:val="16"/>
              </w:rPr>
            </w:pPr>
            <w:r>
              <w:rPr>
                <w:rFonts w:ascii="Verdana" w:hAnsi="Verdana"/>
                <w:noProof/>
                <w:color w:val="FFFFFF"/>
                <w:sz w:val="16"/>
              </w:rPr>
              <w:t>2</w:t>
            </w:r>
          </w:p>
        </w:tc>
        <w:tc>
          <w:tcPr>
            <w:tcW w:w="875"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1Breakdown"/>
              <w:jc w:val="center"/>
              <w:rPr>
                <w:rFonts w:ascii="Verdana" w:eastAsia="Verdana" w:hAnsi="Verdana" w:cs="Verdana"/>
                <w:noProof/>
                <w:color w:val="FFFFFF"/>
                <w:sz w:val="16"/>
              </w:rPr>
            </w:pPr>
            <w:r>
              <w:rPr>
                <w:rFonts w:ascii="Verdana" w:hAnsi="Verdana"/>
                <w:noProof/>
                <w:color w:val="FFFFFF"/>
                <w:sz w:val="16"/>
              </w:rPr>
              <w:t>3=1+2</w:t>
            </w:r>
          </w:p>
        </w:tc>
        <w:tc>
          <w:tcPr>
            <w:tcW w:w="876"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1Breakdown"/>
              <w:jc w:val="center"/>
              <w:rPr>
                <w:rFonts w:ascii="Verdana" w:eastAsia="Verdana" w:hAnsi="Verdana" w:cs="Verdana"/>
                <w:noProof/>
                <w:color w:val="FFFFFF"/>
                <w:sz w:val="16"/>
              </w:rPr>
            </w:pPr>
            <w:r>
              <w:rPr>
                <w:rFonts w:ascii="Verdana" w:hAnsi="Verdana"/>
                <w:noProof/>
                <w:color w:val="FFFFFF"/>
                <w:sz w:val="16"/>
              </w:rPr>
              <w:t>4</w:t>
            </w:r>
          </w:p>
        </w:tc>
        <w:tc>
          <w:tcPr>
            <w:tcW w:w="876"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1Breakdown"/>
              <w:jc w:val="center"/>
              <w:rPr>
                <w:rFonts w:ascii="Verdana" w:eastAsia="Verdana" w:hAnsi="Verdana" w:cs="Verdana"/>
                <w:noProof/>
                <w:color w:val="FFFFFF"/>
                <w:sz w:val="16"/>
              </w:rPr>
            </w:pPr>
            <w:r>
              <w:rPr>
                <w:rFonts w:ascii="Verdana" w:hAnsi="Verdana"/>
                <w:noProof/>
                <w:color w:val="FFFFFF"/>
                <w:sz w:val="16"/>
              </w:rPr>
              <w:t>5</w:t>
            </w:r>
          </w:p>
        </w:tc>
        <w:tc>
          <w:tcPr>
            <w:tcW w:w="876"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1Breakdown"/>
              <w:jc w:val="center"/>
              <w:rPr>
                <w:rFonts w:ascii="Verdana" w:eastAsia="Verdana" w:hAnsi="Verdana" w:cs="Verdana"/>
                <w:noProof/>
                <w:color w:val="FFFFFF"/>
                <w:sz w:val="16"/>
              </w:rPr>
            </w:pPr>
            <w:r>
              <w:rPr>
                <w:rFonts w:ascii="Verdana" w:hAnsi="Verdana"/>
                <w:noProof/>
                <w:color w:val="FFFFFF"/>
                <w:sz w:val="16"/>
              </w:rPr>
              <w:t>6=3+4+5</w:t>
            </w:r>
          </w:p>
        </w:tc>
        <w:tc>
          <w:tcPr>
            <w:tcW w:w="876"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1Breakdown"/>
              <w:jc w:val="center"/>
              <w:rPr>
                <w:rFonts w:ascii="Verdana" w:eastAsia="Verdana" w:hAnsi="Verdana" w:cs="Verdana"/>
                <w:noProof/>
                <w:color w:val="FFFFFF"/>
                <w:sz w:val="16"/>
              </w:rPr>
            </w:pPr>
            <w:r>
              <w:rPr>
                <w:rFonts w:ascii="Verdana" w:hAnsi="Verdana"/>
                <w:noProof/>
                <w:color w:val="FFFFFF"/>
                <w:sz w:val="16"/>
              </w:rPr>
              <w:t>7</w:t>
            </w:r>
          </w:p>
        </w:tc>
        <w:tc>
          <w:tcPr>
            <w:tcW w:w="876"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1Breakdown"/>
              <w:jc w:val="center"/>
              <w:rPr>
                <w:rFonts w:ascii="Verdana" w:eastAsia="Verdana" w:hAnsi="Verdana" w:cs="Verdana"/>
                <w:noProof/>
                <w:color w:val="FFFFFF"/>
                <w:sz w:val="16"/>
              </w:rPr>
            </w:pPr>
            <w:r>
              <w:rPr>
                <w:rFonts w:ascii="Verdana" w:hAnsi="Verdana"/>
                <w:noProof/>
                <w:color w:val="FFFFFF"/>
                <w:sz w:val="16"/>
              </w:rPr>
              <w:t>8</w:t>
            </w:r>
          </w:p>
        </w:tc>
        <w:tc>
          <w:tcPr>
            <w:tcW w:w="876"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1Breakdown"/>
              <w:jc w:val="center"/>
              <w:rPr>
                <w:rFonts w:ascii="Verdana" w:eastAsia="Verdana" w:hAnsi="Verdana" w:cs="Verdana"/>
                <w:noProof/>
                <w:color w:val="FFFFFF"/>
                <w:sz w:val="16"/>
              </w:rPr>
            </w:pPr>
            <w:r>
              <w:rPr>
                <w:rFonts w:ascii="Verdana" w:hAnsi="Verdana"/>
                <w:noProof/>
                <w:color w:val="FFFFFF"/>
                <w:sz w:val="16"/>
              </w:rPr>
              <w:t>9=7+8</w:t>
            </w:r>
          </w:p>
        </w:tc>
        <w:tc>
          <w:tcPr>
            <w:tcW w:w="876"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1Breakdown"/>
              <w:jc w:val="center"/>
              <w:rPr>
                <w:rFonts w:ascii="Verdana" w:eastAsia="Verdana" w:hAnsi="Verdana" w:cs="Verdana"/>
                <w:noProof/>
                <w:color w:val="FFFFFF"/>
                <w:sz w:val="16"/>
              </w:rPr>
            </w:pPr>
            <w:r>
              <w:rPr>
                <w:rFonts w:ascii="Verdana" w:hAnsi="Verdana"/>
                <w:noProof/>
                <w:color w:val="FFFFFF"/>
                <w:sz w:val="16"/>
              </w:rPr>
              <w:t>10</w:t>
            </w:r>
          </w:p>
        </w:tc>
        <w:tc>
          <w:tcPr>
            <w:tcW w:w="876"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1Breakdown"/>
              <w:jc w:val="center"/>
              <w:rPr>
                <w:rFonts w:ascii="Verdana" w:eastAsia="Verdana" w:hAnsi="Verdana" w:cs="Verdana"/>
                <w:noProof/>
                <w:color w:val="FFFFFF"/>
                <w:sz w:val="16"/>
              </w:rPr>
            </w:pPr>
            <w:r>
              <w:rPr>
                <w:rFonts w:ascii="Verdana" w:hAnsi="Verdana"/>
                <w:noProof/>
                <w:color w:val="FFFFFF"/>
                <w:sz w:val="16"/>
              </w:rPr>
              <w:t>11</w:t>
            </w:r>
          </w:p>
        </w:tc>
        <w:tc>
          <w:tcPr>
            <w:tcW w:w="876"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1Breakdown"/>
              <w:jc w:val="center"/>
              <w:rPr>
                <w:rFonts w:ascii="Verdana" w:eastAsia="Verdana" w:hAnsi="Verdana" w:cs="Verdana"/>
                <w:noProof/>
                <w:color w:val="FFFFFF"/>
                <w:sz w:val="16"/>
              </w:rPr>
            </w:pPr>
            <w:r>
              <w:rPr>
                <w:rFonts w:ascii="Verdana" w:hAnsi="Verdana"/>
                <w:noProof/>
                <w:color w:val="FFFFFF"/>
                <w:sz w:val="16"/>
              </w:rPr>
              <w:t>12=9+10+11</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1</w:t>
            </w: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Horizon Europe</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12 762</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12 763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116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6 334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19 213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11 119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11 122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9 936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21 125</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Programme Euratom de recherche et de formation</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288</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287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118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405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264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261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135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414</w:t>
            </w:r>
          </w:p>
        </w:tc>
      </w:tr>
      <w:tr>
        <w:trPr>
          <w:trHeight w:hRule="exact" w:val="539"/>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Réacteur thermonucléaire expérimental international (ITER)</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487</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487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490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642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642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647</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Autres actions</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629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629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413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413</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Projets pilotes et actions préparatoires</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10</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17</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Fonds InvestEU</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378</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378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916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1 294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530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501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1 991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2 493</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Mécanisme pour l’interconnexion en Europe (MIE) - Transports</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1 674</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1 675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1 745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2 398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2 396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2 445</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Mécanisme pour l’interconnexion en Europe (MIE) - Énergie</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927</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926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996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708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733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804</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Mécanisme pour l’interconnexion en Europe (MIE) - Technologie numérique</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226</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226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230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183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173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177</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Programme pour une Europe numérique</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1 097</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1 097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1 189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1 136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(83)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1 053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1 154</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Agences décentralisées</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231</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230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240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231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230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240</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Autres actions</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168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169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226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227</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Projets pilotes et actions préparatoires</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13</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Actions financées dans le cadre des prérogatives de la Commission et des compétences spécifiques conférées à la Commission</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25</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30</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Programme du marché unique (y compris PME)</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613</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614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663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615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88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704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780</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Programme de l’Union en matière de lutte contre la fraude</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27</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30</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Coopération dans le domaine fiscal (Fiscalis)</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39</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44</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Coopération dans le domaine douanier (Douane)</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138</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60</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198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208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113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144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153</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Agences décentralisées</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154</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152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165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154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152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164</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Autres actions</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8</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Projets pilotes et actions préparatoires</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13</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11</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Programme spatial européen</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2 051</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2 051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317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2 368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1 983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(159)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1 823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640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2 467</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Agences décentralisées</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80</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80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83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80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80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83</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Projets pilotes et actions préparatoires</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45</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Connectivité sécurisée de l’Union</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196</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196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196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150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89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89</w:t>
            </w:r>
          </w:p>
        </w:tc>
      </w:tr>
      <w:tr>
        <w:trPr>
          <w:trHeight w:hRule="exac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Total rubrique 1: marché unique, innovation et numérique</w:t>
            </w:r>
          </w:p>
        </w:tc>
        <w:tc>
          <w:tcPr>
            <w:tcW w:w="87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21 480</w:t>
            </w:r>
          </w:p>
        </w:tc>
        <w:tc>
          <w:tcPr>
            <w:tcW w:w="87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59</w:t>
            </w:r>
          </w:p>
        </w:tc>
        <w:tc>
          <w:tcPr>
            <w:tcW w:w="87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21 539</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116</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8 810</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30 466</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20 461</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(205)</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20 255</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107</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13 673</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34 035</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lang w:bidi="en-GB"/>
              </w:rPr>
            </w:pPr>
          </w:p>
        </w:tc>
      </w:tr>
      <w:tr>
        <w:trPr>
          <w:trHeight w:hRule="exact" w:val="654"/>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2</w:t>
            </w: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Fonds européen de développement régional (FEDER)</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40 455</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40 457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410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40 867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21 327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(488)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20 839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2 555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23 394</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Fonds de cohésion (FC)</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7 053</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7 052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233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7 285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3 078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2 445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5 523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233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5 756</w:t>
            </w:r>
          </w:p>
        </w:tc>
      </w:tr>
      <w:tr>
        <w:trPr>
          <w:trHeight w:hRule="exact" w:val="702"/>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Fonds de cohésion (FC), contribution au mécanisme pour l’interconnexion en Europe (MIE) - Transports</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1 668</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1 668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1 688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1 303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1 350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1 364</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Projets pilotes et actions préparatoires</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Fonds social européen Plus (FSE+)</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17 184</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17 184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105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17 288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7 550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693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8 243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2 722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10 966</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Projets pilotes et actions préparatoires</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r>
      <w:tr>
        <w:trPr>
          <w:trHeight w:hRule="exact" w:val="678"/>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Soutien à la communauté chypriote turque</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35</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41</w:t>
            </w:r>
          </w:p>
        </w:tc>
      </w:tr>
      <w:tr>
        <w:trPr>
          <w:trHeight w:hRule="exact" w:val="606"/>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Facilité pour la reprise et la résilience (y compris l’instrument d’appui technique)</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126</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121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560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681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125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120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40 222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40 344</w:t>
            </w:r>
          </w:p>
        </w:tc>
      </w:tr>
      <w:tr>
        <w:trPr>
          <w:trHeight w:hRule="exact" w:val="534"/>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Protection de l’euro contre le faux-monnayage («programme Pericles IV»)</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r>
      <w:tr>
        <w:trPr>
          <w:trHeight w:hRule="exact" w:val="714"/>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Coût du financement de l’instrument de l’Union européenne pour la relance (EURI)</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4 967</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4 967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144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5 111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4 967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4 967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1 863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145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6 976</w:t>
            </w:r>
          </w:p>
        </w:tc>
      </w:tr>
      <w:tr>
        <w:trPr>
          <w:trHeight w:hRule="exact" w:val="546"/>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Mécanisme de protection civile de l’Union (rescEU)</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211</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211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250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108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133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314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446</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EU4Health</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583</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583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609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585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532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557</w:t>
            </w:r>
          </w:p>
        </w:tc>
      </w:tr>
      <w:tr>
        <w:trPr>
          <w:trHeight w:hRule="exact" w:val="582"/>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Instrument pour le soutien d’urgence au sein de l’Union (ESI)</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26</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Agences décentralisées</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286</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286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312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273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274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299</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Projets pilotes et actions préparatoires</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r>
      <w:tr>
        <w:trPr>
          <w:trHeight w:hRule="exact" w:val="1398"/>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Actions financées dans le cadre des prérogatives de la Commission et des compétences spécifiques conférées à la Commission</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12</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13</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Emploi et innovation sociale</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109</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107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116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91</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Erasmus+</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3 969</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3 969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1 135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5 105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3 766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3 797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1 151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4 966</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Corps européen de solidarité (CES)</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147</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147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221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133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138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220</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Europe créative</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352</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352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373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347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324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350</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Justice</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42</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43</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Droits et valeurs</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236</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238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240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188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191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194</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Agences décentralisées</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324</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324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336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322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321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333</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Autres actions</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Projets pilotes et actions préparatoires</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19</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25</w:t>
            </w:r>
          </w:p>
        </w:tc>
      </w:tr>
      <w:tr>
        <w:trPr>
          <w:trHeight w:hRule="exact" w:val="954"/>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Actions financées dans le cadre des prérogatives de la Commission et des compétences spécifiques conférées à la Commission</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186</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186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191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176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178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183</w:t>
            </w:r>
          </w:p>
        </w:tc>
      </w:tr>
      <w:tr>
        <w:trPr>
          <w:trHeight w:hRule="exact" w:val="594"/>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Total rubrique 2: cohésion, résilience et valeurs</w:t>
            </w:r>
          </w:p>
        </w:tc>
        <w:tc>
          <w:tcPr>
            <w:tcW w:w="87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77 980</w:t>
            </w:r>
          </w:p>
        </w:tc>
        <w:tc>
          <w:tcPr>
            <w:tcW w:w="87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77 979</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2 825</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80 804</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44 445</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2 696</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47 141</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1 897</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47 563</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96 601</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lang w:bidi="en-GB"/>
              </w:rPr>
            </w:pP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3</w:t>
            </w: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Fonds européen agricole de garantie (FEAGA)</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39 976</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39 976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366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995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41 338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40 031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40 014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367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995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41 377</w:t>
            </w:r>
          </w:p>
        </w:tc>
      </w:tr>
      <w:tr>
        <w:trPr>
          <w:trHeight w:hRule="exact" w:val="786"/>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Fonds européen agricole pour le développement rural (Feader)</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13 226</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13 226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343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13 569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10 497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3 912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14 409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1 964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16 373</w:t>
            </w:r>
          </w:p>
        </w:tc>
      </w:tr>
      <w:tr>
        <w:trPr>
          <w:trHeight w:hRule="exact" w:val="606"/>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Fonds européen pour les affaires maritimes, la pêche et l’aquaculture (Feampa)</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946</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946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969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661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668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671</w:t>
            </w:r>
          </w:p>
        </w:tc>
      </w:tr>
      <w:tr>
        <w:trPr>
          <w:trHeight w:hRule="exact" w:val="1194"/>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Accords de partenariat dans le domaine de la pêche durable (APPD) et organisations régionales de gestion des pêches (ORGP)</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157</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(40)</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117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117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141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111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111</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Agences décentralisées</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30</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32</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Projets pilotes et actions préparatoires</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w:t>
            </w:r>
          </w:p>
        </w:tc>
      </w:tr>
      <w:tr>
        <w:trPr>
          <w:trHeight w:hRule="exact" w:val="918"/>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Programme pour l’environnement et l’action pour le climat (LIFE)</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776</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782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791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596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675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690</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Fonds pour une transition juste</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1 514</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1 514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86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1 600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1 432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1 436</w:t>
            </w:r>
          </w:p>
        </w:tc>
      </w:tr>
      <w:tr>
        <w:trPr>
          <w:trHeight w:hRule="exact" w:val="834"/>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Facilité de prêt pour le secteur public dans le cadre du mécanisme pour une transition juste (MTJ)</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428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428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503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528</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Agences décentralisées</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77</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79</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Projets pilotes et actions préparatoires</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w:t>
            </w:r>
          </w:p>
        </w:tc>
      </w:tr>
      <w:tr>
        <w:trPr>
          <w:trHeight w:hRule="exact" w:val="918"/>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Actions financées dans le cadre des prérogatives de la Commission et des compétences spécifiques conférées à la Commission</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26</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8</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25</w:t>
            </w:r>
          </w:p>
        </w:tc>
      </w:tr>
      <w:tr>
        <w:trPr>
          <w:trHeight w:hRule="exact" w:val="726"/>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Total rubrique 3: ressources naturelles et environnement</w:t>
            </w:r>
          </w:p>
        </w:tc>
        <w:tc>
          <w:tcPr>
            <w:tcW w:w="87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56 731</w:t>
            </w:r>
          </w:p>
        </w:tc>
        <w:tc>
          <w:tcPr>
            <w:tcW w:w="87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(32)</w:t>
            </w:r>
          </w:p>
        </w:tc>
        <w:tc>
          <w:tcPr>
            <w:tcW w:w="87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56 700</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366</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1 894</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58 961</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52 092</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3 948</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56 039</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375</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4 914</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61 329</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lang w:bidi="en-GB"/>
              </w:rPr>
            </w:pP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4</w:t>
            </w: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Fonds «Asile, migration et intégration»</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1 869</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48</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1 917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243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2 159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1 165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1 207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241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1 450</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Agences décentralisées</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234</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(48)</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186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195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234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196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205</w:t>
            </w:r>
          </w:p>
        </w:tc>
      </w:tr>
      <w:tr>
        <w:trPr>
          <w:trHeight w:hRule="exact" w:val="834"/>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Fonds pour la gestion intégrée des frontières (FGIF) - instrument relatif à la gestion des frontières et aux visas (IGFV)</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1 235</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1 235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369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1 603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462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357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819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471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1 291</w:t>
            </w:r>
          </w:p>
        </w:tc>
      </w:tr>
      <w:tr>
        <w:trPr>
          <w:trHeight w:hRule="exact" w:val="942"/>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Fonds pour la gestion intégrée des frontières (FGIF) - instrument de soutien financier relatif aux équipements de contrôle douanier</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147</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(146)</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32</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Agences décentralisées</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1 307</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1 307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1 380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1 287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1 334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1 407</w:t>
            </w:r>
          </w:p>
        </w:tc>
      </w:tr>
      <w:tr>
        <w:trPr>
          <w:trHeight w:hRule="exact" w:val="726"/>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Total rubrique 4: migration et gestion des frontières</w:t>
            </w:r>
          </w:p>
        </w:tc>
        <w:tc>
          <w:tcPr>
            <w:tcW w:w="87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4 791</w:t>
            </w:r>
          </w:p>
        </w:tc>
        <w:tc>
          <w:tcPr>
            <w:tcW w:w="87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(146)</w:t>
            </w:r>
          </w:p>
        </w:tc>
        <w:tc>
          <w:tcPr>
            <w:tcW w:w="87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4 645</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693</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5 338</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3 204</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360</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3 564</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28</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794</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4 386</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lang w:bidi="en-GB"/>
              </w:rPr>
            </w:pP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5</w:t>
            </w: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Fonds pour la sécurité intérieure (FSI)</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337</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337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388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227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244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296</w:t>
            </w:r>
          </w:p>
        </w:tc>
      </w:tr>
      <w:tr>
        <w:trPr>
          <w:trHeight w:hRule="exact" w:val="918"/>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Déclassement d’installations nucléaires (Lituanie)</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75</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90</w:t>
            </w:r>
          </w:p>
        </w:tc>
      </w:tr>
      <w:tr>
        <w:trPr>
          <w:trHeight w:hRule="exact" w:val="846"/>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Sûreté nucléaire et déclassement d’installations (y compris pour la Bulgarie et la Slovaquie)</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70</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64</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Agences décentralisées</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288</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288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298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288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290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300</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Projets pilotes et actions préparatoires</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r>
      <w:tr>
        <w:trPr>
          <w:trHeight w:hRule="exact" w:val="942"/>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Actions financées dans le cadre des prérogatives de la Commission et des compétences spécifiques conférées à la Commission</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23</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22</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Fonds européen de la défense (recherche)</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404</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(14)</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390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400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314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287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296</w:t>
            </w:r>
          </w:p>
        </w:tc>
      </w:tr>
      <w:tr>
        <w:trPr>
          <w:trHeight w:hRule="exact" w:val="822"/>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Fonds européen de la défense (hors recherche)</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1 030</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(31)</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999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1 027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702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(157)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545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566</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Mobilité militaire</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252</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252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252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137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137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137</w:t>
            </w:r>
          </w:p>
        </w:tc>
      </w:tr>
      <w:tr>
        <w:trPr>
          <w:trHeight w:hRule="exact" w:val="594"/>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Instrument à court terme pour des acquisitions conjointes dans le domaine de la défense</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40</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100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63</w:t>
            </w:r>
          </w:p>
        </w:tc>
      </w:tr>
      <w:tr>
        <w:trPr>
          <w:trHeight w:hRule="exact" w:val="1086"/>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Instrument de renforcement de l’industrie de la défense</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120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61</w:t>
            </w:r>
          </w:p>
        </w:tc>
      </w:tr>
      <w:tr>
        <w:trPr>
          <w:trHeight w:hRule="exact" w:val="954"/>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Programme européen d’investissement dans le domaine de la défense</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Projets pilotes et actions préparatoires</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Connectivité sécurisée de l’Union</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111</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47</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158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158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51</w:t>
            </w:r>
          </w:p>
        </w:tc>
      </w:tr>
      <w:tr>
        <w:trPr>
          <w:trHeight w:hRule="exac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Total rubrique 5: sécurité et défense</w:t>
            </w:r>
          </w:p>
        </w:tc>
        <w:tc>
          <w:tcPr>
            <w:tcW w:w="87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2 633</w:t>
            </w:r>
          </w:p>
        </w:tc>
        <w:tc>
          <w:tcPr>
            <w:tcW w:w="87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2 633</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109</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2 742</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2 143</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(304)</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1 839</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103</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1 947</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lang w:bidi="en-GB"/>
              </w:rPr>
            </w:pPr>
          </w:p>
        </w:tc>
      </w:tr>
      <w:tr>
        <w:trPr>
          <w:trHeight w:hRule="exact" w:val="786"/>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6</w:t>
            </w: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Instrument de voisinage, de coopération au développement et de coopération internationale — L’Europe dans le monde (IVCDCI - L’Europe dans le monde)</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10 891</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20</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10 911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736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645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12 292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9 672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121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9 793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919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10 782</w:t>
            </w:r>
          </w:p>
        </w:tc>
      </w:tr>
      <w:tr>
        <w:trPr>
          <w:trHeight w:hRule="exact" w:val="894"/>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Instrument européen relatif à la coopération internationale en matière de sûreté nucléaire (ICSN)</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44</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69</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Aide humanitaire (HUMA)</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1 944</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625</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2 569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2 588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1 860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610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2 470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2 493</w:t>
            </w:r>
          </w:p>
        </w:tc>
      </w:tr>
      <w:tr>
        <w:trPr>
          <w:trHeight w:hRule="exact" w:val="822"/>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Politique étrangère et de sécurité commune (PESC)</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394</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393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429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394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399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439</w:t>
            </w:r>
          </w:p>
        </w:tc>
      </w:tr>
      <w:tr>
        <w:trPr>
          <w:trHeight w:hRule="exact" w:val="606"/>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Pays et territoires d’outre-mer (PTOM) (y compris le Groenland)</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73</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108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90</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AMF+</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591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591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679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680</w:t>
            </w:r>
          </w:p>
        </w:tc>
      </w:tr>
      <w:tr>
        <w:trPr>
          <w:trHeight w:hRule="exact" w:val="594"/>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Mécanisme de coopération pour les prêts à l’Ukraine</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1 535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1 535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1 535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1 535</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Autres actions</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148</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(60)</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88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89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108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48</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Projets pilotes et actions préparatoires</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Connectivité sécurisée de l’Union</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50</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r>
      <w:tr>
        <w:trPr>
          <w:trHeight w:hRule="exact" w:val="954"/>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Actions financées dans le cadre des prérogatives de la Commission et des compétences spécifiques conférées à la Commission</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96</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88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88</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Aide de préadhésion (IAP III)</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2 170</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2 170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129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85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2 384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2 086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1 995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115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2 122</w:t>
            </w:r>
          </w:p>
        </w:tc>
      </w:tr>
      <w:tr>
        <w:trPr>
          <w:trHeight w:hRule="exact" w:val="1278"/>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Facilité pour les réformes et la croissance en faveur des Balkans occidentaux</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499</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499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101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600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101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101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124</w:t>
            </w:r>
          </w:p>
        </w:tc>
      </w:tr>
      <w:tr>
        <w:trPr>
          <w:trHeight w:hRule="exac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Total rubrique 6: le voisinage et le monde</w:t>
            </w:r>
          </w:p>
        </w:tc>
        <w:tc>
          <w:tcPr>
            <w:tcW w:w="87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16 308</w:t>
            </w:r>
          </w:p>
        </w:tc>
        <w:tc>
          <w:tcPr>
            <w:tcW w:w="87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584</w:t>
            </w:r>
          </w:p>
        </w:tc>
        <w:tc>
          <w:tcPr>
            <w:tcW w:w="87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16 892</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970</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2 966</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20 828</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14 426</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584</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15 010</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116</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3 343</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18 469</w:t>
            </w:r>
          </w:p>
        </w:tc>
      </w:tr>
      <w:tr>
        <w:trPr>
          <w:trHeight w:hRule="exact" w:val="558"/>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lang w:bidi="en-GB"/>
              </w:rPr>
            </w:pP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7</w:t>
            </w: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Pensions du personnel</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2 795</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2 790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312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3 102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2 795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2 790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312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3 102</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(Pensions des anciens membres) Parlement européen</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22</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19</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(Pensions des anciens membres) Conseil européen et Conseil</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(Pensions des anciens membres) Commission</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12</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w:t>
            </w:r>
          </w:p>
        </w:tc>
      </w:tr>
      <w:tr>
        <w:trPr>
          <w:trHeight w:hRule="exact" w:val="582"/>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(Pensions des anciens membres) Cour de justice de l’Union européenne</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19</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17</w:t>
            </w:r>
          </w:p>
        </w:tc>
      </w:tr>
      <w:tr>
        <w:trPr>
          <w:trHeight w:hRule="exact" w:val="594"/>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(Pensions des anciens membres) Cour des comptes</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8</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w:t>
            </w:r>
          </w:p>
        </w:tc>
      </w:tr>
      <w:tr>
        <w:trPr>
          <w:trHeight w:hRule="exact" w:val="474"/>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(Pensions des anciens membres) Médiateur européen</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r>
      <w:tr>
        <w:trPr>
          <w:trHeight w:hRule="exact" w:val="582"/>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(Pensions des anciens membres) Contrôleur européen de la protection des données</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(Écoles européennes) Commission</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266</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263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298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266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263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302</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Rémunération du personnel statutaire</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3 085</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(56)</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3 028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129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3 157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3 085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3 028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129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3 157</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Rémunération personnel externe</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311</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(11)</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300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169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469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311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300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172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493</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Membres – Traitements et indemnités</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17</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22</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Membres – Indemnités temporaires</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Frais de recrutement</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33</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37</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Cessation de fonctions</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8</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Coûts de formation</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16</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37</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Social et mobilité</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22</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64</w:t>
            </w:r>
          </w:p>
        </w:tc>
      </w:tr>
      <w:tr>
        <w:trPr>
          <w:trHeight w:hRule="exact" w:val="858"/>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Technologies de l’information et de la communication</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285</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292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308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600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285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292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120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354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765</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Loyers et acquisitions</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274</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48</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321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690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1 011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274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321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691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1 042</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Dépenses liées aux bâtiments</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150</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(37)</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113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158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150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113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207</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Sécurité</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79</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124</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Missions et représentation</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45</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16</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76</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Réunions, comités, conférence</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16</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20</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Journal officiel</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Publications</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11</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24</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Acquisition d’informations</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Études et enquêtes</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10</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Équipement général, véhicules, mobilier</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29</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41</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Services linguistiques externes</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35</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74</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Autres dépenses administratives</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20</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58</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Agences décentralisées</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Dépenses administratives des autres institutions</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5 265</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(16)</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5 249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520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5 769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5 265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5 249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621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529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6 399</w:t>
            </w:r>
          </w:p>
        </w:tc>
      </w:tr>
      <w:tr>
        <w:trPr>
          <w:trHeight w:hRule="exac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Total rubrique 7: administration publique européenne</w:t>
            </w:r>
          </w:p>
        </w:tc>
        <w:tc>
          <w:tcPr>
            <w:tcW w:w="87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12 845</w:t>
            </w:r>
          </w:p>
        </w:tc>
        <w:tc>
          <w:tcPr>
            <w:tcW w:w="87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(79)</w:t>
            </w:r>
          </w:p>
        </w:tc>
        <w:tc>
          <w:tcPr>
            <w:tcW w:w="87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12 766</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2 348</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15 115</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12 845</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(79)</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12 766</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927</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2 440</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16 133</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lang w:bidi="en-GB"/>
              </w:rPr>
            </w:pP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O</w:t>
            </w: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Fonds pour l’innovation (FI)</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6 788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6 788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12 293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12 293</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Facilité pour l’Ukraine</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4 320</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4 320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515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4 866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3 274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(469)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2 805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121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662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3 587</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Autres actions</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112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112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114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114</w:t>
            </w:r>
          </w:p>
        </w:tc>
      </w:tr>
      <w:tr>
        <w:trPr>
          <w:trHeight w:hRule="exac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Total rubrique O: hors CFP</w:t>
            </w:r>
          </w:p>
        </w:tc>
        <w:tc>
          <w:tcPr>
            <w:tcW w:w="87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4 320</w:t>
            </w:r>
          </w:p>
        </w:tc>
        <w:tc>
          <w:tcPr>
            <w:tcW w:w="87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4 320</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31</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7 415</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11 767</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3 274</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(469)</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2 805</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121</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13 069</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15 994</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lang w:bidi="en-GB"/>
              </w:rPr>
            </w:pP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S</w:t>
            </w: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Réserve de solidarité européenne</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1 167</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1 167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310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1 477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1 167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1 167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310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1 477</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Réserve d’aide d’urgence</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584</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(584)</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584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(584)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r>
      <w:tr>
        <w:trPr>
          <w:trHeight w:hRule="exact" w:val="918"/>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Fonds européen d’ajustement à la mondialisation (FEM)</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34</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21</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Réserve d’ajustement au Brexit</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564</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564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564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564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564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564</w:t>
            </w:r>
          </w:p>
        </w:tc>
      </w:tr>
      <w:tr>
        <w:trPr>
          <w:trHeight w:hRule="exact" w:val="774"/>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Total rubrique S: mécanismes de solidarité à l’intérieur et à l’extérieur de l’Union (instruments spéciaux)</w:t>
            </w:r>
          </w:p>
        </w:tc>
        <w:tc>
          <w:tcPr>
            <w:tcW w:w="87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2 349</w:t>
            </w:r>
          </w:p>
        </w:tc>
        <w:tc>
          <w:tcPr>
            <w:tcW w:w="87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(584)</w:t>
            </w:r>
          </w:p>
        </w:tc>
        <w:tc>
          <w:tcPr>
            <w:tcW w:w="87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1 766</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310</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2 085</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2 320</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(576)</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1 744</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310</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2 063</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lang w:bidi="en-GB"/>
              </w:rPr>
            </w:pPr>
          </w:p>
        </w:tc>
      </w:tr>
      <w:tr>
        <w:trPr>
          <w:trHeight w:hRule="exact" w:val="255"/>
        </w:trPr>
        <w:tc>
          <w:tcPr>
            <w:tcW w:w="344"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rPr>
                <w:rFonts w:ascii="Verdana" w:eastAsia="Verdana" w:hAnsi="Verdana" w:cs="Verdana"/>
                <w:b/>
                <w:noProof/>
                <w:color w:val="000000"/>
                <w:sz w:val="16"/>
              </w:rPr>
            </w:pPr>
          </w:p>
        </w:tc>
        <w:tc>
          <w:tcPr>
            <w:tcW w:w="3839"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rPr>
                <w:rFonts w:ascii="Verdana" w:eastAsia="Verdana" w:hAnsi="Verdana" w:cs="Verdana"/>
                <w:b/>
                <w:noProof/>
                <w:color w:val="000000"/>
                <w:sz w:val="16"/>
              </w:rPr>
            </w:pPr>
            <w:r>
              <w:rPr>
                <w:rFonts w:ascii="Verdana" w:hAnsi="Verdana"/>
                <w:b/>
                <w:noProof/>
                <w:color w:val="000000"/>
                <w:sz w:val="16"/>
              </w:rPr>
              <w:t>TOTAL</w:t>
            </w:r>
          </w:p>
        </w:tc>
        <w:tc>
          <w:tcPr>
            <w:tcW w:w="87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b/>
                <w:noProof/>
                <w:color w:val="000000"/>
                <w:sz w:val="16"/>
              </w:rPr>
            </w:pPr>
            <w:r>
              <w:rPr>
                <w:rFonts w:ascii="Verdana" w:hAnsi="Verdana"/>
                <w:b/>
                <w:noProof/>
                <w:color w:val="000000"/>
                <w:sz w:val="16"/>
              </w:rPr>
              <w:t>199 438</w:t>
            </w:r>
          </w:p>
        </w:tc>
        <w:tc>
          <w:tcPr>
            <w:tcW w:w="87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b/>
                <w:noProof/>
                <w:color w:val="000000"/>
                <w:sz w:val="16"/>
              </w:rPr>
            </w:pPr>
            <w:r>
              <w:rPr>
                <w:rFonts w:ascii="Verdana" w:hAnsi="Verdana"/>
                <w:b/>
                <w:noProof/>
                <w:color w:val="000000"/>
                <w:sz w:val="16"/>
              </w:rPr>
              <w:t xml:space="preserve"> (199)</w:t>
            </w:r>
          </w:p>
        </w:tc>
        <w:tc>
          <w:tcPr>
            <w:tcW w:w="87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b/>
                <w:noProof/>
                <w:color w:val="000000"/>
                <w:sz w:val="16"/>
              </w:rPr>
            </w:pPr>
            <w:r>
              <w:rPr>
                <w:rFonts w:ascii="Verdana" w:hAnsi="Verdana"/>
                <w:b/>
                <w:noProof/>
                <w:color w:val="000000"/>
                <w:sz w:val="16"/>
              </w:rPr>
              <w:t>199 239</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b/>
                <w:noProof/>
                <w:color w:val="000000"/>
                <w:sz w:val="16"/>
              </w:rPr>
            </w:pPr>
            <w:r>
              <w:rPr>
                <w:rFonts w:ascii="Verdana" w:hAnsi="Verdana"/>
                <w:b/>
                <w:noProof/>
                <w:color w:val="000000"/>
                <w:sz w:val="16"/>
              </w:rPr>
              <w:t>1 795</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b/>
                <w:noProof/>
                <w:color w:val="000000"/>
                <w:sz w:val="16"/>
              </w:rPr>
            </w:pPr>
            <w:r>
              <w:rPr>
                <w:rFonts w:ascii="Verdana" w:hAnsi="Verdana"/>
                <w:b/>
                <w:noProof/>
                <w:color w:val="000000"/>
                <w:sz w:val="16"/>
              </w:rPr>
              <w:t>27 070</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b/>
                <w:noProof/>
                <w:color w:val="000000"/>
                <w:sz w:val="16"/>
              </w:rPr>
            </w:pPr>
            <w:r>
              <w:rPr>
                <w:rFonts w:ascii="Verdana" w:hAnsi="Verdana"/>
                <w:b/>
                <w:noProof/>
                <w:color w:val="000000"/>
                <w:sz w:val="16"/>
              </w:rPr>
              <w:t>228 104</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b/>
                <w:noProof/>
                <w:color w:val="000000"/>
                <w:sz w:val="16"/>
              </w:rPr>
            </w:pPr>
            <w:r>
              <w:rPr>
                <w:rFonts w:ascii="Verdana" w:hAnsi="Verdana"/>
                <w:b/>
                <w:noProof/>
                <w:color w:val="000000"/>
                <w:sz w:val="16"/>
              </w:rPr>
              <w:t>155 209</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b/>
                <w:noProof/>
                <w:color w:val="000000"/>
                <w:sz w:val="16"/>
              </w:rPr>
            </w:pPr>
            <w:r>
              <w:rPr>
                <w:rFonts w:ascii="Verdana" w:hAnsi="Verdana"/>
                <w:b/>
                <w:noProof/>
                <w:color w:val="000000"/>
                <w:sz w:val="16"/>
              </w:rPr>
              <w:t>5 953</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b/>
                <w:noProof/>
                <w:color w:val="000000"/>
                <w:sz w:val="16"/>
              </w:rPr>
            </w:pPr>
            <w:r>
              <w:rPr>
                <w:rFonts w:ascii="Verdana" w:hAnsi="Verdana"/>
                <w:b/>
                <w:noProof/>
                <w:color w:val="000000"/>
                <w:sz w:val="16"/>
              </w:rPr>
              <w:t>161 163</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b/>
                <w:noProof/>
                <w:color w:val="000000"/>
                <w:sz w:val="16"/>
              </w:rPr>
            </w:pPr>
            <w:r>
              <w:rPr>
                <w:rFonts w:ascii="Verdana" w:hAnsi="Verdana"/>
                <w:b/>
                <w:noProof/>
                <w:color w:val="000000"/>
                <w:sz w:val="16"/>
              </w:rPr>
              <w:t>3 887</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b/>
                <w:noProof/>
                <w:color w:val="000000"/>
                <w:sz w:val="16"/>
              </w:rPr>
            </w:pPr>
            <w:r>
              <w:rPr>
                <w:rFonts w:ascii="Verdana" w:hAnsi="Verdana"/>
                <w:b/>
                <w:noProof/>
                <w:color w:val="000000"/>
                <w:sz w:val="16"/>
              </w:rPr>
              <w:t>85 907</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b/>
                <w:noProof/>
                <w:color w:val="000000"/>
                <w:sz w:val="16"/>
              </w:rPr>
            </w:pPr>
            <w:r>
              <w:rPr>
                <w:rFonts w:ascii="Verdana" w:hAnsi="Verdana"/>
                <w:b/>
                <w:noProof/>
                <w:color w:val="000000"/>
                <w:sz w:val="16"/>
              </w:rPr>
              <w:t>250 956</w:t>
            </w:r>
          </w:p>
        </w:tc>
      </w:tr>
    </w:tbl>
    <w:p>
      <w:pPr>
        <w:pStyle w:val="Textstand-alone"/>
        <w:rPr>
          <w:lang w:bidi="en-GB"/>
        </w:rPr>
        <w:sectPr>
          <w:headerReference w:type="default" r:id="rId175"/>
          <w:footerReference w:type="default" r:id="rId176"/>
          <w:type w:val="nextColumn"/>
          <w:pgSz w:w="16840" w:h="11900" w:orient="landscape"/>
          <w:pgMar w:top="1134" w:right="1134" w:bottom="1134" w:left="1134" w:header="720" w:footer="720" w:gutter="0"/>
          <w:cols w:space="720"/>
          <w:docGrid w:linePitch="272"/>
        </w:sectPr>
      </w:pPr>
    </w:p>
    <w:p>
      <w:pPr>
        <w:pStyle w:val="HEADER2PartBUDG"/>
        <w:spacing w:before="120" w:after="240"/>
        <w:ind w:left="357" w:hanging="357"/>
        <w:rPr>
          <w:noProof/>
        </w:rPr>
      </w:pPr>
      <w:bookmarkStart w:id="307" w:name="_Toc237349640"/>
      <w:r>
        <w:rPr>
          <w:noProof/>
        </w:rPr>
        <w:lastRenderedPageBreak/>
        <w:t>CFP DÉTAILLÉ: EXÉCUTION DES CRÉDITS D’ENGAGEMENT</w:t>
      </w:r>
      <w:bookmarkEnd w:id="3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4"/>
        <w:gridCol w:w="2134"/>
        <w:gridCol w:w="4275"/>
        <w:gridCol w:w="623"/>
        <w:gridCol w:w="623"/>
        <w:gridCol w:w="623"/>
        <w:gridCol w:w="623"/>
        <w:gridCol w:w="623"/>
        <w:gridCol w:w="623"/>
        <w:gridCol w:w="623"/>
        <w:gridCol w:w="623"/>
        <w:gridCol w:w="623"/>
        <w:gridCol w:w="623"/>
        <w:gridCol w:w="623"/>
        <w:gridCol w:w="806"/>
      </w:tblGrid>
      <w:tr>
        <w:trPr>
          <w:trHeight w:val="255"/>
          <w:tblHeader/>
        </w:trPr>
        <w:tc>
          <w:tcPr>
            <w:tcW w:w="41" w:type="dxa"/>
            <w:gridSpan w:val="15"/>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i/>
                <w:noProof/>
                <w:color w:val="000000"/>
                <w:sz w:val="16"/>
              </w:rPr>
            </w:pPr>
            <w:bookmarkStart w:id="308" w:name="DOC_TBL00120_1_1"/>
            <w:bookmarkEnd w:id="308"/>
            <w:r>
              <w:rPr>
                <w:rFonts w:ascii="Verdana" w:hAnsi="Verdana"/>
                <w:i/>
                <w:noProof/>
                <w:color w:val="000000"/>
                <w:sz w:val="16"/>
              </w:rPr>
              <w:t>en Mio EUR</w:t>
            </w:r>
          </w:p>
        </w:tc>
      </w:tr>
      <w:tr>
        <w:trPr>
          <w:trHeight w:val="255"/>
          <w:tblHeader/>
        </w:trPr>
        <w:tc>
          <w:tcPr>
            <w:tcW w:w="41"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2ImplementCommitments"/>
              <w:rPr>
                <w:rFonts w:ascii="Verdana" w:eastAsia="Verdana" w:hAnsi="Verdana" w:cs="Verdana"/>
                <w:b/>
                <w:noProof/>
                <w:color w:val="FFFFFF"/>
                <w:sz w:val="16"/>
              </w:rPr>
            </w:pPr>
          </w:p>
        </w:tc>
        <w:tc>
          <w:tcPr>
            <w:tcW w:w="479"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2ImplementCommitments"/>
              <w:rPr>
                <w:rFonts w:ascii="Verdana" w:eastAsia="Verdana" w:hAnsi="Verdana" w:cs="Verdana"/>
                <w:b/>
                <w:noProof/>
                <w:color w:val="FFFFFF"/>
                <w:sz w:val="16"/>
              </w:rPr>
            </w:pPr>
          </w:p>
        </w:tc>
        <w:tc>
          <w:tcPr>
            <w:tcW w:w="960"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742BIPDetailedMFF2ImplementCommitments"/>
              <w:jc w:val="center"/>
              <w:rPr>
                <w:rFonts w:ascii="Verdana" w:eastAsia="Verdana" w:hAnsi="Verdana" w:cs="Verdana"/>
                <w:b/>
                <w:noProof/>
                <w:color w:val="FFFFFF"/>
                <w:sz w:val="16"/>
              </w:rPr>
            </w:pPr>
            <w:r>
              <w:rPr>
                <w:rFonts w:ascii="Verdana" w:hAnsi="Verdana"/>
                <w:b/>
                <w:noProof/>
                <w:color w:val="FFFFFF"/>
                <w:sz w:val="16"/>
              </w:rPr>
              <w:t>Total crédits disponibles</w:t>
            </w:r>
          </w:p>
        </w:tc>
        <w:tc>
          <w:tcPr>
            <w:tcW w:w="126" w:type="dxa"/>
            <w:gridSpan w:val="5"/>
            <w:tcBorders>
              <w:top w:val="nil"/>
              <w:left w:val="nil"/>
              <w:bottom w:val="nil"/>
              <w:right w:val="nil"/>
              <w:tl2br w:val="nil"/>
              <w:tr2bl w:val="nil"/>
            </w:tcBorders>
            <w:shd w:val="solid" w:color="016794" w:fill="FFFFFF"/>
            <w:tcMar>
              <w:left w:w="60" w:type="dxa"/>
              <w:right w:w="60" w:type="dxa"/>
            </w:tcMar>
            <w:vAlign w:val="center"/>
          </w:tcPr>
          <w:p>
            <w:pPr>
              <w:pStyle w:val="DMETW36742BIPDetailedMFF2ImplementCommitments"/>
              <w:jc w:val="center"/>
              <w:rPr>
                <w:rFonts w:ascii="Verdana" w:eastAsia="Verdana" w:hAnsi="Verdana" w:cs="Verdana"/>
                <w:b/>
                <w:noProof/>
                <w:color w:val="FFFFFF"/>
                <w:sz w:val="16"/>
              </w:rPr>
            </w:pPr>
            <w:r>
              <w:rPr>
                <w:rFonts w:ascii="Verdana" w:hAnsi="Verdana"/>
                <w:b/>
                <w:noProof/>
                <w:color w:val="FFFFFF"/>
                <w:sz w:val="16"/>
              </w:rPr>
              <w:t>Engagements contractés</w:t>
            </w:r>
          </w:p>
        </w:tc>
        <w:tc>
          <w:tcPr>
            <w:tcW w:w="105" w:type="dxa"/>
            <w:gridSpan w:val="3"/>
            <w:tcBorders>
              <w:top w:val="nil"/>
              <w:left w:val="nil"/>
              <w:bottom w:val="nil"/>
              <w:right w:val="nil"/>
              <w:tl2br w:val="nil"/>
              <w:tr2bl w:val="nil"/>
            </w:tcBorders>
            <w:shd w:val="solid" w:color="016794" w:fill="FFFFFF"/>
            <w:tcMar>
              <w:left w:w="60" w:type="dxa"/>
              <w:right w:w="60" w:type="dxa"/>
            </w:tcMar>
            <w:vAlign w:val="center"/>
          </w:tcPr>
          <w:p>
            <w:pPr>
              <w:pStyle w:val="DMETW36742BIPDetailedMFF2ImplementCommitments"/>
              <w:jc w:val="center"/>
              <w:rPr>
                <w:rFonts w:ascii="Verdana" w:eastAsia="Verdana" w:hAnsi="Verdana" w:cs="Verdana"/>
                <w:b/>
                <w:noProof/>
                <w:color w:val="FFFFFF"/>
                <w:sz w:val="16"/>
              </w:rPr>
            </w:pPr>
            <w:r>
              <w:rPr>
                <w:rFonts w:ascii="Verdana" w:hAnsi="Verdana"/>
                <w:b/>
                <w:noProof/>
                <w:color w:val="FFFFFF"/>
                <w:sz w:val="16"/>
              </w:rPr>
              <w:t>Crédits reportés</w:t>
            </w:r>
          </w:p>
          <w:p>
            <w:pPr>
              <w:pStyle w:val="DMETW36742BIPDetailedMFF2ImplementCommitments"/>
              <w:jc w:val="center"/>
              <w:rPr>
                <w:rFonts w:ascii="Verdana" w:eastAsia="Verdana" w:hAnsi="Verdana" w:cs="Verdana"/>
                <w:b/>
                <w:noProof/>
                <w:color w:val="FFFFFF"/>
                <w:sz w:val="16"/>
              </w:rPr>
            </w:pPr>
            <w:r>
              <w:rPr>
                <w:rFonts w:ascii="Verdana" w:hAnsi="Verdana"/>
                <w:b/>
                <w:noProof/>
                <w:color w:val="FFFFFF"/>
                <w:sz w:val="16"/>
              </w:rPr>
              <w:t>à 2026</w:t>
            </w:r>
          </w:p>
        </w:tc>
        <w:tc>
          <w:tcPr>
            <w:tcW w:w="92" w:type="dxa"/>
            <w:gridSpan w:val="4"/>
            <w:tcBorders>
              <w:top w:val="nil"/>
              <w:left w:val="nil"/>
              <w:bottom w:val="nil"/>
              <w:right w:val="nil"/>
              <w:tl2br w:val="nil"/>
              <w:tr2bl w:val="nil"/>
            </w:tcBorders>
            <w:shd w:val="solid" w:color="016794" w:fill="FFFFFF"/>
            <w:tcMar>
              <w:left w:w="60" w:type="dxa"/>
              <w:right w:w="60" w:type="dxa"/>
            </w:tcMar>
            <w:vAlign w:val="center"/>
          </w:tcPr>
          <w:p>
            <w:pPr>
              <w:pStyle w:val="DMETW36742BIPDetailedMFF2ImplementCommitments"/>
              <w:jc w:val="center"/>
              <w:rPr>
                <w:rFonts w:ascii="Verdana" w:eastAsia="Verdana" w:hAnsi="Verdana" w:cs="Verdana"/>
                <w:b/>
                <w:noProof/>
                <w:color w:val="FFFFFF"/>
                <w:sz w:val="16"/>
              </w:rPr>
            </w:pPr>
            <w:r>
              <w:rPr>
                <w:rFonts w:ascii="Verdana" w:hAnsi="Verdana"/>
                <w:b/>
                <w:noProof/>
                <w:color w:val="FFFFFF"/>
                <w:sz w:val="16"/>
              </w:rPr>
              <w:t>Annulations</w:t>
            </w:r>
          </w:p>
        </w:tc>
      </w:tr>
      <w:tr>
        <w:trPr>
          <w:trHeight w:val="255"/>
          <w:tblHeader/>
        </w:trPr>
        <w:tc>
          <w:tcPr>
            <w:tcW w:w="41"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2ImplementCommitments"/>
              <w:jc w:val="center"/>
              <w:rPr>
                <w:rFonts w:ascii="Verdana" w:eastAsia="Verdana" w:hAnsi="Verdana" w:cs="Verdana"/>
                <w:noProof/>
                <w:color w:val="FFFFFF"/>
                <w:sz w:val="16"/>
              </w:rPr>
            </w:pPr>
          </w:p>
        </w:tc>
        <w:tc>
          <w:tcPr>
            <w:tcW w:w="479"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2ImplementCommitments"/>
              <w:jc w:val="center"/>
              <w:rPr>
                <w:rFonts w:ascii="Verdana" w:eastAsia="Verdana" w:hAnsi="Verdana" w:cs="Verdana"/>
                <w:b/>
                <w:noProof/>
                <w:color w:val="FFFFFF"/>
                <w:sz w:val="16"/>
              </w:rPr>
            </w:pPr>
            <w:r>
              <w:rPr>
                <w:rFonts w:ascii="Verdana" w:hAnsi="Verdana"/>
                <w:b/>
                <w:noProof/>
                <w:color w:val="FFFFFF"/>
                <w:sz w:val="16"/>
              </w:rPr>
              <w:t>Rubrique du CFP</w:t>
            </w:r>
          </w:p>
        </w:tc>
        <w:tc>
          <w:tcPr>
            <w:tcW w:w="960" w:type="dxa"/>
            <w:vMerge/>
            <w:tcBorders>
              <w:top w:val="nil"/>
              <w:left w:val="nil"/>
              <w:bottom w:val="nil"/>
              <w:right w:val="nil"/>
              <w:tl2br w:val="nil"/>
              <w:tr2bl w:val="nil"/>
            </w:tcBorders>
            <w:shd w:val="solid" w:color="016794" w:fill="FFFFFF"/>
            <w:tcMar>
              <w:left w:w="60" w:type="dxa"/>
              <w:right w:w="60" w:type="dxa"/>
            </w:tcMar>
            <w:vAlign w:val="center"/>
          </w:tcPr>
          <w:p>
            <w:pPr>
              <w:pStyle w:val="DMETW36742BIPDetailedMFF2ImplementCommitments"/>
              <w:jc w:val="center"/>
              <w:rPr>
                <w:rFonts w:ascii="Verdana" w:eastAsia="Verdana" w:hAnsi="Verdana" w:cs="Verdana"/>
                <w:b/>
                <w:noProof/>
                <w:color w:val="FFFFFF"/>
                <w:sz w:val="16"/>
              </w:rPr>
            </w:pPr>
          </w:p>
        </w:tc>
        <w:tc>
          <w:tcPr>
            <w:tcW w:w="126"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2ImplementCommitments"/>
              <w:jc w:val="center"/>
              <w:rPr>
                <w:rFonts w:ascii="Verdana" w:eastAsia="Verdana" w:hAnsi="Verdana" w:cs="Verdana"/>
                <w:noProof/>
                <w:color w:val="FFFFFF"/>
                <w:sz w:val="16"/>
              </w:rPr>
            </w:pPr>
            <w:r>
              <w:rPr>
                <w:rFonts w:ascii="Verdana" w:hAnsi="Verdana"/>
                <w:noProof/>
                <w:color w:val="FFFFFF"/>
                <w:sz w:val="16"/>
              </w:rPr>
              <w:t>sur budget définitif adopté</w:t>
            </w:r>
          </w:p>
        </w:tc>
        <w:tc>
          <w:tcPr>
            <w:tcW w:w="102"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2ImplementCommitments"/>
              <w:jc w:val="center"/>
              <w:rPr>
                <w:rFonts w:ascii="Verdana" w:eastAsia="Verdana" w:hAnsi="Verdana" w:cs="Verdana"/>
                <w:noProof/>
                <w:color w:val="FFFFFF"/>
                <w:sz w:val="16"/>
              </w:rPr>
            </w:pPr>
            <w:r>
              <w:rPr>
                <w:rFonts w:ascii="Verdana" w:hAnsi="Verdana"/>
                <w:noProof/>
                <w:color w:val="FFFFFF"/>
                <w:sz w:val="16"/>
              </w:rPr>
              <w:t>sur crédits reportés</w:t>
            </w:r>
          </w:p>
        </w:tc>
        <w:tc>
          <w:tcPr>
            <w:tcW w:w="112"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2ImplementCommitments"/>
              <w:jc w:val="center"/>
              <w:rPr>
                <w:rFonts w:ascii="Verdana" w:eastAsia="Verdana" w:hAnsi="Verdana" w:cs="Verdana"/>
                <w:noProof/>
                <w:color w:val="FFFFFF"/>
                <w:sz w:val="16"/>
              </w:rPr>
            </w:pPr>
            <w:r>
              <w:rPr>
                <w:rFonts w:ascii="Verdana" w:hAnsi="Verdana"/>
                <w:noProof/>
                <w:color w:val="FFFFFF"/>
                <w:sz w:val="16"/>
              </w:rPr>
              <w:t>sur recettes affectées</w:t>
            </w:r>
          </w:p>
        </w:tc>
        <w:tc>
          <w:tcPr>
            <w:tcW w:w="125"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2ImplementCommitments"/>
              <w:jc w:val="center"/>
              <w:rPr>
                <w:rFonts w:ascii="Verdana" w:eastAsia="Verdana" w:hAnsi="Verdana" w:cs="Verdana"/>
                <w:noProof/>
                <w:color w:val="FFFFFF"/>
                <w:sz w:val="16"/>
              </w:rPr>
            </w:pPr>
            <w:r>
              <w:rPr>
                <w:rFonts w:ascii="Verdana" w:hAnsi="Verdana"/>
                <w:noProof/>
                <w:color w:val="FFFFFF"/>
                <w:sz w:val="16"/>
              </w:rPr>
              <w:t>Total</w:t>
            </w:r>
          </w:p>
        </w:tc>
        <w:tc>
          <w:tcPr>
            <w:tcW w:w="99"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2ImplementCommitments"/>
              <w:jc w:val="center"/>
              <w:rPr>
                <w:rFonts w:ascii="Verdana" w:eastAsia="Verdana" w:hAnsi="Verdana" w:cs="Verdana"/>
                <w:noProof/>
                <w:color w:val="FFFFFF"/>
                <w:sz w:val="16"/>
              </w:rPr>
            </w:pPr>
            <w:r>
              <w:rPr>
                <w:rFonts w:ascii="Verdana" w:hAnsi="Verdana"/>
                <w:noProof/>
                <w:color w:val="FFFFFF"/>
                <w:sz w:val="16"/>
              </w:rPr>
              <w:t>%</w:t>
            </w:r>
          </w:p>
        </w:tc>
        <w:tc>
          <w:tcPr>
            <w:tcW w:w="105"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2ImplementCommitments"/>
              <w:jc w:val="center"/>
              <w:rPr>
                <w:rFonts w:ascii="Verdana" w:eastAsia="Verdana" w:hAnsi="Verdana" w:cs="Verdana"/>
                <w:noProof/>
                <w:color w:val="FFFFFF"/>
                <w:sz w:val="16"/>
              </w:rPr>
            </w:pPr>
            <w:r>
              <w:rPr>
                <w:rFonts w:ascii="Verdana" w:hAnsi="Verdana"/>
                <w:noProof/>
                <w:color w:val="FFFFFF"/>
                <w:sz w:val="16"/>
              </w:rPr>
              <w:t>sur budget définitif adopté</w:t>
            </w:r>
          </w:p>
        </w:tc>
        <w:tc>
          <w:tcPr>
            <w:tcW w:w="112"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2ImplementCommitments"/>
              <w:jc w:val="center"/>
              <w:rPr>
                <w:rFonts w:ascii="Verdana" w:eastAsia="Verdana" w:hAnsi="Verdana" w:cs="Verdana"/>
                <w:noProof/>
                <w:color w:val="FFFFFF"/>
                <w:sz w:val="16"/>
              </w:rPr>
            </w:pPr>
            <w:r>
              <w:rPr>
                <w:rFonts w:ascii="Verdana" w:hAnsi="Verdana"/>
                <w:noProof/>
                <w:color w:val="FFFFFF"/>
                <w:sz w:val="16"/>
              </w:rPr>
              <w:t>sur recettes affectées</w:t>
            </w:r>
          </w:p>
        </w:tc>
        <w:tc>
          <w:tcPr>
            <w:tcW w:w="106"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2ImplementCommitments"/>
              <w:jc w:val="center"/>
              <w:rPr>
                <w:rFonts w:ascii="Verdana" w:eastAsia="Verdana" w:hAnsi="Verdana" w:cs="Verdana"/>
                <w:noProof/>
                <w:color w:val="FFFFFF"/>
                <w:sz w:val="16"/>
              </w:rPr>
            </w:pPr>
            <w:r>
              <w:rPr>
                <w:rFonts w:ascii="Verdana" w:hAnsi="Verdana"/>
                <w:noProof/>
                <w:color w:val="FFFFFF"/>
                <w:sz w:val="16"/>
              </w:rPr>
              <w:t>Total</w:t>
            </w:r>
          </w:p>
        </w:tc>
        <w:tc>
          <w:tcPr>
            <w:tcW w:w="92"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2ImplementCommitments"/>
              <w:jc w:val="center"/>
              <w:rPr>
                <w:rFonts w:ascii="Verdana" w:eastAsia="Verdana" w:hAnsi="Verdana" w:cs="Verdana"/>
                <w:noProof/>
                <w:color w:val="FFFFFF"/>
                <w:sz w:val="16"/>
              </w:rPr>
            </w:pPr>
            <w:r>
              <w:rPr>
                <w:rFonts w:ascii="Verdana" w:hAnsi="Verdana"/>
                <w:noProof/>
                <w:color w:val="FFFFFF"/>
                <w:sz w:val="16"/>
              </w:rPr>
              <w:t>sur budget définitif adopté</w:t>
            </w:r>
          </w:p>
        </w:tc>
        <w:tc>
          <w:tcPr>
            <w:tcW w:w="82"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2ImplementCommitments"/>
              <w:jc w:val="center"/>
              <w:rPr>
                <w:rFonts w:ascii="Verdana" w:eastAsia="Verdana" w:hAnsi="Verdana" w:cs="Verdana"/>
                <w:noProof/>
                <w:color w:val="FFFFFF"/>
                <w:sz w:val="16"/>
              </w:rPr>
            </w:pPr>
            <w:r>
              <w:rPr>
                <w:rFonts w:ascii="Verdana" w:hAnsi="Verdana"/>
                <w:noProof/>
                <w:color w:val="FFFFFF"/>
                <w:sz w:val="16"/>
              </w:rPr>
              <w:t>sur crédits reportés</w:t>
            </w:r>
          </w:p>
        </w:tc>
        <w:tc>
          <w:tcPr>
            <w:tcW w:w="112"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2ImplementCommitments"/>
              <w:jc w:val="center"/>
              <w:rPr>
                <w:rFonts w:ascii="Verdana" w:eastAsia="Verdana" w:hAnsi="Verdana" w:cs="Verdana"/>
                <w:noProof/>
                <w:color w:val="FFFFFF"/>
                <w:sz w:val="16"/>
              </w:rPr>
            </w:pPr>
            <w:r>
              <w:rPr>
                <w:rFonts w:ascii="Verdana" w:hAnsi="Verdana"/>
                <w:noProof/>
                <w:color w:val="FFFFFF"/>
                <w:sz w:val="16"/>
              </w:rPr>
              <w:t>sur recettes affectées</w:t>
            </w:r>
          </w:p>
        </w:tc>
        <w:tc>
          <w:tcPr>
            <w:tcW w:w="181"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2ImplementCommitments"/>
              <w:jc w:val="center"/>
              <w:rPr>
                <w:rFonts w:ascii="Verdana" w:eastAsia="Verdana" w:hAnsi="Verdana" w:cs="Verdana"/>
                <w:noProof/>
                <w:color w:val="FFFFFF"/>
                <w:sz w:val="16"/>
              </w:rPr>
            </w:pPr>
            <w:r>
              <w:rPr>
                <w:rFonts w:ascii="Verdana" w:hAnsi="Verdana"/>
                <w:noProof/>
                <w:color w:val="FFFFFF"/>
                <w:sz w:val="16"/>
              </w:rPr>
              <w:t>Total</w:t>
            </w:r>
          </w:p>
        </w:tc>
      </w:tr>
      <w:tr>
        <w:trPr>
          <w:trHeight w:val="255"/>
          <w:tblHeader/>
        </w:trPr>
        <w:tc>
          <w:tcPr>
            <w:tcW w:w="41"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2ImplementCommitments"/>
              <w:jc w:val="center"/>
              <w:rPr>
                <w:rFonts w:ascii="Verdana" w:eastAsia="Verdana" w:hAnsi="Verdana" w:cs="Verdana"/>
                <w:noProof/>
                <w:color w:val="FFFFFF"/>
                <w:sz w:val="16"/>
              </w:rPr>
            </w:pPr>
          </w:p>
        </w:tc>
        <w:tc>
          <w:tcPr>
            <w:tcW w:w="479"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2ImplementCommitments"/>
              <w:jc w:val="center"/>
              <w:rPr>
                <w:rFonts w:ascii="Verdana" w:eastAsia="Verdana" w:hAnsi="Verdana" w:cs="Verdana"/>
                <w:noProof/>
                <w:color w:val="FFFFFF"/>
                <w:sz w:val="16"/>
              </w:rPr>
            </w:pPr>
          </w:p>
        </w:tc>
        <w:tc>
          <w:tcPr>
            <w:tcW w:w="960"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2ImplementCommitments"/>
              <w:jc w:val="center"/>
              <w:rPr>
                <w:rFonts w:ascii="Verdana" w:eastAsia="Verdana" w:hAnsi="Verdana" w:cs="Verdana"/>
                <w:noProof/>
                <w:color w:val="FFFFFF"/>
                <w:sz w:val="16"/>
              </w:rPr>
            </w:pPr>
            <w:r>
              <w:rPr>
                <w:rFonts w:ascii="Verdana" w:hAnsi="Verdana"/>
                <w:noProof/>
                <w:color w:val="FFFFFF"/>
                <w:sz w:val="16"/>
              </w:rPr>
              <w:t>1</w:t>
            </w:r>
          </w:p>
        </w:tc>
        <w:tc>
          <w:tcPr>
            <w:tcW w:w="126"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2ImplementCommitments"/>
              <w:jc w:val="center"/>
              <w:rPr>
                <w:rFonts w:ascii="Verdana" w:eastAsia="Verdana" w:hAnsi="Verdana" w:cs="Verdana"/>
                <w:noProof/>
                <w:color w:val="FFFFFF"/>
                <w:sz w:val="16"/>
              </w:rPr>
            </w:pPr>
            <w:r>
              <w:rPr>
                <w:rFonts w:ascii="Verdana" w:hAnsi="Verdana"/>
                <w:noProof/>
                <w:color w:val="FFFFFF"/>
                <w:sz w:val="16"/>
              </w:rPr>
              <w:t>2</w:t>
            </w:r>
          </w:p>
        </w:tc>
        <w:tc>
          <w:tcPr>
            <w:tcW w:w="102"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2ImplementCommitments"/>
              <w:jc w:val="center"/>
              <w:rPr>
                <w:rFonts w:ascii="Verdana" w:eastAsia="Verdana" w:hAnsi="Verdana" w:cs="Verdana"/>
                <w:noProof/>
                <w:color w:val="FFFFFF"/>
                <w:sz w:val="16"/>
              </w:rPr>
            </w:pPr>
            <w:r>
              <w:rPr>
                <w:rFonts w:ascii="Verdana" w:hAnsi="Verdana"/>
                <w:noProof/>
                <w:color w:val="FFFFFF"/>
                <w:sz w:val="16"/>
              </w:rPr>
              <w:t>3</w:t>
            </w:r>
          </w:p>
        </w:tc>
        <w:tc>
          <w:tcPr>
            <w:tcW w:w="112"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2ImplementCommitments"/>
              <w:jc w:val="center"/>
              <w:rPr>
                <w:rFonts w:ascii="Verdana" w:eastAsia="Verdana" w:hAnsi="Verdana" w:cs="Verdana"/>
                <w:noProof/>
                <w:color w:val="FFFFFF"/>
                <w:sz w:val="16"/>
              </w:rPr>
            </w:pPr>
            <w:r>
              <w:rPr>
                <w:rFonts w:ascii="Verdana" w:hAnsi="Verdana"/>
                <w:noProof/>
                <w:color w:val="FFFFFF"/>
                <w:sz w:val="16"/>
              </w:rPr>
              <w:t>4</w:t>
            </w:r>
          </w:p>
        </w:tc>
        <w:tc>
          <w:tcPr>
            <w:tcW w:w="125"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2ImplementCommitments"/>
              <w:jc w:val="center"/>
              <w:rPr>
                <w:rFonts w:ascii="Verdana" w:eastAsia="Verdana" w:hAnsi="Verdana" w:cs="Verdana"/>
                <w:noProof/>
                <w:color w:val="FFFFFF"/>
                <w:sz w:val="16"/>
              </w:rPr>
            </w:pPr>
            <w:r>
              <w:rPr>
                <w:rFonts w:ascii="Verdana" w:hAnsi="Verdana"/>
                <w:noProof/>
                <w:color w:val="FFFFFF"/>
                <w:sz w:val="16"/>
              </w:rPr>
              <w:t>5=2+3+4</w:t>
            </w:r>
          </w:p>
        </w:tc>
        <w:tc>
          <w:tcPr>
            <w:tcW w:w="99"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2ImplementCommitments"/>
              <w:jc w:val="center"/>
              <w:rPr>
                <w:rFonts w:ascii="Verdana" w:eastAsia="Verdana" w:hAnsi="Verdana" w:cs="Verdana"/>
                <w:noProof/>
                <w:color w:val="FFFFFF"/>
                <w:sz w:val="16"/>
              </w:rPr>
            </w:pPr>
            <w:r>
              <w:rPr>
                <w:rFonts w:ascii="Verdana" w:hAnsi="Verdana"/>
                <w:noProof/>
                <w:color w:val="FFFFFF"/>
                <w:sz w:val="16"/>
              </w:rPr>
              <w:t>6=5/1</w:t>
            </w:r>
          </w:p>
        </w:tc>
        <w:tc>
          <w:tcPr>
            <w:tcW w:w="105"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2ImplementCommitments"/>
              <w:jc w:val="center"/>
              <w:rPr>
                <w:rFonts w:ascii="Verdana" w:eastAsia="Verdana" w:hAnsi="Verdana" w:cs="Verdana"/>
                <w:noProof/>
                <w:color w:val="FFFFFF"/>
                <w:sz w:val="16"/>
              </w:rPr>
            </w:pPr>
            <w:r>
              <w:rPr>
                <w:rFonts w:ascii="Verdana" w:hAnsi="Verdana"/>
                <w:noProof/>
                <w:color w:val="FFFFFF"/>
                <w:sz w:val="16"/>
              </w:rPr>
              <w:t>7</w:t>
            </w:r>
          </w:p>
        </w:tc>
        <w:tc>
          <w:tcPr>
            <w:tcW w:w="112"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2ImplementCommitments"/>
              <w:jc w:val="center"/>
              <w:rPr>
                <w:rFonts w:ascii="Verdana" w:eastAsia="Verdana" w:hAnsi="Verdana" w:cs="Verdana"/>
                <w:noProof/>
                <w:color w:val="FFFFFF"/>
                <w:sz w:val="16"/>
              </w:rPr>
            </w:pPr>
            <w:r>
              <w:rPr>
                <w:rFonts w:ascii="Verdana" w:hAnsi="Verdana"/>
                <w:noProof/>
                <w:color w:val="FFFFFF"/>
                <w:sz w:val="16"/>
              </w:rPr>
              <w:t>8</w:t>
            </w:r>
          </w:p>
        </w:tc>
        <w:tc>
          <w:tcPr>
            <w:tcW w:w="106"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2ImplementCommitments"/>
              <w:jc w:val="center"/>
              <w:rPr>
                <w:rFonts w:ascii="Verdana" w:eastAsia="Verdana" w:hAnsi="Verdana" w:cs="Verdana"/>
                <w:noProof/>
                <w:color w:val="FFFFFF"/>
                <w:sz w:val="16"/>
              </w:rPr>
            </w:pPr>
            <w:r>
              <w:rPr>
                <w:rFonts w:ascii="Verdana" w:hAnsi="Verdana"/>
                <w:noProof/>
                <w:color w:val="FFFFFF"/>
                <w:sz w:val="16"/>
              </w:rPr>
              <w:t>9=7+8</w:t>
            </w:r>
          </w:p>
        </w:tc>
        <w:tc>
          <w:tcPr>
            <w:tcW w:w="92"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2ImplementCommitments"/>
              <w:jc w:val="center"/>
              <w:rPr>
                <w:rFonts w:ascii="Verdana" w:eastAsia="Verdana" w:hAnsi="Verdana" w:cs="Verdana"/>
                <w:noProof/>
                <w:color w:val="FFFFFF"/>
                <w:sz w:val="16"/>
              </w:rPr>
            </w:pPr>
            <w:r>
              <w:rPr>
                <w:rFonts w:ascii="Verdana" w:hAnsi="Verdana"/>
                <w:noProof/>
                <w:color w:val="FFFFFF"/>
                <w:sz w:val="16"/>
              </w:rPr>
              <w:t>10</w:t>
            </w:r>
          </w:p>
        </w:tc>
        <w:tc>
          <w:tcPr>
            <w:tcW w:w="82"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2ImplementCommitments"/>
              <w:jc w:val="center"/>
              <w:rPr>
                <w:rFonts w:ascii="Verdana" w:eastAsia="Verdana" w:hAnsi="Verdana" w:cs="Verdana"/>
                <w:noProof/>
                <w:color w:val="FFFFFF"/>
                <w:sz w:val="16"/>
              </w:rPr>
            </w:pPr>
            <w:r>
              <w:rPr>
                <w:rFonts w:ascii="Verdana" w:hAnsi="Verdana"/>
                <w:noProof/>
                <w:color w:val="FFFFFF"/>
                <w:sz w:val="16"/>
              </w:rPr>
              <w:t>11</w:t>
            </w:r>
          </w:p>
        </w:tc>
        <w:tc>
          <w:tcPr>
            <w:tcW w:w="112"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2ImplementCommitments"/>
              <w:jc w:val="center"/>
              <w:rPr>
                <w:rFonts w:ascii="Verdana" w:eastAsia="Verdana" w:hAnsi="Verdana" w:cs="Verdana"/>
                <w:noProof/>
                <w:color w:val="FFFFFF"/>
                <w:sz w:val="16"/>
              </w:rPr>
            </w:pPr>
            <w:r>
              <w:rPr>
                <w:rFonts w:ascii="Verdana" w:hAnsi="Verdana"/>
                <w:noProof/>
                <w:color w:val="FFFFFF"/>
                <w:sz w:val="16"/>
              </w:rPr>
              <w:t>12</w:t>
            </w:r>
          </w:p>
        </w:tc>
        <w:tc>
          <w:tcPr>
            <w:tcW w:w="181"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2ImplementCommitments"/>
              <w:jc w:val="center"/>
              <w:rPr>
                <w:rFonts w:ascii="Verdana" w:eastAsia="Verdana" w:hAnsi="Verdana" w:cs="Verdana"/>
                <w:noProof/>
                <w:color w:val="FFFFFF"/>
                <w:sz w:val="16"/>
              </w:rPr>
            </w:pPr>
            <w:r>
              <w:rPr>
                <w:rFonts w:ascii="Verdana" w:hAnsi="Verdana"/>
                <w:noProof/>
                <w:color w:val="FFFFFF"/>
                <w:sz w:val="16"/>
              </w:rPr>
              <w:t>13=10+11+12</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1</w:t>
            </w: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Horizon Europe</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19 213</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12 758</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116</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3 941</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16 815</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88 %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2 390</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2 390</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Programme Euratom de recherche et de formation</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405</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286</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90</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376</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93 %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28</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28</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Réacteur thermonucléaire expérimental international (ITER)</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490</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486</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488</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Autres actions</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629</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167</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167</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27 %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462</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462</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Projets pilotes et actions préparatoires</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99 %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Fonds InvestEU</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1 294</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378</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842</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1 221</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94 %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73</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73</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Mécanisme pour l’interconnexion en Europe (MIE) - Transports</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1 745</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1 675</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26</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1 701</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97 %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44</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44</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Mécanisme pour l’interconnexion en Europe (MIE) - Énergie</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996</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926</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926</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93 %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70</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70</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Mécanisme pour l’interconnexion en Europe (MIE) - Technologie numérique</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230</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226</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229</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Programme pour une Europe numérique</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1 189</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1 097</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40</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1 137</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96 %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52</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52</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Agences décentralisées</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240</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230</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8</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237</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99 %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Autres actions</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169</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84</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85</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51 %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83</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83</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Projets pilotes et actions préparatoires</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 xml:space="preserve">Actions financées dans </w:t>
            </w:r>
            <w:r>
              <w:rPr>
                <w:rFonts w:ascii="Verdana" w:hAnsi="Verdana"/>
                <w:noProof/>
                <w:color w:val="000000"/>
                <w:sz w:val="16"/>
              </w:rPr>
              <w:lastRenderedPageBreak/>
              <w:t>le cadre des prérogatives de la Commission et des compétences spécifiques conférées à la Commission</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lastRenderedPageBreak/>
              <w:t xml:space="preserve"> 29</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26</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29</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99 %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Programme du marché unique (y compris PME)</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663</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614</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33</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647</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98 %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16</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16</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Programme de l’Union en matière de lutte contre la fraude</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28</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27</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28</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Coopération dans le domaine fiscal (Fiscalis)</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40</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39</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39</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98 %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Coopération dans le domaine douanier (Douane)</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208</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198</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200</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96 %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Agences décentralisées</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165</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152</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158</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96 %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Autres actions</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8</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8</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Projets pilotes et actions préparatoires</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13</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13</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13</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Programme spatial européen</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2 368</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2 051</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195</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2 246</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95 %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122</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122</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Agences décentralisées</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83</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80</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83</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Projets pilotes et actions préparatoires</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45</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45</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45</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Connectivité sécurisée de l’Union</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196</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196</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196</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Total rubrique 1: marché unique, innovation et numérique</w:t>
            </w:r>
          </w:p>
        </w:tc>
        <w:tc>
          <w:tcPr>
            <w:tcW w:w="960"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30 466</w:t>
            </w:r>
          </w:p>
        </w:tc>
        <w:tc>
          <w:tcPr>
            <w:tcW w:w="12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21 532</w:t>
            </w:r>
          </w:p>
        </w:tc>
        <w:tc>
          <w:tcPr>
            <w:tcW w:w="10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116</w:t>
            </w:r>
          </w:p>
        </w:tc>
        <w:tc>
          <w:tcPr>
            <w:tcW w:w="11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5 446</w:t>
            </w:r>
          </w:p>
        </w:tc>
        <w:tc>
          <w:tcPr>
            <w:tcW w:w="12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27 095</w:t>
            </w:r>
          </w:p>
        </w:tc>
        <w:tc>
          <w:tcPr>
            <w:tcW w:w="99"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89 %</w:t>
            </w:r>
          </w:p>
        </w:tc>
        <w:tc>
          <w:tcPr>
            <w:tcW w:w="10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1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3 362</w:t>
            </w:r>
          </w:p>
        </w:tc>
        <w:tc>
          <w:tcPr>
            <w:tcW w:w="10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3 362</w:t>
            </w:r>
          </w:p>
        </w:tc>
        <w:tc>
          <w:tcPr>
            <w:tcW w:w="9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w:t>
            </w:r>
          </w:p>
        </w:tc>
        <w:tc>
          <w:tcPr>
            <w:tcW w:w="8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1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w:t>
            </w:r>
          </w:p>
        </w:tc>
        <w:tc>
          <w:tcPr>
            <w:tcW w:w="181"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i/>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i/>
                <w:noProof/>
                <w:color w:val="000000"/>
                <w:sz w:val="16"/>
              </w:rPr>
            </w:pP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i/>
                <w:noProof/>
                <w:color w:val="000000"/>
                <w:sz w:val="16"/>
              </w:rPr>
            </w:pP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i/>
                <w:noProof/>
                <w:color w:val="000000"/>
                <w:sz w:val="16"/>
              </w:rPr>
            </w:pP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i/>
                <w:noProof/>
                <w:color w:val="000000"/>
                <w:sz w:val="16"/>
              </w:rPr>
            </w:pP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i/>
                <w:noProof/>
                <w:color w:val="000000"/>
                <w:sz w:val="16"/>
              </w:rPr>
            </w:pP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i/>
                <w:noProof/>
                <w:color w:val="000000"/>
                <w:sz w:val="16"/>
              </w:rPr>
            </w:pP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i/>
                <w:noProof/>
                <w:color w:val="000000"/>
                <w:sz w:val="16"/>
              </w:rPr>
            </w:pP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i/>
                <w:noProof/>
                <w:color w:val="000000"/>
                <w:sz w:val="16"/>
              </w:rPr>
            </w:pP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i/>
                <w:noProof/>
                <w:color w:val="000000"/>
                <w:sz w:val="16"/>
              </w:rPr>
            </w:pP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i/>
                <w:noProof/>
                <w:color w:val="000000"/>
                <w:sz w:val="16"/>
              </w:rPr>
            </w:pP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i/>
                <w:noProof/>
                <w:color w:val="000000"/>
                <w:sz w:val="16"/>
              </w:rPr>
            </w:pP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i/>
                <w:noProof/>
                <w:color w:val="000000"/>
                <w:sz w:val="16"/>
              </w:rPr>
            </w:pP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i/>
                <w:noProof/>
                <w:color w:val="000000"/>
                <w:sz w:val="16"/>
                <w:lang w:bidi="en-GB"/>
              </w:rPr>
            </w:pP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2</w:t>
            </w: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Fonds européen de développement régional (FEDER)</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40 867</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39 650</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290</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39 940</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98 %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90</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90</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806</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29</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836</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Fonds de cohésion (FC)</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7 285</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6 800</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233</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7 034</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97 %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252</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252</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Fonds de cohésion (FC), contribution au mécanisme pour l’interconnexion en Europe (MIE) - Transports</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1 688</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1 668</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1 677</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99 %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11</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11</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Projets pilotes et actions préparatoires</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98 %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Fonds social européen Plus (FSE+)</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17 288</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17 130</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86</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17 216</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18</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18</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54</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54</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Projets pilotes et actions préparatoires</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Soutien à la communauté chypriote turque</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36</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35</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36</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Facilité pour la reprise et la résilience (y compris l’instrument d’appui technique)</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681</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121</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506</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627</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92 %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54</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54</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Protection de l’euro contre le faux-monnayage («programme Pericles IV»)</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Coût du financement de l’instrument de l’Union européenne pour la relance (EURI)</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5 111</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4 967</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50</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5 017</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98 %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93</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93</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 xml:space="preserve">Mécanisme de protection </w:t>
            </w:r>
            <w:r>
              <w:rPr>
                <w:rFonts w:ascii="Verdana" w:hAnsi="Verdana"/>
                <w:noProof/>
                <w:color w:val="000000"/>
                <w:sz w:val="16"/>
              </w:rPr>
              <w:lastRenderedPageBreak/>
              <w:t>civile de l’Union (rescEU)</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lastRenderedPageBreak/>
              <w:t xml:space="preserve"> 250</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211</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26</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237</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95 %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12</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11</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L’UE pour la santé</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609</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583</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24</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607</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Instrument pour le soutien d'urgence au sein de l'Union (ESI)</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Agences décentralisées</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312</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286</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20</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305</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98 %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Projets pilotes et actions préparatoires</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#DIV/0</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Actions financées dans le cadre des prérogatives de la Commission et des compétences spécifiques conférées à la Commission</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16</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16</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16</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99 %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Emploi et innovation sociale</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116</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106</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112</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96 %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Erasmus+</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5 105</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3 969</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715</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4 684</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92 %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420</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420</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Corps européen de solidarité (CES)</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221</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147</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25</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172</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78 %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49</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49</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Europe créative</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373</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352</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15</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367</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98 %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Justice</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43</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42</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42</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97 %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Droits et valeurs</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240</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238</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239</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Agences décentralisées</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336</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324</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8</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332</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99 %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Autres actions</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Projets pilotes et actions préparatoires</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19</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18</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18</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98 %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 xml:space="preserve">Actions financées dans le cadre des </w:t>
            </w:r>
            <w:r>
              <w:rPr>
                <w:rFonts w:ascii="Verdana" w:hAnsi="Verdana"/>
                <w:noProof/>
                <w:color w:val="000000"/>
                <w:sz w:val="16"/>
              </w:rPr>
              <w:lastRenderedPageBreak/>
              <w:t>prérogatives de la Commission et des compétences spécifiques conférées à la Commission</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lastRenderedPageBreak/>
              <w:t xml:space="preserve"> 191</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186</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190</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99 %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Total rubrique 2: cohésion, résilience et valeurs</w:t>
            </w:r>
          </w:p>
        </w:tc>
        <w:tc>
          <w:tcPr>
            <w:tcW w:w="960"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80 804</w:t>
            </w:r>
          </w:p>
        </w:tc>
        <w:tc>
          <w:tcPr>
            <w:tcW w:w="12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76 865</w:t>
            </w:r>
          </w:p>
        </w:tc>
        <w:tc>
          <w:tcPr>
            <w:tcW w:w="10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1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2 019</w:t>
            </w:r>
          </w:p>
        </w:tc>
        <w:tc>
          <w:tcPr>
            <w:tcW w:w="12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78 884</w:t>
            </w:r>
          </w:p>
        </w:tc>
        <w:tc>
          <w:tcPr>
            <w:tcW w:w="99"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98 %</w:t>
            </w:r>
          </w:p>
        </w:tc>
        <w:tc>
          <w:tcPr>
            <w:tcW w:w="10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11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776</w:t>
            </w:r>
          </w:p>
        </w:tc>
        <w:tc>
          <w:tcPr>
            <w:tcW w:w="10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776</w:t>
            </w:r>
          </w:p>
        </w:tc>
        <w:tc>
          <w:tcPr>
            <w:tcW w:w="9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1 113</w:t>
            </w:r>
          </w:p>
        </w:tc>
        <w:tc>
          <w:tcPr>
            <w:tcW w:w="8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11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30</w:t>
            </w:r>
          </w:p>
        </w:tc>
        <w:tc>
          <w:tcPr>
            <w:tcW w:w="181"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1 144</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i/>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i/>
                <w:noProof/>
                <w:color w:val="000000"/>
                <w:sz w:val="16"/>
              </w:rPr>
            </w:pP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i/>
                <w:noProof/>
                <w:color w:val="000000"/>
                <w:sz w:val="16"/>
              </w:rPr>
            </w:pP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i/>
                <w:noProof/>
                <w:color w:val="000000"/>
                <w:sz w:val="16"/>
              </w:rPr>
            </w:pP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i/>
                <w:noProof/>
                <w:color w:val="000000"/>
                <w:sz w:val="16"/>
              </w:rPr>
            </w:pP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i/>
                <w:noProof/>
                <w:color w:val="000000"/>
                <w:sz w:val="16"/>
              </w:rPr>
            </w:pP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i/>
                <w:noProof/>
                <w:color w:val="000000"/>
                <w:sz w:val="16"/>
              </w:rPr>
            </w:pP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i/>
                <w:noProof/>
                <w:color w:val="000000"/>
                <w:sz w:val="16"/>
              </w:rPr>
            </w:pP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i/>
                <w:noProof/>
                <w:color w:val="000000"/>
                <w:sz w:val="16"/>
              </w:rPr>
            </w:pP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i/>
                <w:noProof/>
                <w:color w:val="000000"/>
                <w:sz w:val="16"/>
              </w:rPr>
            </w:pP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i/>
                <w:noProof/>
                <w:color w:val="000000"/>
                <w:sz w:val="16"/>
              </w:rPr>
            </w:pP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i/>
                <w:noProof/>
                <w:color w:val="000000"/>
                <w:sz w:val="16"/>
              </w:rPr>
            </w:pP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i/>
                <w:noProof/>
                <w:color w:val="000000"/>
                <w:sz w:val="16"/>
              </w:rPr>
            </w:pP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i/>
                <w:noProof/>
                <w:color w:val="000000"/>
                <w:sz w:val="16"/>
              </w:rPr>
            </w:pP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i/>
                <w:noProof/>
                <w:color w:val="000000"/>
                <w:sz w:val="16"/>
                <w:lang w:bidi="en-GB"/>
              </w:rPr>
            </w:pP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3</w:t>
            </w: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Fonds européen agricole de garantie (FEAGA)</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41 338</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39 759</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192</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925</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40 875</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99 %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391</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71</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462</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Fonds européen agricole pour le développement rural (Feader)</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13 569</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13 226</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13 227</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97 %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170</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170</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172</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172</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Fonds européen pour les affaires maritimes, la pêche et l’aquaculture (Feampa)</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969</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946</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946</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98 %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23</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23</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Accords de partenariat dans le domaine de la pêche durable (APPD) et organisations régionales de gestion des pêches (ORGP)</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117</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117</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117</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Agences décentralisées</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32</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30</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31</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99 %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Projets pilotes et actions préparatoires</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Programme pour l’environnement et l’action pour le climat (LIFE)</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791</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782</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785</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99 %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Fonds pour une transition juste</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1 600</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1 503</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1 504</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94 %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85</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85</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11</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11</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 xml:space="preserve">Facilité de prêt pour le secteur public dans le </w:t>
            </w:r>
            <w:r>
              <w:rPr>
                <w:rFonts w:ascii="Verdana" w:hAnsi="Verdana"/>
                <w:noProof/>
                <w:color w:val="000000"/>
                <w:sz w:val="16"/>
              </w:rPr>
              <w:lastRenderedPageBreak/>
              <w:t>cadre du mécanisme pour une transition juste (MTJ)</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lastRenderedPageBreak/>
              <w:t xml:space="preserve"> 428</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57</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57</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13 %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372</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372</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Agences décentralisées</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79</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71</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8</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79</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99 %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Projets pilotes et actions préparatoires</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Actions financées dans le cadre des prérogatives de la Commission et des compétences spécifiques conférées à la Commission</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35</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35</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35</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Total rubrique 3: ressources naturelles et environnement</w:t>
            </w:r>
          </w:p>
        </w:tc>
        <w:tc>
          <w:tcPr>
            <w:tcW w:w="960"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58 961</w:t>
            </w:r>
          </w:p>
        </w:tc>
        <w:tc>
          <w:tcPr>
            <w:tcW w:w="12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56 472</w:t>
            </w:r>
          </w:p>
        </w:tc>
        <w:tc>
          <w:tcPr>
            <w:tcW w:w="10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192</w:t>
            </w:r>
          </w:p>
        </w:tc>
        <w:tc>
          <w:tcPr>
            <w:tcW w:w="11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995</w:t>
            </w:r>
          </w:p>
        </w:tc>
        <w:tc>
          <w:tcPr>
            <w:tcW w:w="12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57 658</w:t>
            </w:r>
          </w:p>
        </w:tc>
        <w:tc>
          <w:tcPr>
            <w:tcW w:w="99"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98 %</w:t>
            </w:r>
          </w:p>
        </w:tc>
        <w:tc>
          <w:tcPr>
            <w:tcW w:w="10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391</w:t>
            </w:r>
          </w:p>
        </w:tc>
        <w:tc>
          <w:tcPr>
            <w:tcW w:w="11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705</w:t>
            </w:r>
          </w:p>
        </w:tc>
        <w:tc>
          <w:tcPr>
            <w:tcW w:w="10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1 096</w:t>
            </w:r>
          </w:p>
        </w:tc>
        <w:tc>
          <w:tcPr>
            <w:tcW w:w="9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11</w:t>
            </w:r>
          </w:p>
        </w:tc>
        <w:tc>
          <w:tcPr>
            <w:tcW w:w="8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1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195</w:t>
            </w:r>
          </w:p>
        </w:tc>
        <w:tc>
          <w:tcPr>
            <w:tcW w:w="181"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206</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lang w:bidi="en-GB"/>
              </w:rPr>
            </w:pP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4</w:t>
            </w: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Fonds «Asile, migration et intégration»</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2 159</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1 916</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1 921</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89 %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238</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238</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Agences décentralisées</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195</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186</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192</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98 %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Fonds pour la gestion intégrée des frontières (FGIF) - instrument relatif à la gestion des frontières et aux visas (IGFV)</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1 603</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1 235</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32</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1 266</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79 %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337</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337</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Fonds pour la gestion intégrée des frontières (FGIF) - instrument de soutien financier relatif aux équipements de contrôle douanier</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69 %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Agences décentralisées</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1 380</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1 307</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52</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1 359</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98 %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21</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21</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 xml:space="preserve">Total rubrique 4: </w:t>
            </w:r>
            <w:r>
              <w:rPr>
                <w:rFonts w:ascii="Verdana" w:hAnsi="Verdana"/>
                <w:noProof/>
                <w:color w:val="000000"/>
                <w:sz w:val="16"/>
              </w:rPr>
              <w:lastRenderedPageBreak/>
              <w:t>migration et gestion des frontières</w:t>
            </w:r>
          </w:p>
        </w:tc>
        <w:tc>
          <w:tcPr>
            <w:tcW w:w="960"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lastRenderedPageBreak/>
              <w:t>5 338</w:t>
            </w:r>
          </w:p>
        </w:tc>
        <w:tc>
          <w:tcPr>
            <w:tcW w:w="12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4 644</w:t>
            </w:r>
          </w:p>
        </w:tc>
        <w:tc>
          <w:tcPr>
            <w:tcW w:w="10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94</w:t>
            </w:r>
          </w:p>
        </w:tc>
        <w:tc>
          <w:tcPr>
            <w:tcW w:w="12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4 738</w:t>
            </w:r>
          </w:p>
        </w:tc>
        <w:tc>
          <w:tcPr>
            <w:tcW w:w="99"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89 %</w:t>
            </w:r>
          </w:p>
        </w:tc>
        <w:tc>
          <w:tcPr>
            <w:tcW w:w="10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599</w:t>
            </w:r>
          </w:p>
        </w:tc>
        <w:tc>
          <w:tcPr>
            <w:tcW w:w="10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599</w:t>
            </w:r>
          </w:p>
        </w:tc>
        <w:tc>
          <w:tcPr>
            <w:tcW w:w="9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81"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lang w:bidi="en-GB"/>
              </w:rPr>
            </w:pP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5</w:t>
            </w: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Fonds pour la sécurité intérieure (FSI)</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388</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336</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338</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87 %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50</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50</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Déclassement d’installations nucléaires (Lituanie)</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75</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75</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75</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Sûreté nucléaire et déclassement d’installations (y compris pour la Bulgarie et la Slovaquie)</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70</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70</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70</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Agences décentralisées</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298</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277</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283</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95 %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12</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15</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Projets pilotes et actions préparatoires</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#DIV/0</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Actions financées dans le cadre des prérogatives de la Commission et des compétences spécifiques conférées à la Commission</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24</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23</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23</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99 %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Fonds européen de la défense (recherche)</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400</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390</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400</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Fonds européen de la défense (hors recherche)</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1 027</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999</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27</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1 026</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Mobilité militaire</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252</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252</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252</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 xml:space="preserve">Instrument à court terme pour des acquisitions conjointes dans le domaine de la </w:t>
            </w:r>
            <w:r>
              <w:rPr>
                <w:rFonts w:ascii="Verdana" w:hAnsi="Verdana"/>
                <w:noProof/>
                <w:color w:val="000000"/>
                <w:sz w:val="16"/>
              </w:rPr>
              <w:lastRenderedPageBreak/>
              <w:t>défense</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lastRenderedPageBreak/>
              <w:t xml:space="preserve"> 41</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40</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41</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Instrument de renforcement de l’industrie de la défense</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8</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8</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8</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Programme européen d’investissement dans le domaine de la défense</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#DIV/0</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Projets pilotes et actions préparatoires</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#DIV/0</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Connectivité sécurisée de l’Union</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158</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158</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158</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41"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Total rubrique 5: sécurité et défense</w:t>
            </w:r>
          </w:p>
        </w:tc>
        <w:tc>
          <w:tcPr>
            <w:tcW w:w="960"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2 742</w:t>
            </w:r>
          </w:p>
        </w:tc>
        <w:tc>
          <w:tcPr>
            <w:tcW w:w="12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2 620</w:t>
            </w:r>
          </w:p>
        </w:tc>
        <w:tc>
          <w:tcPr>
            <w:tcW w:w="10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46</w:t>
            </w:r>
          </w:p>
        </w:tc>
        <w:tc>
          <w:tcPr>
            <w:tcW w:w="12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2 666</w:t>
            </w:r>
          </w:p>
        </w:tc>
        <w:tc>
          <w:tcPr>
            <w:tcW w:w="99"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97 %</w:t>
            </w:r>
          </w:p>
        </w:tc>
        <w:tc>
          <w:tcPr>
            <w:tcW w:w="10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12</w:t>
            </w:r>
          </w:p>
        </w:tc>
        <w:tc>
          <w:tcPr>
            <w:tcW w:w="11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63</w:t>
            </w:r>
          </w:p>
        </w:tc>
        <w:tc>
          <w:tcPr>
            <w:tcW w:w="10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75</w:t>
            </w:r>
          </w:p>
        </w:tc>
        <w:tc>
          <w:tcPr>
            <w:tcW w:w="9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81"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lang w:bidi="en-GB"/>
              </w:rPr>
            </w:pP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6</w:t>
            </w: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Instrument de voisinage, de coopération au développement et de coopération internationale — L’Europe dans le monde (IVCDCI - L’Europe dans le monde)</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12 292</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10 356</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701</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305</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11 361</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92 %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565</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339</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904</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26</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27</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Instrument européen relatif à la coopération internationale en matière de sûreté nucléaire (ICSN)</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66</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44</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21</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66</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Aide humanitaire (HUMA)</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2 588</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2 569</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2 575</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99 %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13</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13</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Politique étrangère et de sécurité commune (PESC)</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429</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393</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25</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419</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98 %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 xml:space="preserve">Pays et territoires d’outre-mer (PTOM) (y </w:t>
            </w:r>
            <w:r>
              <w:rPr>
                <w:rFonts w:ascii="Verdana" w:hAnsi="Verdana"/>
                <w:noProof/>
                <w:color w:val="000000"/>
                <w:sz w:val="16"/>
              </w:rPr>
              <w:lastRenderedPageBreak/>
              <w:t>compris le Groenland)</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lastRenderedPageBreak/>
              <w:t xml:space="preserve"> 108</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67</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68</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62 %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34</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41</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AMF+</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591</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570</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570</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96 %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21</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21</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Mécanisme de coopération pour les prêts à l’Ukraine</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1 535</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1 535</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1 535</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Autres actions</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89</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88</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88</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Projets pilotes et actions préparatoires</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#DIV/0</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Connectivité sécurisée de l’Union</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50</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50</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50</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Actions financées dans le cadre des prérogatives de la Commission et des compétences spécifiques conférées à la Commission</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95</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95</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95</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Aide de préadhésion (IAP III)</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2 384</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2 062</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126</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35</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2 223</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93 %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106</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50</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156</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Facilité pour les réformes et la croissance en faveur des Balkans occidentaux</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600</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494</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101</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596</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99 %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Total rubrique 6: le voisinage et le monde</w:t>
            </w:r>
          </w:p>
        </w:tc>
        <w:tc>
          <w:tcPr>
            <w:tcW w:w="960"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20 828</w:t>
            </w:r>
          </w:p>
        </w:tc>
        <w:tc>
          <w:tcPr>
            <w:tcW w:w="12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16 218</w:t>
            </w:r>
          </w:p>
        </w:tc>
        <w:tc>
          <w:tcPr>
            <w:tcW w:w="10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929</w:t>
            </w:r>
          </w:p>
        </w:tc>
        <w:tc>
          <w:tcPr>
            <w:tcW w:w="11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2 498</w:t>
            </w:r>
          </w:p>
        </w:tc>
        <w:tc>
          <w:tcPr>
            <w:tcW w:w="12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19 645</w:t>
            </w:r>
          </w:p>
        </w:tc>
        <w:tc>
          <w:tcPr>
            <w:tcW w:w="99"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94 %</w:t>
            </w:r>
          </w:p>
        </w:tc>
        <w:tc>
          <w:tcPr>
            <w:tcW w:w="10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682</w:t>
            </w:r>
          </w:p>
        </w:tc>
        <w:tc>
          <w:tcPr>
            <w:tcW w:w="11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468</w:t>
            </w:r>
          </w:p>
        </w:tc>
        <w:tc>
          <w:tcPr>
            <w:tcW w:w="10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1 151</w:t>
            </w:r>
          </w:p>
        </w:tc>
        <w:tc>
          <w:tcPr>
            <w:tcW w:w="9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32</w:t>
            </w:r>
          </w:p>
        </w:tc>
        <w:tc>
          <w:tcPr>
            <w:tcW w:w="11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81"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32</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lang w:bidi="en-GB"/>
              </w:rPr>
            </w:pP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7</w:t>
            </w: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Pensions du personnel</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3 102</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2 790</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312</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3 101</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(Pensions des anciens membres) Parlement européen</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19</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19</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19</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(Pensions des anciens membres) Conseil européen et Conseil</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(Pensions des anciens membres) Commission</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(Pensions des anciens membres) Cour de justice de l’Union européenne</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17</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17</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17</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(Pensions des anciens membres) Cour des comptes</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(Pensions des anciens membres) Médiateur européen</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(Pensions des anciens membres) Contrôleur européen de la protection des données</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(Écoles européennes) Commission</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298</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263</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28</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291</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98 %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Rémunération du personnel statutaire</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3 157</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3 027</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65</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3 092</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98 %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64</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64</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Rémunération personnel externe</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469</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299</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52</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351</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75 %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116</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116</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Membres – Traitements et indemnités</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21</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20</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20</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99 %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Membres – Indemnités temporaires</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Frais de recrutement</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33</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33</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33</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99 %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Cessation de fonctions</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Coûts de formation</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25</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17</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21</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86 %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Social et mobilité</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53</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23</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15</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37</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71 %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15</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15</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Technologies de l’information et de la communication</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600</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292</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160</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452</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75 %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148</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148</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Loyers et acquisitions</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1 011</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321</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136</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458</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45 %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554</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554</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Dépenses liées aux bâtiments</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158</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113</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21</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134</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85 %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23</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23</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Sécurité</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92</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78</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87</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94 %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Missions et représentation</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66</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61</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63</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96 %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Réunions, comités, conférence</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14</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12</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13</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90 %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Journal officiel</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Publications</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17</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13</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16</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91 %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Acquisition d’informations</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8</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97 %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Études et enquêtes</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98 %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Équipement général, véhicules, mobilier</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30</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25</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27</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89 %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Services linguistiques externes</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72</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31</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32</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62</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87 %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Autres dépenses administratives</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46</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17</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23</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39</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85 %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Agences décentralisées</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Dépenses administratives des autres institutions</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5 769</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5 192</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381</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5 574</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97 %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138</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138</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57</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58</w:t>
            </w:r>
          </w:p>
        </w:tc>
      </w:tr>
      <w:tr>
        <w:trPr>
          <w:trHeight w:val="255"/>
        </w:trPr>
        <w:tc>
          <w:tcPr>
            <w:tcW w:w="41"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Total rubrique 7: administration publique européenne</w:t>
            </w:r>
          </w:p>
        </w:tc>
        <w:tc>
          <w:tcPr>
            <w:tcW w:w="960"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15 115</w:t>
            </w:r>
          </w:p>
        </w:tc>
        <w:tc>
          <w:tcPr>
            <w:tcW w:w="12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12 707</w:t>
            </w:r>
          </w:p>
        </w:tc>
        <w:tc>
          <w:tcPr>
            <w:tcW w:w="10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11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1 247</w:t>
            </w:r>
          </w:p>
        </w:tc>
        <w:tc>
          <w:tcPr>
            <w:tcW w:w="12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13 955</w:t>
            </w:r>
          </w:p>
        </w:tc>
        <w:tc>
          <w:tcPr>
            <w:tcW w:w="99"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92 %</w:t>
            </w:r>
          </w:p>
        </w:tc>
        <w:tc>
          <w:tcPr>
            <w:tcW w:w="10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1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1 099</w:t>
            </w:r>
          </w:p>
        </w:tc>
        <w:tc>
          <w:tcPr>
            <w:tcW w:w="10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1 099</w:t>
            </w:r>
          </w:p>
        </w:tc>
        <w:tc>
          <w:tcPr>
            <w:tcW w:w="9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59</w:t>
            </w:r>
          </w:p>
        </w:tc>
        <w:tc>
          <w:tcPr>
            <w:tcW w:w="8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1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w:t>
            </w:r>
          </w:p>
        </w:tc>
        <w:tc>
          <w:tcPr>
            <w:tcW w:w="181"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62</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lang w:bidi="en-GB"/>
              </w:rPr>
            </w:pP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lastRenderedPageBreak/>
              <w:t>O</w:t>
            </w: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Fonds pour l’innovation (FI)</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6 788</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1 551</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1 551</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23 %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5 237</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5 237</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Facilité pour l’Ukraine</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4 866</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4 269</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31</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500</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4 799</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99 %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51</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15</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67</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Autres actions</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112</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59</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59</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53 %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53</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53</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41"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Total rubrique O: hors CFP</w:t>
            </w:r>
          </w:p>
        </w:tc>
        <w:tc>
          <w:tcPr>
            <w:tcW w:w="960"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11 767</w:t>
            </w:r>
          </w:p>
        </w:tc>
        <w:tc>
          <w:tcPr>
            <w:tcW w:w="12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4 269</w:t>
            </w:r>
          </w:p>
        </w:tc>
        <w:tc>
          <w:tcPr>
            <w:tcW w:w="10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31</w:t>
            </w:r>
          </w:p>
        </w:tc>
        <w:tc>
          <w:tcPr>
            <w:tcW w:w="11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2 110</w:t>
            </w:r>
          </w:p>
        </w:tc>
        <w:tc>
          <w:tcPr>
            <w:tcW w:w="12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6 409</w:t>
            </w:r>
          </w:p>
        </w:tc>
        <w:tc>
          <w:tcPr>
            <w:tcW w:w="99"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54 %</w:t>
            </w:r>
          </w:p>
        </w:tc>
        <w:tc>
          <w:tcPr>
            <w:tcW w:w="10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51</w:t>
            </w:r>
          </w:p>
        </w:tc>
        <w:tc>
          <w:tcPr>
            <w:tcW w:w="11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5 306</w:t>
            </w:r>
          </w:p>
        </w:tc>
        <w:tc>
          <w:tcPr>
            <w:tcW w:w="10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5 357</w:t>
            </w:r>
          </w:p>
        </w:tc>
        <w:tc>
          <w:tcPr>
            <w:tcW w:w="9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11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81"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lang w:bidi="en-GB"/>
              </w:rPr>
            </w:pP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S</w:t>
            </w: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Réserve de solidarité européenne</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1 477</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170</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310</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480</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33 %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997</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997</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Réserve d’aide d’urgence</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#DIV/0</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Fonds européen d'ajustement à la mondialisation (FEM)</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43</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21</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21</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48 %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14</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21</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Réserve d’ajustement au Brexit</w:t>
            </w: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564</w:t>
            </w: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564</w:t>
            </w: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564</w:t>
            </w: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41"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Total rubrique S: mécanismes de solidarité à l’intérieur et à l’extérieur de l’Union (instruments spéciaux)</w:t>
            </w:r>
          </w:p>
        </w:tc>
        <w:tc>
          <w:tcPr>
            <w:tcW w:w="960"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2 085</w:t>
            </w:r>
          </w:p>
        </w:tc>
        <w:tc>
          <w:tcPr>
            <w:tcW w:w="12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755</w:t>
            </w:r>
          </w:p>
        </w:tc>
        <w:tc>
          <w:tcPr>
            <w:tcW w:w="10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310</w:t>
            </w:r>
          </w:p>
        </w:tc>
        <w:tc>
          <w:tcPr>
            <w:tcW w:w="11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2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1 065</w:t>
            </w:r>
          </w:p>
        </w:tc>
        <w:tc>
          <w:tcPr>
            <w:tcW w:w="99"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51 %</w:t>
            </w:r>
          </w:p>
        </w:tc>
        <w:tc>
          <w:tcPr>
            <w:tcW w:w="10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997</w:t>
            </w:r>
          </w:p>
        </w:tc>
        <w:tc>
          <w:tcPr>
            <w:tcW w:w="11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10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998</w:t>
            </w:r>
          </w:p>
        </w:tc>
        <w:tc>
          <w:tcPr>
            <w:tcW w:w="9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14</w:t>
            </w:r>
          </w:p>
        </w:tc>
        <w:tc>
          <w:tcPr>
            <w:tcW w:w="8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11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w:t>
            </w:r>
          </w:p>
        </w:tc>
        <w:tc>
          <w:tcPr>
            <w:tcW w:w="181"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21</w:t>
            </w:r>
          </w:p>
        </w:tc>
      </w:tr>
      <w:tr>
        <w:trPr>
          <w:trHeight w:val="255"/>
        </w:trPr>
        <w:tc>
          <w:tcPr>
            <w:tcW w:w="4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47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960"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126"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102"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125"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9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105"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106"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92"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82"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112"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18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lang w:bidi="en-GB"/>
              </w:rPr>
            </w:pPr>
          </w:p>
        </w:tc>
      </w:tr>
      <w:tr>
        <w:trPr>
          <w:trHeight w:val="255"/>
        </w:trPr>
        <w:tc>
          <w:tcPr>
            <w:tcW w:w="41"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rPr>
                <w:rFonts w:ascii="Verdana" w:eastAsia="Verdana" w:hAnsi="Verdana" w:cs="Verdana"/>
                <w:b/>
                <w:noProof/>
                <w:color w:val="000000"/>
                <w:sz w:val="16"/>
              </w:rPr>
            </w:pPr>
          </w:p>
        </w:tc>
        <w:tc>
          <w:tcPr>
            <w:tcW w:w="479"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rPr>
                <w:rFonts w:ascii="Verdana" w:eastAsia="Verdana" w:hAnsi="Verdana" w:cs="Verdana"/>
                <w:b/>
                <w:noProof/>
                <w:color w:val="000000"/>
                <w:sz w:val="16"/>
              </w:rPr>
            </w:pPr>
            <w:r>
              <w:rPr>
                <w:rFonts w:ascii="Verdana" w:hAnsi="Verdana"/>
                <w:b/>
                <w:noProof/>
                <w:color w:val="000000"/>
                <w:sz w:val="16"/>
              </w:rPr>
              <w:t>Somme:</w:t>
            </w:r>
          </w:p>
        </w:tc>
        <w:tc>
          <w:tcPr>
            <w:tcW w:w="960"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b/>
                <w:noProof/>
                <w:color w:val="000000"/>
                <w:sz w:val="16"/>
              </w:rPr>
            </w:pPr>
            <w:r>
              <w:rPr>
                <w:rFonts w:ascii="Verdana" w:hAnsi="Verdana"/>
                <w:b/>
                <w:noProof/>
                <w:color w:val="000000"/>
                <w:sz w:val="16"/>
              </w:rPr>
              <w:t>228 104</w:t>
            </w:r>
          </w:p>
        </w:tc>
        <w:tc>
          <w:tcPr>
            <w:tcW w:w="12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b/>
                <w:noProof/>
                <w:color w:val="000000"/>
                <w:sz w:val="16"/>
              </w:rPr>
            </w:pPr>
            <w:r>
              <w:rPr>
                <w:rFonts w:ascii="Verdana" w:hAnsi="Verdana"/>
                <w:b/>
                <w:noProof/>
                <w:color w:val="000000"/>
                <w:sz w:val="16"/>
              </w:rPr>
              <w:t>196 083</w:t>
            </w:r>
          </w:p>
        </w:tc>
        <w:tc>
          <w:tcPr>
            <w:tcW w:w="10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b/>
                <w:noProof/>
                <w:color w:val="000000"/>
                <w:sz w:val="16"/>
              </w:rPr>
            </w:pPr>
            <w:r>
              <w:rPr>
                <w:rFonts w:ascii="Verdana" w:hAnsi="Verdana"/>
                <w:b/>
                <w:noProof/>
                <w:color w:val="000000"/>
                <w:sz w:val="16"/>
              </w:rPr>
              <w:t>1 580</w:t>
            </w:r>
          </w:p>
        </w:tc>
        <w:tc>
          <w:tcPr>
            <w:tcW w:w="11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b/>
                <w:noProof/>
                <w:color w:val="000000"/>
                <w:sz w:val="16"/>
              </w:rPr>
            </w:pPr>
            <w:r>
              <w:rPr>
                <w:rFonts w:ascii="Verdana" w:hAnsi="Verdana"/>
                <w:b/>
                <w:noProof/>
                <w:color w:val="000000"/>
                <w:sz w:val="16"/>
              </w:rPr>
              <w:t>14 454</w:t>
            </w:r>
          </w:p>
        </w:tc>
        <w:tc>
          <w:tcPr>
            <w:tcW w:w="12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b/>
                <w:noProof/>
                <w:color w:val="000000"/>
                <w:sz w:val="16"/>
              </w:rPr>
            </w:pPr>
            <w:r>
              <w:rPr>
                <w:rFonts w:ascii="Verdana" w:hAnsi="Verdana"/>
                <w:b/>
                <w:noProof/>
                <w:color w:val="000000"/>
                <w:sz w:val="16"/>
              </w:rPr>
              <w:t>212 116</w:t>
            </w:r>
          </w:p>
        </w:tc>
        <w:tc>
          <w:tcPr>
            <w:tcW w:w="99"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2ImplementCommitments"/>
              <w:jc w:val="right"/>
              <w:rPr>
                <w:rFonts w:ascii="Verdana" w:eastAsia="Verdana" w:hAnsi="Verdana" w:cs="Verdana"/>
                <w:b/>
                <w:noProof/>
                <w:color w:val="000000"/>
                <w:sz w:val="16"/>
              </w:rPr>
            </w:pPr>
            <w:r>
              <w:rPr>
                <w:rFonts w:ascii="Verdana" w:hAnsi="Verdana"/>
                <w:b/>
                <w:noProof/>
                <w:color w:val="000000"/>
                <w:sz w:val="16"/>
              </w:rPr>
              <w:t>93 %</w:t>
            </w:r>
          </w:p>
        </w:tc>
        <w:tc>
          <w:tcPr>
            <w:tcW w:w="10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b/>
                <w:noProof/>
                <w:color w:val="000000"/>
                <w:sz w:val="16"/>
              </w:rPr>
            </w:pPr>
            <w:r>
              <w:rPr>
                <w:rFonts w:ascii="Verdana" w:hAnsi="Verdana"/>
                <w:b/>
                <w:noProof/>
                <w:color w:val="000000"/>
                <w:sz w:val="16"/>
              </w:rPr>
              <w:t>2 133</w:t>
            </w:r>
          </w:p>
        </w:tc>
        <w:tc>
          <w:tcPr>
            <w:tcW w:w="11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b/>
                <w:noProof/>
                <w:color w:val="000000"/>
                <w:sz w:val="16"/>
              </w:rPr>
            </w:pPr>
            <w:r>
              <w:rPr>
                <w:rFonts w:ascii="Verdana" w:hAnsi="Verdana"/>
                <w:b/>
                <w:noProof/>
                <w:color w:val="000000"/>
                <w:sz w:val="16"/>
              </w:rPr>
              <w:t>12 379</w:t>
            </w:r>
          </w:p>
        </w:tc>
        <w:tc>
          <w:tcPr>
            <w:tcW w:w="10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b/>
                <w:noProof/>
                <w:color w:val="000000"/>
                <w:sz w:val="16"/>
              </w:rPr>
            </w:pPr>
            <w:r>
              <w:rPr>
                <w:rFonts w:ascii="Verdana" w:hAnsi="Verdana"/>
                <w:b/>
                <w:noProof/>
                <w:color w:val="000000"/>
                <w:sz w:val="16"/>
              </w:rPr>
              <w:t>14 512</w:t>
            </w:r>
          </w:p>
        </w:tc>
        <w:tc>
          <w:tcPr>
            <w:tcW w:w="9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b/>
                <w:noProof/>
                <w:color w:val="000000"/>
                <w:sz w:val="16"/>
              </w:rPr>
            </w:pPr>
            <w:r>
              <w:rPr>
                <w:rFonts w:ascii="Verdana" w:hAnsi="Verdana"/>
                <w:b/>
                <w:noProof/>
                <w:color w:val="000000"/>
                <w:sz w:val="16"/>
              </w:rPr>
              <w:t>1 206</w:t>
            </w:r>
          </w:p>
        </w:tc>
        <w:tc>
          <w:tcPr>
            <w:tcW w:w="8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b/>
                <w:noProof/>
                <w:color w:val="000000"/>
                <w:sz w:val="16"/>
              </w:rPr>
            </w:pPr>
            <w:r>
              <w:rPr>
                <w:rFonts w:ascii="Verdana" w:hAnsi="Verdana"/>
                <w:b/>
                <w:noProof/>
                <w:color w:val="000000"/>
                <w:sz w:val="16"/>
              </w:rPr>
              <w:t xml:space="preserve"> 33</w:t>
            </w:r>
          </w:p>
        </w:tc>
        <w:tc>
          <w:tcPr>
            <w:tcW w:w="11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b/>
                <w:noProof/>
                <w:color w:val="000000"/>
                <w:sz w:val="16"/>
              </w:rPr>
            </w:pPr>
            <w:r>
              <w:rPr>
                <w:rFonts w:ascii="Verdana" w:hAnsi="Verdana"/>
                <w:b/>
                <w:noProof/>
                <w:color w:val="000000"/>
                <w:sz w:val="16"/>
              </w:rPr>
              <w:t xml:space="preserve"> 237</w:t>
            </w:r>
          </w:p>
        </w:tc>
        <w:tc>
          <w:tcPr>
            <w:tcW w:w="181"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b/>
                <w:noProof/>
                <w:color w:val="000000"/>
                <w:sz w:val="16"/>
              </w:rPr>
            </w:pPr>
            <w:r>
              <w:rPr>
                <w:rFonts w:ascii="Verdana" w:hAnsi="Verdana"/>
                <w:b/>
                <w:noProof/>
                <w:color w:val="000000"/>
                <w:sz w:val="16"/>
              </w:rPr>
              <w:t>1 476</w:t>
            </w:r>
          </w:p>
        </w:tc>
      </w:tr>
    </w:tbl>
    <w:p>
      <w:pPr>
        <w:pStyle w:val="HEADER2PartBUDG"/>
        <w:pageBreakBefore/>
        <w:spacing w:before="0" w:after="240"/>
        <w:ind w:left="357" w:hanging="357"/>
        <w:rPr>
          <w:noProof/>
        </w:rPr>
      </w:pPr>
      <w:bookmarkStart w:id="309" w:name="_Toc237349641"/>
      <w:r>
        <w:rPr>
          <w:noProof/>
        </w:rPr>
        <w:lastRenderedPageBreak/>
        <w:t>CFP DÉTAILLÉ: EXÉCUTION DES CRÉDITS DE PAIEMENT</w:t>
      </w:r>
      <w:bookmarkEnd w:id="30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4"/>
        <w:gridCol w:w="3006"/>
        <w:gridCol w:w="845"/>
        <w:gridCol w:w="954"/>
        <w:gridCol w:w="845"/>
        <w:gridCol w:w="845"/>
        <w:gridCol w:w="845"/>
        <w:gridCol w:w="845"/>
        <w:gridCol w:w="845"/>
        <w:gridCol w:w="845"/>
        <w:gridCol w:w="845"/>
        <w:gridCol w:w="845"/>
        <w:gridCol w:w="845"/>
        <w:gridCol w:w="845"/>
        <w:gridCol w:w="1093"/>
      </w:tblGrid>
      <w:tr>
        <w:trPr>
          <w:trHeight w:val="255"/>
          <w:tblHeader/>
        </w:trPr>
        <w:tc>
          <w:tcPr>
            <w:tcW w:w="14692" w:type="dxa"/>
            <w:gridSpan w:val="15"/>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i/>
                <w:noProof/>
                <w:color w:val="000000"/>
                <w:sz w:val="16"/>
              </w:rPr>
            </w:pPr>
            <w:bookmarkStart w:id="310" w:name="DOC_TBL00121_1_1"/>
            <w:bookmarkEnd w:id="310"/>
            <w:r>
              <w:rPr>
                <w:rFonts w:ascii="Verdana" w:hAnsi="Verdana"/>
                <w:i/>
                <w:noProof/>
                <w:color w:val="000000"/>
                <w:sz w:val="16"/>
              </w:rPr>
              <w:t>en Mio EUR</w:t>
            </w:r>
          </w:p>
        </w:tc>
      </w:tr>
      <w:tr>
        <w:trPr>
          <w:trHeight w:val="255"/>
          <w:tblHeader/>
        </w:trPr>
        <w:tc>
          <w:tcPr>
            <w:tcW w:w="344"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3ImplementPayments"/>
              <w:rPr>
                <w:rFonts w:ascii="Verdana" w:eastAsia="Verdana" w:hAnsi="Verdana" w:cs="Verdana"/>
                <w:b/>
                <w:noProof/>
                <w:color w:val="FFFFFF"/>
                <w:sz w:val="16"/>
              </w:rPr>
            </w:pPr>
          </w:p>
        </w:tc>
        <w:tc>
          <w:tcPr>
            <w:tcW w:w="3006"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3ImplementPayments"/>
              <w:rPr>
                <w:rFonts w:ascii="Verdana" w:eastAsia="Verdana" w:hAnsi="Verdana" w:cs="Verdana"/>
                <w:b/>
                <w:noProof/>
                <w:color w:val="FFFFFF"/>
                <w:sz w:val="16"/>
              </w:rPr>
            </w:pPr>
          </w:p>
        </w:tc>
        <w:tc>
          <w:tcPr>
            <w:tcW w:w="845"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742BIPDetailedMFF3ImplementPayments"/>
              <w:jc w:val="center"/>
              <w:rPr>
                <w:rFonts w:ascii="Verdana" w:eastAsia="Verdana" w:hAnsi="Verdana" w:cs="Verdana"/>
                <w:b/>
                <w:noProof/>
                <w:color w:val="FFFFFF"/>
                <w:sz w:val="16"/>
              </w:rPr>
            </w:pPr>
            <w:r>
              <w:rPr>
                <w:rFonts w:ascii="Verdana" w:hAnsi="Verdana"/>
                <w:b/>
                <w:noProof/>
                <w:color w:val="FFFFFF"/>
                <w:sz w:val="16"/>
              </w:rPr>
              <w:t>Total crédits disponibles</w:t>
            </w:r>
          </w:p>
        </w:tc>
        <w:tc>
          <w:tcPr>
            <w:tcW w:w="4334" w:type="dxa"/>
            <w:gridSpan w:val="5"/>
            <w:tcBorders>
              <w:top w:val="nil"/>
              <w:left w:val="nil"/>
              <w:bottom w:val="nil"/>
              <w:right w:val="nil"/>
              <w:tl2br w:val="nil"/>
              <w:tr2bl w:val="nil"/>
            </w:tcBorders>
            <w:shd w:val="solid" w:color="016794" w:fill="FFFFFF"/>
            <w:tcMar>
              <w:left w:w="60" w:type="dxa"/>
              <w:right w:w="60" w:type="dxa"/>
            </w:tcMar>
            <w:vAlign w:val="center"/>
          </w:tcPr>
          <w:p>
            <w:pPr>
              <w:pStyle w:val="DMETW36742BIPDetailedMFF3ImplementPayments"/>
              <w:jc w:val="center"/>
              <w:rPr>
                <w:rFonts w:ascii="Verdana" w:eastAsia="Verdana" w:hAnsi="Verdana" w:cs="Verdana"/>
                <w:b/>
                <w:noProof/>
                <w:color w:val="FFFFFF"/>
                <w:sz w:val="16"/>
              </w:rPr>
            </w:pPr>
            <w:r>
              <w:rPr>
                <w:rFonts w:ascii="Verdana" w:hAnsi="Verdana"/>
                <w:b/>
                <w:noProof/>
                <w:color w:val="FFFFFF"/>
                <w:sz w:val="16"/>
              </w:rPr>
              <w:t>Paiements exécutés</w:t>
            </w:r>
          </w:p>
        </w:tc>
        <w:tc>
          <w:tcPr>
            <w:tcW w:w="2535" w:type="dxa"/>
            <w:gridSpan w:val="3"/>
            <w:tcBorders>
              <w:top w:val="nil"/>
              <w:left w:val="nil"/>
              <w:bottom w:val="nil"/>
              <w:right w:val="nil"/>
              <w:tl2br w:val="nil"/>
              <w:tr2bl w:val="nil"/>
            </w:tcBorders>
            <w:shd w:val="solid" w:color="016794" w:fill="FFFFFF"/>
            <w:tcMar>
              <w:left w:w="60" w:type="dxa"/>
              <w:right w:w="60" w:type="dxa"/>
            </w:tcMar>
            <w:vAlign w:val="center"/>
          </w:tcPr>
          <w:p>
            <w:pPr>
              <w:pStyle w:val="DMETW36742BIPDetailedMFF3ImplementPayments"/>
              <w:jc w:val="center"/>
              <w:rPr>
                <w:rFonts w:ascii="Verdana" w:eastAsia="Verdana" w:hAnsi="Verdana" w:cs="Verdana"/>
                <w:b/>
                <w:noProof/>
                <w:color w:val="FFFFFF"/>
                <w:sz w:val="16"/>
              </w:rPr>
            </w:pPr>
            <w:r>
              <w:rPr>
                <w:rFonts w:ascii="Verdana" w:hAnsi="Verdana"/>
                <w:b/>
                <w:noProof/>
                <w:color w:val="FFFFFF"/>
                <w:sz w:val="16"/>
              </w:rPr>
              <w:t>Crédits reportés</w:t>
            </w:r>
          </w:p>
          <w:p>
            <w:pPr>
              <w:pStyle w:val="DMETW36742BIPDetailedMFF3ImplementPayments"/>
              <w:jc w:val="center"/>
              <w:rPr>
                <w:rFonts w:ascii="Verdana" w:eastAsia="Verdana" w:hAnsi="Verdana" w:cs="Verdana"/>
                <w:b/>
                <w:noProof/>
                <w:color w:val="FFFFFF"/>
                <w:sz w:val="16"/>
              </w:rPr>
            </w:pPr>
            <w:r>
              <w:rPr>
                <w:rFonts w:ascii="Verdana" w:hAnsi="Verdana"/>
                <w:b/>
                <w:noProof/>
                <w:color w:val="FFFFFF"/>
                <w:sz w:val="16"/>
              </w:rPr>
              <w:t>à 2026</w:t>
            </w:r>
          </w:p>
        </w:tc>
        <w:tc>
          <w:tcPr>
            <w:tcW w:w="3628" w:type="dxa"/>
            <w:gridSpan w:val="4"/>
            <w:tcBorders>
              <w:top w:val="nil"/>
              <w:left w:val="nil"/>
              <w:bottom w:val="nil"/>
              <w:right w:val="nil"/>
              <w:tl2br w:val="nil"/>
              <w:tr2bl w:val="nil"/>
            </w:tcBorders>
            <w:shd w:val="solid" w:color="016794" w:fill="FFFFFF"/>
            <w:tcMar>
              <w:left w:w="60" w:type="dxa"/>
              <w:right w:w="60" w:type="dxa"/>
            </w:tcMar>
            <w:vAlign w:val="center"/>
          </w:tcPr>
          <w:p>
            <w:pPr>
              <w:pStyle w:val="DMETW36742BIPDetailedMFF3ImplementPayments"/>
              <w:jc w:val="center"/>
              <w:rPr>
                <w:rFonts w:ascii="Verdana" w:eastAsia="Verdana" w:hAnsi="Verdana" w:cs="Verdana"/>
                <w:b/>
                <w:noProof/>
                <w:color w:val="FFFFFF"/>
                <w:sz w:val="16"/>
              </w:rPr>
            </w:pPr>
            <w:r>
              <w:rPr>
                <w:rFonts w:ascii="Verdana" w:hAnsi="Verdana"/>
                <w:b/>
                <w:noProof/>
                <w:color w:val="FFFFFF"/>
                <w:sz w:val="16"/>
              </w:rPr>
              <w:t>Annulations</w:t>
            </w:r>
          </w:p>
        </w:tc>
      </w:tr>
      <w:tr>
        <w:trPr>
          <w:trHeight w:val="255"/>
          <w:tblHeader/>
        </w:trPr>
        <w:tc>
          <w:tcPr>
            <w:tcW w:w="344"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3ImplementPayments"/>
              <w:jc w:val="center"/>
              <w:rPr>
                <w:rFonts w:ascii="Verdana" w:eastAsia="Verdana" w:hAnsi="Verdana" w:cs="Verdana"/>
                <w:noProof/>
                <w:color w:val="FFFFFF"/>
                <w:sz w:val="16"/>
              </w:rPr>
            </w:pPr>
          </w:p>
        </w:tc>
        <w:tc>
          <w:tcPr>
            <w:tcW w:w="3006"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3ImplementPayments"/>
              <w:jc w:val="center"/>
              <w:rPr>
                <w:rFonts w:ascii="Verdana" w:eastAsia="Verdana" w:hAnsi="Verdana" w:cs="Verdana"/>
                <w:b/>
                <w:noProof/>
                <w:color w:val="FFFFFF"/>
                <w:sz w:val="16"/>
              </w:rPr>
            </w:pPr>
            <w:r>
              <w:rPr>
                <w:rFonts w:ascii="Verdana" w:hAnsi="Verdana"/>
                <w:b/>
                <w:noProof/>
                <w:color w:val="FFFFFF"/>
                <w:sz w:val="16"/>
              </w:rPr>
              <w:t>Rubrique du CFP</w:t>
            </w:r>
          </w:p>
        </w:tc>
        <w:tc>
          <w:tcPr>
            <w:tcW w:w="845" w:type="dxa"/>
            <w:vMerge/>
            <w:tcBorders>
              <w:top w:val="nil"/>
              <w:left w:val="nil"/>
              <w:bottom w:val="nil"/>
              <w:right w:val="nil"/>
              <w:tl2br w:val="nil"/>
              <w:tr2bl w:val="nil"/>
            </w:tcBorders>
            <w:shd w:val="solid" w:color="016794" w:fill="FFFFFF"/>
            <w:tcMar>
              <w:left w:w="60" w:type="dxa"/>
              <w:right w:w="60" w:type="dxa"/>
            </w:tcMar>
            <w:vAlign w:val="center"/>
          </w:tcPr>
          <w:p>
            <w:pPr>
              <w:pStyle w:val="DMETW36742BIPDetailedMFF3ImplementPayments"/>
              <w:jc w:val="center"/>
              <w:rPr>
                <w:rFonts w:ascii="Verdana" w:eastAsia="Verdana" w:hAnsi="Verdana" w:cs="Verdana"/>
                <w:b/>
                <w:noProof/>
                <w:color w:val="FFFFFF"/>
                <w:sz w:val="16"/>
              </w:rPr>
            </w:pPr>
          </w:p>
        </w:tc>
        <w:tc>
          <w:tcPr>
            <w:tcW w:w="954"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3ImplementPayments"/>
              <w:jc w:val="center"/>
              <w:rPr>
                <w:rFonts w:ascii="Verdana" w:eastAsia="Verdana" w:hAnsi="Verdana" w:cs="Verdana"/>
                <w:noProof/>
                <w:color w:val="FFFFFF"/>
                <w:sz w:val="16"/>
              </w:rPr>
            </w:pPr>
            <w:r>
              <w:rPr>
                <w:rFonts w:ascii="Verdana" w:hAnsi="Verdana"/>
                <w:noProof/>
                <w:color w:val="FFFFFF"/>
                <w:sz w:val="16"/>
              </w:rPr>
              <w:t>sur budget définitif adopté</w:t>
            </w:r>
          </w:p>
        </w:tc>
        <w:tc>
          <w:tcPr>
            <w:tcW w:w="845"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3ImplementPayments"/>
              <w:jc w:val="center"/>
              <w:rPr>
                <w:rFonts w:ascii="Verdana" w:eastAsia="Verdana" w:hAnsi="Verdana" w:cs="Verdana"/>
                <w:noProof/>
                <w:color w:val="FFFFFF"/>
                <w:sz w:val="16"/>
              </w:rPr>
            </w:pPr>
            <w:r>
              <w:rPr>
                <w:rFonts w:ascii="Verdana" w:hAnsi="Verdana"/>
                <w:noProof/>
                <w:color w:val="FFFFFF"/>
                <w:sz w:val="16"/>
              </w:rPr>
              <w:t>sur crédits reportés</w:t>
            </w:r>
          </w:p>
        </w:tc>
        <w:tc>
          <w:tcPr>
            <w:tcW w:w="845"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3ImplementPayments"/>
              <w:jc w:val="center"/>
              <w:rPr>
                <w:rFonts w:ascii="Verdana" w:eastAsia="Verdana" w:hAnsi="Verdana" w:cs="Verdana"/>
                <w:noProof/>
                <w:color w:val="FFFFFF"/>
                <w:sz w:val="16"/>
              </w:rPr>
            </w:pPr>
            <w:r>
              <w:rPr>
                <w:rFonts w:ascii="Verdana" w:hAnsi="Verdana"/>
                <w:noProof/>
                <w:color w:val="FFFFFF"/>
                <w:sz w:val="16"/>
              </w:rPr>
              <w:t>sur recettes affectées</w:t>
            </w:r>
          </w:p>
        </w:tc>
        <w:tc>
          <w:tcPr>
            <w:tcW w:w="845"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3ImplementPayments"/>
              <w:jc w:val="center"/>
              <w:rPr>
                <w:rFonts w:ascii="Verdana" w:eastAsia="Verdana" w:hAnsi="Verdana" w:cs="Verdana"/>
                <w:noProof/>
                <w:color w:val="FFFFFF"/>
                <w:sz w:val="16"/>
              </w:rPr>
            </w:pPr>
            <w:r>
              <w:rPr>
                <w:rFonts w:ascii="Verdana" w:hAnsi="Verdana"/>
                <w:noProof/>
                <w:color w:val="FFFFFF"/>
                <w:sz w:val="16"/>
              </w:rPr>
              <w:t>Total</w:t>
            </w:r>
          </w:p>
        </w:tc>
        <w:tc>
          <w:tcPr>
            <w:tcW w:w="845"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3ImplementPayments"/>
              <w:jc w:val="center"/>
              <w:rPr>
                <w:rFonts w:ascii="Verdana" w:eastAsia="Verdana" w:hAnsi="Verdana" w:cs="Verdana"/>
                <w:noProof/>
                <w:color w:val="FFFFFF"/>
                <w:sz w:val="16"/>
              </w:rPr>
            </w:pPr>
            <w:r>
              <w:rPr>
                <w:rFonts w:ascii="Verdana" w:hAnsi="Verdana"/>
                <w:noProof/>
                <w:color w:val="FFFFFF"/>
                <w:sz w:val="16"/>
              </w:rPr>
              <w:t>%</w:t>
            </w:r>
          </w:p>
        </w:tc>
        <w:tc>
          <w:tcPr>
            <w:tcW w:w="845"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3ImplementPayments"/>
              <w:jc w:val="center"/>
              <w:rPr>
                <w:rFonts w:ascii="Verdana" w:eastAsia="Verdana" w:hAnsi="Verdana" w:cs="Verdana"/>
                <w:noProof/>
                <w:color w:val="FFFFFF"/>
                <w:sz w:val="16"/>
              </w:rPr>
            </w:pPr>
            <w:r>
              <w:rPr>
                <w:rFonts w:ascii="Verdana" w:hAnsi="Verdana"/>
                <w:noProof/>
                <w:color w:val="FFFFFF"/>
                <w:sz w:val="16"/>
              </w:rPr>
              <w:t>sur budget définitif adopté</w:t>
            </w:r>
          </w:p>
        </w:tc>
        <w:tc>
          <w:tcPr>
            <w:tcW w:w="845"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3ImplementPayments"/>
              <w:jc w:val="center"/>
              <w:rPr>
                <w:rFonts w:ascii="Verdana" w:eastAsia="Verdana" w:hAnsi="Verdana" w:cs="Verdana"/>
                <w:noProof/>
                <w:color w:val="FFFFFF"/>
                <w:sz w:val="16"/>
              </w:rPr>
            </w:pPr>
            <w:r>
              <w:rPr>
                <w:rFonts w:ascii="Verdana" w:hAnsi="Verdana"/>
                <w:noProof/>
                <w:color w:val="FFFFFF"/>
                <w:sz w:val="16"/>
              </w:rPr>
              <w:t>sur recettes affectées</w:t>
            </w:r>
          </w:p>
        </w:tc>
        <w:tc>
          <w:tcPr>
            <w:tcW w:w="845"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3ImplementPayments"/>
              <w:jc w:val="center"/>
              <w:rPr>
                <w:rFonts w:ascii="Verdana" w:eastAsia="Verdana" w:hAnsi="Verdana" w:cs="Verdana"/>
                <w:noProof/>
                <w:color w:val="FFFFFF"/>
                <w:sz w:val="16"/>
              </w:rPr>
            </w:pPr>
            <w:r>
              <w:rPr>
                <w:rFonts w:ascii="Verdana" w:hAnsi="Verdana"/>
                <w:noProof/>
                <w:color w:val="FFFFFF"/>
                <w:sz w:val="16"/>
              </w:rPr>
              <w:t>Total</w:t>
            </w:r>
          </w:p>
        </w:tc>
        <w:tc>
          <w:tcPr>
            <w:tcW w:w="845"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3ImplementPayments"/>
              <w:jc w:val="center"/>
              <w:rPr>
                <w:rFonts w:ascii="Verdana" w:eastAsia="Verdana" w:hAnsi="Verdana" w:cs="Verdana"/>
                <w:noProof/>
                <w:color w:val="FFFFFF"/>
                <w:sz w:val="16"/>
              </w:rPr>
            </w:pPr>
            <w:r>
              <w:rPr>
                <w:rFonts w:ascii="Verdana" w:hAnsi="Verdana"/>
                <w:noProof/>
                <w:color w:val="FFFFFF"/>
                <w:sz w:val="16"/>
              </w:rPr>
              <w:t>sur budget définitif adopté</w:t>
            </w:r>
          </w:p>
        </w:tc>
        <w:tc>
          <w:tcPr>
            <w:tcW w:w="845"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3ImplementPayments"/>
              <w:jc w:val="center"/>
              <w:rPr>
                <w:rFonts w:ascii="Verdana" w:eastAsia="Verdana" w:hAnsi="Verdana" w:cs="Verdana"/>
                <w:noProof/>
                <w:color w:val="FFFFFF"/>
                <w:sz w:val="16"/>
              </w:rPr>
            </w:pPr>
            <w:r>
              <w:rPr>
                <w:rFonts w:ascii="Verdana" w:hAnsi="Verdana"/>
                <w:noProof/>
                <w:color w:val="FFFFFF"/>
                <w:sz w:val="16"/>
              </w:rPr>
              <w:t>sur crédits reportés</w:t>
            </w:r>
          </w:p>
        </w:tc>
        <w:tc>
          <w:tcPr>
            <w:tcW w:w="845"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3ImplementPayments"/>
              <w:jc w:val="center"/>
              <w:rPr>
                <w:rFonts w:ascii="Verdana" w:eastAsia="Verdana" w:hAnsi="Verdana" w:cs="Verdana"/>
                <w:noProof/>
                <w:color w:val="FFFFFF"/>
                <w:sz w:val="16"/>
              </w:rPr>
            </w:pPr>
            <w:r>
              <w:rPr>
                <w:rFonts w:ascii="Verdana" w:hAnsi="Verdana"/>
                <w:noProof/>
                <w:color w:val="FFFFFF"/>
                <w:sz w:val="16"/>
              </w:rPr>
              <w:t>sur recettes affectées</w:t>
            </w:r>
          </w:p>
        </w:tc>
        <w:tc>
          <w:tcPr>
            <w:tcW w:w="1093"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3ImplementPayments"/>
              <w:jc w:val="center"/>
              <w:rPr>
                <w:rFonts w:ascii="Verdana" w:eastAsia="Verdana" w:hAnsi="Verdana" w:cs="Verdana"/>
                <w:noProof/>
                <w:color w:val="FFFFFF"/>
                <w:sz w:val="16"/>
              </w:rPr>
            </w:pPr>
            <w:r>
              <w:rPr>
                <w:rFonts w:ascii="Verdana" w:hAnsi="Verdana"/>
                <w:noProof/>
                <w:color w:val="FFFFFF"/>
                <w:sz w:val="16"/>
              </w:rPr>
              <w:t>Total</w:t>
            </w:r>
          </w:p>
        </w:tc>
      </w:tr>
      <w:tr>
        <w:trPr>
          <w:trHeight w:val="255"/>
        </w:trPr>
        <w:tc>
          <w:tcPr>
            <w:tcW w:w="344"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3ImplementPayments"/>
              <w:jc w:val="center"/>
              <w:rPr>
                <w:rFonts w:ascii="Verdana" w:eastAsia="Verdana" w:hAnsi="Verdana" w:cs="Verdana"/>
                <w:noProof/>
                <w:color w:val="FFFFFF"/>
                <w:sz w:val="16"/>
              </w:rPr>
            </w:pPr>
          </w:p>
        </w:tc>
        <w:tc>
          <w:tcPr>
            <w:tcW w:w="3006"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3ImplementPayments"/>
              <w:jc w:val="center"/>
              <w:rPr>
                <w:rFonts w:ascii="Verdana" w:eastAsia="Verdana" w:hAnsi="Verdana" w:cs="Verdana"/>
                <w:noProof/>
                <w:color w:val="FFFFFF"/>
                <w:sz w:val="16"/>
              </w:rPr>
            </w:pPr>
          </w:p>
        </w:tc>
        <w:tc>
          <w:tcPr>
            <w:tcW w:w="845"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3ImplementPayments"/>
              <w:jc w:val="center"/>
              <w:rPr>
                <w:rFonts w:ascii="Verdana" w:eastAsia="Verdana" w:hAnsi="Verdana" w:cs="Verdana"/>
                <w:noProof/>
                <w:color w:val="FFFFFF"/>
                <w:sz w:val="16"/>
              </w:rPr>
            </w:pPr>
            <w:r>
              <w:rPr>
                <w:rFonts w:ascii="Verdana" w:hAnsi="Verdana"/>
                <w:noProof/>
                <w:color w:val="FFFFFF"/>
                <w:sz w:val="16"/>
              </w:rPr>
              <w:t>1</w:t>
            </w:r>
          </w:p>
        </w:tc>
        <w:tc>
          <w:tcPr>
            <w:tcW w:w="954"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3ImplementPayments"/>
              <w:jc w:val="center"/>
              <w:rPr>
                <w:rFonts w:ascii="Verdana" w:eastAsia="Verdana" w:hAnsi="Verdana" w:cs="Verdana"/>
                <w:noProof/>
                <w:color w:val="FFFFFF"/>
                <w:sz w:val="16"/>
              </w:rPr>
            </w:pPr>
            <w:r>
              <w:rPr>
                <w:rFonts w:ascii="Verdana" w:hAnsi="Verdana"/>
                <w:noProof/>
                <w:color w:val="FFFFFF"/>
                <w:sz w:val="16"/>
              </w:rPr>
              <w:t>2</w:t>
            </w:r>
          </w:p>
        </w:tc>
        <w:tc>
          <w:tcPr>
            <w:tcW w:w="845"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3ImplementPayments"/>
              <w:jc w:val="center"/>
              <w:rPr>
                <w:rFonts w:ascii="Verdana" w:eastAsia="Verdana" w:hAnsi="Verdana" w:cs="Verdana"/>
                <w:noProof/>
                <w:color w:val="FFFFFF"/>
                <w:sz w:val="16"/>
              </w:rPr>
            </w:pPr>
            <w:r>
              <w:rPr>
                <w:rFonts w:ascii="Verdana" w:hAnsi="Verdana"/>
                <w:noProof/>
                <w:color w:val="FFFFFF"/>
                <w:sz w:val="16"/>
              </w:rPr>
              <w:t>3</w:t>
            </w:r>
          </w:p>
        </w:tc>
        <w:tc>
          <w:tcPr>
            <w:tcW w:w="845"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3ImplementPayments"/>
              <w:jc w:val="center"/>
              <w:rPr>
                <w:rFonts w:ascii="Verdana" w:eastAsia="Verdana" w:hAnsi="Verdana" w:cs="Verdana"/>
                <w:noProof/>
                <w:color w:val="FFFFFF"/>
                <w:sz w:val="16"/>
              </w:rPr>
            </w:pPr>
            <w:r>
              <w:rPr>
                <w:rFonts w:ascii="Verdana" w:hAnsi="Verdana"/>
                <w:noProof/>
                <w:color w:val="FFFFFF"/>
                <w:sz w:val="16"/>
              </w:rPr>
              <w:t>4</w:t>
            </w:r>
          </w:p>
        </w:tc>
        <w:tc>
          <w:tcPr>
            <w:tcW w:w="845"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3ImplementPayments"/>
              <w:jc w:val="center"/>
              <w:rPr>
                <w:rFonts w:ascii="Verdana" w:eastAsia="Verdana" w:hAnsi="Verdana" w:cs="Verdana"/>
                <w:noProof/>
                <w:color w:val="FFFFFF"/>
                <w:sz w:val="16"/>
              </w:rPr>
            </w:pPr>
            <w:r>
              <w:rPr>
                <w:rFonts w:ascii="Verdana" w:hAnsi="Verdana"/>
                <w:noProof/>
                <w:color w:val="FFFFFF"/>
                <w:sz w:val="16"/>
              </w:rPr>
              <w:t>5=2+3+4</w:t>
            </w:r>
          </w:p>
        </w:tc>
        <w:tc>
          <w:tcPr>
            <w:tcW w:w="845"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3ImplementPayments"/>
              <w:jc w:val="center"/>
              <w:rPr>
                <w:rFonts w:ascii="Verdana" w:eastAsia="Verdana" w:hAnsi="Verdana" w:cs="Verdana"/>
                <w:noProof/>
                <w:color w:val="FFFFFF"/>
                <w:sz w:val="16"/>
              </w:rPr>
            </w:pPr>
            <w:r>
              <w:rPr>
                <w:rFonts w:ascii="Verdana" w:hAnsi="Verdana"/>
                <w:noProof/>
                <w:color w:val="FFFFFF"/>
                <w:sz w:val="16"/>
              </w:rPr>
              <w:t>6=5/1</w:t>
            </w:r>
          </w:p>
        </w:tc>
        <w:tc>
          <w:tcPr>
            <w:tcW w:w="845"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3ImplementPayments"/>
              <w:jc w:val="center"/>
              <w:rPr>
                <w:rFonts w:ascii="Verdana" w:eastAsia="Verdana" w:hAnsi="Verdana" w:cs="Verdana"/>
                <w:noProof/>
                <w:color w:val="FFFFFF"/>
                <w:sz w:val="16"/>
              </w:rPr>
            </w:pPr>
            <w:r>
              <w:rPr>
                <w:rFonts w:ascii="Verdana" w:hAnsi="Verdana"/>
                <w:noProof/>
                <w:color w:val="FFFFFF"/>
                <w:sz w:val="16"/>
              </w:rPr>
              <w:t>7</w:t>
            </w:r>
          </w:p>
        </w:tc>
        <w:tc>
          <w:tcPr>
            <w:tcW w:w="845"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3ImplementPayments"/>
              <w:jc w:val="center"/>
              <w:rPr>
                <w:rFonts w:ascii="Verdana" w:eastAsia="Verdana" w:hAnsi="Verdana" w:cs="Verdana"/>
                <w:noProof/>
                <w:color w:val="FFFFFF"/>
                <w:sz w:val="16"/>
              </w:rPr>
            </w:pPr>
            <w:r>
              <w:rPr>
                <w:rFonts w:ascii="Verdana" w:hAnsi="Verdana"/>
                <w:noProof/>
                <w:color w:val="FFFFFF"/>
                <w:sz w:val="16"/>
              </w:rPr>
              <w:t>8</w:t>
            </w:r>
          </w:p>
        </w:tc>
        <w:tc>
          <w:tcPr>
            <w:tcW w:w="845"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3ImplementPayments"/>
              <w:jc w:val="center"/>
              <w:rPr>
                <w:rFonts w:ascii="Verdana" w:eastAsia="Verdana" w:hAnsi="Verdana" w:cs="Verdana"/>
                <w:noProof/>
                <w:color w:val="FFFFFF"/>
                <w:sz w:val="16"/>
              </w:rPr>
            </w:pPr>
            <w:r>
              <w:rPr>
                <w:rFonts w:ascii="Verdana" w:hAnsi="Verdana"/>
                <w:noProof/>
                <w:color w:val="FFFFFF"/>
                <w:sz w:val="16"/>
              </w:rPr>
              <w:t>9=7+8</w:t>
            </w:r>
          </w:p>
        </w:tc>
        <w:tc>
          <w:tcPr>
            <w:tcW w:w="845"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3ImplementPayments"/>
              <w:jc w:val="center"/>
              <w:rPr>
                <w:rFonts w:ascii="Verdana" w:eastAsia="Verdana" w:hAnsi="Verdana" w:cs="Verdana"/>
                <w:noProof/>
                <w:color w:val="FFFFFF"/>
                <w:sz w:val="16"/>
              </w:rPr>
            </w:pPr>
            <w:r>
              <w:rPr>
                <w:rFonts w:ascii="Verdana" w:hAnsi="Verdana"/>
                <w:noProof/>
                <w:color w:val="FFFFFF"/>
                <w:sz w:val="16"/>
              </w:rPr>
              <w:t>10</w:t>
            </w:r>
          </w:p>
        </w:tc>
        <w:tc>
          <w:tcPr>
            <w:tcW w:w="845"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3ImplementPayments"/>
              <w:jc w:val="center"/>
              <w:rPr>
                <w:rFonts w:ascii="Verdana" w:eastAsia="Verdana" w:hAnsi="Verdana" w:cs="Verdana"/>
                <w:noProof/>
                <w:color w:val="FFFFFF"/>
                <w:sz w:val="16"/>
              </w:rPr>
            </w:pPr>
            <w:r>
              <w:rPr>
                <w:rFonts w:ascii="Verdana" w:hAnsi="Verdana"/>
                <w:noProof/>
                <w:color w:val="FFFFFF"/>
                <w:sz w:val="16"/>
              </w:rPr>
              <w:t>11</w:t>
            </w:r>
          </w:p>
        </w:tc>
        <w:tc>
          <w:tcPr>
            <w:tcW w:w="845"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3ImplementPayments"/>
              <w:jc w:val="center"/>
              <w:rPr>
                <w:rFonts w:ascii="Verdana" w:eastAsia="Verdana" w:hAnsi="Verdana" w:cs="Verdana"/>
                <w:noProof/>
                <w:color w:val="FFFFFF"/>
                <w:sz w:val="16"/>
              </w:rPr>
            </w:pPr>
            <w:r>
              <w:rPr>
                <w:rFonts w:ascii="Verdana" w:hAnsi="Verdana"/>
                <w:noProof/>
                <w:color w:val="FFFFFF"/>
                <w:sz w:val="16"/>
              </w:rPr>
              <w:t>12</w:t>
            </w:r>
          </w:p>
        </w:tc>
        <w:tc>
          <w:tcPr>
            <w:tcW w:w="1093"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3ImplementPayments"/>
              <w:jc w:val="center"/>
              <w:rPr>
                <w:rFonts w:ascii="Verdana" w:eastAsia="Verdana" w:hAnsi="Verdana" w:cs="Verdana"/>
                <w:noProof/>
                <w:color w:val="FFFFFF"/>
                <w:sz w:val="16"/>
              </w:rPr>
            </w:pPr>
            <w:r>
              <w:rPr>
                <w:rFonts w:ascii="Verdana" w:hAnsi="Verdana"/>
                <w:noProof/>
                <w:color w:val="FFFFFF"/>
                <w:sz w:val="16"/>
              </w:rPr>
              <w:t>13=10+11+12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1</w:t>
            </w: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Horizon Europe</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21 125</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11 056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1 994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13 111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62 %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7 941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7 999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15</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Programme Euratom de recherche et de formation</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414</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245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277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67 %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120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135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Réacteur thermonucléaire expérimental international (ITER)</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647</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641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643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99 %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Autres actions</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413</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26 %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305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305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Projets pilotes et actions préparatoires</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17</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96 %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Fonds InvestEU</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2 493</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500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1 895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2 397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96 %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Mécanisme pour l’interconnexion en Europe (MIE) - Transports</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2 445</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2 394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2 413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99 %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Mécanisme pour l’interconnexion en Europe (MIE) - Énergie</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804</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732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736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92 %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Mécanisme pour l’interconnexion en Europe (MIE) - Technologie numérique</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177</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173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175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99 %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Programme pour une Europe numérique</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1 154</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1 043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1 083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94 %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Agences décentralisées</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240</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230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237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99 %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Autres actions</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227</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14 %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195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195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Projets pilotes et actions préparatoires</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13</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Actions financées dans le cadre des prérogatives de la Commission et des compétences spécifiques conférées à la Commission</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30</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99 %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Programme du marché unique (y compris PME)</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780</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695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724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93 %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Programme de l’Union en matière de lutte contre la fraude</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30</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68 %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Coopération dans le domaine fiscal (Fiscalis)</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44</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95 %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Coopération dans le domaine douanier (Douane)</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153</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143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145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95 %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Agences décentralisées</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164</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148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153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93 %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Autres actions</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Projets pilotes et actions préparatoires</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11</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94 %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Programme spatial européen</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2 467</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1 819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110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1 934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78 %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530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534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Agences décentralisées</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83</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Projets pilotes et actions préparatoires</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Connectivité sécurisée de l’Union</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89</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Total rubrique 1: marché unique, innovation et numérique</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34 035</w:t>
            </w:r>
          </w:p>
        </w:tc>
        <w:tc>
          <w:tcPr>
            <w:tcW w:w="954"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20 128</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96</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4 258</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24 483</w:t>
            </w:r>
          </w:p>
        </w:tc>
        <w:tc>
          <w:tcPr>
            <w:tcW w:w="845"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72 %</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107</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9 414</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9 521</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20</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i/>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i/>
                <w:noProof/>
                <w:color w:val="000000"/>
                <w:sz w:val="16"/>
              </w:rPr>
            </w:pP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i/>
                <w:noProof/>
                <w:color w:val="000000"/>
                <w:sz w:val="16"/>
              </w:rPr>
            </w:pP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i/>
                <w:noProof/>
                <w:color w:val="000000"/>
                <w:sz w:val="16"/>
                <w:lang w:bidi="en-GB"/>
              </w:rPr>
            </w:pP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2</w:t>
            </w: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Fonds européen de développement régional (FEDER)</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23 394</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20 837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1 978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22 816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98 %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577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577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Fonds de cohésion (FC)</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5 756</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5 522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5 590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97 %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166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166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Fonds de cohésion (FC), contribution au mécanisme pour l’interconnexion en Europe (MIE) - Transports</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1 364</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1 350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1 353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99 %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Projets pilotes et actions préparatoires</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35 %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Fonds social européen Plus (FSE+)</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10 966</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8 242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2 362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10 605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97 %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360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361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Projets pilotes et actions préparatoires</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Soutien à la communauté chypriote turque</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41</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99 %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Facilité pour la reprise et la résilience (y compris l’instrument d’appui technique)</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40 344</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118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39 552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39 671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98 %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671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673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Protection de l’euro contre le faux-monnayage («programme Pericles IV»)</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91 %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Coût du financement de l’instrument de l’Union européenne pour la relance (EURI)</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6 976</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3 091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1 863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5 005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72 %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1 876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1 971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Mécanisme de protection civile de l’Union (rescEU)</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446</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132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222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355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80 %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L’UE pour la santé</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557</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530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553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99 %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Instrument pour le soutien d'urgence au sein de l'Union (ESI)</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26</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16 %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Agences décentralisées</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299</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274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293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98 %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Projets pilotes et actions préparatoires</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#DIV/0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Actions financées dans le cadre des prérogatives de la Commission et des compétences spécifiques conférées à la Commission</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13</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Emploi et innovation sociale</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91</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94 %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Erasmus+</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4 966</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3 782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836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4 635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93 %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315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330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Corps européen de solidarité (CES)</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220</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134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172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78 %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Europe créative</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350</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322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338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97 %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Justice</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43</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98 %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Droits et valeurs</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194</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190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192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99 %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Agences décentralisées</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333</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321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328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99 %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Autres actions</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Projets pilotes et actions préparatoires</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25</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98 %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Actions financées dans le cadre des prérogatives de la Commission et des compétences spécifiques conférées à la Commission</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183</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178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182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99 %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Total rubrique 2: cohésion, résilience et valeurs</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96 601</w:t>
            </w:r>
          </w:p>
        </w:tc>
        <w:tc>
          <w:tcPr>
            <w:tcW w:w="954"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45 231</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1 895</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45 180</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92 306</w:t>
            </w:r>
          </w:p>
        </w:tc>
        <w:tc>
          <w:tcPr>
            <w:tcW w:w="845"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96 %</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1 906</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2 377</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4 283</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w:t>
            </w:r>
          </w:p>
        </w:tc>
        <w:tc>
          <w:tcPr>
            <w:tcW w:w="1093"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i/>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i/>
                <w:noProof/>
                <w:color w:val="000000"/>
                <w:sz w:val="16"/>
              </w:rPr>
            </w:pP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i/>
                <w:noProof/>
                <w:color w:val="000000"/>
                <w:sz w:val="16"/>
              </w:rPr>
            </w:pP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i/>
                <w:noProof/>
                <w:color w:val="000000"/>
                <w:sz w:val="16"/>
                <w:lang w:bidi="en-GB"/>
              </w:rPr>
            </w:pP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3</w:t>
            </w: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Fonds européen agricole de garantie (FEAGA)</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41 377</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39 788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192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925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40 904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99 %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392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463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Fonds européen agricole pour le développement rural (Feader)</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16 373</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14 407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1 445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15 852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97 %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519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519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Fonds européen pour les affaires maritimes, la pêche et l’aquaculture (Feampa)</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671</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667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670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Accords de partenariat dans le domaine de la pêche durable (APPD) et organisations régionales de gestion des pêches (ORGP)</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111</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111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111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Agences décentralisées</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32</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99 %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Projets pilotes et actions préparatoires</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83 %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Programme pour l’environnement et l’action pour le climat (LIFE)</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690</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668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677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98 %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Fonds pour une transition juste</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1 436</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1 166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1 170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81 %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266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266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Facilité de prêt pour le secteur public dans le cadre du mécanisme pour une transition juste (MTJ)</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528</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13 %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461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461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Agences décentralisées</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79</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99 %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Projets pilotes et actions préparatoires</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90 %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Actions financées dans le cadre des prérogatives de la Commission et des compétences spécifiques conférées à la Commission</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25</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84 %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w:t>
            </w:r>
          </w:p>
        </w:tc>
      </w:tr>
      <w:tr>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Total rubrique 3: ressources naturelles et environnement</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61 329</w:t>
            </w:r>
          </w:p>
        </w:tc>
        <w:tc>
          <w:tcPr>
            <w:tcW w:w="954"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55 799</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200</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3 590</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59 589</w:t>
            </w:r>
          </w:p>
        </w:tc>
        <w:tc>
          <w:tcPr>
            <w:tcW w:w="845"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97 %</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399</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1 323</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1 722</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16</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17</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lang w:bidi="en-GB"/>
              </w:rPr>
            </w:pP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4</w:t>
            </w: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Fonds «Asile, migration et intégration»</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1 450</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1 205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1 288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89 %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160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161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Agences décentralisées</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205</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196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202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98 %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Fonds pour la gestion intégrée des frontières (FGIF) - instrument relatif à la gestion des frontières et aux visas (IGFV)</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1 291</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817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919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71 %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370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371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Fonds pour la gestion intégrée des frontières (FGIF) - instrument de soutien financier relatif aux équipements de contrôle douanier</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32</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73 %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Agences décentralisées</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1 407</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1 334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1 386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99 %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Total rubrique 4: migration et gestion des frontières</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4 386</w:t>
            </w:r>
          </w:p>
        </w:tc>
        <w:tc>
          <w:tcPr>
            <w:tcW w:w="954"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3 560</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19</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239</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3 819</w:t>
            </w:r>
          </w:p>
        </w:tc>
        <w:tc>
          <w:tcPr>
            <w:tcW w:w="845"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87 %</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554</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557</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lang w:bidi="en-GB"/>
              </w:rPr>
            </w:pP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5</w:t>
            </w: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Fonds pour la sécurité intérieure (FSI)</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296</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242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257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87 %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Déclassement d’installations nucléaires (Lituanie)</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90</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Sûreté nucléaire et déclassement d’installations (y compris pour la Bulgarie et la Slovaquie)</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64</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94 %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Agences décentralisées</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300</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274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281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94 %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Projets pilotes et actions préparatoires</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Actions financées dans le cadre des prérogatives de la Commission et des compétences spécifiques conférées à la Commission</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22</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97 %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Fonds européen de la défense (recherche)</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296</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286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295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Fonds européen de la défense (hors recherche)</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566</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543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562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99 %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Mobilité militaire</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137</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136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136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Instrument à court terme pour des acquisitions conjointes dans le domaine de la défense</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63</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Instrument de renforcement de l’industrie de la défense</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61</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87 %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Programme européen d’investissement dans le domaine de la défense</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#DIV/0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Projets pilotes et actions préparatoires</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#DIV/0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Connectivité sécurisée de l’Union</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51</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Total rubrique 5: sécurité et défense</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1 947</w:t>
            </w:r>
          </w:p>
        </w:tc>
        <w:tc>
          <w:tcPr>
            <w:tcW w:w="954"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1 814</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52</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1 872</w:t>
            </w:r>
          </w:p>
        </w:tc>
        <w:tc>
          <w:tcPr>
            <w:tcW w:w="845"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96 %</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22</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51</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73</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lang w:bidi="en-GB"/>
              </w:rPr>
            </w:pP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6</w:t>
            </w: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Instrument de voisinage, de coopération au développement et de coopération internationale — L’Europe dans le monde (IVCDCI - L’Europe dans le monde)</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10 782</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9 442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444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9 935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92 %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368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474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842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Instrument européen relatif à la coopération internationale en matière de sûreté nucléaire (ICSN)</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69</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91 %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Aide humanitaire (HUMA)</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2 493</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2 463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2 476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99 %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Politique étrangère et de sécurité commune (PESC)</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439</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398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426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97 %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Pays et territoires d’outre-mer (PTOM) (y compris le Groenland)</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90</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68 %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AMF+</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680</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568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568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84 %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111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111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 xml:space="preserve">Mécanisme de coopération pour les </w:t>
            </w:r>
            <w:r>
              <w:rPr>
                <w:rFonts w:ascii="Verdana" w:hAnsi="Verdana"/>
                <w:noProof/>
                <w:color w:val="000000"/>
                <w:sz w:val="16"/>
              </w:rPr>
              <w:lastRenderedPageBreak/>
              <w:t>prêts à l’Ukraine</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lastRenderedPageBreak/>
              <w:t>1 535</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1 535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1 535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Autres actions</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48</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99 %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Projets pilotes et actions préparatoires</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#DIV/0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Connectivité sécurisée de l’Union</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#DIV/0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Actions financées dans le cadre des prérogatives de la Commission et des compétences spécifiques conférées à la Commission</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88</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Aide de préadhésion (IAP III)</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2 122</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1 841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1 894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89 %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153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225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Facilité pour les réformes et la croissance en faveur des Balkans occidentaux</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124</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62 %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Total rubrique 6: le voisinage et le monde</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18 469</w:t>
            </w:r>
          </w:p>
        </w:tc>
        <w:tc>
          <w:tcPr>
            <w:tcW w:w="954"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14 444</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89</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2 637</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17 170</w:t>
            </w:r>
          </w:p>
        </w:tc>
        <w:tc>
          <w:tcPr>
            <w:tcW w:w="845"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93 %</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584</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706</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1 290</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lang w:bidi="en-GB"/>
              </w:rPr>
            </w:pP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7</w:t>
            </w: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Pensions du personnel</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3 102</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2 790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302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3 092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(Pensions des anciens membres) Parlement européen</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19</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(Pensions des anciens membres) Conseil européen et Conseil</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(Pensions des anciens membres) Commission</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(Pensions des anciens membres) Cour de justice de l’Union européenne</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17</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(Pensions des anciens membres) Cour des comptes</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(Pensions des anciens membres) Médiateur européen</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(Pensions des anciens membres) Contrôleur européen de la protection des données</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(Écoles européennes) Commission</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302</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263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293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97 %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Rémunération du personnel statutaire</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3 157</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3 027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3 092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98 %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Rémunération personnel externe</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493</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268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342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69 %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118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148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Membres – Traitements et indemnités</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22</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93 %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Membres – Indemnités temporaires</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91 %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Frais de recrutement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37</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91 %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Cessation de fonctions</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97 %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Coûts de formation</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37</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55 %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Social et mobilité</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64</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56 %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Technologies de l’information et de la communication</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765</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187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119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137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442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58 %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217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321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Loyers et acquisitions</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1 042</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288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129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448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43 %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561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595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Dépenses liées aux bâtiments</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207</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132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64 %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Sécurité</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124</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70 %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Missions et représentation</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76</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76 %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Réunions, comités, conférence</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20</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59 %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Journal officiel</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66 %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Publications</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24</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63 %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Acquisition d’informations</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70 %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Études et enquêtes</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53 %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Équipement général, véhicules, mobilier</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41</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54 %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Services linguistiques externes</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74</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84 %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Autres dépenses administratives</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58</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70 %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Agences décentralisées</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Dépenses administratives des autres institutions</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6 399</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4 563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560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318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5 441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85 %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630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209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839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120</w:t>
            </w:r>
          </w:p>
        </w:tc>
      </w:tr>
      <w:tr>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Total rubrique 7: administration publique européenne</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16 133</w:t>
            </w:r>
          </w:p>
        </w:tc>
        <w:tc>
          <w:tcPr>
            <w:tcW w:w="954"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11 775</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847</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1 144</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13 767</w:t>
            </w:r>
          </w:p>
        </w:tc>
        <w:tc>
          <w:tcPr>
            <w:tcW w:w="845"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85 %</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932</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1 291</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2 222</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59</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80</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w:t>
            </w:r>
          </w:p>
        </w:tc>
        <w:tc>
          <w:tcPr>
            <w:tcW w:w="1093"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144</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lang w:bidi="en-GB"/>
              </w:rPr>
            </w:pP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O</w:t>
            </w: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Fonds pour l’innovation (FI)</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12 293</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224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224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12 068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12 068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Facilité pour l’Ukraine</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3 587</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1 693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113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233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2 038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57 %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1 120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429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1 548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Autres actions</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114</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49 %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Total rubrique O: hors CFP</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15 994</w:t>
            </w:r>
          </w:p>
        </w:tc>
        <w:tc>
          <w:tcPr>
            <w:tcW w:w="954"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1 693</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113</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514</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2 319</w:t>
            </w:r>
          </w:p>
        </w:tc>
        <w:tc>
          <w:tcPr>
            <w:tcW w:w="845"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15 %</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1 120</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12 555</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13 675</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lang w:bidi="en-GB"/>
              </w:rPr>
            </w:pP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S</w:t>
            </w: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Réserve de solidarité européenne</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1 477</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170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310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480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33 %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997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997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Réserve d’aide d’urgence</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#DIV/0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 xml:space="preserve">Fonds européen d'ajustement à la </w:t>
            </w:r>
            <w:r>
              <w:rPr>
                <w:rFonts w:ascii="Verdana" w:hAnsi="Verdana"/>
                <w:noProof/>
                <w:color w:val="000000"/>
                <w:sz w:val="16"/>
              </w:rPr>
              <w:lastRenderedPageBreak/>
              <w:t>mondialisation (FEM)</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lastRenderedPageBreak/>
              <w:t xml:space="preserve"> 21</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99 %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Réserve d’ajustement au Brexit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564</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547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547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97 %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Total rubrique S: mécanismes de solidarité à l’intérieur et à l’extérieur de l’Union (instruments spéciaux)</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2 063</w:t>
            </w:r>
          </w:p>
        </w:tc>
        <w:tc>
          <w:tcPr>
            <w:tcW w:w="954"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729</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310</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1 048</w:t>
            </w:r>
          </w:p>
        </w:tc>
        <w:tc>
          <w:tcPr>
            <w:tcW w:w="845"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51 %</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1 015</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1 015</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i/>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i/>
                <w:noProof/>
                <w:color w:val="000000"/>
                <w:sz w:val="16"/>
              </w:rPr>
            </w:pP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i/>
                <w:noProof/>
                <w:color w:val="000000"/>
                <w:sz w:val="16"/>
              </w:rPr>
            </w:pP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i/>
                <w:noProof/>
                <w:color w:val="000000"/>
                <w:sz w:val="16"/>
                <w:lang w:bidi="en-GB"/>
              </w:rPr>
            </w:pPr>
          </w:p>
        </w:tc>
      </w:tr>
      <w:tr>
        <w:trPr>
          <w:trHeight w:val="255"/>
        </w:trPr>
        <w:tc>
          <w:tcPr>
            <w:tcW w:w="344"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rPr>
                <w:rFonts w:ascii="Verdana" w:eastAsia="Verdana" w:hAnsi="Verdana" w:cs="Verdana"/>
                <w:b/>
                <w:noProof/>
                <w:color w:val="000000"/>
                <w:sz w:val="16"/>
              </w:rPr>
            </w:pPr>
          </w:p>
        </w:tc>
        <w:tc>
          <w:tcPr>
            <w:tcW w:w="300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rPr>
                <w:rFonts w:ascii="Verdana" w:eastAsia="Verdana" w:hAnsi="Verdana" w:cs="Verdana"/>
                <w:b/>
                <w:noProof/>
                <w:color w:val="000000"/>
                <w:sz w:val="16"/>
              </w:rPr>
            </w:pPr>
            <w:r>
              <w:rPr>
                <w:rFonts w:ascii="Verdana" w:hAnsi="Verdana"/>
                <w:b/>
                <w:noProof/>
                <w:color w:val="000000"/>
                <w:sz w:val="16"/>
              </w:rPr>
              <w:t>TOTAL</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b/>
                <w:noProof/>
                <w:color w:val="000000"/>
                <w:sz w:val="16"/>
              </w:rPr>
            </w:pPr>
            <w:r>
              <w:rPr>
                <w:rFonts w:ascii="Verdana" w:hAnsi="Verdana"/>
                <w:b/>
                <w:noProof/>
                <w:color w:val="000000"/>
                <w:sz w:val="16"/>
              </w:rPr>
              <w:t>250 956</w:t>
            </w:r>
          </w:p>
        </w:tc>
        <w:tc>
          <w:tcPr>
            <w:tcW w:w="954"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b/>
                <w:noProof/>
                <w:color w:val="000000"/>
                <w:sz w:val="16"/>
              </w:rPr>
            </w:pPr>
            <w:r>
              <w:rPr>
                <w:rFonts w:ascii="Verdana" w:hAnsi="Verdana"/>
                <w:b/>
                <w:noProof/>
                <w:color w:val="000000"/>
                <w:sz w:val="16"/>
              </w:rPr>
              <w:t>155 173</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b/>
                <w:noProof/>
                <w:color w:val="000000"/>
                <w:sz w:val="16"/>
              </w:rPr>
            </w:pPr>
            <w:r>
              <w:rPr>
                <w:rFonts w:ascii="Verdana" w:hAnsi="Verdana"/>
                <w:b/>
                <w:noProof/>
                <w:color w:val="000000"/>
                <w:sz w:val="16"/>
              </w:rPr>
              <w:t>3 575</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b/>
                <w:noProof/>
                <w:color w:val="000000"/>
                <w:sz w:val="16"/>
              </w:rPr>
            </w:pPr>
            <w:r>
              <w:rPr>
                <w:rFonts w:ascii="Verdana" w:hAnsi="Verdana"/>
                <w:b/>
                <w:noProof/>
                <w:color w:val="000000"/>
                <w:sz w:val="16"/>
              </w:rPr>
              <w:t>57 624</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b/>
                <w:noProof/>
                <w:color w:val="000000"/>
                <w:sz w:val="16"/>
              </w:rPr>
            </w:pPr>
            <w:r>
              <w:rPr>
                <w:rFonts w:ascii="Verdana" w:hAnsi="Verdana"/>
                <w:b/>
                <w:noProof/>
                <w:color w:val="000000"/>
                <w:sz w:val="16"/>
              </w:rPr>
              <w:t>216 373</w:t>
            </w:r>
          </w:p>
        </w:tc>
        <w:tc>
          <w:tcPr>
            <w:tcW w:w="845"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3ImplementPayments"/>
              <w:jc w:val="right"/>
              <w:rPr>
                <w:rFonts w:ascii="Verdana" w:eastAsia="Verdana" w:hAnsi="Verdana" w:cs="Verdana"/>
                <w:b/>
                <w:noProof/>
                <w:color w:val="000000"/>
                <w:sz w:val="16"/>
              </w:rPr>
            </w:pPr>
            <w:r>
              <w:rPr>
                <w:rFonts w:ascii="Verdana" w:hAnsi="Verdana"/>
                <w:b/>
                <w:noProof/>
                <w:color w:val="000000"/>
                <w:sz w:val="16"/>
              </w:rPr>
              <w:t>86 %</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b/>
                <w:noProof/>
                <w:color w:val="000000"/>
                <w:sz w:val="16"/>
              </w:rPr>
            </w:pPr>
            <w:r>
              <w:rPr>
                <w:rFonts w:ascii="Verdana" w:hAnsi="Verdana"/>
                <w:b/>
                <w:noProof/>
                <w:color w:val="000000"/>
                <w:sz w:val="16"/>
              </w:rPr>
              <w:t>6 087</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b/>
                <w:noProof/>
                <w:color w:val="000000"/>
                <w:sz w:val="16"/>
              </w:rPr>
            </w:pPr>
            <w:r>
              <w:rPr>
                <w:rFonts w:ascii="Verdana" w:hAnsi="Verdana"/>
                <w:b/>
                <w:noProof/>
                <w:color w:val="000000"/>
                <w:sz w:val="16"/>
              </w:rPr>
              <w:t>28 271</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b/>
                <w:noProof/>
                <w:color w:val="000000"/>
                <w:sz w:val="16"/>
              </w:rPr>
            </w:pPr>
            <w:r>
              <w:rPr>
                <w:rFonts w:ascii="Verdana" w:hAnsi="Verdana"/>
                <w:b/>
                <w:noProof/>
                <w:color w:val="000000"/>
                <w:sz w:val="16"/>
              </w:rPr>
              <w:t>34 358</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b/>
                <w:noProof/>
                <w:color w:val="000000"/>
                <w:sz w:val="16"/>
              </w:rPr>
            </w:pPr>
            <w:r>
              <w:rPr>
                <w:rFonts w:ascii="Verdana" w:hAnsi="Verdana"/>
                <w:b/>
                <w:noProof/>
                <w:color w:val="000000"/>
                <w:sz w:val="16"/>
              </w:rPr>
              <w:t xml:space="preserve"> 110</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b/>
                <w:noProof/>
                <w:color w:val="000000"/>
                <w:sz w:val="16"/>
              </w:rPr>
            </w:pPr>
            <w:r>
              <w:rPr>
                <w:rFonts w:ascii="Verdana" w:hAnsi="Verdana"/>
                <w:b/>
                <w:noProof/>
                <w:color w:val="000000"/>
                <w:sz w:val="16"/>
              </w:rPr>
              <w:t xml:space="preserve"> 104</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b/>
                <w:noProof/>
                <w:color w:val="000000"/>
                <w:sz w:val="16"/>
              </w:rPr>
            </w:pPr>
            <w:r>
              <w:rPr>
                <w:rFonts w:ascii="Verdana" w:hAnsi="Verdana"/>
                <w:b/>
                <w:noProof/>
                <w:color w:val="000000"/>
                <w:sz w:val="16"/>
              </w:rPr>
              <w:t xml:space="preserve"> 12</w:t>
            </w:r>
          </w:p>
        </w:tc>
        <w:tc>
          <w:tcPr>
            <w:tcW w:w="1093"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b/>
                <w:noProof/>
                <w:color w:val="000000"/>
                <w:sz w:val="16"/>
              </w:rPr>
            </w:pPr>
            <w:r>
              <w:rPr>
                <w:rFonts w:ascii="Verdana" w:hAnsi="Verdana"/>
                <w:b/>
                <w:noProof/>
                <w:color w:val="000000"/>
                <w:sz w:val="16"/>
              </w:rPr>
              <w:t xml:space="preserve"> 226</w:t>
            </w:r>
          </w:p>
        </w:tc>
      </w:tr>
    </w:tbl>
    <w:p>
      <w:pPr>
        <w:pStyle w:val="HEADER2PartBUDG"/>
        <w:pageBreakBefore/>
        <w:spacing w:before="240" w:after="240"/>
        <w:ind w:left="357" w:hanging="357"/>
        <w:rPr>
          <w:noProof/>
        </w:rPr>
      </w:pPr>
      <w:bookmarkStart w:id="311" w:name="_Toc237349642"/>
      <w:r>
        <w:rPr>
          <w:noProof/>
        </w:rPr>
        <w:lastRenderedPageBreak/>
        <w:t>CFP DÉTAILLÉ: ÉVOLUTION DES ENGAGEMENTS RESTANT À LIQUIDER (RAL)</w:t>
      </w:r>
      <w:bookmarkEnd w:id="3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4"/>
        <w:gridCol w:w="5076"/>
        <w:gridCol w:w="1804"/>
        <w:gridCol w:w="1902"/>
        <w:gridCol w:w="1467"/>
        <w:gridCol w:w="2141"/>
        <w:gridCol w:w="1958"/>
      </w:tblGrid>
      <w:tr>
        <w:trPr>
          <w:trHeight w:val="255"/>
          <w:tblHeader/>
        </w:trPr>
        <w:tc>
          <w:tcPr>
            <w:tcW w:w="14692" w:type="dxa"/>
            <w:gridSpan w:val="7"/>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i/>
                <w:noProof/>
                <w:color w:val="000000"/>
                <w:sz w:val="16"/>
              </w:rPr>
            </w:pPr>
            <w:bookmarkStart w:id="312" w:name="DOC_TBL00122_1_1"/>
            <w:bookmarkEnd w:id="312"/>
            <w:r>
              <w:rPr>
                <w:rFonts w:ascii="Verdana" w:hAnsi="Verdana"/>
                <w:i/>
                <w:noProof/>
                <w:color w:val="000000"/>
                <w:sz w:val="16"/>
              </w:rPr>
              <w:t>en Mio EUR</w:t>
            </w:r>
          </w:p>
        </w:tc>
      </w:tr>
      <w:tr>
        <w:trPr>
          <w:trHeight w:val="255"/>
          <w:tblHeader/>
        </w:trPr>
        <w:tc>
          <w:tcPr>
            <w:tcW w:w="344"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4Commitmentsoustanding"/>
              <w:jc w:val="center"/>
              <w:rPr>
                <w:rFonts w:ascii="Verdana" w:eastAsia="Verdana" w:hAnsi="Verdana" w:cs="Verdana"/>
                <w:noProof/>
                <w:color w:val="FFFFFF"/>
                <w:sz w:val="16"/>
              </w:rPr>
            </w:pPr>
          </w:p>
        </w:tc>
        <w:tc>
          <w:tcPr>
            <w:tcW w:w="5076"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4Commitmentsoustanding"/>
              <w:jc w:val="center"/>
              <w:rPr>
                <w:rFonts w:ascii="Verdana" w:eastAsia="Verdana" w:hAnsi="Verdana" w:cs="Verdana"/>
                <w:noProof/>
                <w:color w:val="FFFFFF"/>
                <w:sz w:val="16"/>
              </w:rPr>
            </w:pPr>
            <w:r>
              <w:rPr>
                <w:rFonts w:ascii="Verdana" w:hAnsi="Verdana"/>
                <w:noProof/>
                <w:color w:val="FFFFFF"/>
                <w:sz w:val="16"/>
              </w:rPr>
              <w:t>Rubrique du CFP</w:t>
            </w:r>
          </w:p>
        </w:tc>
        <w:tc>
          <w:tcPr>
            <w:tcW w:w="1804"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4Commitmentsoustanding"/>
              <w:jc w:val="center"/>
              <w:rPr>
                <w:rFonts w:ascii="Verdana" w:eastAsia="Verdana" w:hAnsi="Verdana" w:cs="Verdana"/>
                <w:noProof/>
                <w:color w:val="FFFFFF"/>
                <w:sz w:val="16"/>
              </w:rPr>
            </w:pPr>
            <w:r>
              <w:rPr>
                <w:rFonts w:ascii="Verdana" w:hAnsi="Verdana"/>
                <w:noProof/>
                <w:color w:val="FFFFFF"/>
                <w:sz w:val="16"/>
              </w:rPr>
              <w:t>Engagements reportés de l’exercice précédent</w:t>
            </w:r>
          </w:p>
        </w:tc>
        <w:tc>
          <w:tcPr>
            <w:tcW w:w="1902"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4Commitmentsoustanding"/>
              <w:jc w:val="center"/>
              <w:rPr>
                <w:rFonts w:ascii="Verdana" w:eastAsia="Verdana" w:hAnsi="Verdana" w:cs="Verdana"/>
                <w:noProof/>
                <w:color w:val="FFFFFF"/>
                <w:sz w:val="16"/>
              </w:rPr>
            </w:pPr>
            <w:r>
              <w:rPr>
                <w:rFonts w:ascii="Verdana" w:hAnsi="Verdana"/>
                <w:noProof/>
                <w:color w:val="FFFFFF"/>
                <w:sz w:val="16"/>
              </w:rPr>
              <w:t>Engagements contractés en cours d’exercice</w:t>
            </w:r>
          </w:p>
        </w:tc>
        <w:tc>
          <w:tcPr>
            <w:tcW w:w="1467"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4Commitmentsoustanding"/>
              <w:jc w:val="center"/>
              <w:rPr>
                <w:rFonts w:ascii="Verdana" w:eastAsia="Verdana" w:hAnsi="Verdana" w:cs="Verdana"/>
                <w:noProof/>
                <w:color w:val="FFFFFF"/>
                <w:sz w:val="16"/>
              </w:rPr>
            </w:pPr>
            <w:r>
              <w:rPr>
                <w:rFonts w:ascii="Verdana" w:hAnsi="Verdana"/>
                <w:noProof/>
                <w:color w:val="FFFFFF"/>
                <w:sz w:val="16"/>
              </w:rPr>
              <w:t>Variations des engagements reportés</w:t>
            </w:r>
          </w:p>
        </w:tc>
        <w:tc>
          <w:tcPr>
            <w:tcW w:w="2141"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4Commitmentsoustanding"/>
              <w:jc w:val="center"/>
              <w:rPr>
                <w:rFonts w:ascii="Verdana" w:eastAsia="Verdana" w:hAnsi="Verdana" w:cs="Verdana"/>
                <w:noProof/>
                <w:color w:val="FFFFFF"/>
                <w:sz w:val="16"/>
              </w:rPr>
            </w:pPr>
            <w:r>
              <w:rPr>
                <w:rFonts w:ascii="Verdana" w:hAnsi="Verdana"/>
                <w:noProof/>
                <w:color w:val="FFFFFF"/>
                <w:sz w:val="16"/>
              </w:rPr>
              <w:t>Paiements</w:t>
            </w:r>
          </w:p>
        </w:tc>
        <w:tc>
          <w:tcPr>
            <w:tcW w:w="1958"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4Commitmentsoustanding"/>
              <w:jc w:val="center"/>
              <w:rPr>
                <w:rFonts w:ascii="Verdana" w:eastAsia="Verdana" w:hAnsi="Verdana" w:cs="Verdana"/>
                <w:noProof/>
                <w:color w:val="FFFFFF"/>
                <w:sz w:val="16"/>
              </w:rPr>
            </w:pPr>
            <w:r>
              <w:rPr>
                <w:rFonts w:ascii="Verdana" w:hAnsi="Verdana"/>
                <w:noProof/>
                <w:color w:val="FFFFFF"/>
                <w:sz w:val="16"/>
              </w:rPr>
              <w:t>RAL total à la fin de l’exercice</w:t>
            </w:r>
          </w:p>
        </w:tc>
      </w:tr>
      <w:tr>
        <w:trPr>
          <w:trHeight w:val="255"/>
        </w:trPr>
        <w:tc>
          <w:tcPr>
            <w:tcW w:w="344"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4Commitmentsoustanding"/>
              <w:jc w:val="center"/>
              <w:rPr>
                <w:rFonts w:ascii="Verdana" w:eastAsia="Verdana" w:hAnsi="Verdana" w:cs="Verdana"/>
                <w:noProof/>
                <w:color w:val="FFFFFF"/>
                <w:sz w:val="16"/>
              </w:rPr>
            </w:pPr>
          </w:p>
        </w:tc>
        <w:tc>
          <w:tcPr>
            <w:tcW w:w="5076"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4Commitmentsoustanding"/>
              <w:jc w:val="center"/>
              <w:rPr>
                <w:rFonts w:ascii="Verdana" w:eastAsia="Verdana" w:hAnsi="Verdana" w:cs="Verdana"/>
                <w:noProof/>
                <w:color w:val="FFFFFF"/>
                <w:sz w:val="16"/>
              </w:rPr>
            </w:pPr>
          </w:p>
        </w:tc>
        <w:tc>
          <w:tcPr>
            <w:tcW w:w="1804"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4Commitmentsoustanding"/>
              <w:jc w:val="center"/>
              <w:rPr>
                <w:rFonts w:ascii="Verdana" w:eastAsia="Verdana" w:hAnsi="Verdana" w:cs="Verdana"/>
                <w:noProof/>
                <w:color w:val="FFFFFF"/>
                <w:sz w:val="16"/>
              </w:rPr>
            </w:pPr>
            <w:r>
              <w:rPr>
                <w:rFonts w:ascii="Verdana" w:hAnsi="Verdana"/>
                <w:noProof/>
                <w:color w:val="FFFFFF"/>
                <w:sz w:val="16"/>
              </w:rPr>
              <w:t>1</w:t>
            </w:r>
          </w:p>
        </w:tc>
        <w:tc>
          <w:tcPr>
            <w:tcW w:w="1902"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4Commitmentsoustanding"/>
              <w:jc w:val="center"/>
              <w:rPr>
                <w:rFonts w:ascii="Verdana" w:eastAsia="Verdana" w:hAnsi="Verdana" w:cs="Verdana"/>
                <w:noProof/>
                <w:color w:val="FFFFFF"/>
                <w:sz w:val="16"/>
              </w:rPr>
            </w:pPr>
            <w:r>
              <w:rPr>
                <w:rFonts w:ascii="Verdana" w:hAnsi="Verdana"/>
                <w:noProof/>
                <w:color w:val="FFFFFF"/>
                <w:sz w:val="16"/>
              </w:rPr>
              <w:t>2</w:t>
            </w:r>
          </w:p>
        </w:tc>
        <w:tc>
          <w:tcPr>
            <w:tcW w:w="1467"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4Commitmentsoustanding"/>
              <w:jc w:val="center"/>
              <w:rPr>
                <w:rFonts w:ascii="Verdana" w:eastAsia="Verdana" w:hAnsi="Verdana" w:cs="Verdana"/>
                <w:noProof/>
                <w:color w:val="FFFFFF"/>
                <w:sz w:val="16"/>
              </w:rPr>
            </w:pPr>
            <w:r>
              <w:rPr>
                <w:rFonts w:ascii="Verdana" w:hAnsi="Verdana"/>
                <w:noProof/>
                <w:color w:val="FFFFFF"/>
                <w:sz w:val="16"/>
              </w:rPr>
              <w:t>3</w:t>
            </w:r>
          </w:p>
        </w:tc>
        <w:tc>
          <w:tcPr>
            <w:tcW w:w="2141"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4Commitmentsoustanding"/>
              <w:jc w:val="center"/>
              <w:rPr>
                <w:rFonts w:ascii="Verdana" w:eastAsia="Verdana" w:hAnsi="Verdana" w:cs="Verdana"/>
                <w:noProof/>
                <w:color w:val="FFFFFF"/>
                <w:sz w:val="16"/>
              </w:rPr>
            </w:pPr>
            <w:r>
              <w:rPr>
                <w:rFonts w:ascii="Verdana" w:hAnsi="Verdana"/>
                <w:noProof/>
                <w:color w:val="FFFFFF"/>
                <w:sz w:val="16"/>
              </w:rPr>
              <w:t>4</w:t>
            </w:r>
          </w:p>
        </w:tc>
        <w:tc>
          <w:tcPr>
            <w:tcW w:w="1958"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4Commitmentsoustanding"/>
              <w:jc w:val="center"/>
              <w:rPr>
                <w:rFonts w:ascii="Verdana" w:eastAsia="Verdana" w:hAnsi="Verdana" w:cs="Verdana"/>
                <w:noProof/>
                <w:color w:val="FFFFFF"/>
                <w:sz w:val="16"/>
              </w:rPr>
            </w:pPr>
            <w:r>
              <w:rPr>
                <w:rFonts w:ascii="Verdana" w:hAnsi="Verdana"/>
                <w:noProof/>
                <w:color w:val="FFFFFF"/>
                <w:sz w:val="16"/>
              </w:rPr>
              <w:t>5=1+2+3+4</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1</w:t>
            </w: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Horizon Europe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28 646</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16 815</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(346)</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(13 110)</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32 005</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Programme Euratom de recherche et de formation</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234</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376</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(277)</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330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Réacteur thermonucléaire expérimental international (ITER)</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1 449</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488</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(643)</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1 294</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Autres actions</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263</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167</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(108)</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318</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Projets pilotes et actions préparatoires</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50</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10</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(16)</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Fonds InvestEU</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4 663</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1 221</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(16)</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(2 397)</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3 471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Mécanisme pour l’interconnexion en Europe (MIE) - Transports</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6 089</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1 701</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(157)</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(2 413)</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5 220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Mécanisme pour l’interconnexion en Europe (MIE) - Énergie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3 934</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926</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(36)</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(736)</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4 089</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Mécanisme pour l’interconnexion en Europe (MIE) - Technologie numérique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556</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229</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(175)</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610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Programme pour une Europe numérique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2 351</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1 137</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(1 083)</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2 405</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Agences décentralisées</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36</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237</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(237)</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36</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Autres actions</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61</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85</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(32)</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113</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Projets pilotes et actions préparatoires</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26</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9</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(13)</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Actions financées dans le cadre des prérogatives de la Commission et des compétences spécifiques conférées à la Commission</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36</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29</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(29)</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35</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Programme du marché unique (y compris PME)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914</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647</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(8)</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(724)</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829</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Programme de l’Union en matière de lutte contre la fraude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34</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28</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(20)</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36</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Coopération dans le domaine fiscal (Fiscalis)</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44</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39</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(42)</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Coopération dans le domaine douanier (Douane)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148</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200</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(145)</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202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Agences décentralisées</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158</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(153)</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Autres actions</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8</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(8)</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Projets pilotes et actions préparatoires</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25</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13</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(10)</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27</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Programme spatial européen</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1 483</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2 246</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(1 934)</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1 795</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Agences décentralisées</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17</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83</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(83)</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17</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Projets pilotes et actions préparatoires</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17</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45</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(6)</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56</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Connectivité sécurisée de l’Union</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83</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196</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(89)</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191</w:t>
            </w:r>
          </w:p>
        </w:tc>
      </w:tr>
      <w:tr>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Total rubrique 1: marché unique, innovation et numérique</w:t>
            </w:r>
          </w:p>
        </w:tc>
        <w:tc>
          <w:tcPr>
            <w:tcW w:w="1804"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51 164</w:t>
            </w:r>
          </w:p>
        </w:tc>
        <w:tc>
          <w:tcPr>
            <w:tcW w:w="190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27 095</w:t>
            </w:r>
          </w:p>
        </w:tc>
        <w:tc>
          <w:tcPr>
            <w:tcW w:w="1467"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(583)</w:t>
            </w:r>
          </w:p>
        </w:tc>
        <w:tc>
          <w:tcPr>
            <w:tcW w:w="2141"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(24 482)</w:t>
            </w:r>
          </w:p>
        </w:tc>
        <w:tc>
          <w:tcPr>
            <w:tcW w:w="1958"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53 194</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lang w:bidi="en-GB"/>
              </w:rPr>
            </w:pP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lastRenderedPageBreak/>
              <w:t>2</w:t>
            </w: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Fonds européen de développement régional (FEDER)</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105 188</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39 940</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(54)</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(22 852)</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122 222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Fonds de cohésion (FC)</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16 048</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7 034</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(5 590)</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17 491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Fonds de cohésion (FC), contribution au mécanisme pour l’interconnexion en Europe (MIE) - Transports</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5 402</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1 677</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(26)</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(1 353)</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5 700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Projets pilotes et actions préparatoires</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6</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Fonds social européen Plus (FSE+)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47 528</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17 216</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(10 623)</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54 118</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Projets pilotes et actions préparatoires</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Soutien à la communauté chypriote turque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95</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36</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(40)</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91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Facilité pour la reprise et la résilience (y compris l’instrument d’appui technique)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161 570</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627</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(12)</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(39 671)</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122 514</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Protection de l’euro contre le faux-monnayage («programme Pericles IV»)</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Coût du financement de l’instrument de l’Union européenne pour la relance (EURI)</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1 865</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5 017</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(5 005)</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1 878</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Mécanisme de protection civile de l’Union (rescEU)</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1 193</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237</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(9)</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(355)</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1 066</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EU4Health</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1 507</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607</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(553)</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1 559</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Instrument pour le soutien d'urgence au sein de l'Union (ESI)</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28</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24</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Agences décentralisées</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50</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305</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(293)</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61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Projets pilotes et actions préparatoires</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Actions financées dans le cadre des prérogatives de la Commission et des compétences spécifiques conférées à la Commission</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10</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16</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(13)</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Emploi et innovation sociale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185</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112</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(85)</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212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Erasmus+</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2 251</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4 684</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(109)</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(4 635)</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2 191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Corps européen de solidarité (CES)</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149</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172</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(43)</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(172)</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106</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Europe créative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354</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367</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(338)</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381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Justice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53</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42</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(42)</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Droits et valeurs</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288</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239</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(192)</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334</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Agences décentralisées</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53</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332</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(328)</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56</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Autres actions</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13</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9</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(9)</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13</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Projets pilotes et actions préparatoires</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58</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18</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(8)</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(25)</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43</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Actions financées dans le cadre des prérogatives de la Commission et des compétences spécifiques conférées à la Commission</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197</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190</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(182)</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203</w:t>
            </w:r>
          </w:p>
        </w:tc>
      </w:tr>
      <w:tr>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Total rubrique 2: cohésion, résilience et valeurs</w:t>
            </w:r>
          </w:p>
        </w:tc>
        <w:tc>
          <w:tcPr>
            <w:tcW w:w="1804"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344 088</w:t>
            </w:r>
          </w:p>
        </w:tc>
        <w:tc>
          <w:tcPr>
            <w:tcW w:w="190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78 884</w:t>
            </w:r>
          </w:p>
        </w:tc>
        <w:tc>
          <w:tcPr>
            <w:tcW w:w="1467"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(275)</w:t>
            </w:r>
          </w:p>
        </w:tc>
        <w:tc>
          <w:tcPr>
            <w:tcW w:w="2141"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(92 361)</w:t>
            </w:r>
          </w:p>
        </w:tc>
        <w:tc>
          <w:tcPr>
            <w:tcW w:w="1958"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330 336</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lang w:bidi="en-GB"/>
              </w:rPr>
            </w:pP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3</w:t>
            </w: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Fonds européen agricole de garantie (FEAGA)</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371</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40 875</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(7)</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(40 904)</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335</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Fonds européen agricole pour le développement rural (Feader)</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35 517</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13 227</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(239)</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(15 852)</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32 652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Fonds européen pour les affaires maritimes, la pêche et l’aquaculture (Feampa)</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3 341</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946</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(670)</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3 613</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Accords de partenariat dans le domaine de la pêche durable (APPD) et organisations régionales de gestion des pêches (ORGP)</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38</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117</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(111)</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Agences décentralisées</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31</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(31)</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Projets pilotes et actions préparatoires</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10</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8</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Programme pour l’environnement et l’action pour le climat (LIFE)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2 691</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785</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(11)</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(677)</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2 787</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Fonds pour une transition juste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8 765</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1 504</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(1 124)</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9 145</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Facilité de prêt pour le secteur public dans le cadre du mécanisme pour une transition juste (MTJ)</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104</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57</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(67)</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94</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Agences décentralisées</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79</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(79)</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Projets pilotes et actions préparatoires</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15</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14</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Actions financées dans le cadre des prérogatives de la Commission et des compétences spécifiques conférées à la Commission</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16</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35</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(21)</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29</w:t>
            </w:r>
          </w:p>
        </w:tc>
      </w:tr>
      <w:tr>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Total rubrique 3: ressources naturelles et environnement</w:t>
            </w:r>
          </w:p>
        </w:tc>
        <w:tc>
          <w:tcPr>
            <w:tcW w:w="1804"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50 867</w:t>
            </w:r>
          </w:p>
        </w:tc>
        <w:tc>
          <w:tcPr>
            <w:tcW w:w="190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57 658</w:t>
            </w:r>
          </w:p>
        </w:tc>
        <w:tc>
          <w:tcPr>
            <w:tcW w:w="1467"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(263)</w:t>
            </w:r>
          </w:p>
        </w:tc>
        <w:tc>
          <w:tcPr>
            <w:tcW w:w="2141"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(59 544)</w:t>
            </w:r>
          </w:p>
        </w:tc>
        <w:tc>
          <w:tcPr>
            <w:tcW w:w="1958"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48 718</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lang w:bidi="en-GB"/>
              </w:rPr>
            </w:pP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4</w:t>
            </w: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Fonds «Asile, migration et intégration»</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2 862</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1 921</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(1 288)</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3 495</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Agences décentralisées</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13</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192</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(202)</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Fonds pour la gestion intégrée des frontières (FGIF) - instrument relatif à la gestion des frontières et aux visas (IGFV)</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2 215</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1 266</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(910)</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2 572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Fonds pour la gestion intégrée des frontières (FGIF) - instrument de soutien financier relatif aux équipements de contrôle douanier</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305</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(23)</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281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Agences décentralisées</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359</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1 359</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(1 386)</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332</w:t>
            </w:r>
          </w:p>
        </w:tc>
      </w:tr>
      <w:tr>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Total rubrique 4: migration et gestion des frontières</w:t>
            </w:r>
          </w:p>
        </w:tc>
        <w:tc>
          <w:tcPr>
            <w:tcW w:w="1804"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5 754</w:t>
            </w:r>
          </w:p>
        </w:tc>
        <w:tc>
          <w:tcPr>
            <w:tcW w:w="190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4 738</w:t>
            </w:r>
          </w:p>
        </w:tc>
        <w:tc>
          <w:tcPr>
            <w:tcW w:w="1467"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(3 809)</w:t>
            </w:r>
          </w:p>
        </w:tc>
        <w:tc>
          <w:tcPr>
            <w:tcW w:w="1958"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6 683</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lang w:bidi="en-GB"/>
              </w:rPr>
            </w:pP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5</w:t>
            </w: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Fonds pour la sécurité intérieure (FSI)</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636</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338</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(257)</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717</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Déclassement d’installations nucléaires (Lituanie)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331</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75</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(90)</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315</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Sûreté nucléaire et déclassement d’installations (y compris pour la Bulgarie et la Slovaquie)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296</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70</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(60)</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306</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Agences décentralisées</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6</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283</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(281)</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8</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Projets pilotes et actions préparatoires</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 xml:space="preserve">Actions financées dans le cadre des prérogatives de la Commission et des compétences spécifiques conférées à la </w:t>
            </w:r>
            <w:r>
              <w:rPr>
                <w:rFonts w:ascii="Verdana" w:hAnsi="Verdana"/>
                <w:noProof/>
                <w:color w:val="000000"/>
                <w:sz w:val="16"/>
              </w:rPr>
              <w:lastRenderedPageBreak/>
              <w:t>Commission</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lastRenderedPageBreak/>
              <w:t xml:space="preserve"> 22</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23</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(22)</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23</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Fonds européen de la défense (recherche)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788</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400</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(295)</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892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Fonds européen de la défense (hors recherche)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1 458</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1 026</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(562)</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1 920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Mobilité militaire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291</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252</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(136)</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407</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Instrument à court terme pour des acquisitions conjointes dans le domaine de la défense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259</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41</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(63)</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237</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Instrument de renforcement de l’industrie de la défense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343</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(53)</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290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Programme européen d’investissement dans le domaine de la défense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Projets pilotes et actions préparatoires</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Connectivité sécurisée de l’Union</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16</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158</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(51)</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123</w:t>
            </w:r>
          </w:p>
        </w:tc>
      </w:tr>
      <w:tr>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Total rubrique 5: sécurité et défense</w:t>
            </w:r>
          </w:p>
        </w:tc>
        <w:tc>
          <w:tcPr>
            <w:tcW w:w="1804"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4 445</w:t>
            </w:r>
          </w:p>
        </w:tc>
        <w:tc>
          <w:tcPr>
            <w:tcW w:w="190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2 666</w:t>
            </w:r>
          </w:p>
        </w:tc>
        <w:tc>
          <w:tcPr>
            <w:tcW w:w="1467"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w:t>
            </w:r>
          </w:p>
        </w:tc>
        <w:tc>
          <w:tcPr>
            <w:tcW w:w="2141"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(1 872)</w:t>
            </w:r>
          </w:p>
        </w:tc>
        <w:tc>
          <w:tcPr>
            <w:tcW w:w="1958"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5 239</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lang w:bidi="en-GB"/>
              </w:rPr>
            </w:pP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6</w:t>
            </w: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Instrument de voisinage, de coopération au développement et de coopération internationale — L’Europe dans le monde (IVCDCI - L’Europe dans le monde)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32 397</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11 361</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(300)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(9 934)</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33 524</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Instrument européen relatif à la coopération internationale en matière de sûreté nucléaire (ICSN)</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137</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66</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(63)</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139</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Aide humanitaire (HUMA)</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1 127</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2 575</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(11)</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(2 476)</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1 214</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Politique étrangère et de sécurité commune (PESC)</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96</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419</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(13)</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(426)</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76</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Pays et territoires d’outre-mer (PTOM) (y compris le Groenland)</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147</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68</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(61)</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152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AMF+</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153</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570</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(568)</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155</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Mécanisme de coopération pour les prêts à l’Ukraine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1 535</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(1 535)</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Autres actions</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57</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88</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(48)</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98</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Projets pilotes et actions préparatoires</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Connectivité sécurisée de l’Union</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50</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Actions financées dans le cadre des prérogatives de la Commission et des compétences spécifiques conférées à la Commission</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151</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95</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(88)</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155</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Aide de préadhésion (IAP III)</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7 434</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2 223</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(115)</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(1 894)</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7 648</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Facilité pour les réformes et la croissance en faveur des Balkans occidentaux</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399</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596</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(77)</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918</w:t>
            </w:r>
          </w:p>
        </w:tc>
      </w:tr>
      <w:tr>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Total rubrique 6: le voisinage et le monde</w:t>
            </w:r>
          </w:p>
        </w:tc>
        <w:tc>
          <w:tcPr>
            <w:tcW w:w="1804"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42 097</w:t>
            </w:r>
          </w:p>
        </w:tc>
        <w:tc>
          <w:tcPr>
            <w:tcW w:w="190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19 645</w:t>
            </w:r>
          </w:p>
        </w:tc>
        <w:tc>
          <w:tcPr>
            <w:tcW w:w="1467"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(443)</w:t>
            </w:r>
          </w:p>
        </w:tc>
        <w:tc>
          <w:tcPr>
            <w:tcW w:w="2141"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(17 170)</w:t>
            </w:r>
          </w:p>
        </w:tc>
        <w:tc>
          <w:tcPr>
            <w:tcW w:w="1958"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44 129</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lang w:bidi="en-GB"/>
              </w:rPr>
            </w:pP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7</w:t>
            </w: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Pensions du personnel</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3 101</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(3 092)</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9</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(Pensions des anciens membres) Parlement européen</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19</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(19)</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(Pensions des anciens membres) Conseil européen et Conseil</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(Pensions des anciens membres) Commission</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9</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(9)</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(Pensions des anciens membres) Cour de justice de l’Union européenne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17</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(17)</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(Pensions des anciens membres) Cour des comptes</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7</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(7)</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(Pensions des anciens membres) Médiateur européen</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(Pensions des anciens membres) Contrôleur européen de la protection des données</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(Écoles européennes) Commission</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291</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(293)</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Rémunération du personnel statutaire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3 092</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(3 092)</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Rémunération personnel externe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23</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351</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(342)</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Membres – Traitements et indemnités</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20</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(20)</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Membres – Indemnités temporaires</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Frais de recrutement</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33</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(33)</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Cessation de fonctions</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7</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(7)</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Coûts de formation</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12</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21</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(20)</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13</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Social et mobilité</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12</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37</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(36)</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Technologies de l’information et de la communication</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166</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452</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(442)</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173</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Loyers et acquisitions</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31</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458</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(448)</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Dépenses liées aux bâtiments</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49</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134</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(132)</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49</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Sécurité</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32</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87</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(86)</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Missions et représentation</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10</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63</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(57)</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15</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Réunions, comités, conférence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6</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13</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(12)</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6</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Journal officiel</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Publications</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7</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16</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(15)</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7</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Acquisition d’informations</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7</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(6)</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Études et enquêtes</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Équipement général, véhicules, mobilier</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11</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27</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(22)</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15</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Services linguistiques externes</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62</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(62)</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Autres dépenses administratives</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12</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39</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(41)</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Agences décentralisées</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Dépenses administratives des autres institutions</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623</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5 574</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(51)</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(5 441)</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704</w:t>
            </w:r>
          </w:p>
        </w:tc>
      </w:tr>
      <w:tr>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Total rubrique 7: administration publique européenne</w:t>
            </w:r>
          </w:p>
        </w:tc>
        <w:tc>
          <w:tcPr>
            <w:tcW w:w="1804"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1 011</w:t>
            </w:r>
          </w:p>
        </w:tc>
        <w:tc>
          <w:tcPr>
            <w:tcW w:w="190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13 955</w:t>
            </w:r>
          </w:p>
        </w:tc>
        <w:tc>
          <w:tcPr>
            <w:tcW w:w="1467"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(65)</w:t>
            </w:r>
          </w:p>
        </w:tc>
        <w:tc>
          <w:tcPr>
            <w:tcW w:w="2141"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(13 767)</w:t>
            </w:r>
          </w:p>
        </w:tc>
        <w:tc>
          <w:tcPr>
            <w:tcW w:w="1958"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1 134</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lang w:bidi="en-GB"/>
              </w:rPr>
            </w:pP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O</w:t>
            </w: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Fonds pour l’innovation (FI)</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6 643</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1 551</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(405)</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(224)</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7 564</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Facilité pour l’Ukraine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1 250</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4 799</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(2 038)</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4 009</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Autres actions</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6</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59</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(56)</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w:t>
            </w:r>
          </w:p>
        </w:tc>
      </w:tr>
      <w:tr>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Total rubrique O: hors CFP</w:t>
            </w:r>
          </w:p>
        </w:tc>
        <w:tc>
          <w:tcPr>
            <w:tcW w:w="1804"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7 899</w:t>
            </w:r>
          </w:p>
        </w:tc>
        <w:tc>
          <w:tcPr>
            <w:tcW w:w="190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6 409</w:t>
            </w:r>
          </w:p>
        </w:tc>
        <w:tc>
          <w:tcPr>
            <w:tcW w:w="1467"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(410)</w:t>
            </w:r>
          </w:p>
        </w:tc>
        <w:tc>
          <w:tcPr>
            <w:tcW w:w="2141"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(2 319)</w:t>
            </w:r>
          </w:p>
        </w:tc>
        <w:tc>
          <w:tcPr>
            <w:tcW w:w="1958"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11 578</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lang w:bidi="en-GB"/>
              </w:rPr>
            </w:pP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S</w:t>
            </w: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Réserve de solidarité européenne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480</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(480)</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Réserve d’aide d’urgence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Fonds européen d'ajustement à la mondialisation (FEM)</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21</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(21)</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Réserve d’ajustement au Brexit</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53</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564</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(547)</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71</w:t>
            </w:r>
          </w:p>
        </w:tc>
      </w:tr>
      <w:tr>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Total rubrique S: mécanismes de solidarité à l’intérieur et à l’extérieur de l’Union (instruments spéciaux)</w:t>
            </w:r>
          </w:p>
        </w:tc>
        <w:tc>
          <w:tcPr>
            <w:tcW w:w="1804"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53</w:t>
            </w:r>
          </w:p>
        </w:tc>
        <w:tc>
          <w:tcPr>
            <w:tcW w:w="190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1 065</w:t>
            </w:r>
          </w:p>
        </w:tc>
        <w:tc>
          <w:tcPr>
            <w:tcW w:w="1467"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(1 048)</w:t>
            </w:r>
          </w:p>
        </w:tc>
        <w:tc>
          <w:tcPr>
            <w:tcW w:w="1958"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71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lang w:bidi="en-GB"/>
              </w:rPr>
            </w:pPr>
          </w:p>
        </w:tc>
      </w:tr>
      <w:tr>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4Commitmentsoustanding"/>
              <w:rPr>
                <w:rFonts w:ascii="Verdana" w:eastAsia="Verdana" w:hAnsi="Verdana" w:cs="Verdana"/>
                <w:b/>
                <w:noProof/>
                <w:color w:val="000000"/>
                <w:sz w:val="16"/>
              </w:rPr>
            </w:pPr>
          </w:p>
        </w:tc>
        <w:tc>
          <w:tcPr>
            <w:tcW w:w="5076"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4Commitmentsoustanding"/>
              <w:rPr>
                <w:rFonts w:ascii="Verdana" w:eastAsia="Verdana" w:hAnsi="Verdana" w:cs="Verdana"/>
                <w:b/>
                <w:noProof/>
                <w:color w:val="000000"/>
                <w:sz w:val="16"/>
              </w:rPr>
            </w:pPr>
            <w:r>
              <w:rPr>
                <w:rFonts w:ascii="Verdana" w:hAnsi="Verdana"/>
                <w:b/>
                <w:noProof/>
                <w:color w:val="000000"/>
                <w:sz w:val="16"/>
              </w:rPr>
              <w:t>TOTAL</w:t>
            </w:r>
          </w:p>
        </w:tc>
        <w:tc>
          <w:tcPr>
            <w:tcW w:w="1804"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b/>
                <w:noProof/>
                <w:color w:val="000000"/>
                <w:sz w:val="16"/>
              </w:rPr>
            </w:pPr>
            <w:r>
              <w:rPr>
                <w:rFonts w:ascii="Verdana" w:hAnsi="Verdana"/>
                <w:b/>
                <w:noProof/>
                <w:color w:val="000000"/>
                <w:sz w:val="16"/>
              </w:rPr>
              <w:t>507 378</w:t>
            </w:r>
          </w:p>
        </w:tc>
        <w:tc>
          <w:tcPr>
            <w:tcW w:w="190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b/>
                <w:noProof/>
                <w:color w:val="000000"/>
                <w:sz w:val="16"/>
              </w:rPr>
            </w:pPr>
            <w:r>
              <w:rPr>
                <w:rFonts w:ascii="Verdana" w:hAnsi="Verdana"/>
                <w:b/>
                <w:noProof/>
                <w:color w:val="000000"/>
                <w:sz w:val="16"/>
              </w:rPr>
              <w:t>212 116</w:t>
            </w:r>
          </w:p>
        </w:tc>
        <w:tc>
          <w:tcPr>
            <w:tcW w:w="1467"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b/>
                <w:noProof/>
                <w:color w:val="000000"/>
                <w:sz w:val="16"/>
              </w:rPr>
            </w:pPr>
            <w:r>
              <w:rPr>
                <w:rFonts w:ascii="Verdana" w:hAnsi="Verdana"/>
                <w:b/>
                <w:noProof/>
                <w:color w:val="000000"/>
                <w:sz w:val="16"/>
              </w:rPr>
              <w:t>(2 039)</w:t>
            </w:r>
          </w:p>
        </w:tc>
        <w:tc>
          <w:tcPr>
            <w:tcW w:w="2141"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b/>
                <w:noProof/>
                <w:color w:val="000000"/>
                <w:sz w:val="16"/>
              </w:rPr>
            </w:pPr>
            <w:r>
              <w:rPr>
                <w:rFonts w:ascii="Verdana" w:hAnsi="Verdana"/>
                <w:b/>
                <w:noProof/>
                <w:color w:val="000000"/>
                <w:sz w:val="16"/>
              </w:rPr>
              <w:t>(216 371)</w:t>
            </w:r>
          </w:p>
        </w:tc>
        <w:tc>
          <w:tcPr>
            <w:tcW w:w="1958"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b/>
                <w:noProof/>
                <w:color w:val="000000"/>
                <w:sz w:val="16"/>
              </w:rPr>
            </w:pPr>
            <w:r>
              <w:rPr>
                <w:rFonts w:ascii="Verdana" w:hAnsi="Verdana"/>
                <w:b/>
                <w:noProof/>
                <w:color w:val="000000"/>
                <w:sz w:val="16"/>
              </w:rPr>
              <w:t>501 084</w:t>
            </w:r>
          </w:p>
        </w:tc>
      </w:tr>
    </w:tbl>
    <w:p>
      <w:pPr>
        <w:pBdr>
          <w:top w:val="nil"/>
          <w:left w:val="nil"/>
          <w:bottom w:val="nil"/>
          <w:right w:val="nil"/>
          <w:between w:val="nil"/>
          <w:bar w:val="nil"/>
        </w:pBdr>
        <w:rPr>
          <w:rFonts w:ascii="Verdana" w:hAnsi="Verdana"/>
          <w:b/>
          <w:noProof/>
          <w:color w:val="016794"/>
          <w:sz w:val="28"/>
        </w:rPr>
      </w:pPr>
      <w:r>
        <w:rPr>
          <w:noProof/>
        </w:rPr>
        <w:br w:type="page"/>
      </w:r>
    </w:p>
    <w:p>
      <w:pPr>
        <w:pStyle w:val="HEADER2PartBUDG"/>
        <w:rPr>
          <w:noProof/>
        </w:rPr>
      </w:pPr>
      <w:r>
        <w:rPr>
          <w:noProof/>
        </w:rPr>
        <w:lastRenderedPageBreak/>
        <w:t xml:space="preserve"> </w:t>
      </w:r>
      <w:bookmarkStart w:id="313" w:name="_Toc237349643"/>
      <w:r>
        <w:rPr>
          <w:noProof/>
        </w:rPr>
        <w:t>CFP DÉTAILLÉ: ENGAGEMENTS RESTANT À LIQUIDER PAR ANNÉE D’ORIGINE</w:t>
      </w:r>
      <w:bookmarkEnd w:id="313"/>
    </w:p>
    <w:p>
      <w:pPr>
        <w:pStyle w:val="DGTextstand-alone"/>
        <w:spacing w:before="0" w:after="0"/>
      </w:pP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4"/>
        <w:gridCol w:w="4478"/>
        <w:gridCol w:w="965"/>
        <w:gridCol w:w="965"/>
        <w:gridCol w:w="965"/>
        <w:gridCol w:w="965"/>
        <w:gridCol w:w="965"/>
        <w:gridCol w:w="965"/>
        <w:gridCol w:w="965"/>
        <w:gridCol w:w="1061"/>
        <w:gridCol w:w="965"/>
        <w:gridCol w:w="1089"/>
      </w:tblGrid>
      <w:tr>
        <w:trPr>
          <w:trHeight w:val="255"/>
          <w:tblHeader/>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i/>
                <w:noProof/>
                <w:color w:val="000000"/>
                <w:sz w:val="16"/>
              </w:rPr>
            </w:pPr>
            <w:bookmarkStart w:id="314" w:name="DOC_TBL00123_1_1"/>
            <w:bookmarkEnd w:id="314"/>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i/>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i/>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i/>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i/>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i/>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i/>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i/>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i/>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i/>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i/>
                <w:noProof/>
                <w:color w:val="000000"/>
                <w:sz w:val="16"/>
              </w:rPr>
            </w:pP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i/>
                <w:noProof/>
                <w:color w:val="000000"/>
                <w:sz w:val="16"/>
              </w:rPr>
            </w:pPr>
            <w:r>
              <w:rPr>
                <w:rFonts w:ascii="Verdana" w:hAnsi="Verdana"/>
                <w:i/>
                <w:noProof/>
                <w:color w:val="000000"/>
                <w:sz w:val="16"/>
              </w:rPr>
              <w:t>en Mio EUR</w:t>
            </w:r>
          </w:p>
        </w:tc>
      </w:tr>
      <w:tr>
        <w:trPr>
          <w:trHeight w:val="255"/>
          <w:tblHeader/>
        </w:trPr>
        <w:tc>
          <w:tcPr>
            <w:tcW w:w="344"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5RALYoO"/>
              <w:jc w:val="center"/>
              <w:rPr>
                <w:rFonts w:ascii="Verdana" w:eastAsia="Verdana" w:hAnsi="Verdana" w:cs="Verdana"/>
                <w:noProof/>
                <w:color w:val="FFFFFF"/>
                <w:sz w:val="16"/>
              </w:rPr>
            </w:pPr>
          </w:p>
        </w:tc>
        <w:tc>
          <w:tcPr>
            <w:tcW w:w="4478"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5RALYoO"/>
              <w:jc w:val="center"/>
              <w:rPr>
                <w:rFonts w:ascii="Verdana" w:eastAsia="Verdana" w:hAnsi="Verdana" w:cs="Verdana"/>
                <w:noProof/>
                <w:color w:val="FFFFFF"/>
                <w:sz w:val="16"/>
              </w:rPr>
            </w:pPr>
            <w:r>
              <w:rPr>
                <w:rFonts w:ascii="Verdana" w:hAnsi="Verdana"/>
                <w:noProof/>
                <w:color w:val="FFFFFF"/>
                <w:sz w:val="16"/>
              </w:rPr>
              <w:t>Rubrique du CFP</w:t>
            </w:r>
          </w:p>
        </w:tc>
        <w:tc>
          <w:tcPr>
            <w:tcW w:w="965"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5RALYoO"/>
              <w:jc w:val="center"/>
              <w:rPr>
                <w:rFonts w:ascii="Verdana" w:eastAsia="Verdana" w:hAnsi="Verdana" w:cs="Verdana"/>
                <w:noProof/>
                <w:color w:val="FFFFFF"/>
                <w:sz w:val="16"/>
              </w:rPr>
            </w:pPr>
            <w:r>
              <w:rPr>
                <w:rFonts w:ascii="Verdana" w:hAnsi="Verdana"/>
                <w:noProof/>
                <w:color w:val="FFFFFF"/>
                <w:sz w:val="16"/>
              </w:rPr>
              <w:t>&lt;2018</w:t>
            </w:r>
          </w:p>
        </w:tc>
        <w:tc>
          <w:tcPr>
            <w:tcW w:w="965"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5RALYoO"/>
              <w:jc w:val="center"/>
              <w:rPr>
                <w:rFonts w:ascii="Verdana" w:eastAsia="Verdana" w:hAnsi="Verdana" w:cs="Verdana"/>
                <w:noProof/>
                <w:color w:val="FFFFFF"/>
                <w:sz w:val="16"/>
              </w:rPr>
            </w:pPr>
            <w:r>
              <w:rPr>
                <w:rFonts w:ascii="Verdana" w:hAnsi="Verdana"/>
                <w:noProof/>
                <w:color w:val="FFFFFF"/>
                <w:sz w:val="16"/>
              </w:rPr>
              <w:t>2018</w:t>
            </w:r>
          </w:p>
        </w:tc>
        <w:tc>
          <w:tcPr>
            <w:tcW w:w="965"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5RALYoO"/>
              <w:jc w:val="center"/>
              <w:rPr>
                <w:rFonts w:ascii="Verdana" w:eastAsia="Verdana" w:hAnsi="Verdana" w:cs="Verdana"/>
                <w:noProof/>
                <w:color w:val="FFFFFF"/>
                <w:sz w:val="16"/>
              </w:rPr>
            </w:pPr>
            <w:r>
              <w:rPr>
                <w:rFonts w:ascii="Verdana" w:hAnsi="Verdana"/>
                <w:noProof/>
                <w:color w:val="FFFFFF"/>
                <w:sz w:val="16"/>
              </w:rPr>
              <w:t>2019</w:t>
            </w:r>
          </w:p>
        </w:tc>
        <w:tc>
          <w:tcPr>
            <w:tcW w:w="965"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5RALYoO"/>
              <w:jc w:val="center"/>
              <w:rPr>
                <w:rFonts w:ascii="Verdana" w:eastAsia="Verdana" w:hAnsi="Verdana" w:cs="Verdana"/>
                <w:noProof/>
                <w:color w:val="FFFFFF"/>
                <w:sz w:val="16"/>
              </w:rPr>
            </w:pPr>
            <w:r>
              <w:rPr>
                <w:rFonts w:ascii="Verdana" w:hAnsi="Verdana"/>
                <w:noProof/>
                <w:color w:val="FFFFFF"/>
                <w:sz w:val="16"/>
              </w:rPr>
              <w:t>2020</w:t>
            </w:r>
          </w:p>
        </w:tc>
        <w:tc>
          <w:tcPr>
            <w:tcW w:w="965"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5RALYoO"/>
              <w:jc w:val="center"/>
              <w:rPr>
                <w:rFonts w:ascii="Verdana" w:eastAsia="Verdana" w:hAnsi="Verdana" w:cs="Verdana"/>
                <w:noProof/>
                <w:color w:val="FFFFFF"/>
                <w:sz w:val="16"/>
              </w:rPr>
            </w:pPr>
            <w:r>
              <w:rPr>
                <w:rFonts w:ascii="Verdana" w:hAnsi="Verdana"/>
                <w:noProof/>
                <w:color w:val="FFFFFF"/>
                <w:sz w:val="16"/>
              </w:rPr>
              <w:t>2021</w:t>
            </w:r>
          </w:p>
        </w:tc>
        <w:tc>
          <w:tcPr>
            <w:tcW w:w="965"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5RALYoO"/>
              <w:jc w:val="center"/>
              <w:rPr>
                <w:rFonts w:ascii="Verdana" w:eastAsia="Verdana" w:hAnsi="Verdana" w:cs="Verdana"/>
                <w:noProof/>
                <w:color w:val="FFFFFF"/>
                <w:sz w:val="16"/>
              </w:rPr>
            </w:pPr>
            <w:r>
              <w:rPr>
                <w:rFonts w:ascii="Verdana" w:hAnsi="Verdana"/>
                <w:noProof/>
                <w:color w:val="FFFFFF"/>
                <w:sz w:val="16"/>
              </w:rPr>
              <w:t>2022</w:t>
            </w:r>
          </w:p>
        </w:tc>
        <w:tc>
          <w:tcPr>
            <w:tcW w:w="965"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5RALYoO"/>
              <w:jc w:val="center"/>
              <w:rPr>
                <w:rFonts w:ascii="Verdana" w:eastAsia="Verdana" w:hAnsi="Verdana" w:cs="Verdana"/>
                <w:noProof/>
                <w:color w:val="FFFFFF"/>
                <w:sz w:val="16"/>
              </w:rPr>
            </w:pPr>
            <w:r>
              <w:rPr>
                <w:rFonts w:ascii="Verdana" w:hAnsi="Verdana"/>
                <w:noProof/>
                <w:color w:val="FFFFFF"/>
                <w:sz w:val="16"/>
              </w:rPr>
              <w:t>2023</w:t>
            </w:r>
          </w:p>
        </w:tc>
        <w:tc>
          <w:tcPr>
            <w:tcW w:w="1061"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5RALYoO"/>
              <w:jc w:val="center"/>
              <w:rPr>
                <w:rFonts w:ascii="Verdana" w:eastAsia="Verdana" w:hAnsi="Verdana" w:cs="Verdana"/>
                <w:noProof/>
                <w:color w:val="FFFFFF"/>
                <w:sz w:val="16"/>
              </w:rPr>
            </w:pPr>
            <w:r>
              <w:rPr>
                <w:rFonts w:ascii="Verdana" w:hAnsi="Verdana"/>
                <w:noProof/>
                <w:color w:val="FFFFFF"/>
                <w:sz w:val="16"/>
              </w:rPr>
              <w:t>2024</w:t>
            </w:r>
          </w:p>
        </w:tc>
        <w:tc>
          <w:tcPr>
            <w:tcW w:w="965"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5RALYoO"/>
              <w:jc w:val="center"/>
              <w:rPr>
                <w:rFonts w:ascii="Verdana" w:eastAsia="Verdana" w:hAnsi="Verdana" w:cs="Verdana"/>
                <w:noProof/>
                <w:color w:val="FFFFFF"/>
                <w:sz w:val="16"/>
              </w:rPr>
            </w:pPr>
            <w:r>
              <w:rPr>
                <w:rFonts w:ascii="Verdana" w:hAnsi="Verdana"/>
                <w:noProof/>
                <w:color w:val="FFFFFF"/>
                <w:sz w:val="16"/>
              </w:rPr>
              <w:t>2025</w:t>
            </w:r>
          </w:p>
        </w:tc>
        <w:tc>
          <w:tcPr>
            <w:tcW w:w="1089"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5RALYoO"/>
              <w:jc w:val="center"/>
              <w:rPr>
                <w:rFonts w:ascii="Verdana" w:eastAsia="Verdana" w:hAnsi="Verdana" w:cs="Verdana"/>
                <w:noProof/>
                <w:color w:val="FFFFFF"/>
                <w:sz w:val="16"/>
              </w:rPr>
            </w:pPr>
            <w:r>
              <w:rPr>
                <w:rFonts w:ascii="Verdana" w:hAnsi="Verdana"/>
                <w:noProof/>
                <w:color w:val="FFFFFF"/>
                <w:sz w:val="16"/>
              </w:rPr>
              <w:t>Total</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1</w:t>
            </w: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Horizon Europe</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170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233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419</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784</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1 612</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2 406</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3 859</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9 772</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12 750</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32 005</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Programme Euratom de recherche et de formation</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22</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17</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111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149</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330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Réacteur thermonucléaire expérimental international (ITER)</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477</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356</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408</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1 294</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Autres actions</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260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59</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318</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Projets pilotes et actions préparatoires</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11</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16</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10</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Fonds InvestEU</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136</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88</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108</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881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340</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1 500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378</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3 471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Mécanisme pour l’interconnexion en Europe (MIE) - Transports</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87</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370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771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489</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216</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665</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936</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1 644</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5 220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Mécanisme pour l’interconnexion en Europe (MIE) - Énergie</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153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86</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527</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786</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337</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536</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239</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503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921</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4 089</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Mécanisme pour l’interconnexion en Europe (MIE) - Technologie numérique</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79</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131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176</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45</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174</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610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Programme pour une Europe numérique</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216</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256</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307</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686</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940</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2 405</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Agences décentralisées</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36</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36</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Autres actions</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102</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10</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113</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Projets pilotes et actions préparatoires</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8</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6</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Actions financées dans le cadre des prérogatives de la Commission et des compétences spécifiques conférées à la Commission</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19</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35</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Programme du marché unique (y compris PME)</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48</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8</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22</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14</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42</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75</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195</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404</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829</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Programme de l’Union en matière de lutte contre la fraude</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6</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22</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36</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Coopération dans le domaine fiscal (Fiscalis)</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8</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27</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Coopération dans le domaine douanier (Douane)</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15</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25</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157</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203</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Agences décentralisées</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Autres actions</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Projets pilotes et actions préparatoires</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9</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13</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27</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Programme spatial européen</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63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6</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6</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84</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708</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927</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1 795</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Agences décentralisées</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17</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17</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Projets pilotes et actions préparatoires</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45</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56</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Connectivité sécurisée de l’Union</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191</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191</w:t>
            </w:r>
          </w:p>
        </w:tc>
      </w:tr>
      <w:tr>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Total rubrique 1: marché unique, innovation et numérique</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617</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411</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1 430</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2 551</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2 771</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4 555</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6 282</w:t>
            </w:r>
          </w:p>
        </w:tc>
        <w:tc>
          <w:tcPr>
            <w:tcW w:w="1061"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15 261</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19 315</w:t>
            </w:r>
          </w:p>
        </w:tc>
        <w:tc>
          <w:tcPr>
            <w:tcW w:w="1089"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53 194</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lang w:bidi="en-GB"/>
              </w:rPr>
            </w:pP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lastRenderedPageBreak/>
              <w:t>2</w:t>
            </w: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Fonds européen de développement régional (FEDER)</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555</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6</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14</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42</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63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7 780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32 908</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41 050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39 805</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122 222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Fonds de cohésion (FC)</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84</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376</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3 963</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6 038</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7 031</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17 491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Fonds de cohésion (FC), contribution au mécanisme pour l’interconnexion en Europe (MIE) - Transports</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440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209</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481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876</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449</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344</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330</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916</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1 655</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5 700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Projets pilotes et actions préparatoires</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6</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Fonds social européen Plus (FSE+)</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274</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18</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4 669</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14 090</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17 871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17 171</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54 118</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Projets pilotes et actions préparatoires</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Soutien à la communauté chypriote turque</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18</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29</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33</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91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Facilité pour la reprise et la résilience (y compris l’instrument d’appui technique)</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24</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122 407</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75</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122 514</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Protection de l’euro contre le faux-monnayage («programme Pericles IV»)</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Coût du financement de l’instrument de l’Union européenne pour la relance (EURI)</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1 877</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1 878</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Mécanisme de protection civile de l’Union (rescEU)</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94</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17</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52</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55</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669</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180</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1 066</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EU4Health</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83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220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328</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376</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544</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1 559</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Instrument pour le soutien d'urgence au sein de l'Union (ESI)</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9</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15</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24</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Agences décentralisées</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16</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19</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12</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61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Projets pilotes et actions préparatoires</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Actions financées dans le cadre des prérogatives de la Commission et des compétences spécifiques conférées à la Commission</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10</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Emploi et innovation sociale</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8</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9</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9</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12</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28</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47</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95</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212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Erasmus+</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185</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229</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440</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550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783</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2 191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Corps européen de solidarité (CES)</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17</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9</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12</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28</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40</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106</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Europe créative</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25</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53</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89</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206</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381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Justice</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22</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Droits et valeurs</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55</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83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165</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334</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Agences décentralisées</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19</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8</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12</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56</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Autres actions</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8</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13</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Projets pilotes et actions préparatoires</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6</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16</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17</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43</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Actions financées dans le cadre des prérogatives de la Commission et des compétences spécifiques conférées à la Commission</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6</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12</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127</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203</w:t>
            </w:r>
          </w:p>
        </w:tc>
      </w:tr>
      <w:tr>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Total rubrique 2: cohésion, résilience et valeurs</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1 368</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225</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538</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1 061</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878</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13 776</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52 352</w:t>
            </w:r>
          </w:p>
        </w:tc>
        <w:tc>
          <w:tcPr>
            <w:tcW w:w="1061"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190 270</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69 869</w:t>
            </w:r>
          </w:p>
        </w:tc>
        <w:tc>
          <w:tcPr>
            <w:tcW w:w="1089"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330 336</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lang w:bidi="en-GB"/>
              </w:rPr>
            </w:pP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3</w:t>
            </w: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Fonds européen agricole de garantie (FEAGA)</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8</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9</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18</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47</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99</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105</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335</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 xml:space="preserve">Fonds européen agricole pour le développement rural </w:t>
            </w:r>
            <w:r>
              <w:rPr>
                <w:rFonts w:ascii="Verdana" w:hAnsi="Verdana"/>
                <w:noProof/>
                <w:color w:val="000000"/>
                <w:sz w:val="16"/>
              </w:rPr>
              <w:lastRenderedPageBreak/>
              <w:t>(Feader)</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lastRenderedPageBreak/>
              <w:t>2 378</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747</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758</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761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900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936</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12 947</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13 218</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32 652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Fonds européen pour les affaires maritimes, la pêche et l’aquaculture (Feampa)</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48</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17</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293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1 001</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1 320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930</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3 613</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Accords de partenariat dans le domaine de la pêche durable (APPD) et organisations régionales de gestion des pêches (ORGP)</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30</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Agences décentralisées</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Projets pilotes et actions préparatoires</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8</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Programme pour l’environnement et l’action pour le climat (LIFE)</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80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153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128</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149</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244</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337</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445</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508</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744</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2 787</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Fonds pour une transition juste</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1 299</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1 442</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4 900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1 503</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9 145</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Facilité de prêt pour le secteur public dans le cadre du mécanisme pour une transition juste (MTJ)</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89</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94</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Projets pilotes et actions préparatoires</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6</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14</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Actions financées dans le cadre des prérogatives de la Commission et des compétences spécifiques conférées à la Commission</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25</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29</w:t>
            </w:r>
          </w:p>
        </w:tc>
      </w:tr>
      <w:tr>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Total rubrique 3: ressources naturelles et environnement</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2 507</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907</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896</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946</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275</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2 859</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3 882</w:t>
            </w:r>
          </w:p>
        </w:tc>
        <w:tc>
          <w:tcPr>
            <w:tcW w:w="1061"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19 889</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16 558</w:t>
            </w:r>
          </w:p>
        </w:tc>
        <w:tc>
          <w:tcPr>
            <w:tcW w:w="1089"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48 718</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lang w:bidi="en-GB"/>
              </w:rPr>
            </w:pP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4</w:t>
            </w: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Fonds «Asile, migration et intégration»</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54</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37</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57</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346</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261</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861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1 852</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3 495</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Agences décentralisées</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Fonds pour la gestion intégrée des frontières (FGIF) - instrument relatif à la gestion des frontières et aux visas (IGFV)</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18</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9</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39</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207</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284</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823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1 166</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2 572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Fonds pour la gestion intégrée des frontières (FGIF) - instrument de soutien financier relatif aux équipements de contrôle douanier</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63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63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70</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85</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281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Agences décentralisées</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64</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151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117</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332</w:t>
            </w:r>
          </w:p>
        </w:tc>
      </w:tr>
      <w:tr>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Total rubrique 4: migration et gestion des frontières</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72</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47</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97</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553</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69</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110</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679</w:t>
            </w:r>
          </w:p>
        </w:tc>
        <w:tc>
          <w:tcPr>
            <w:tcW w:w="1061"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1 920</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3 138</w:t>
            </w:r>
          </w:p>
        </w:tc>
        <w:tc>
          <w:tcPr>
            <w:tcW w:w="1089"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6 683</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lang w:bidi="en-GB"/>
              </w:rPr>
            </w:pP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5</w:t>
            </w: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Fonds pour la sécurité intérieure (FSI)</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17</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14</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48</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65</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198</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325</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717</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Déclassement d’installations nucléaires (Lituanie)</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27</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99</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41</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67</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75</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315</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Sûreté nucléaire et déclassement d’installations (y compris pour la Bulgarie et la Slovaquie)</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8</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39</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44</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66</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36</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16</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54</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306</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Agences décentralisées</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8</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Projets pilotes et actions préparatoires</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Actions financées dans le cadre des prérogatives de la Commission et des compétences spécifiques conférées à la Commission</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14</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23</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Fonds européen de la défense (recherche)</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74</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97</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172</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182</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368</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892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Fonds européen de la défense (hors recherche)</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12</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152</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172</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299</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410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868</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1 920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Mobilité militaire</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67</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8</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31</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83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218</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407</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Instrument à court terme pour des acquisitions conjointes dans le domaine de la défense</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198</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39</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237</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Instrument de renforcement de l’industrie de la défense</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99</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191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290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Projets pilotes et actions préparatoires</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Connectivité sécurisée de l’Union</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123</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123</w:t>
            </w:r>
          </w:p>
        </w:tc>
      </w:tr>
      <w:tr>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Total rubrique 5: sécurité et défense</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27</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55</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78</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125</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364</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410</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725</w:t>
            </w:r>
          </w:p>
        </w:tc>
        <w:tc>
          <w:tcPr>
            <w:tcW w:w="1061"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1 367</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2 089</w:t>
            </w:r>
          </w:p>
        </w:tc>
        <w:tc>
          <w:tcPr>
            <w:tcW w:w="1089"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5 239</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lang w:bidi="en-GB"/>
              </w:rPr>
            </w:pP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6</w:t>
            </w: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Instrument de voisinage, de coopération au développement et de coopération internationale — L’Europe dans le monde (IVCDCI - L’Europe dans le monde)</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796</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635</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712</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936</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2 106</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5 084</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6 054</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8 096</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9 106</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33 524</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Instrument européen relatif à la coopération internationale en matière de sûreté nucléaire (ICSN)</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9</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12</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26</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38</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139</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Aide humanitaire (HUMA)</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148</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361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642</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1 214</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Politique étrangère et de sécurité commune (PESC)</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6</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14</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48</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76</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Pays et territoires d’outre-mer (PTOM) (y compris le Groenland)</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28</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42</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39</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40</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152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AMF+</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155</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155</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Autres actions</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32</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65</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98</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Projets pilotes et actions préparatoires</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Connectivité sécurisée de l’Union</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50</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Actions financées dans le cadre des prérogatives de la Commission et des compétences spécifiques conférées à la Commission</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29</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46</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63</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155</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Aide de préadhésion (IAP III)</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235</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305</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330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421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767</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1 201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1 011</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1 542</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1 836</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7 648</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Facilité pour les réformes et la croissance en faveur des Balkans occidentaux</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426</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492</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918</w:t>
            </w:r>
          </w:p>
        </w:tc>
      </w:tr>
      <w:tr>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Total rubrique 6: le voisinage et le monde</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1 032</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943</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1 047</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1 370</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2 908</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6 392</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7 312</w:t>
            </w:r>
          </w:p>
        </w:tc>
        <w:tc>
          <w:tcPr>
            <w:tcW w:w="1061"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10 589</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12 534</w:t>
            </w:r>
          </w:p>
        </w:tc>
        <w:tc>
          <w:tcPr>
            <w:tcW w:w="1089"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44 129</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lang w:bidi="en-GB"/>
              </w:rPr>
            </w:pP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7</w:t>
            </w: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Pensions du personnel</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9</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9</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(Écoles européennes) Commission</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Rémunération du personnel statutaire</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Rémunération personnel externe</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31</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Membres – Traitements et indemnités</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Membres – Indemnités temporaires</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Frais de recrutement</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Cessation de fonctions</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Coûts de formation</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11</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13</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Social et mobilité</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Technologies de l’information et de la communication</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152</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173</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Loyers et acquisitions</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6</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35</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Dépenses liées aux bâtiments</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8</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41</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49</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Sécurité</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28</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Missions et représentation</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13</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15</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Réunions, comités, conférence</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6</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Journal officiel</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Publications</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Acquisition d’informations</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Études et enquêtes</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Équipement général, véhicules, mobilier</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15</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15</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Services linguistiques externes</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Autres dépenses administratives</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8</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Dépenses administratives des autres institutions</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704</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704</w:t>
            </w:r>
          </w:p>
        </w:tc>
      </w:tr>
      <w:tr>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Total rubrique 7: administration publique européenne</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1061"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51</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1 083</w:t>
            </w:r>
          </w:p>
        </w:tc>
        <w:tc>
          <w:tcPr>
            <w:tcW w:w="1089"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1 134</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lang w:bidi="en-GB"/>
              </w:rPr>
            </w:pP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O</w:t>
            </w: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Fonds pour l’innovation (FI)</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7 563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7 564</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Facilité pour l’Ukraine</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724</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3 286</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4 009</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Autres actions</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w:t>
            </w:r>
          </w:p>
        </w:tc>
      </w:tr>
      <w:tr>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Total rubrique O: hors CFP</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8 287</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3 291</w:t>
            </w:r>
          </w:p>
        </w:tc>
        <w:tc>
          <w:tcPr>
            <w:tcW w:w="1089"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11 578</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lang w:bidi="en-GB"/>
              </w:rPr>
            </w:pP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S</w:t>
            </w: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Fonds européen d’ajustement à la mondialisation (FEM)</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Réserve d’ajustement au Brexit</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71</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71</w:t>
            </w:r>
          </w:p>
        </w:tc>
      </w:tr>
      <w:tr>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Total rubrique S: mécanismes de solidarité à l’intérieur et à l’extérieur de l’Union (instruments spéciaux)</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1061"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71</w:t>
            </w:r>
          </w:p>
        </w:tc>
        <w:tc>
          <w:tcPr>
            <w:tcW w:w="1089"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lang w:bidi="en-GB"/>
              </w:rPr>
            </w:pPr>
          </w:p>
        </w:tc>
      </w:tr>
      <w:tr>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5RALYoO"/>
              <w:rPr>
                <w:rFonts w:ascii="Verdana" w:eastAsia="Verdana" w:hAnsi="Verdana" w:cs="Verdana"/>
                <w:b/>
                <w:noProof/>
                <w:color w:val="000000"/>
                <w:sz w:val="16"/>
              </w:rPr>
            </w:pPr>
          </w:p>
        </w:tc>
        <w:tc>
          <w:tcPr>
            <w:tcW w:w="4478"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5RALYoO"/>
              <w:rPr>
                <w:rFonts w:ascii="Verdana" w:eastAsia="Verdana" w:hAnsi="Verdana" w:cs="Verdana"/>
                <w:b/>
                <w:noProof/>
                <w:color w:val="000000"/>
                <w:sz w:val="16"/>
              </w:rPr>
            </w:pPr>
            <w:r>
              <w:rPr>
                <w:rFonts w:ascii="Verdana" w:hAnsi="Verdana"/>
                <w:b/>
                <w:noProof/>
                <w:color w:val="000000"/>
                <w:sz w:val="16"/>
              </w:rPr>
              <w:t>Total</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b/>
                <w:noProof/>
                <w:color w:val="000000"/>
                <w:sz w:val="16"/>
              </w:rPr>
            </w:pPr>
            <w:r>
              <w:rPr>
                <w:rFonts w:ascii="Verdana" w:hAnsi="Verdana"/>
                <w:b/>
                <w:noProof/>
                <w:color w:val="000000"/>
                <w:sz w:val="16"/>
              </w:rPr>
              <w:t>5 623</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b/>
                <w:noProof/>
                <w:color w:val="000000"/>
                <w:sz w:val="16"/>
              </w:rPr>
            </w:pPr>
            <w:r>
              <w:rPr>
                <w:rFonts w:ascii="Verdana" w:hAnsi="Verdana"/>
                <w:b/>
                <w:noProof/>
                <w:color w:val="000000"/>
                <w:sz w:val="16"/>
              </w:rPr>
              <w:t>2 588</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b/>
                <w:noProof/>
                <w:color w:val="000000"/>
                <w:sz w:val="16"/>
              </w:rPr>
            </w:pPr>
            <w:r>
              <w:rPr>
                <w:rFonts w:ascii="Verdana" w:hAnsi="Verdana"/>
                <w:b/>
                <w:noProof/>
                <w:color w:val="000000"/>
                <w:sz w:val="16"/>
              </w:rPr>
              <w:t>4 086</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b/>
                <w:noProof/>
                <w:color w:val="000000"/>
                <w:sz w:val="16"/>
              </w:rPr>
            </w:pPr>
            <w:r>
              <w:rPr>
                <w:rFonts w:ascii="Verdana" w:hAnsi="Verdana"/>
                <w:b/>
                <w:noProof/>
                <w:color w:val="000000"/>
                <w:sz w:val="16"/>
              </w:rPr>
              <w:t>6 605</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b/>
                <w:noProof/>
                <w:color w:val="000000"/>
                <w:sz w:val="16"/>
              </w:rPr>
            </w:pPr>
            <w:r>
              <w:rPr>
                <w:rFonts w:ascii="Verdana" w:hAnsi="Verdana"/>
                <w:b/>
                <w:noProof/>
                <w:color w:val="000000"/>
                <w:sz w:val="16"/>
              </w:rPr>
              <w:t>7 265</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b/>
                <w:noProof/>
                <w:color w:val="000000"/>
                <w:sz w:val="16"/>
              </w:rPr>
            </w:pPr>
            <w:r>
              <w:rPr>
                <w:rFonts w:ascii="Verdana" w:hAnsi="Verdana"/>
                <w:b/>
                <w:noProof/>
                <w:color w:val="000000"/>
                <w:sz w:val="16"/>
              </w:rPr>
              <w:t>28 101</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b/>
                <w:noProof/>
                <w:color w:val="000000"/>
                <w:sz w:val="16"/>
              </w:rPr>
            </w:pPr>
            <w:r>
              <w:rPr>
                <w:rFonts w:ascii="Verdana" w:hAnsi="Verdana"/>
                <w:b/>
                <w:noProof/>
                <w:color w:val="000000"/>
                <w:sz w:val="16"/>
              </w:rPr>
              <w:t>71 232</w:t>
            </w:r>
          </w:p>
        </w:tc>
        <w:tc>
          <w:tcPr>
            <w:tcW w:w="1061"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b/>
                <w:noProof/>
                <w:color w:val="000000"/>
                <w:sz w:val="16"/>
              </w:rPr>
            </w:pPr>
            <w:r>
              <w:rPr>
                <w:rFonts w:ascii="Verdana" w:hAnsi="Verdana"/>
                <w:b/>
                <w:noProof/>
                <w:color w:val="000000"/>
                <w:sz w:val="16"/>
              </w:rPr>
              <w:t>247 636</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b/>
                <w:noProof/>
                <w:color w:val="000000"/>
                <w:sz w:val="16"/>
              </w:rPr>
            </w:pPr>
            <w:r>
              <w:rPr>
                <w:rFonts w:ascii="Verdana" w:hAnsi="Verdana"/>
                <w:b/>
                <w:noProof/>
                <w:color w:val="000000"/>
                <w:sz w:val="16"/>
              </w:rPr>
              <w:t>127 948</w:t>
            </w:r>
          </w:p>
        </w:tc>
        <w:tc>
          <w:tcPr>
            <w:tcW w:w="1089"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b/>
                <w:noProof/>
                <w:color w:val="000000"/>
                <w:sz w:val="16"/>
              </w:rPr>
            </w:pPr>
            <w:r>
              <w:rPr>
                <w:rFonts w:ascii="Verdana" w:hAnsi="Verdana"/>
                <w:b/>
                <w:noProof/>
                <w:color w:val="000000"/>
                <w:sz w:val="16"/>
              </w:rPr>
              <w:t>501 084</w:t>
            </w:r>
          </w:p>
        </w:tc>
      </w:tr>
      <w:bookmarkEnd w:id="293"/>
    </w:tbl>
    <w:p>
      <w:pPr>
        <w:pStyle w:val="DGTextstand-alone"/>
        <w:spacing w:before="0" w:after="0"/>
        <w:rPr>
          <w:lang w:bidi="en-GB"/>
        </w:rPr>
        <w:sectPr>
          <w:headerReference w:type="default" r:id="rId177"/>
          <w:footerReference w:type="default" r:id="rId178"/>
          <w:type w:val="nextColumn"/>
          <w:pgSz w:w="16840" w:h="11900" w:orient="landscape"/>
          <w:pgMar w:top="1134" w:right="1134" w:bottom="1134" w:left="1134" w:header="720" w:footer="720" w:gutter="0"/>
          <w:cols w:space="720"/>
          <w:docGrid w:linePitch="272"/>
        </w:sectPr>
      </w:pPr>
    </w:p>
    <w:p>
      <w:pPr>
        <w:pStyle w:val="HEADER1PartBUDG"/>
        <w:rPr>
          <w:noProof/>
        </w:rPr>
      </w:pPr>
      <w:bookmarkStart w:id="315" w:name="_DMBM_36793"/>
      <w:r>
        <w:rPr>
          <w:noProof/>
        </w:rPr>
        <w:lastRenderedPageBreak/>
        <w:t xml:space="preserve"> </w:t>
      </w:r>
      <w:bookmarkStart w:id="316" w:name="_Toc237349644"/>
      <w:r>
        <w:rPr>
          <w:noProof/>
        </w:rPr>
        <w:t>EXÉCUTION DU BUDGET PAR INSTITUTION</w:t>
      </w:r>
      <w:bookmarkEnd w:id="316"/>
    </w:p>
    <w:p>
      <w:pPr>
        <w:pStyle w:val="HEADER2PartBUDG"/>
        <w:rPr>
          <w:noProof/>
        </w:rPr>
      </w:pPr>
      <w:bookmarkStart w:id="317" w:name="_Toc237349645"/>
      <w:r>
        <w:rPr>
          <w:noProof/>
        </w:rPr>
        <w:t>EXÉCUTION DU BUDGET EN RECETTES</w:t>
      </w:r>
      <w:bookmarkEnd w:id="317"/>
      <w:r>
        <w:rPr>
          <w:noProof/>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07"/>
        <w:gridCol w:w="723"/>
        <w:gridCol w:w="564"/>
        <w:gridCol w:w="564"/>
        <w:gridCol w:w="520"/>
        <w:gridCol w:w="564"/>
        <w:gridCol w:w="646"/>
        <w:gridCol w:w="520"/>
        <w:gridCol w:w="646"/>
        <w:gridCol w:w="4175"/>
        <w:gridCol w:w="3563"/>
      </w:tblGrid>
      <w:tr>
        <w:trPr>
          <w:trHeight w:val="255"/>
        </w:trPr>
        <w:tc>
          <w:tcPr>
            <w:tcW w:w="2207" w:type="dxa"/>
            <w:tcBorders>
              <w:top w:val="nil"/>
              <w:left w:val="nil"/>
              <w:bottom w:val="nil"/>
              <w:right w:val="nil"/>
              <w:tl2br w:val="nil"/>
              <w:tr2bl w:val="nil"/>
            </w:tcBorders>
            <w:tcMar>
              <w:left w:w="60" w:type="dxa"/>
              <w:right w:w="60" w:type="dxa"/>
            </w:tcMar>
            <w:vAlign w:val="center"/>
          </w:tcPr>
          <w:p>
            <w:pPr>
              <w:pStyle w:val="DMETW36778BIPInstitutions1Revenue"/>
              <w:rPr>
                <w:rFonts w:ascii="Verdana" w:eastAsia="Verdana" w:hAnsi="Verdana" w:cs="Verdana"/>
                <w:b/>
                <w:noProof/>
                <w:color w:val="FFFFFF"/>
                <w:sz w:val="16"/>
                <w:lang w:bidi="en-GB"/>
              </w:rPr>
            </w:pPr>
          </w:p>
        </w:tc>
        <w:tc>
          <w:tcPr>
            <w:tcW w:w="1287" w:type="dxa"/>
            <w:gridSpan w:val="2"/>
            <w:tcBorders>
              <w:top w:val="nil"/>
              <w:left w:val="nil"/>
              <w:bottom w:val="nil"/>
              <w:right w:val="nil"/>
              <w:tl2br w:val="nil"/>
              <w:tr2bl w:val="nil"/>
            </w:tcBorders>
            <w:tcMar>
              <w:left w:w="60" w:type="dxa"/>
              <w:right w:w="60" w:type="dxa"/>
            </w:tcMar>
            <w:vAlign w:val="center"/>
          </w:tcPr>
          <w:p>
            <w:pPr>
              <w:pStyle w:val="DMETW36778BIPInstitutions1Revenue"/>
              <w:jc w:val="center"/>
              <w:rPr>
                <w:rFonts w:ascii="Verdana" w:eastAsia="Verdana" w:hAnsi="Verdana" w:cs="Verdana"/>
                <w:b/>
                <w:noProof/>
                <w:color w:val="FFFFFF"/>
                <w:sz w:val="16"/>
              </w:rPr>
            </w:pPr>
          </w:p>
        </w:tc>
        <w:tc>
          <w:tcPr>
            <w:tcW w:w="1648" w:type="dxa"/>
            <w:gridSpan w:val="3"/>
            <w:tcBorders>
              <w:top w:val="nil"/>
              <w:left w:val="nil"/>
              <w:bottom w:val="nil"/>
              <w:right w:val="nil"/>
              <w:tl2br w:val="nil"/>
              <w:tr2bl w:val="nil"/>
            </w:tcBorders>
            <w:tcMar>
              <w:left w:w="60" w:type="dxa"/>
              <w:right w:w="60" w:type="dxa"/>
            </w:tcMar>
            <w:vAlign w:val="center"/>
          </w:tcPr>
          <w:p>
            <w:pPr>
              <w:pStyle w:val="DMETW36778BIPInstitutions1Revenue"/>
              <w:jc w:val="center"/>
              <w:rPr>
                <w:rFonts w:ascii="Verdana" w:eastAsia="Verdana" w:hAnsi="Verdana" w:cs="Verdana"/>
                <w:b/>
                <w:noProof/>
                <w:color w:val="FFFFFF"/>
                <w:sz w:val="16"/>
              </w:rPr>
            </w:pPr>
          </w:p>
        </w:tc>
        <w:tc>
          <w:tcPr>
            <w:tcW w:w="1812" w:type="dxa"/>
            <w:gridSpan w:val="3"/>
            <w:tcBorders>
              <w:top w:val="nil"/>
              <w:left w:val="nil"/>
              <w:bottom w:val="nil"/>
              <w:right w:val="nil"/>
              <w:tl2br w:val="nil"/>
              <w:tr2bl w:val="nil"/>
            </w:tcBorders>
            <w:tcMar>
              <w:left w:w="60" w:type="dxa"/>
              <w:right w:w="60" w:type="dxa"/>
            </w:tcMar>
            <w:vAlign w:val="center"/>
          </w:tcPr>
          <w:p>
            <w:pPr>
              <w:pStyle w:val="DMETW36778BIPInstitutions1Revenue"/>
              <w:jc w:val="center"/>
              <w:rPr>
                <w:rFonts w:ascii="Verdana" w:eastAsia="Verdana" w:hAnsi="Verdana" w:cs="Verdana"/>
                <w:b/>
                <w:noProof/>
                <w:color w:val="FFFFFF"/>
                <w:sz w:val="16"/>
              </w:rPr>
            </w:pPr>
          </w:p>
        </w:tc>
        <w:tc>
          <w:tcPr>
            <w:tcW w:w="4175" w:type="dxa"/>
            <w:tcBorders>
              <w:top w:val="nil"/>
              <w:left w:val="nil"/>
              <w:bottom w:val="nil"/>
              <w:right w:val="nil"/>
              <w:tl2br w:val="nil"/>
              <w:tr2bl w:val="nil"/>
            </w:tcBorders>
            <w:tcMar>
              <w:left w:w="60" w:type="dxa"/>
              <w:right w:w="60" w:type="dxa"/>
            </w:tcMar>
            <w:vAlign w:val="center"/>
          </w:tcPr>
          <w:p>
            <w:pPr>
              <w:pStyle w:val="DMETW36778BIPInstitutions1Revenue"/>
              <w:jc w:val="center"/>
              <w:rPr>
                <w:rFonts w:ascii="Verdana" w:eastAsia="Verdana" w:hAnsi="Verdana" w:cs="Verdana"/>
                <w:b/>
                <w:noProof/>
                <w:color w:val="FFFFFF"/>
                <w:sz w:val="16"/>
              </w:rPr>
            </w:pPr>
          </w:p>
        </w:tc>
        <w:tc>
          <w:tcPr>
            <w:tcW w:w="3563"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b/>
                <w:noProof/>
                <w:color w:val="FFFFFF"/>
                <w:sz w:val="16"/>
              </w:rPr>
            </w:pPr>
            <w:r>
              <w:rPr>
                <w:rFonts w:ascii="Verdana" w:hAnsi="Verdana"/>
                <w:i/>
                <w:noProof/>
                <w:color w:val="000000" w:themeColor="text1"/>
                <w:sz w:val="16"/>
              </w:rPr>
              <w:t>en Mio EUR</w:t>
            </w:r>
          </w:p>
        </w:tc>
      </w:tr>
      <w:tr>
        <w:trPr>
          <w:trHeight w:val="255"/>
        </w:trPr>
        <w:tc>
          <w:tcPr>
            <w:tcW w:w="2207"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1Revenue"/>
              <w:rPr>
                <w:rFonts w:ascii="Verdana" w:eastAsia="Verdana" w:hAnsi="Verdana" w:cs="Verdana"/>
                <w:b/>
                <w:noProof/>
                <w:color w:val="FFFFFF"/>
                <w:sz w:val="16"/>
              </w:rPr>
            </w:pPr>
            <w:bookmarkStart w:id="318" w:name="DOC_TBL00124_1_1"/>
            <w:bookmarkEnd w:id="318"/>
          </w:p>
        </w:tc>
        <w:tc>
          <w:tcPr>
            <w:tcW w:w="1287" w:type="dxa"/>
            <w:gridSpan w:val="2"/>
            <w:tcBorders>
              <w:top w:val="nil"/>
              <w:left w:val="nil"/>
              <w:bottom w:val="nil"/>
              <w:right w:val="nil"/>
              <w:tl2br w:val="nil"/>
              <w:tr2bl w:val="nil"/>
            </w:tcBorders>
            <w:shd w:val="solid" w:color="016794" w:fill="FFFFFF"/>
            <w:tcMar>
              <w:left w:w="60" w:type="dxa"/>
              <w:right w:w="60" w:type="dxa"/>
            </w:tcMar>
            <w:vAlign w:val="center"/>
          </w:tcPr>
          <w:p>
            <w:pPr>
              <w:pStyle w:val="DMETW36778BIPInstitutions1Revenue"/>
              <w:jc w:val="center"/>
              <w:rPr>
                <w:rFonts w:ascii="Verdana" w:eastAsia="Verdana" w:hAnsi="Verdana" w:cs="Verdana"/>
                <w:b/>
                <w:noProof/>
                <w:color w:val="FFFFFF"/>
                <w:sz w:val="16"/>
              </w:rPr>
            </w:pPr>
            <w:r>
              <w:rPr>
                <w:rFonts w:ascii="Verdana" w:hAnsi="Verdana"/>
                <w:b/>
                <w:noProof/>
                <w:color w:val="FFFFFF"/>
                <w:sz w:val="16"/>
              </w:rPr>
              <w:t>Budget recettes</w:t>
            </w:r>
          </w:p>
        </w:tc>
        <w:tc>
          <w:tcPr>
            <w:tcW w:w="1648" w:type="dxa"/>
            <w:gridSpan w:val="3"/>
            <w:tcBorders>
              <w:top w:val="nil"/>
              <w:left w:val="nil"/>
              <w:bottom w:val="nil"/>
              <w:right w:val="nil"/>
              <w:tl2br w:val="nil"/>
              <w:tr2bl w:val="nil"/>
            </w:tcBorders>
            <w:shd w:val="solid" w:color="016794" w:fill="FFFFFF"/>
            <w:tcMar>
              <w:left w:w="60" w:type="dxa"/>
              <w:right w:w="60" w:type="dxa"/>
            </w:tcMar>
            <w:vAlign w:val="center"/>
          </w:tcPr>
          <w:p>
            <w:pPr>
              <w:pStyle w:val="DMETW36778BIPInstitutions1Revenue"/>
              <w:jc w:val="center"/>
              <w:rPr>
                <w:rFonts w:ascii="Verdana" w:eastAsia="Verdana" w:hAnsi="Verdana" w:cs="Verdana"/>
                <w:b/>
                <w:noProof/>
                <w:color w:val="FFFFFF"/>
                <w:sz w:val="16"/>
              </w:rPr>
            </w:pPr>
            <w:r>
              <w:rPr>
                <w:rFonts w:ascii="Verdana" w:hAnsi="Verdana"/>
                <w:b/>
                <w:noProof/>
                <w:color w:val="FFFFFF"/>
                <w:sz w:val="16"/>
              </w:rPr>
              <w:t>Droits constatés</w:t>
            </w:r>
          </w:p>
        </w:tc>
        <w:tc>
          <w:tcPr>
            <w:tcW w:w="1812" w:type="dxa"/>
            <w:gridSpan w:val="3"/>
            <w:tcBorders>
              <w:top w:val="nil"/>
              <w:left w:val="nil"/>
              <w:bottom w:val="nil"/>
              <w:right w:val="nil"/>
              <w:tl2br w:val="nil"/>
              <w:tr2bl w:val="nil"/>
            </w:tcBorders>
            <w:shd w:val="solid" w:color="016794" w:fill="FFFFFF"/>
            <w:tcMar>
              <w:left w:w="60" w:type="dxa"/>
              <w:right w:w="60" w:type="dxa"/>
            </w:tcMar>
            <w:vAlign w:val="center"/>
          </w:tcPr>
          <w:p>
            <w:pPr>
              <w:pStyle w:val="DMETW36778BIPInstitutions1Revenue"/>
              <w:jc w:val="center"/>
              <w:rPr>
                <w:rFonts w:ascii="Verdana" w:eastAsia="Verdana" w:hAnsi="Verdana" w:cs="Verdana"/>
                <w:b/>
                <w:noProof/>
                <w:color w:val="FFFFFF"/>
                <w:sz w:val="16"/>
              </w:rPr>
            </w:pPr>
            <w:r>
              <w:rPr>
                <w:rFonts w:ascii="Verdana" w:hAnsi="Verdana"/>
                <w:b/>
                <w:noProof/>
                <w:color w:val="FFFFFF"/>
                <w:sz w:val="16"/>
              </w:rPr>
              <w:t>Recettes</w:t>
            </w:r>
          </w:p>
        </w:tc>
        <w:tc>
          <w:tcPr>
            <w:tcW w:w="4175"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778BIPInstitutions1Revenue"/>
              <w:jc w:val="center"/>
              <w:rPr>
                <w:rFonts w:ascii="Verdana" w:eastAsia="Verdana" w:hAnsi="Verdana" w:cs="Verdana"/>
                <w:b/>
                <w:noProof/>
                <w:color w:val="FFFFFF"/>
                <w:sz w:val="16"/>
              </w:rPr>
            </w:pPr>
            <w:r>
              <w:rPr>
                <w:rFonts w:ascii="Verdana" w:hAnsi="Verdana"/>
                <w:b/>
                <w:noProof/>
                <w:color w:val="FFFFFF"/>
                <w:sz w:val="16"/>
              </w:rPr>
              <w:t>Recettes en % du budget</w:t>
            </w:r>
          </w:p>
        </w:tc>
        <w:tc>
          <w:tcPr>
            <w:tcW w:w="3563"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778BIPInstitutions1Revenue"/>
              <w:jc w:val="center"/>
              <w:rPr>
                <w:rFonts w:ascii="Verdana" w:eastAsia="Verdana" w:hAnsi="Verdana" w:cs="Verdana"/>
                <w:b/>
                <w:noProof/>
                <w:color w:val="FFFFFF"/>
                <w:sz w:val="16"/>
              </w:rPr>
            </w:pPr>
            <w:r>
              <w:rPr>
                <w:rFonts w:ascii="Verdana" w:hAnsi="Verdana"/>
                <w:b/>
                <w:noProof/>
                <w:color w:val="FFFFFF"/>
                <w:sz w:val="16"/>
              </w:rPr>
              <w:t>Reste à</w:t>
            </w:r>
          </w:p>
          <w:p>
            <w:pPr>
              <w:pStyle w:val="DMETW36778BIPInstitutions1Revenue"/>
              <w:jc w:val="center"/>
              <w:rPr>
                <w:rFonts w:ascii="Verdana" w:eastAsia="Verdana" w:hAnsi="Verdana" w:cs="Verdana"/>
                <w:b/>
                <w:noProof/>
                <w:color w:val="FFFFFF"/>
                <w:sz w:val="16"/>
              </w:rPr>
            </w:pPr>
            <w:r>
              <w:rPr>
                <w:rFonts w:ascii="Verdana" w:hAnsi="Verdana"/>
                <w:b/>
                <w:noProof/>
                <w:color w:val="FFFFFF"/>
                <w:sz w:val="16"/>
              </w:rPr>
              <w:t>recevoir</w:t>
            </w:r>
          </w:p>
        </w:tc>
      </w:tr>
      <w:tr>
        <w:trPr>
          <w:trHeight w:val="255"/>
        </w:trPr>
        <w:tc>
          <w:tcPr>
            <w:tcW w:w="2207"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1Revenue"/>
              <w:jc w:val="center"/>
              <w:rPr>
                <w:rFonts w:ascii="Verdana" w:eastAsia="Verdana" w:hAnsi="Verdana" w:cs="Verdana"/>
                <w:noProof/>
                <w:color w:val="FFFFFF"/>
                <w:sz w:val="16"/>
              </w:rPr>
            </w:pPr>
          </w:p>
        </w:tc>
        <w:tc>
          <w:tcPr>
            <w:tcW w:w="723"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1Revenue"/>
              <w:jc w:val="center"/>
              <w:rPr>
                <w:rFonts w:ascii="Verdana" w:eastAsia="Verdana" w:hAnsi="Verdana" w:cs="Verdana"/>
                <w:noProof/>
                <w:color w:val="FFFFFF"/>
                <w:sz w:val="16"/>
              </w:rPr>
            </w:pPr>
            <w:r>
              <w:rPr>
                <w:rFonts w:ascii="Verdana" w:hAnsi="Verdana"/>
                <w:noProof/>
                <w:color w:val="FFFFFF"/>
                <w:sz w:val="16"/>
              </w:rPr>
              <w:t>Budget initial adopté</w:t>
            </w:r>
          </w:p>
        </w:tc>
        <w:tc>
          <w:tcPr>
            <w:tcW w:w="564"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1Revenue"/>
              <w:jc w:val="center"/>
              <w:rPr>
                <w:rFonts w:ascii="Verdana" w:eastAsia="Verdana" w:hAnsi="Verdana" w:cs="Verdana"/>
                <w:noProof/>
                <w:color w:val="FFFFFF"/>
                <w:sz w:val="16"/>
              </w:rPr>
            </w:pPr>
            <w:r>
              <w:rPr>
                <w:rFonts w:ascii="Verdana" w:hAnsi="Verdana"/>
                <w:noProof/>
                <w:color w:val="FFFFFF"/>
                <w:sz w:val="16"/>
              </w:rPr>
              <w:t>Budget définitif adopté</w:t>
            </w:r>
          </w:p>
        </w:tc>
        <w:tc>
          <w:tcPr>
            <w:tcW w:w="564"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1Revenue"/>
              <w:jc w:val="center"/>
              <w:rPr>
                <w:rFonts w:ascii="Verdana" w:eastAsia="Verdana" w:hAnsi="Verdana" w:cs="Verdana"/>
                <w:noProof/>
                <w:color w:val="FFFFFF"/>
                <w:sz w:val="16"/>
              </w:rPr>
            </w:pPr>
            <w:r>
              <w:rPr>
                <w:rFonts w:ascii="Verdana" w:hAnsi="Verdana"/>
                <w:noProof/>
                <w:color w:val="FFFFFF"/>
                <w:sz w:val="16"/>
              </w:rPr>
              <w:t>Exercice courant</w:t>
            </w:r>
          </w:p>
        </w:tc>
        <w:tc>
          <w:tcPr>
            <w:tcW w:w="520"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1Revenue"/>
              <w:jc w:val="center"/>
              <w:rPr>
                <w:rFonts w:ascii="Verdana" w:eastAsia="Verdana" w:hAnsi="Verdana" w:cs="Verdana"/>
                <w:noProof/>
                <w:color w:val="FFFFFF"/>
                <w:sz w:val="16"/>
              </w:rPr>
            </w:pPr>
            <w:r>
              <w:rPr>
                <w:rFonts w:ascii="Verdana" w:hAnsi="Verdana"/>
                <w:noProof/>
                <w:color w:val="FFFFFF"/>
                <w:sz w:val="16"/>
              </w:rPr>
              <w:t>Crédits reportés</w:t>
            </w:r>
          </w:p>
        </w:tc>
        <w:tc>
          <w:tcPr>
            <w:tcW w:w="564"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1Revenue"/>
              <w:jc w:val="center"/>
              <w:rPr>
                <w:rFonts w:ascii="Verdana" w:eastAsia="Verdana" w:hAnsi="Verdana" w:cs="Verdana"/>
                <w:noProof/>
                <w:color w:val="FFFFFF"/>
                <w:sz w:val="16"/>
              </w:rPr>
            </w:pPr>
            <w:r>
              <w:rPr>
                <w:rFonts w:ascii="Verdana" w:hAnsi="Verdana"/>
                <w:noProof/>
                <w:color w:val="FFFFFF"/>
                <w:sz w:val="16"/>
              </w:rPr>
              <w:t>Total</w:t>
            </w:r>
          </w:p>
        </w:tc>
        <w:tc>
          <w:tcPr>
            <w:tcW w:w="646"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1Revenue"/>
              <w:jc w:val="center"/>
              <w:rPr>
                <w:rFonts w:ascii="Verdana" w:eastAsia="Verdana" w:hAnsi="Verdana" w:cs="Verdana"/>
                <w:noProof/>
                <w:color w:val="FFFFFF"/>
                <w:sz w:val="16"/>
              </w:rPr>
            </w:pPr>
            <w:r>
              <w:rPr>
                <w:rFonts w:ascii="Verdana" w:hAnsi="Verdana"/>
                <w:noProof/>
                <w:color w:val="FFFFFF"/>
                <w:sz w:val="16"/>
              </w:rPr>
              <w:t>sur les droits</w:t>
            </w:r>
          </w:p>
          <w:p>
            <w:pPr>
              <w:pStyle w:val="DMETW36778BIPInstitutions1Revenue"/>
              <w:jc w:val="center"/>
              <w:rPr>
                <w:rFonts w:ascii="Verdana" w:eastAsia="Verdana" w:hAnsi="Verdana" w:cs="Verdana"/>
                <w:noProof/>
                <w:color w:val="FFFFFF"/>
                <w:sz w:val="16"/>
              </w:rPr>
            </w:pPr>
            <w:r>
              <w:rPr>
                <w:rFonts w:ascii="Verdana" w:hAnsi="Verdana"/>
                <w:noProof/>
                <w:color w:val="FFFFFF"/>
                <w:sz w:val="16"/>
              </w:rPr>
              <w:t>de l’exercice</w:t>
            </w:r>
          </w:p>
        </w:tc>
        <w:tc>
          <w:tcPr>
            <w:tcW w:w="520"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1Revenue"/>
              <w:jc w:val="center"/>
              <w:rPr>
                <w:rFonts w:ascii="Verdana" w:eastAsia="Verdana" w:hAnsi="Verdana" w:cs="Verdana"/>
                <w:noProof/>
                <w:color w:val="FFFFFF"/>
                <w:sz w:val="16"/>
              </w:rPr>
            </w:pPr>
            <w:r>
              <w:rPr>
                <w:rFonts w:ascii="Verdana" w:hAnsi="Verdana"/>
                <w:noProof/>
                <w:color w:val="FFFFFF"/>
                <w:sz w:val="16"/>
              </w:rPr>
              <w:t>sur les droits</w:t>
            </w:r>
          </w:p>
          <w:p>
            <w:pPr>
              <w:pStyle w:val="DMETW36778BIPInstitutions1Revenue"/>
              <w:jc w:val="center"/>
              <w:rPr>
                <w:rFonts w:ascii="Verdana" w:eastAsia="Verdana" w:hAnsi="Verdana" w:cs="Verdana"/>
                <w:noProof/>
                <w:color w:val="FFFFFF"/>
                <w:sz w:val="16"/>
              </w:rPr>
            </w:pPr>
            <w:r>
              <w:rPr>
                <w:rFonts w:ascii="Verdana" w:hAnsi="Verdana"/>
                <w:noProof/>
                <w:color w:val="FFFFFF"/>
                <w:sz w:val="16"/>
              </w:rPr>
              <w:t>reportés</w:t>
            </w:r>
          </w:p>
        </w:tc>
        <w:tc>
          <w:tcPr>
            <w:tcW w:w="646"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1Revenue"/>
              <w:jc w:val="center"/>
              <w:rPr>
                <w:rFonts w:ascii="Verdana" w:eastAsia="Verdana" w:hAnsi="Verdana" w:cs="Verdana"/>
                <w:noProof/>
                <w:color w:val="FFFFFF"/>
                <w:sz w:val="16"/>
              </w:rPr>
            </w:pPr>
            <w:r>
              <w:rPr>
                <w:rFonts w:ascii="Verdana" w:hAnsi="Verdana"/>
                <w:noProof/>
                <w:color w:val="FFFFFF"/>
                <w:sz w:val="16"/>
              </w:rPr>
              <w:t>Recettes</w:t>
            </w:r>
          </w:p>
        </w:tc>
        <w:tc>
          <w:tcPr>
            <w:tcW w:w="4175" w:type="dxa"/>
            <w:vMerge/>
            <w:tcBorders>
              <w:top w:val="nil"/>
              <w:left w:val="nil"/>
              <w:bottom w:val="nil"/>
              <w:right w:val="nil"/>
              <w:tl2br w:val="nil"/>
              <w:tr2bl w:val="nil"/>
            </w:tcBorders>
            <w:shd w:val="solid" w:color="016794" w:fill="FFFFFF"/>
            <w:tcMar>
              <w:left w:w="60" w:type="dxa"/>
              <w:right w:w="60" w:type="dxa"/>
            </w:tcMar>
            <w:vAlign w:val="center"/>
          </w:tcPr>
          <w:p>
            <w:pPr>
              <w:pStyle w:val="DMETW36778BIPInstitutions1Revenue"/>
              <w:jc w:val="center"/>
              <w:rPr>
                <w:rFonts w:ascii="Verdana" w:eastAsia="Verdana" w:hAnsi="Verdana" w:cs="Verdana"/>
                <w:b/>
                <w:noProof/>
                <w:color w:val="FFFFFF"/>
                <w:sz w:val="16"/>
              </w:rPr>
            </w:pPr>
          </w:p>
        </w:tc>
        <w:tc>
          <w:tcPr>
            <w:tcW w:w="3563" w:type="dxa"/>
            <w:vMerge/>
            <w:tcBorders>
              <w:top w:val="nil"/>
              <w:left w:val="nil"/>
              <w:bottom w:val="nil"/>
              <w:right w:val="nil"/>
              <w:tl2br w:val="nil"/>
              <w:tr2bl w:val="nil"/>
            </w:tcBorders>
            <w:shd w:val="solid" w:color="016794" w:fill="FFFFFF"/>
            <w:tcMar>
              <w:left w:w="60" w:type="dxa"/>
              <w:right w:w="60" w:type="dxa"/>
            </w:tcMar>
            <w:vAlign w:val="center"/>
          </w:tcPr>
          <w:p>
            <w:pPr>
              <w:pStyle w:val="DMETW36778BIPInstitutions1Revenue"/>
              <w:jc w:val="center"/>
              <w:rPr>
                <w:rFonts w:ascii="Verdana" w:eastAsia="Verdana" w:hAnsi="Verdana" w:cs="Verdana"/>
                <w:b/>
                <w:noProof/>
                <w:color w:val="FFFFFF"/>
                <w:sz w:val="16"/>
              </w:rPr>
            </w:pPr>
          </w:p>
        </w:tc>
      </w:tr>
      <w:tr>
        <w:trPr>
          <w:trHeight w:val="255"/>
        </w:trPr>
        <w:tc>
          <w:tcPr>
            <w:tcW w:w="2207"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Parlement</w:t>
            </w:r>
          </w:p>
        </w:tc>
        <w:tc>
          <w:tcPr>
            <w:tcW w:w="723"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249</w:t>
            </w:r>
          </w:p>
        </w:tc>
        <w:tc>
          <w:tcPr>
            <w:tcW w:w="564"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249</w:t>
            </w:r>
          </w:p>
        </w:tc>
        <w:tc>
          <w:tcPr>
            <w:tcW w:w="564"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291</w:t>
            </w:r>
          </w:p>
        </w:tc>
        <w:tc>
          <w:tcPr>
            <w:tcW w:w="520"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11</w:t>
            </w:r>
          </w:p>
        </w:tc>
        <w:tc>
          <w:tcPr>
            <w:tcW w:w="564"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303</w:t>
            </w:r>
          </w:p>
        </w:tc>
        <w:tc>
          <w:tcPr>
            <w:tcW w:w="646"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286</w:t>
            </w:r>
          </w:p>
        </w:tc>
        <w:tc>
          <w:tcPr>
            <w:tcW w:w="520"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2</w:t>
            </w:r>
          </w:p>
        </w:tc>
        <w:tc>
          <w:tcPr>
            <w:tcW w:w="646"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287</w:t>
            </w:r>
          </w:p>
        </w:tc>
        <w:tc>
          <w:tcPr>
            <w:tcW w:w="4175"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115 %</w:t>
            </w:r>
          </w:p>
        </w:tc>
        <w:tc>
          <w:tcPr>
            <w:tcW w:w="3563"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16</w:t>
            </w:r>
          </w:p>
        </w:tc>
      </w:tr>
      <w:tr>
        <w:trPr>
          <w:trHeight w:val="255"/>
        </w:trPr>
        <w:tc>
          <w:tcPr>
            <w:tcW w:w="2207"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Conseil</w:t>
            </w:r>
          </w:p>
        </w:tc>
        <w:tc>
          <w:tcPr>
            <w:tcW w:w="723"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80</w:t>
            </w:r>
          </w:p>
        </w:tc>
        <w:tc>
          <w:tcPr>
            <w:tcW w:w="564"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80</w:t>
            </w:r>
          </w:p>
        </w:tc>
        <w:tc>
          <w:tcPr>
            <w:tcW w:w="564"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109</w:t>
            </w:r>
          </w:p>
        </w:tc>
        <w:tc>
          <w:tcPr>
            <w:tcW w:w="520"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1</w:t>
            </w:r>
          </w:p>
        </w:tc>
        <w:tc>
          <w:tcPr>
            <w:tcW w:w="564"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110</w:t>
            </w:r>
          </w:p>
        </w:tc>
        <w:tc>
          <w:tcPr>
            <w:tcW w:w="646"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109</w:t>
            </w:r>
          </w:p>
        </w:tc>
        <w:tc>
          <w:tcPr>
            <w:tcW w:w="520"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1</w:t>
            </w:r>
          </w:p>
        </w:tc>
        <w:tc>
          <w:tcPr>
            <w:tcW w:w="646"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109</w:t>
            </w:r>
          </w:p>
        </w:tc>
        <w:tc>
          <w:tcPr>
            <w:tcW w:w="4175"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137 %</w:t>
            </w:r>
          </w:p>
        </w:tc>
        <w:tc>
          <w:tcPr>
            <w:tcW w:w="3563"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2207"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Commission</w:t>
            </w:r>
          </w:p>
        </w:tc>
        <w:tc>
          <w:tcPr>
            <w:tcW w:w="723"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154 664</w:t>
            </w:r>
          </w:p>
        </w:tc>
        <w:tc>
          <w:tcPr>
            <w:tcW w:w="564"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160 617</w:t>
            </w:r>
          </w:p>
        </w:tc>
        <w:tc>
          <w:tcPr>
            <w:tcW w:w="564"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226 586</w:t>
            </w:r>
          </w:p>
        </w:tc>
        <w:tc>
          <w:tcPr>
            <w:tcW w:w="520"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16 251</w:t>
            </w:r>
          </w:p>
        </w:tc>
        <w:tc>
          <w:tcPr>
            <w:tcW w:w="564"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242 837</w:t>
            </w:r>
          </w:p>
        </w:tc>
        <w:tc>
          <w:tcPr>
            <w:tcW w:w="646"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220 118</w:t>
            </w:r>
          </w:p>
        </w:tc>
        <w:tc>
          <w:tcPr>
            <w:tcW w:w="520"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3 350</w:t>
            </w:r>
          </w:p>
        </w:tc>
        <w:tc>
          <w:tcPr>
            <w:tcW w:w="646"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223 468</w:t>
            </w:r>
          </w:p>
        </w:tc>
        <w:tc>
          <w:tcPr>
            <w:tcW w:w="4175"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139 %</w:t>
            </w:r>
          </w:p>
        </w:tc>
        <w:tc>
          <w:tcPr>
            <w:tcW w:w="3563"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19 370</w:t>
            </w:r>
          </w:p>
        </w:tc>
      </w:tr>
      <w:tr>
        <w:trPr>
          <w:trHeight w:val="255"/>
        </w:trPr>
        <w:tc>
          <w:tcPr>
            <w:tcW w:w="2207"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Cour de justice</w:t>
            </w:r>
          </w:p>
        </w:tc>
        <w:tc>
          <w:tcPr>
            <w:tcW w:w="723"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81</w:t>
            </w:r>
          </w:p>
        </w:tc>
        <w:tc>
          <w:tcPr>
            <w:tcW w:w="564"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81</w:t>
            </w:r>
          </w:p>
        </w:tc>
        <w:tc>
          <w:tcPr>
            <w:tcW w:w="564"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79</w:t>
            </w:r>
          </w:p>
        </w:tc>
        <w:tc>
          <w:tcPr>
            <w:tcW w:w="520"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0</w:t>
            </w:r>
          </w:p>
        </w:tc>
        <w:tc>
          <w:tcPr>
            <w:tcW w:w="564"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79</w:t>
            </w:r>
          </w:p>
        </w:tc>
        <w:tc>
          <w:tcPr>
            <w:tcW w:w="646"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79</w:t>
            </w:r>
          </w:p>
        </w:tc>
        <w:tc>
          <w:tcPr>
            <w:tcW w:w="520"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0</w:t>
            </w:r>
          </w:p>
        </w:tc>
        <w:tc>
          <w:tcPr>
            <w:tcW w:w="646"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79</w:t>
            </w:r>
          </w:p>
        </w:tc>
        <w:tc>
          <w:tcPr>
            <w:tcW w:w="4175"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97 %</w:t>
            </w:r>
          </w:p>
        </w:tc>
        <w:tc>
          <w:tcPr>
            <w:tcW w:w="3563"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2207"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Cour des comptes</w:t>
            </w:r>
          </w:p>
        </w:tc>
        <w:tc>
          <w:tcPr>
            <w:tcW w:w="723"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34</w:t>
            </w:r>
          </w:p>
        </w:tc>
        <w:tc>
          <w:tcPr>
            <w:tcW w:w="564"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34</w:t>
            </w:r>
          </w:p>
        </w:tc>
        <w:tc>
          <w:tcPr>
            <w:tcW w:w="564"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33</w:t>
            </w:r>
          </w:p>
        </w:tc>
        <w:tc>
          <w:tcPr>
            <w:tcW w:w="520"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0</w:t>
            </w:r>
          </w:p>
        </w:tc>
        <w:tc>
          <w:tcPr>
            <w:tcW w:w="564"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33</w:t>
            </w:r>
          </w:p>
        </w:tc>
        <w:tc>
          <w:tcPr>
            <w:tcW w:w="646"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33</w:t>
            </w:r>
          </w:p>
        </w:tc>
        <w:tc>
          <w:tcPr>
            <w:tcW w:w="520"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0</w:t>
            </w:r>
          </w:p>
        </w:tc>
        <w:tc>
          <w:tcPr>
            <w:tcW w:w="646"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33</w:t>
            </w:r>
          </w:p>
        </w:tc>
        <w:tc>
          <w:tcPr>
            <w:tcW w:w="4175"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98 %</w:t>
            </w:r>
          </w:p>
        </w:tc>
        <w:tc>
          <w:tcPr>
            <w:tcW w:w="3563"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2207"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Comité économique et social européen</w:t>
            </w:r>
          </w:p>
        </w:tc>
        <w:tc>
          <w:tcPr>
            <w:tcW w:w="723"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18</w:t>
            </w:r>
          </w:p>
        </w:tc>
        <w:tc>
          <w:tcPr>
            <w:tcW w:w="564"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18</w:t>
            </w:r>
          </w:p>
        </w:tc>
        <w:tc>
          <w:tcPr>
            <w:tcW w:w="564"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22</w:t>
            </w:r>
          </w:p>
        </w:tc>
        <w:tc>
          <w:tcPr>
            <w:tcW w:w="520"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0</w:t>
            </w:r>
          </w:p>
        </w:tc>
        <w:tc>
          <w:tcPr>
            <w:tcW w:w="564"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22</w:t>
            </w:r>
          </w:p>
        </w:tc>
        <w:tc>
          <w:tcPr>
            <w:tcW w:w="646"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22</w:t>
            </w:r>
          </w:p>
        </w:tc>
        <w:tc>
          <w:tcPr>
            <w:tcW w:w="520"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0</w:t>
            </w:r>
          </w:p>
        </w:tc>
        <w:tc>
          <w:tcPr>
            <w:tcW w:w="646"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22</w:t>
            </w:r>
          </w:p>
        </w:tc>
        <w:tc>
          <w:tcPr>
            <w:tcW w:w="4175"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124 %</w:t>
            </w:r>
          </w:p>
        </w:tc>
        <w:tc>
          <w:tcPr>
            <w:tcW w:w="3563"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2207"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Comité européen des régions</w:t>
            </w:r>
          </w:p>
        </w:tc>
        <w:tc>
          <w:tcPr>
            <w:tcW w:w="723"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16</w:t>
            </w:r>
          </w:p>
        </w:tc>
        <w:tc>
          <w:tcPr>
            <w:tcW w:w="564"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16</w:t>
            </w:r>
          </w:p>
        </w:tc>
        <w:tc>
          <w:tcPr>
            <w:tcW w:w="564"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19</w:t>
            </w:r>
          </w:p>
        </w:tc>
        <w:tc>
          <w:tcPr>
            <w:tcW w:w="520"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0</w:t>
            </w:r>
          </w:p>
        </w:tc>
        <w:tc>
          <w:tcPr>
            <w:tcW w:w="564"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19</w:t>
            </w:r>
          </w:p>
        </w:tc>
        <w:tc>
          <w:tcPr>
            <w:tcW w:w="646"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19</w:t>
            </w:r>
          </w:p>
        </w:tc>
        <w:tc>
          <w:tcPr>
            <w:tcW w:w="520"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0</w:t>
            </w:r>
          </w:p>
        </w:tc>
        <w:tc>
          <w:tcPr>
            <w:tcW w:w="646"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19</w:t>
            </w:r>
          </w:p>
        </w:tc>
        <w:tc>
          <w:tcPr>
            <w:tcW w:w="4175"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116 %</w:t>
            </w:r>
          </w:p>
        </w:tc>
        <w:tc>
          <w:tcPr>
            <w:tcW w:w="3563"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2207"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Médiateur européen</w:t>
            </w:r>
          </w:p>
        </w:tc>
        <w:tc>
          <w:tcPr>
            <w:tcW w:w="723"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2</w:t>
            </w:r>
          </w:p>
        </w:tc>
        <w:tc>
          <w:tcPr>
            <w:tcW w:w="564"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2</w:t>
            </w:r>
          </w:p>
        </w:tc>
        <w:tc>
          <w:tcPr>
            <w:tcW w:w="564"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2</w:t>
            </w:r>
          </w:p>
        </w:tc>
        <w:tc>
          <w:tcPr>
            <w:tcW w:w="520"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w:t>
            </w:r>
          </w:p>
        </w:tc>
        <w:tc>
          <w:tcPr>
            <w:tcW w:w="564"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2</w:t>
            </w:r>
          </w:p>
        </w:tc>
        <w:tc>
          <w:tcPr>
            <w:tcW w:w="646"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2</w:t>
            </w:r>
          </w:p>
        </w:tc>
        <w:tc>
          <w:tcPr>
            <w:tcW w:w="520"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w:t>
            </w:r>
          </w:p>
        </w:tc>
        <w:tc>
          <w:tcPr>
            <w:tcW w:w="646"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2</w:t>
            </w:r>
          </w:p>
        </w:tc>
        <w:tc>
          <w:tcPr>
            <w:tcW w:w="4175"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108 %</w:t>
            </w:r>
          </w:p>
        </w:tc>
        <w:tc>
          <w:tcPr>
            <w:tcW w:w="3563"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2207"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Contrôleur européen de la protection des données</w:t>
            </w:r>
          </w:p>
        </w:tc>
        <w:tc>
          <w:tcPr>
            <w:tcW w:w="723"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3</w:t>
            </w:r>
          </w:p>
        </w:tc>
        <w:tc>
          <w:tcPr>
            <w:tcW w:w="564"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3</w:t>
            </w:r>
          </w:p>
        </w:tc>
        <w:tc>
          <w:tcPr>
            <w:tcW w:w="564"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3</w:t>
            </w:r>
          </w:p>
        </w:tc>
        <w:tc>
          <w:tcPr>
            <w:tcW w:w="520"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w:t>
            </w:r>
          </w:p>
        </w:tc>
        <w:tc>
          <w:tcPr>
            <w:tcW w:w="564"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3</w:t>
            </w:r>
          </w:p>
        </w:tc>
        <w:tc>
          <w:tcPr>
            <w:tcW w:w="646"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3</w:t>
            </w:r>
          </w:p>
        </w:tc>
        <w:tc>
          <w:tcPr>
            <w:tcW w:w="520"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w:t>
            </w:r>
          </w:p>
        </w:tc>
        <w:tc>
          <w:tcPr>
            <w:tcW w:w="646"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3</w:t>
            </w:r>
          </w:p>
        </w:tc>
        <w:tc>
          <w:tcPr>
            <w:tcW w:w="4175"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102 %</w:t>
            </w:r>
          </w:p>
        </w:tc>
        <w:tc>
          <w:tcPr>
            <w:tcW w:w="3563"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2207"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Service européen pour l’action extérieure</w:t>
            </w:r>
          </w:p>
        </w:tc>
        <w:tc>
          <w:tcPr>
            <w:tcW w:w="723"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62</w:t>
            </w:r>
          </w:p>
        </w:tc>
        <w:tc>
          <w:tcPr>
            <w:tcW w:w="564"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62</w:t>
            </w:r>
          </w:p>
        </w:tc>
        <w:tc>
          <w:tcPr>
            <w:tcW w:w="564"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379</w:t>
            </w:r>
          </w:p>
        </w:tc>
        <w:tc>
          <w:tcPr>
            <w:tcW w:w="520"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0</w:t>
            </w:r>
          </w:p>
        </w:tc>
        <w:tc>
          <w:tcPr>
            <w:tcW w:w="564"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379</w:t>
            </w:r>
          </w:p>
        </w:tc>
        <w:tc>
          <w:tcPr>
            <w:tcW w:w="646"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377</w:t>
            </w:r>
          </w:p>
        </w:tc>
        <w:tc>
          <w:tcPr>
            <w:tcW w:w="520"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0</w:t>
            </w:r>
          </w:p>
        </w:tc>
        <w:tc>
          <w:tcPr>
            <w:tcW w:w="646"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377</w:t>
            </w:r>
          </w:p>
        </w:tc>
        <w:tc>
          <w:tcPr>
            <w:tcW w:w="4175"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603 %</w:t>
            </w:r>
          </w:p>
        </w:tc>
        <w:tc>
          <w:tcPr>
            <w:tcW w:w="3563"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2</w:t>
            </w:r>
          </w:p>
        </w:tc>
      </w:tr>
      <w:tr>
        <w:trPr>
          <w:trHeight w:val="255"/>
        </w:trPr>
        <w:tc>
          <w:tcPr>
            <w:tcW w:w="2207"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1Revenue"/>
              <w:jc w:val="right"/>
              <w:rPr>
                <w:rFonts w:ascii="Verdana" w:eastAsia="Verdana" w:hAnsi="Verdana" w:cs="Verdana"/>
                <w:b/>
                <w:noProof/>
                <w:color w:val="000000"/>
                <w:sz w:val="16"/>
              </w:rPr>
            </w:pPr>
            <w:r>
              <w:rPr>
                <w:rFonts w:ascii="Verdana" w:hAnsi="Verdana"/>
                <w:b/>
                <w:noProof/>
                <w:color w:val="000000"/>
                <w:sz w:val="16"/>
              </w:rPr>
              <w:t>TOTAL</w:t>
            </w:r>
          </w:p>
        </w:tc>
        <w:tc>
          <w:tcPr>
            <w:tcW w:w="723"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1Revenue"/>
              <w:jc w:val="right"/>
              <w:rPr>
                <w:rFonts w:ascii="Verdana" w:eastAsia="Verdana" w:hAnsi="Verdana" w:cs="Verdana"/>
                <w:b/>
                <w:noProof/>
                <w:color w:val="000000"/>
                <w:sz w:val="16"/>
              </w:rPr>
            </w:pPr>
            <w:r>
              <w:rPr>
                <w:rFonts w:ascii="Verdana" w:hAnsi="Verdana"/>
                <w:b/>
                <w:noProof/>
                <w:color w:val="000000"/>
                <w:sz w:val="16"/>
              </w:rPr>
              <w:t>155 209</w:t>
            </w:r>
          </w:p>
        </w:tc>
        <w:tc>
          <w:tcPr>
            <w:tcW w:w="564"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1Revenue"/>
              <w:jc w:val="right"/>
              <w:rPr>
                <w:rFonts w:ascii="Verdana" w:eastAsia="Verdana" w:hAnsi="Verdana" w:cs="Verdana"/>
                <w:b/>
                <w:noProof/>
                <w:color w:val="000000"/>
                <w:sz w:val="16"/>
              </w:rPr>
            </w:pPr>
            <w:r>
              <w:rPr>
                <w:rFonts w:ascii="Verdana" w:hAnsi="Verdana"/>
                <w:b/>
                <w:noProof/>
                <w:color w:val="000000"/>
                <w:sz w:val="16"/>
              </w:rPr>
              <w:t>161 163</w:t>
            </w:r>
          </w:p>
        </w:tc>
        <w:tc>
          <w:tcPr>
            <w:tcW w:w="564"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1Revenue"/>
              <w:jc w:val="right"/>
              <w:rPr>
                <w:rFonts w:ascii="Verdana" w:eastAsia="Verdana" w:hAnsi="Verdana" w:cs="Verdana"/>
                <w:b/>
                <w:noProof/>
                <w:color w:val="000000"/>
                <w:sz w:val="16"/>
              </w:rPr>
            </w:pPr>
            <w:r>
              <w:rPr>
                <w:rFonts w:ascii="Verdana" w:hAnsi="Verdana"/>
                <w:b/>
                <w:noProof/>
                <w:color w:val="000000"/>
                <w:sz w:val="16"/>
              </w:rPr>
              <w:t>227 523</w:t>
            </w:r>
          </w:p>
        </w:tc>
        <w:tc>
          <w:tcPr>
            <w:tcW w:w="520"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1Revenue"/>
              <w:jc w:val="right"/>
              <w:rPr>
                <w:rFonts w:ascii="Verdana" w:eastAsia="Verdana" w:hAnsi="Verdana" w:cs="Verdana"/>
                <w:b/>
                <w:noProof/>
                <w:color w:val="000000"/>
                <w:sz w:val="16"/>
              </w:rPr>
            </w:pPr>
            <w:r>
              <w:rPr>
                <w:rFonts w:ascii="Verdana" w:hAnsi="Verdana"/>
                <w:b/>
                <w:noProof/>
                <w:color w:val="000000"/>
                <w:sz w:val="16"/>
              </w:rPr>
              <w:t>16 264</w:t>
            </w:r>
          </w:p>
        </w:tc>
        <w:tc>
          <w:tcPr>
            <w:tcW w:w="564"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1Revenue"/>
              <w:jc w:val="right"/>
              <w:rPr>
                <w:rFonts w:ascii="Verdana" w:eastAsia="Verdana" w:hAnsi="Verdana" w:cs="Verdana"/>
                <w:b/>
                <w:noProof/>
                <w:color w:val="000000"/>
                <w:sz w:val="16"/>
              </w:rPr>
            </w:pPr>
            <w:r>
              <w:rPr>
                <w:rFonts w:ascii="Verdana" w:hAnsi="Verdana"/>
                <w:b/>
                <w:noProof/>
                <w:color w:val="000000"/>
                <w:sz w:val="16"/>
              </w:rPr>
              <w:t>243 787</w:t>
            </w:r>
          </w:p>
        </w:tc>
        <w:tc>
          <w:tcPr>
            <w:tcW w:w="646"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1Revenue"/>
              <w:jc w:val="right"/>
              <w:rPr>
                <w:rFonts w:ascii="Verdana" w:eastAsia="Verdana" w:hAnsi="Verdana" w:cs="Verdana"/>
                <w:b/>
                <w:noProof/>
                <w:color w:val="000000"/>
                <w:sz w:val="16"/>
              </w:rPr>
            </w:pPr>
            <w:r>
              <w:rPr>
                <w:rFonts w:ascii="Verdana" w:hAnsi="Verdana"/>
                <w:b/>
                <w:noProof/>
                <w:color w:val="000000"/>
                <w:sz w:val="16"/>
              </w:rPr>
              <w:t>221 046</w:t>
            </w:r>
          </w:p>
        </w:tc>
        <w:tc>
          <w:tcPr>
            <w:tcW w:w="520"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1Revenue"/>
              <w:jc w:val="right"/>
              <w:rPr>
                <w:rFonts w:ascii="Verdana" w:eastAsia="Verdana" w:hAnsi="Verdana" w:cs="Verdana"/>
                <w:b/>
                <w:noProof/>
                <w:color w:val="000000"/>
                <w:sz w:val="16"/>
              </w:rPr>
            </w:pPr>
            <w:r>
              <w:rPr>
                <w:rFonts w:ascii="Verdana" w:hAnsi="Verdana"/>
                <w:b/>
                <w:noProof/>
                <w:color w:val="000000"/>
                <w:sz w:val="16"/>
              </w:rPr>
              <w:t>3 352</w:t>
            </w:r>
          </w:p>
        </w:tc>
        <w:tc>
          <w:tcPr>
            <w:tcW w:w="646"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1Revenue"/>
              <w:jc w:val="right"/>
              <w:rPr>
                <w:rFonts w:ascii="Verdana" w:eastAsia="Verdana" w:hAnsi="Verdana" w:cs="Verdana"/>
                <w:b/>
                <w:noProof/>
                <w:color w:val="000000"/>
                <w:sz w:val="16"/>
              </w:rPr>
            </w:pPr>
            <w:r>
              <w:rPr>
                <w:rFonts w:ascii="Verdana" w:hAnsi="Verdana"/>
                <w:b/>
                <w:noProof/>
                <w:color w:val="000000"/>
                <w:sz w:val="16"/>
              </w:rPr>
              <w:t>224 398</w:t>
            </w:r>
          </w:p>
        </w:tc>
        <w:tc>
          <w:tcPr>
            <w:tcW w:w="4175"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1Revenue"/>
              <w:jc w:val="right"/>
              <w:rPr>
                <w:rFonts w:ascii="Verdana" w:eastAsia="Verdana" w:hAnsi="Verdana" w:cs="Verdana"/>
                <w:b/>
                <w:noProof/>
                <w:color w:val="000000"/>
                <w:sz w:val="16"/>
              </w:rPr>
            </w:pPr>
            <w:r>
              <w:rPr>
                <w:rFonts w:ascii="Verdana" w:hAnsi="Verdana"/>
                <w:b/>
                <w:noProof/>
                <w:color w:val="000000"/>
                <w:sz w:val="16"/>
              </w:rPr>
              <w:t>139 %</w:t>
            </w:r>
          </w:p>
        </w:tc>
        <w:tc>
          <w:tcPr>
            <w:tcW w:w="3563"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1Revenue"/>
              <w:jc w:val="right"/>
              <w:rPr>
                <w:rFonts w:ascii="Verdana" w:eastAsia="Verdana" w:hAnsi="Verdana" w:cs="Verdana"/>
                <w:b/>
                <w:noProof/>
                <w:color w:val="000000"/>
                <w:sz w:val="16"/>
              </w:rPr>
            </w:pPr>
            <w:r>
              <w:rPr>
                <w:rFonts w:ascii="Verdana" w:hAnsi="Verdana"/>
                <w:b/>
                <w:noProof/>
                <w:color w:val="000000"/>
                <w:sz w:val="16"/>
              </w:rPr>
              <w:t>19 389</w:t>
            </w:r>
          </w:p>
        </w:tc>
      </w:tr>
    </w:tbl>
    <w:p>
      <w:pPr>
        <w:pStyle w:val="DGTextstand-alone"/>
      </w:pPr>
      <w:r>
        <w:t xml:space="preserve">Les états consolidés sur l’exécution du budget général de l’UE recouvrent, comme pour les exercices précédents, l’exécution budgétaire de l'ensemble des institutions, étant donné que le budget de l’UE comprend un budget séparé pour chacune d'entre elles. </w:t>
      </w:r>
    </w:p>
    <w:p>
      <w:pPr>
        <w:pStyle w:val="DGTextstand-alone"/>
      </w:pPr>
      <w:r>
        <w:t xml:space="preserve">Pour ce qui est des agences, leur budget et l’exécution de celui-ci ne sont pas consolidés dans le budget de l’UE et n’apparaissent pas dans les rapports relatifs au budget de l’UE. Les subventions que leur verse la Commission relèvent toutefois du budget de l’Union. Dans cette partie budgétaire des comptes annuels, seules sont prises en considération les subventions issues </w:t>
      </w:r>
      <w:bookmarkStart w:id="319" w:name="_Hlk161844750"/>
      <w:r>
        <w:t>du budget de la Commission versées aux agences.</w:t>
      </w:r>
    </w:p>
    <w:p>
      <w:pPr>
        <w:pStyle w:val="DGTextstand-alone"/>
      </w:pPr>
      <w:bookmarkStart w:id="320" w:name="_Hlk193805389"/>
      <w:r>
        <w:t xml:space="preserve">En ce qui concerne le SEAE, il convient de noter qu’en plus de son propre budget, il a également disposé d’un montant de 378,9 millions d’EUR (contre 358,4 millions d’EUR en 2024), incluant les recettes affectées et les montants reportés, dont 250,2 millions d’EUR (contre 255,2 millions d’EUR en 2024) de </w:t>
      </w:r>
      <w:r>
        <w:lastRenderedPageBreak/>
        <w:t>fonds de la Commission européenne destinés à couvrir les coûts administratifs du personnel de la Commission travaillant dans les délégations de l’Union, répartis entre la rubrique 7 de la Commission, les lignes administratives des programmes opérationnels (anciennes lignes BA) et les fonds fiduciaires, ainsi que le solde provenant de contributions supplémentaires à montant fixe destinées à couvrir les coûts communs relatifs au personnel du FED dans les délégations et aux co-implantations, et d’autres montants reçus dans le cadre de la co-implantation et d’autres accords.</w:t>
      </w:r>
    </w:p>
    <w:bookmarkEnd w:id="319"/>
    <w:bookmarkEnd w:id="320"/>
    <w:p>
      <w:pPr>
        <w:pStyle w:val="DGTextstand-alone"/>
        <w:rPr>
          <w:rFonts w:eastAsia="Verdana" w:cs="Verdana"/>
          <w:sz w:val="25"/>
          <w:szCs w:val="25"/>
          <w:highlight w:val="yellow"/>
        </w:rPr>
        <w:sectPr>
          <w:headerReference w:type="default" r:id="rId179"/>
          <w:footerReference w:type="default" r:id="rId180"/>
          <w:pgSz w:w="16840" w:h="11900" w:orient="landscape"/>
          <w:pgMar w:top="1134" w:right="1134" w:bottom="1134" w:left="1134" w:header="708" w:footer="708" w:gutter="0"/>
          <w:cols w:space="720"/>
        </w:sectPr>
      </w:pPr>
    </w:p>
    <w:p>
      <w:pPr>
        <w:pStyle w:val="HEADER2PartBUDG"/>
        <w:rPr>
          <w:noProof/>
        </w:rPr>
      </w:pPr>
      <w:bookmarkStart w:id="321" w:name="_Toc237349646"/>
      <w:r>
        <w:rPr>
          <w:noProof/>
        </w:rPr>
        <w:lastRenderedPageBreak/>
        <w:t>EXÉCUTION DES CRÉDITS D’ENGAGEMENT</w:t>
      </w:r>
      <w:bookmarkEnd w:id="3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7"/>
        <w:gridCol w:w="4889"/>
        <w:gridCol w:w="713"/>
        <w:gridCol w:w="713"/>
        <w:gridCol w:w="713"/>
        <w:gridCol w:w="713"/>
        <w:gridCol w:w="713"/>
        <w:gridCol w:w="713"/>
        <w:gridCol w:w="713"/>
        <w:gridCol w:w="713"/>
        <w:gridCol w:w="713"/>
        <w:gridCol w:w="713"/>
        <w:gridCol w:w="713"/>
        <w:gridCol w:w="713"/>
      </w:tblGrid>
      <w:tr>
        <w:trPr>
          <w:trHeight w:val="255"/>
        </w:trPr>
        <w:tc>
          <w:tcPr>
            <w:tcW w:w="1247" w:type="dxa"/>
            <w:tcBorders>
              <w:top w:val="nil"/>
              <w:left w:val="nil"/>
              <w:bottom w:val="nil"/>
              <w:right w:val="nil"/>
              <w:tl2br w:val="nil"/>
              <w:tr2bl w:val="nil"/>
            </w:tcBorders>
            <w:tcMar>
              <w:left w:w="60" w:type="dxa"/>
              <w:right w:w="60" w:type="dxa"/>
            </w:tcMar>
            <w:vAlign w:val="center"/>
          </w:tcPr>
          <w:p>
            <w:pPr>
              <w:pStyle w:val="DMETW36778BIPInstitutions2Commitments"/>
              <w:rPr>
                <w:rFonts w:ascii="Verdana" w:eastAsia="Verdana" w:hAnsi="Verdana" w:cs="Verdana"/>
                <w:b/>
                <w:noProof/>
                <w:color w:val="FFFFFF"/>
                <w:sz w:val="16"/>
                <w:lang w:bidi="en-GB"/>
              </w:rPr>
            </w:pPr>
          </w:p>
        </w:tc>
        <w:tc>
          <w:tcPr>
            <w:tcW w:w="4889" w:type="dxa"/>
            <w:tcBorders>
              <w:top w:val="nil"/>
              <w:left w:val="nil"/>
              <w:bottom w:val="nil"/>
              <w:right w:val="nil"/>
              <w:tl2br w:val="nil"/>
              <w:tr2bl w:val="nil"/>
            </w:tcBorders>
            <w:tcMar>
              <w:left w:w="60" w:type="dxa"/>
              <w:right w:w="60" w:type="dxa"/>
            </w:tcMar>
            <w:vAlign w:val="center"/>
          </w:tcPr>
          <w:p>
            <w:pPr>
              <w:pStyle w:val="DMETW36778BIPInstitutions2Commitments"/>
              <w:jc w:val="center"/>
              <w:rPr>
                <w:rFonts w:ascii="Verdana" w:eastAsia="Verdana" w:hAnsi="Verdana" w:cs="Verdana"/>
                <w:b/>
                <w:noProof/>
                <w:color w:val="FFFFFF"/>
                <w:sz w:val="16"/>
              </w:rPr>
            </w:pPr>
          </w:p>
        </w:tc>
        <w:tc>
          <w:tcPr>
            <w:tcW w:w="3565" w:type="dxa"/>
            <w:gridSpan w:val="5"/>
            <w:tcBorders>
              <w:top w:val="nil"/>
              <w:left w:val="nil"/>
              <w:bottom w:val="nil"/>
              <w:right w:val="nil"/>
              <w:tl2br w:val="nil"/>
              <w:tr2bl w:val="nil"/>
            </w:tcBorders>
            <w:tcMar>
              <w:left w:w="60" w:type="dxa"/>
              <w:right w:w="60" w:type="dxa"/>
            </w:tcMar>
            <w:vAlign w:val="center"/>
          </w:tcPr>
          <w:p>
            <w:pPr>
              <w:pStyle w:val="DMETW36778BIPInstitutions2Commitments"/>
              <w:jc w:val="center"/>
              <w:rPr>
                <w:rFonts w:ascii="Verdana" w:eastAsia="Verdana" w:hAnsi="Verdana" w:cs="Verdana"/>
                <w:b/>
                <w:noProof/>
                <w:color w:val="FFFFFF"/>
                <w:sz w:val="16"/>
              </w:rPr>
            </w:pPr>
          </w:p>
        </w:tc>
        <w:tc>
          <w:tcPr>
            <w:tcW w:w="2139" w:type="dxa"/>
            <w:gridSpan w:val="3"/>
            <w:tcBorders>
              <w:top w:val="nil"/>
              <w:left w:val="nil"/>
              <w:bottom w:val="nil"/>
              <w:right w:val="nil"/>
              <w:tl2br w:val="nil"/>
              <w:tr2bl w:val="nil"/>
            </w:tcBorders>
            <w:tcMar>
              <w:left w:w="60" w:type="dxa"/>
              <w:right w:w="60" w:type="dxa"/>
            </w:tcMar>
            <w:vAlign w:val="center"/>
          </w:tcPr>
          <w:p>
            <w:pPr>
              <w:pStyle w:val="DMETW36778BIPInstitutions2Commitments"/>
              <w:jc w:val="center"/>
              <w:rPr>
                <w:rFonts w:ascii="Verdana" w:eastAsia="Verdana" w:hAnsi="Verdana" w:cs="Verdana"/>
                <w:b/>
                <w:noProof/>
                <w:color w:val="FFFFFF"/>
                <w:sz w:val="16"/>
              </w:rPr>
            </w:pPr>
          </w:p>
        </w:tc>
        <w:tc>
          <w:tcPr>
            <w:tcW w:w="2852" w:type="dxa"/>
            <w:gridSpan w:val="4"/>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b/>
                <w:noProof/>
                <w:color w:val="FFFFFF"/>
                <w:sz w:val="16"/>
              </w:rPr>
            </w:pPr>
            <w:r>
              <w:rPr>
                <w:rFonts w:ascii="Verdana" w:hAnsi="Verdana"/>
                <w:i/>
                <w:noProof/>
                <w:color w:val="000000" w:themeColor="text1"/>
                <w:sz w:val="16"/>
              </w:rPr>
              <w:t>en Mio EUR</w:t>
            </w:r>
          </w:p>
        </w:tc>
      </w:tr>
      <w:tr>
        <w:trPr>
          <w:trHeight w:val="255"/>
        </w:trPr>
        <w:tc>
          <w:tcPr>
            <w:tcW w:w="1247"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2Commitments"/>
              <w:rPr>
                <w:rFonts w:ascii="Verdana" w:eastAsia="Verdana" w:hAnsi="Verdana" w:cs="Verdana"/>
                <w:b/>
                <w:noProof/>
                <w:color w:val="FFFFFF"/>
                <w:sz w:val="16"/>
              </w:rPr>
            </w:pPr>
            <w:bookmarkStart w:id="322" w:name="DOC_TBL00125_1_1"/>
            <w:bookmarkEnd w:id="322"/>
          </w:p>
        </w:tc>
        <w:tc>
          <w:tcPr>
            <w:tcW w:w="4889"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778BIPInstitutions2Commitments"/>
              <w:jc w:val="center"/>
              <w:rPr>
                <w:rFonts w:ascii="Verdana" w:eastAsia="Verdana" w:hAnsi="Verdana" w:cs="Verdana"/>
                <w:b/>
                <w:noProof/>
                <w:color w:val="FFFFFF"/>
                <w:sz w:val="16"/>
              </w:rPr>
            </w:pPr>
            <w:r>
              <w:rPr>
                <w:rFonts w:ascii="Verdana" w:hAnsi="Verdana"/>
                <w:b/>
                <w:noProof/>
                <w:color w:val="FFFFFF"/>
                <w:sz w:val="16"/>
              </w:rPr>
              <w:t>Total crédits disponibles</w:t>
            </w:r>
          </w:p>
        </w:tc>
        <w:tc>
          <w:tcPr>
            <w:tcW w:w="3565" w:type="dxa"/>
            <w:gridSpan w:val="5"/>
            <w:tcBorders>
              <w:top w:val="nil"/>
              <w:left w:val="nil"/>
              <w:bottom w:val="nil"/>
              <w:right w:val="nil"/>
              <w:tl2br w:val="nil"/>
              <w:tr2bl w:val="nil"/>
            </w:tcBorders>
            <w:shd w:val="solid" w:color="016794" w:fill="FFFFFF"/>
            <w:tcMar>
              <w:left w:w="60" w:type="dxa"/>
              <w:right w:w="60" w:type="dxa"/>
            </w:tcMar>
            <w:vAlign w:val="center"/>
          </w:tcPr>
          <w:p>
            <w:pPr>
              <w:pStyle w:val="DMETW36778BIPInstitutions2Commitments"/>
              <w:jc w:val="center"/>
              <w:rPr>
                <w:rFonts w:ascii="Verdana" w:eastAsia="Verdana" w:hAnsi="Verdana" w:cs="Verdana"/>
                <w:b/>
                <w:noProof/>
                <w:color w:val="FFFFFF"/>
                <w:sz w:val="16"/>
              </w:rPr>
            </w:pPr>
            <w:r>
              <w:rPr>
                <w:rFonts w:ascii="Verdana" w:hAnsi="Verdana"/>
                <w:b/>
                <w:noProof/>
                <w:color w:val="FFFFFF"/>
                <w:sz w:val="16"/>
              </w:rPr>
              <w:t>Engagements contractés</w:t>
            </w:r>
          </w:p>
        </w:tc>
        <w:tc>
          <w:tcPr>
            <w:tcW w:w="2139" w:type="dxa"/>
            <w:gridSpan w:val="3"/>
            <w:tcBorders>
              <w:top w:val="nil"/>
              <w:left w:val="nil"/>
              <w:bottom w:val="nil"/>
              <w:right w:val="nil"/>
              <w:tl2br w:val="nil"/>
              <w:tr2bl w:val="nil"/>
            </w:tcBorders>
            <w:shd w:val="solid" w:color="016794" w:fill="FFFFFF"/>
            <w:tcMar>
              <w:left w:w="60" w:type="dxa"/>
              <w:right w:w="60" w:type="dxa"/>
            </w:tcMar>
            <w:vAlign w:val="center"/>
          </w:tcPr>
          <w:p>
            <w:pPr>
              <w:pStyle w:val="DMETW36778BIPInstitutions2Commitments"/>
              <w:jc w:val="center"/>
              <w:rPr>
                <w:rFonts w:ascii="Verdana" w:eastAsia="Verdana" w:hAnsi="Verdana" w:cs="Verdana"/>
                <w:b/>
                <w:noProof/>
                <w:color w:val="FFFFFF"/>
                <w:sz w:val="16"/>
              </w:rPr>
            </w:pPr>
            <w:r>
              <w:rPr>
                <w:rFonts w:ascii="Verdana" w:hAnsi="Verdana"/>
                <w:b/>
                <w:noProof/>
                <w:color w:val="FFFFFF"/>
                <w:sz w:val="16"/>
              </w:rPr>
              <w:t>Crédits reportés</w:t>
            </w:r>
          </w:p>
          <w:p>
            <w:pPr>
              <w:pStyle w:val="DMETW36778BIPInstitutions2Commitments"/>
              <w:jc w:val="center"/>
              <w:rPr>
                <w:rFonts w:ascii="Verdana" w:eastAsia="Verdana" w:hAnsi="Verdana" w:cs="Verdana"/>
                <w:b/>
                <w:noProof/>
                <w:color w:val="FFFFFF"/>
                <w:sz w:val="16"/>
              </w:rPr>
            </w:pPr>
            <w:r>
              <w:rPr>
                <w:rFonts w:ascii="Verdana" w:hAnsi="Verdana"/>
                <w:b/>
                <w:noProof/>
                <w:color w:val="FFFFFF"/>
                <w:sz w:val="16"/>
              </w:rPr>
              <w:t>à 2026</w:t>
            </w:r>
          </w:p>
        </w:tc>
        <w:tc>
          <w:tcPr>
            <w:tcW w:w="2852" w:type="dxa"/>
            <w:gridSpan w:val="4"/>
            <w:tcBorders>
              <w:top w:val="nil"/>
              <w:left w:val="nil"/>
              <w:bottom w:val="nil"/>
              <w:right w:val="nil"/>
              <w:tl2br w:val="nil"/>
              <w:tr2bl w:val="nil"/>
            </w:tcBorders>
            <w:shd w:val="solid" w:color="016794" w:fill="FFFFFF"/>
            <w:tcMar>
              <w:left w:w="60" w:type="dxa"/>
              <w:right w:w="60" w:type="dxa"/>
            </w:tcMar>
            <w:vAlign w:val="center"/>
          </w:tcPr>
          <w:p>
            <w:pPr>
              <w:pStyle w:val="DMETW36778BIPInstitutions2Commitments"/>
              <w:jc w:val="center"/>
              <w:rPr>
                <w:rFonts w:ascii="Verdana" w:eastAsia="Verdana" w:hAnsi="Verdana" w:cs="Verdana"/>
                <w:b/>
                <w:noProof/>
                <w:color w:val="FFFFFF"/>
                <w:sz w:val="16"/>
              </w:rPr>
            </w:pPr>
            <w:r>
              <w:rPr>
                <w:rFonts w:ascii="Verdana" w:hAnsi="Verdana"/>
                <w:b/>
                <w:noProof/>
                <w:color w:val="FFFFFF"/>
                <w:sz w:val="16"/>
              </w:rPr>
              <w:t>Annulations</w:t>
            </w:r>
          </w:p>
        </w:tc>
      </w:tr>
      <w:tr>
        <w:trPr>
          <w:trHeight w:val="255"/>
        </w:trPr>
        <w:tc>
          <w:tcPr>
            <w:tcW w:w="1247"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2Commitments"/>
              <w:rPr>
                <w:rFonts w:ascii="Verdana" w:eastAsia="Verdana" w:hAnsi="Verdana" w:cs="Verdana"/>
                <w:b/>
                <w:noProof/>
                <w:color w:val="FFFFFF"/>
                <w:sz w:val="16"/>
              </w:rPr>
            </w:pPr>
          </w:p>
        </w:tc>
        <w:tc>
          <w:tcPr>
            <w:tcW w:w="4889" w:type="dxa"/>
            <w:vMerge/>
            <w:tcBorders>
              <w:top w:val="nil"/>
              <w:left w:val="nil"/>
              <w:bottom w:val="nil"/>
              <w:right w:val="nil"/>
              <w:tl2br w:val="nil"/>
              <w:tr2bl w:val="nil"/>
            </w:tcBorders>
            <w:shd w:val="solid" w:color="016794" w:fill="FFFFFF"/>
            <w:tcMar>
              <w:left w:w="60" w:type="dxa"/>
              <w:right w:w="60" w:type="dxa"/>
            </w:tcMar>
            <w:vAlign w:val="center"/>
          </w:tcPr>
          <w:p>
            <w:pPr>
              <w:pStyle w:val="DMETW36778BIPInstitutions2Commitments"/>
              <w:jc w:val="center"/>
              <w:rPr>
                <w:rFonts w:ascii="Verdana" w:eastAsia="Verdana" w:hAnsi="Verdana" w:cs="Verdana"/>
                <w:b/>
                <w:noProof/>
                <w:color w:val="FFFFFF"/>
                <w:sz w:val="16"/>
              </w:rPr>
            </w:pPr>
          </w:p>
        </w:tc>
        <w:tc>
          <w:tcPr>
            <w:tcW w:w="713"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2Commitments"/>
              <w:rPr>
                <w:rFonts w:ascii="Verdana" w:eastAsia="Verdana" w:hAnsi="Verdana" w:cs="Verdana"/>
                <w:b/>
                <w:noProof/>
                <w:color w:val="FFFFFF"/>
                <w:sz w:val="16"/>
              </w:rPr>
            </w:pPr>
            <w:r>
              <w:rPr>
                <w:rFonts w:ascii="Verdana" w:hAnsi="Verdana"/>
                <w:b/>
                <w:noProof/>
                <w:color w:val="FFFFFF"/>
                <w:sz w:val="16"/>
              </w:rPr>
              <w:t>sur budget définitif adopté</w:t>
            </w:r>
          </w:p>
        </w:tc>
        <w:tc>
          <w:tcPr>
            <w:tcW w:w="713"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2Commitments"/>
              <w:rPr>
                <w:rFonts w:ascii="Verdana" w:eastAsia="Verdana" w:hAnsi="Verdana" w:cs="Verdana"/>
                <w:b/>
                <w:noProof/>
                <w:color w:val="FFFFFF"/>
                <w:sz w:val="16"/>
              </w:rPr>
            </w:pPr>
            <w:r>
              <w:rPr>
                <w:rFonts w:ascii="Verdana" w:hAnsi="Verdana"/>
                <w:b/>
                <w:noProof/>
                <w:color w:val="FFFFFF"/>
                <w:sz w:val="16"/>
              </w:rPr>
              <w:t>sur crédits reportés</w:t>
            </w:r>
          </w:p>
        </w:tc>
        <w:tc>
          <w:tcPr>
            <w:tcW w:w="713"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2Commitments"/>
              <w:rPr>
                <w:rFonts w:ascii="Verdana" w:eastAsia="Verdana" w:hAnsi="Verdana" w:cs="Verdana"/>
                <w:b/>
                <w:noProof/>
                <w:color w:val="FFFFFF"/>
                <w:sz w:val="16"/>
              </w:rPr>
            </w:pPr>
            <w:r>
              <w:rPr>
                <w:rFonts w:ascii="Verdana" w:hAnsi="Verdana"/>
                <w:b/>
                <w:noProof/>
                <w:color w:val="FFFFFF"/>
                <w:sz w:val="16"/>
              </w:rPr>
              <w:t>sur recettes affectées</w:t>
            </w:r>
          </w:p>
        </w:tc>
        <w:tc>
          <w:tcPr>
            <w:tcW w:w="713"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2Commitments"/>
              <w:rPr>
                <w:rFonts w:ascii="Verdana" w:eastAsia="Verdana" w:hAnsi="Verdana" w:cs="Verdana"/>
                <w:b/>
                <w:noProof/>
                <w:color w:val="FFFFFF"/>
                <w:sz w:val="16"/>
              </w:rPr>
            </w:pPr>
            <w:r>
              <w:rPr>
                <w:rFonts w:ascii="Verdana" w:hAnsi="Verdana"/>
                <w:b/>
                <w:noProof/>
                <w:color w:val="FFFFFF"/>
                <w:sz w:val="16"/>
              </w:rPr>
              <w:t>Total</w:t>
            </w:r>
          </w:p>
        </w:tc>
        <w:tc>
          <w:tcPr>
            <w:tcW w:w="713"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2Commitments"/>
              <w:rPr>
                <w:rFonts w:ascii="Verdana" w:eastAsia="Verdana" w:hAnsi="Verdana" w:cs="Verdana"/>
                <w:b/>
                <w:noProof/>
                <w:color w:val="FFFFFF"/>
                <w:sz w:val="16"/>
              </w:rPr>
            </w:pPr>
            <w:r>
              <w:rPr>
                <w:rFonts w:ascii="Verdana" w:hAnsi="Verdana"/>
                <w:b/>
                <w:noProof/>
                <w:color w:val="FFFFFF"/>
                <w:sz w:val="16"/>
              </w:rPr>
              <w:t>%</w:t>
            </w:r>
          </w:p>
        </w:tc>
        <w:tc>
          <w:tcPr>
            <w:tcW w:w="713"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2Commitments"/>
              <w:rPr>
                <w:rFonts w:ascii="Verdana" w:eastAsia="Verdana" w:hAnsi="Verdana" w:cs="Verdana"/>
                <w:b/>
                <w:noProof/>
                <w:color w:val="FFFFFF"/>
                <w:sz w:val="16"/>
              </w:rPr>
            </w:pPr>
            <w:r>
              <w:rPr>
                <w:rFonts w:ascii="Verdana" w:hAnsi="Verdana"/>
                <w:b/>
                <w:noProof/>
                <w:color w:val="FFFFFF"/>
                <w:sz w:val="16"/>
              </w:rPr>
              <w:t>sur budget définitif adopté</w:t>
            </w:r>
          </w:p>
        </w:tc>
        <w:tc>
          <w:tcPr>
            <w:tcW w:w="713"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2Commitments"/>
              <w:rPr>
                <w:rFonts w:ascii="Verdana" w:eastAsia="Verdana" w:hAnsi="Verdana" w:cs="Verdana"/>
                <w:b/>
                <w:noProof/>
                <w:color w:val="FFFFFF"/>
                <w:sz w:val="16"/>
              </w:rPr>
            </w:pPr>
            <w:r>
              <w:rPr>
                <w:rFonts w:ascii="Verdana" w:hAnsi="Verdana"/>
                <w:b/>
                <w:noProof/>
                <w:color w:val="FFFFFF"/>
                <w:sz w:val="16"/>
              </w:rPr>
              <w:t>sur recettes affectées</w:t>
            </w:r>
          </w:p>
        </w:tc>
        <w:tc>
          <w:tcPr>
            <w:tcW w:w="713"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2Commitments"/>
              <w:rPr>
                <w:rFonts w:ascii="Verdana" w:eastAsia="Verdana" w:hAnsi="Verdana" w:cs="Verdana"/>
                <w:b/>
                <w:noProof/>
                <w:color w:val="FFFFFF"/>
                <w:sz w:val="16"/>
              </w:rPr>
            </w:pPr>
            <w:r>
              <w:rPr>
                <w:rFonts w:ascii="Verdana" w:hAnsi="Verdana"/>
                <w:b/>
                <w:noProof/>
                <w:color w:val="FFFFFF"/>
                <w:sz w:val="16"/>
              </w:rPr>
              <w:t>Total</w:t>
            </w:r>
          </w:p>
        </w:tc>
        <w:tc>
          <w:tcPr>
            <w:tcW w:w="713"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2Commitments"/>
              <w:rPr>
                <w:rFonts w:ascii="Verdana" w:eastAsia="Verdana" w:hAnsi="Verdana" w:cs="Verdana"/>
                <w:b/>
                <w:noProof/>
                <w:color w:val="FFFFFF"/>
                <w:sz w:val="16"/>
              </w:rPr>
            </w:pPr>
            <w:r>
              <w:rPr>
                <w:rFonts w:ascii="Verdana" w:hAnsi="Verdana"/>
                <w:b/>
                <w:noProof/>
                <w:color w:val="FFFFFF"/>
                <w:sz w:val="16"/>
              </w:rPr>
              <w:t>sur budget définitif adopté</w:t>
            </w:r>
          </w:p>
        </w:tc>
        <w:tc>
          <w:tcPr>
            <w:tcW w:w="713"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2Commitments"/>
              <w:rPr>
                <w:rFonts w:ascii="Verdana" w:eastAsia="Verdana" w:hAnsi="Verdana" w:cs="Verdana"/>
                <w:b/>
                <w:noProof/>
                <w:color w:val="FFFFFF"/>
                <w:sz w:val="16"/>
              </w:rPr>
            </w:pPr>
            <w:r>
              <w:rPr>
                <w:rFonts w:ascii="Verdana" w:hAnsi="Verdana"/>
                <w:b/>
                <w:noProof/>
                <w:color w:val="FFFFFF"/>
                <w:sz w:val="16"/>
              </w:rPr>
              <w:t>sur crédits reportés</w:t>
            </w:r>
          </w:p>
        </w:tc>
        <w:tc>
          <w:tcPr>
            <w:tcW w:w="713"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2Commitments"/>
              <w:rPr>
                <w:rFonts w:ascii="Verdana" w:eastAsia="Verdana" w:hAnsi="Verdana" w:cs="Verdana"/>
                <w:b/>
                <w:noProof/>
                <w:color w:val="FFFFFF"/>
                <w:sz w:val="16"/>
              </w:rPr>
            </w:pPr>
            <w:r>
              <w:rPr>
                <w:rFonts w:ascii="Verdana" w:hAnsi="Verdana"/>
                <w:b/>
                <w:noProof/>
                <w:color w:val="FFFFFF"/>
                <w:sz w:val="16"/>
              </w:rPr>
              <w:t>sur recettes affectées</w:t>
            </w:r>
          </w:p>
        </w:tc>
        <w:tc>
          <w:tcPr>
            <w:tcW w:w="713"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2Commitments"/>
              <w:rPr>
                <w:rFonts w:ascii="Verdana" w:eastAsia="Verdana" w:hAnsi="Verdana" w:cs="Verdana"/>
                <w:b/>
                <w:noProof/>
                <w:color w:val="FFFFFF"/>
                <w:sz w:val="16"/>
              </w:rPr>
            </w:pPr>
            <w:r>
              <w:rPr>
                <w:rFonts w:ascii="Verdana" w:hAnsi="Verdana"/>
                <w:b/>
                <w:noProof/>
                <w:color w:val="FFFFFF"/>
                <w:sz w:val="16"/>
              </w:rPr>
              <w:t>Total</w:t>
            </w:r>
          </w:p>
        </w:tc>
      </w:tr>
      <w:tr>
        <w:trPr>
          <w:trHeight w:val="255"/>
        </w:trPr>
        <w:tc>
          <w:tcPr>
            <w:tcW w:w="1247" w:type="dxa"/>
            <w:tcBorders>
              <w:top w:val="nil"/>
              <w:left w:val="nil"/>
              <w:bottom w:val="nil"/>
              <w:right w:val="nil"/>
              <w:tl2br w:val="nil"/>
              <w:tr2bl w:val="nil"/>
            </w:tcBorders>
            <w:shd w:val="solid" w:color="3486A9" w:fill="FFFFFF"/>
            <w:tcMar>
              <w:left w:w="60" w:type="dxa"/>
              <w:right w:w="60" w:type="dxa"/>
            </w:tcMar>
            <w:vAlign w:val="center"/>
          </w:tcPr>
          <w:p>
            <w:pPr>
              <w:pStyle w:val="DMETW36778BIPInstitutions2Commitments"/>
              <w:jc w:val="center"/>
              <w:rPr>
                <w:rFonts w:ascii="Verdana" w:eastAsia="Verdana" w:hAnsi="Verdana" w:cs="Verdana"/>
                <w:noProof/>
                <w:color w:val="FFFFFF"/>
                <w:sz w:val="16"/>
              </w:rPr>
            </w:pPr>
          </w:p>
        </w:tc>
        <w:tc>
          <w:tcPr>
            <w:tcW w:w="4889" w:type="dxa"/>
            <w:tcBorders>
              <w:top w:val="nil"/>
              <w:left w:val="nil"/>
              <w:bottom w:val="nil"/>
              <w:right w:val="nil"/>
              <w:tl2br w:val="nil"/>
              <w:tr2bl w:val="nil"/>
            </w:tcBorders>
            <w:shd w:val="solid" w:color="3486A9" w:fill="FFFFFF"/>
            <w:tcMar>
              <w:left w:w="60" w:type="dxa"/>
              <w:right w:w="60" w:type="dxa"/>
            </w:tcMar>
            <w:vAlign w:val="center"/>
          </w:tcPr>
          <w:p>
            <w:pPr>
              <w:pStyle w:val="DMETW36778BIPInstitutions2Commitments"/>
              <w:jc w:val="center"/>
              <w:rPr>
                <w:rFonts w:ascii="Verdana" w:eastAsia="Verdana" w:hAnsi="Verdana" w:cs="Verdana"/>
                <w:noProof/>
                <w:color w:val="FFFFFF"/>
                <w:sz w:val="16"/>
              </w:rPr>
            </w:pPr>
            <w:r>
              <w:rPr>
                <w:rFonts w:ascii="Verdana" w:hAnsi="Verdana"/>
                <w:noProof/>
                <w:color w:val="FFFFFF"/>
                <w:sz w:val="16"/>
              </w:rPr>
              <w:t>1</w:t>
            </w:r>
          </w:p>
        </w:tc>
        <w:tc>
          <w:tcPr>
            <w:tcW w:w="713" w:type="dxa"/>
            <w:tcBorders>
              <w:top w:val="nil"/>
              <w:left w:val="nil"/>
              <w:bottom w:val="nil"/>
              <w:right w:val="nil"/>
              <w:tl2br w:val="nil"/>
              <w:tr2bl w:val="nil"/>
            </w:tcBorders>
            <w:shd w:val="solid" w:color="3486A9" w:fill="FFFFFF"/>
            <w:tcMar>
              <w:left w:w="60" w:type="dxa"/>
              <w:right w:w="60" w:type="dxa"/>
            </w:tcMar>
            <w:vAlign w:val="center"/>
          </w:tcPr>
          <w:p>
            <w:pPr>
              <w:pStyle w:val="DMETW36778BIPInstitutions2Commitments"/>
              <w:jc w:val="center"/>
              <w:rPr>
                <w:rFonts w:ascii="Verdana" w:eastAsia="Verdana" w:hAnsi="Verdana" w:cs="Verdana"/>
                <w:noProof/>
                <w:color w:val="FFFFFF"/>
                <w:sz w:val="16"/>
              </w:rPr>
            </w:pPr>
            <w:r>
              <w:rPr>
                <w:rFonts w:ascii="Verdana" w:hAnsi="Verdana"/>
                <w:noProof/>
                <w:color w:val="FFFFFF"/>
                <w:sz w:val="16"/>
              </w:rPr>
              <w:t>2</w:t>
            </w:r>
          </w:p>
        </w:tc>
        <w:tc>
          <w:tcPr>
            <w:tcW w:w="713" w:type="dxa"/>
            <w:tcBorders>
              <w:top w:val="nil"/>
              <w:left w:val="nil"/>
              <w:bottom w:val="nil"/>
              <w:right w:val="nil"/>
              <w:tl2br w:val="nil"/>
              <w:tr2bl w:val="nil"/>
            </w:tcBorders>
            <w:shd w:val="solid" w:color="3486A9" w:fill="FFFFFF"/>
            <w:tcMar>
              <w:left w:w="60" w:type="dxa"/>
              <w:right w:w="60" w:type="dxa"/>
            </w:tcMar>
            <w:vAlign w:val="center"/>
          </w:tcPr>
          <w:p>
            <w:pPr>
              <w:pStyle w:val="DMETW36778BIPInstitutions2Commitments"/>
              <w:jc w:val="center"/>
              <w:rPr>
                <w:rFonts w:ascii="Verdana" w:eastAsia="Verdana" w:hAnsi="Verdana" w:cs="Verdana"/>
                <w:noProof/>
                <w:color w:val="FFFFFF"/>
                <w:sz w:val="16"/>
              </w:rPr>
            </w:pPr>
            <w:r>
              <w:rPr>
                <w:rFonts w:ascii="Verdana" w:hAnsi="Verdana"/>
                <w:noProof/>
                <w:color w:val="FFFFFF"/>
                <w:sz w:val="16"/>
              </w:rPr>
              <w:t>3</w:t>
            </w:r>
          </w:p>
        </w:tc>
        <w:tc>
          <w:tcPr>
            <w:tcW w:w="713" w:type="dxa"/>
            <w:tcBorders>
              <w:top w:val="nil"/>
              <w:left w:val="nil"/>
              <w:bottom w:val="nil"/>
              <w:right w:val="nil"/>
              <w:tl2br w:val="nil"/>
              <w:tr2bl w:val="nil"/>
            </w:tcBorders>
            <w:shd w:val="solid" w:color="3486A9" w:fill="FFFFFF"/>
            <w:tcMar>
              <w:left w:w="60" w:type="dxa"/>
              <w:right w:w="60" w:type="dxa"/>
            </w:tcMar>
            <w:vAlign w:val="center"/>
          </w:tcPr>
          <w:p>
            <w:pPr>
              <w:pStyle w:val="DMETW36778BIPInstitutions2Commitments"/>
              <w:jc w:val="center"/>
              <w:rPr>
                <w:rFonts w:ascii="Verdana" w:eastAsia="Verdana" w:hAnsi="Verdana" w:cs="Verdana"/>
                <w:noProof/>
                <w:color w:val="FFFFFF"/>
                <w:sz w:val="16"/>
              </w:rPr>
            </w:pPr>
            <w:r>
              <w:rPr>
                <w:rFonts w:ascii="Verdana" w:hAnsi="Verdana"/>
                <w:noProof/>
                <w:color w:val="FFFFFF"/>
                <w:sz w:val="16"/>
              </w:rPr>
              <w:t>4</w:t>
            </w:r>
          </w:p>
        </w:tc>
        <w:tc>
          <w:tcPr>
            <w:tcW w:w="713" w:type="dxa"/>
            <w:tcBorders>
              <w:top w:val="nil"/>
              <w:left w:val="nil"/>
              <w:bottom w:val="nil"/>
              <w:right w:val="nil"/>
              <w:tl2br w:val="nil"/>
              <w:tr2bl w:val="nil"/>
            </w:tcBorders>
            <w:shd w:val="solid" w:color="3486A9" w:fill="FFFFFF"/>
            <w:tcMar>
              <w:left w:w="60" w:type="dxa"/>
              <w:right w:w="60" w:type="dxa"/>
            </w:tcMar>
            <w:vAlign w:val="center"/>
          </w:tcPr>
          <w:p>
            <w:pPr>
              <w:pStyle w:val="DMETW36778BIPInstitutions2Commitments"/>
              <w:jc w:val="center"/>
              <w:rPr>
                <w:rFonts w:ascii="Verdana" w:eastAsia="Verdana" w:hAnsi="Verdana" w:cs="Verdana"/>
                <w:noProof/>
                <w:color w:val="FFFFFF"/>
                <w:sz w:val="16"/>
              </w:rPr>
            </w:pPr>
            <w:r>
              <w:rPr>
                <w:rFonts w:ascii="Verdana" w:hAnsi="Verdana"/>
                <w:noProof/>
                <w:color w:val="FFFFFF"/>
                <w:sz w:val="16"/>
              </w:rPr>
              <w:t>5=2+3+4</w:t>
            </w:r>
          </w:p>
        </w:tc>
        <w:tc>
          <w:tcPr>
            <w:tcW w:w="713" w:type="dxa"/>
            <w:tcBorders>
              <w:top w:val="nil"/>
              <w:left w:val="nil"/>
              <w:bottom w:val="nil"/>
              <w:right w:val="nil"/>
              <w:tl2br w:val="nil"/>
              <w:tr2bl w:val="nil"/>
            </w:tcBorders>
            <w:shd w:val="solid" w:color="3486A9" w:fill="FFFFFF"/>
            <w:tcMar>
              <w:left w:w="60" w:type="dxa"/>
              <w:right w:w="60" w:type="dxa"/>
            </w:tcMar>
            <w:vAlign w:val="center"/>
          </w:tcPr>
          <w:p>
            <w:pPr>
              <w:pStyle w:val="DMETW36778BIPInstitutions2Commitments"/>
              <w:jc w:val="center"/>
              <w:rPr>
                <w:rFonts w:ascii="Verdana" w:eastAsia="Verdana" w:hAnsi="Verdana" w:cs="Verdana"/>
                <w:noProof/>
                <w:color w:val="FFFFFF"/>
                <w:sz w:val="16"/>
              </w:rPr>
            </w:pPr>
            <w:r>
              <w:rPr>
                <w:rFonts w:ascii="Verdana" w:hAnsi="Verdana"/>
                <w:noProof/>
                <w:color w:val="FFFFFF"/>
                <w:sz w:val="16"/>
              </w:rPr>
              <w:t>6=5/1</w:t>
            </w:r>
          </w:p>
        </w:tc>
        <w:tc>
          <w:tcPr>
            <w:tcW w:w="713" w:type="dxa"/>
            <w:tcBorders>
              <w:top w:val="nil"/>
              <w:left w:val="nil"/>
              <w:bottom w:val="nil"/>
              <w:right w:val="nil"/>
              <w:tl2br w:val="nil"/>
              <w:tr2bl w:val="nil"/>
            </w:tcBorders>
            <w:shd w:val="solid" w:color="3486A9" w:fill="FFFFFF"/>
            <w:tcMar>
              <w:left w:w="60" w:type="dxa"/>
              <w:right w:w="60" w:type="dxa"/>
            </w:tcMar>
            <w:vAlign w:val="center"/>
          </w:tcPr>
          <w:p>
            <w:pPr>
              <w:pStyle w:val="DMETW36778BIPInstitutions2Commitments"/>
              <w:jc w:val="center"/>
              <w:rPr>
                <w:rFonts w:ascii="Verdana" w:eastAsia="Verdana" w:hAnsi="Verdana" w:cs="Verdana"/>
                <w:noProof/>
                <w:color w:val="FFFFFF"/>
                <w:sz w:val="16"/>
              </w:rPr>
            </w:pPr>
            <w:r>
              <w:rPr>
                <w:rFonts w:ascii="Verdana" w:hAnsi="Verdana"/>
                <w:noProof/>
                <w:color w:val="FFFFFF"/>
                <w:sz w:val="16"/>
              </w:rPr>
              <w:t>7</w:t>
            </w:r>
          </w:p>
        </w:tc>
        <w:tc>
          <w:tcPr>
            <w:tcW w:w="713" w:type="dxa"/>
            <w:tcBorders>
              <w:top w:val="nil"/>
              <w:left w:val="nil"/>
              <w:bottom w:val="nil"/>
              <w:right w:val="nil"/>
              <w:tl2br w:val="nil"/>
              <w:tr2bl w:val="nil"/>
            </w:tcBorders>
            <w:shd w:val="solid" w:color="3486A9" w:fill="FFFFFF"/>
            <w:tcMar>
              <w:left w:w="60" w:type="dxa"/>
              <w:right w:w="60" w:type="dxa"/>
            </w:tcMar>
            <w:vAlign w:val="center"/>
          </w:tcPr>
          <w:p>
            <w:pPr>
              <w:pStyle w:val="DMETW36778BIPInstitutions2Commitments"/>
              <w:jc w:val="center"/>
              <w:rPr>
                <w:rFonts w:ascii="Verdana" w:eastAsia="Verdana" w:hAnsi="Verdana" w:cs="Verdana"/>
                <w:noProof/>
                <w:color w:val="FFFFFF"/>
                <w:sz w:val="16"/>
              </w:rPr>
            </w:pPr>
            <w:r>
              <w:rPr>
                <w:rFonts w:ascii="Verdana" w:hAnsi="Verdana"/>
                <w:noProof/>
                <w:color w:val="FFFFFF"/>
                <w:sz w:val="16"/>
              </w:rPr>
              <w:t>8</w:t>
            </w:r>
          </w:p>
        </w:tc>
        <w:tc>
          <w:tcPr>
            <w:tcW w:w="713" w:type="dxa"/>
            <w:tcBorders>
              <w:top w:val="nil"/>
              <w:left w:val="nil"/>
              <w:bottom w:val="nil"/>
              <w:right w:val="nil"/>
              <w:tl2br w:val="nil"/>
              <w:tr2bl w:val="nil"/>
            </w:tcBorders>
            <w:shd w:val="solid" w:color="3486A9" w:fill="FFFFFF"/>
            <w:tcMar>
              <w:left w:w="60" w:type="dxa"/>
              <w:right w:w="60" w:type="dxa"/>
            </w:tcMar>
            <w:vAlign w:val="center"/>
          </w:tcPr>
          <w:p>
            <w:pPr>
              <w:pStyle w:val="DMETW36778BIPInstitutions2Commitments"/>
              <w:jc w:val="center"/>
              <w:rPr>
                <w:rFonts w:ascii="Verdana" w:eastAsia="Verdana" w:hAnsi="Verdana" w:cs="Verdana"/>
                <w:noProof/>
                <w:color w:val="FFFFFF"/>
                <w:sz w:val="16"/>
              </w:rPr>
            </w:pPr>
            <w:r>
              <w:rPr>
                <w:rFonts w:ascii="Verdana" w:hAnsi="Verdana"/>
                <w:noProof/>
                <w:color w:val="FFFFFF"/>
                <w:sz w:val="16"/>
              </w:rPr>
              <w:t>9</w:t>
            </w:r>
          </w:p>
        </w:tc>
        <w:tc>
          <w:tcPr>
            <w:tcW w:w="713" w:type="dxa"/>
            <w:tcBorders>
              <w:top w:val="nil"/>
              <w:left w:val="nil"/>
              <w:bottom w:val="nil"/>
              <w:right w:val="nil"/>
              <w:tl2br w:val="nil"/>
              <w:tr2bl w:val="nil"/>
            </w:tcBorders>
            <w:shd w:val="solid" w:color="3486A9" w:fill="FFFFFF"/>
            <w:tcMar>
              <w:left w:w="60" w:type="dxa"/>
              <w:right w:w="60" w:type="dxa"/>
            </w:tcMar>
            <w:vAlign w:val="center"/>
          </w:tcPr>
          <w:p>
            <w:pPr>
              <w:pStyle w:val="DMETW36778BIPInstitutions2Commitments"/>
              <w:jc w:val="center"/>
              <w:rPr>
                <w:rFonts w:ascii="Verdana" w:eastAsia="Verdana" w:hAnsi="Verdana" w:cs="Verdana"/>
                <w:noProof/>
                <w:color w:val="FFFFFF"/>
                <w:sz w:val="16"/>
              </w:rPr>
            </w:pPr>
            <w:r>
              <w:rPr>
                <w:rFonts w:ascii="Verdana" w:hAnsi="Verdana"/>
                <w:noProof/>
                <w:color w:val="FFFFFF"/>
                <w:sz w:val="16"/>
              </w:rPr>
              <w:t>10</w:t>
            </w:r>
          </w:p>
        </w:tc>
        <w:tc>
          <w:tcPr>
            <w:tcW w:w="713" w:type="dxa"/>
            <w:tcBorders>
              <w:top w:val="nil"/>
              <w:left w:val="nil"/>
              <w:bottom w:val="nil"/>
              <w:right w:val="nil"/>
              <w:tl2br w:val="nil"/>
              <w:tr2bl w:val="nil"/>
            </w:tcBorders>
            <w:shd w:val="solid" w:color="3486A9" w:fill="FFFFFF"/>
            <w:tcMar>
              <w:left w:w="60" w:type="dxa"/>
              <w:right w:w="60" w:type="dxa"/>
            </w:tcMar>
            <w:vAlign w:val="center"/>
          </w:tcPr>
          <w:p>
            <w:pPr>
              <w:pStyle w:val="DMETW36778BIPInstitutions2Commitments"/>
              <w:jc w:val="center"/>
              <w:rPr>
                <w:rFonts w:ascii="Verdana" w:eastAsia="Verdana" w:hAnsi="Verdana" w:cs="Verdana"/>
                <w:noProof/>
                <w:color w:val="FFFFFF"/>
                <w:sz w:val="16"/>
              </w:rPr>
            </w:pPr>
            <w:r>
              <w:rPr>
                <w:rFonts w:ascii="Verdana" w:hAnsi="Verdana"/>
                <w:noProof/>
                <w:color w:val="FFFFFF"/>
                <w:sz w:val="16"/>
              </w:rPr>
              <w:t>11</w:t>
            </w:r>
          </w:p>
        </w:tc>
        <w:tc>
          <w:tcPr>
            <w:tcW w:w="713" w:type="dxa"/>
            <w:tcBorders>
              <w:top w:val="nil"/>
              <w:left w:val="nil"/>
              <w:bottom w:val="nil"/>
              <w:right w:val="nil"/>
              <w:tl2br w:val="nil"/>
              <w:tr2bl w:val="nil"/>
            </w:tcBorders>
            <w:shd w:val="solid" w:color="3486A9" w:fill="FFFFFF"/>
            <w:tcMar>
              <w:left w:w="60" w:type="dxa"/>
              <w:right w:w="60" w:type="dxa"/>
            </w:tcMar>
            <w:vAlign w:val="center"/>
          </w:tcPr>
          <w:p>
            <w:pPr>
              <w:pStyle w:val="DMETW36778BIPInstitutions2Commitments"/>
              <w:jc w:val="center"/>
              <w:rPr>
                <w:rFonts w:ascii="Verdana" w:eastAsia="Verdana" w:hAnsi="Verdana" w:cs="Verdana"/>
                <w:noProof/>
                <w:color w:val="FFFFFF"/>
                <w:sz w:val="16"/>
              </w:rPr>
            </w:pPr>
            <w:r>
              <w:rPr>
                <w:rFonts w:ascii="Verdana" w:hAnsi="Verdana"/>
                <w:noProof/>
                <w:color w:val="FFFFFF"/>
                <w:sz w:val="16"/>
              </w:rPr>
              <w:t>12</w:t>
            </w:r>
          </w:p>
        </w:tc>
        <w:tc>
          <w:tcPr>
            <w:tcW w:w="713" w:type="dxa"/>
            <w:tcBorders>
              <w:top w:val="nil"/>
              <w:left w:val="nil"/>
              <w:bottom w:val="nil"/>
              <w:right w:val="nil"/>
              <w:tl2br w:val="nil"/>
              <w:tr2bl w:val="nil"/>
            </w:tcBorders>
            <w:shd w:val="solid" w:color="3486A9" w:fill="FFFFFF"/>
            <w:tcMar>
              <w:left w:w="60" w:type="dxa"/>
              <w:right w:w="60" w:type="dxa"/>
            </w:tcMar>
            <w:vAlign w:val="center"/>
          </w:tcPr>
          <w:p>
            <w:pPr>
              <w:pStyle w:val="DMETW36778BIPInstitutions2Commitments"/>
              <w:jc w:val="center"/>
              <w:rPr>
                <w:rFonts w:ascii="Verdana" w:eastAsia="Verdana" w:hAnsi="Verdana" w:cs="Verdana"/>
                <w:noProof/>
                <w:color w:val="FFFFFF"/>
                <w:sz w:val="16"/>
              </w:rPr>
            </w:pPr>
            <w:r>
              <w:rPr>
                <w:rFonts w:ascii="Verdana" w:hAnsi="Verdana"/>
                <w:noProof/>
                <w:color w:val="FFFFFF"/>
                <w:sz w:val="16"/>
              </w:rPr>
              <w:t>13=10+</w:t>
            </w:r>
          </w:p>
          <w:p>
            <w:pPr>
              <w:pStyle w:val="DMETW36778BIPInstitutions2Commitments"/>
              <w:jc w:val="center"/>
              <w:rPr>
                <w:rFonts w:ascii="Verdana" w:eastAsia="Verdana" w:hAnsi="Verdana" w:cs="Verdana"/>
                <w:noProof/>
                <w:color w:val="FFFFFF"/>
                <w:sz w:val="16"/>
              </w:rPr>
            </w:pPr>
            <w:r>
              <w:rPr>
                <w:rFonts w:ascii="Verdana" w:hAnsi="Verdana"/>
                <w:noProof/>
                <w:color w:val="FFFFFF"/>
                <w:sz w:val="16"/>
              </w:rPr>
              <w:t>11+12</w:t>
            </w:r>
          </w:p>
        </w:tc>
      </w:tr>
      <w:tr>
        <w:trPr>
          <w:trHeight w:val="255"/>
        </w:trPr>
        <w:tc>
          <w:tcPr>
            <w:tcW w:w="1247"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Parlement</w:t>
            </w:r>
          </w:p>
        </w:tc>
        <w:tc>
          <w:tcPr>
            <w:tcW w:w="4889"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2 602</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2 518</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40</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2 557</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98 %</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35</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35</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10</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10</w:t>
            </w:r>
          </w:p>
        </w:tc>
      </w:tr>
      <w:tr>
        <w:trPr>
          <w:trHeight w:val="255"/>
        </w:trPr>
        <w:tc>
          <w:tcPr>
            <w:tcW w:w="1247"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Conseil</w:t>
            </w:r>
          </w:p>
        </w:tc>
        <w:tc>
          <w:tcPr>
            <w:tcW w:w="4889"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767</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691</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27</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718</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94 %</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25</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25</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23</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24</w:t>
            </w:r>
          </w:p>
        </w:tc>
      </w:tr>
      <w:tr>
        <w:trPr>
          <w:trHeight w:val="255"/>
        </w:trPr>
        <w:tc>
          <w:tcPr>
            <w:tcW w:w="1247"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Commission</w:t>
            </w:r>
          </w:p>
        </w:tc>
        <w:tc>
          <w:tcPr>
            <w:tcW w:w="4889"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222 335</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190 891</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1 579</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14 073</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206 542</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93 %</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2 126</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12 241</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14 367</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1 149</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33</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236</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1 418</w:t>
            </w:r>
          </w:p>
        </w:tc>
      </w:tr>
      <w:tr>
        <w:trPr>
          <w:trHeight w:val="255"/>
        </w:trPr>
        <w:tc>
          <w:tcPr>
            <w:tcW w:w="1247"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Cour de justice</w:t>
            </w:r>
          </w:p>
        </w:tc>
        <w:tc>
          <w:tcPr>
            <w:tcW w:w="4889"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538</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521</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522</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97 %</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16</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16</w:t>
            </w:r>
          </w:p>
        </w:tc>
      </w:tr>
      <w:tr>
        <w:trPr>
          <w:trHeight w:val="255"/>
        </w:trPr>
        <w:tc>
          <w:tcPr>
            <w:tcW w:w="1247"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Cour des comptes</w:t>
            </w:r>
          </w:p>
        </w:tc>
        <w:tc>
          <w:tcPr>
            <w:tcW w:w="4889"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195</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191</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192</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98 %</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3</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3</w:t>
            </w:r>
          </w:p>
        </w:tc>
      </w:tr>
      <w:tr>
        <w:trPr>
          <w:trHeight w:val="255"/>
        </w:trPr>
        <w:tc>
          <w:tcPr>
            <w:tcW w:w="1247"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Comité économique et social européen</w:t>
            </w:r>
          </w:p>
        </w:tc>
        <w:tc>
          <w:tcPr>
            <w:tcW w:w="4889"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180</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173</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4</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177</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98 %</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2</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2</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1247"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Comité des régions</w:t>
            </w:r>
          </w:p>
        </w:tc>
        <w:tc>
          <w:tcPr>
            <w:tcW w:w="4889"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135</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130</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2</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132</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98 %</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3</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3</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1247"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Médiateur européen</w:t>
            </w:r>
          </w:p>
        </w:tc>
        <w:tc>
          <w:tcPr>
            <w:tcW w:w="4889"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15</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15</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15</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95 %</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1247"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Contrôleur européen de la protection des données</w:t>
            </w:r>
          </w:p>
        </w:tc>
        <w:tc>
          <w:tcPr>
            <w:tcW w:w="4889"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27</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25</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25</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93 %</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2</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2</w:t>
            </w:r>
          </w:p>
        </w:tc>
      </w:tr>
      <w:tr>
        <w:trPr>
          <w:trHeight w:val="255"/>
        </w:trPr>
        <w:tc>
          <w:tcPr>
            <w:tcW w:w="1247"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Service européen pour l’action extérieure</w:t>
            </w:r>
          </w:p>
        </w:tc>
        <w:tc>
          <w:tcPr>
            <w:tcW w:w="4889"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1 308</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930</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307</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1 236</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94 %</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72</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72</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1247"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2Commitments"/>
              <w:rPr>
                <w:rFonts w:ascii="Verdana" w:eastAsia="Verdana" w:hAnsi="Verdana" w:cs="Verdana"/>
                <w:b/>
                <w:noProof/>
                <w:color w:val="000000"/>
                <w:sz w:val="16"/>
              </w:rPr>
            </w:pPr>
            <w:r>
              <w:rPr>
                <w:rFonts w:ascii="Verdana" w:hAnsi="Verdana"/>
                <w:b/>
                <w:noProof/>
                <w:color w:val="000000"/>
                <w:sz w:val="16"/>
              </w:rPr>
              <w:t>Somme:</w:t>
            </w:r>
          </w:p>
        </w:tc>
        <w:tc>
          <w:tcPr>
            <w:tcW w:w="4889"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2Commitments"/>
              <w:jc w:val="right"/>
              <w:rPr>
                <w:rFonts w:ascii="Verdana" w:eastAsia="Verdana" w:hAnsi="Verdana" w:cs="Verdana"/>
                <w:b/>
                <w:noProof/>
                <w:color w:val="000000"/>
                <w:sz w:val="16"/>
              </w:rPr>
            </w:pPr>
            <w:r>
              <w:rPr>
                <w:rFonts w:ascii="Verdana" w:hAnsi="Verdana"/>
                <w:b/>
                <w:noProof/>
                <w:color w:val="000000"/>
                <w:sz w:val="16"/>
              </w:rPr>
              <w:t>228 104</w:t>
            </w:r>
          </w:p>
        </w:tc>
        <w:tc>
          <w:tcPr>
            <w:tcW w:w="713"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2Commitments"/>
              <w:jc w:val="right"/>
              <w:rPr>
                <w:rFonts w:ascii="Verdana" w:eastAsia="Verdana" w:hAnsi="Verdana" w:cs="Verdana"/>
                <w:b/>
                <w:noProof/>
                <w:color w:val="000000"/>
                <w:sz w:val="16"/>
              </w:rPr>
            </w:pPr>
            <w:r>
              <w:rPr>
                <w:rFonts w:ascii="Verdana" w:hAnsi="Verdana"/>
                <w:b/>
                <w:noProof/>
                <w:color w:val="000000"/>
                <w:sz w:val="16"/>
              </w:rPr>
              <w:t>196 083</w:t>
            </w:r>
          </w:p>
        </w:tc>
        <w:tc>
          <w:tcPr>
            <w:tcW w:w="713"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2Commitments"/>
              <w:jc w:val="right"/>
              <w:rPr>
                <w:rFonts w:ascii="Verdana" w:eastAsia="Verdana" w:hAnsi="Verdana" w:cs="Verdana"/>
                <w:b/>
                <w:noProof/>
                <w:color w:val="000000"/>
                <w:sz w:val="16"/>
              </w:rPr>
            </w:pPr>
            <w:r>
              <w:rPr>
                <w:rFonts w:ascii="Verdana" w:hAnsi="Verdana"/>
                <w:b/>
                <w:noProof/>
                <w:color w:val="000000"/>
                <w:sz w:val="16"/>
              </w:rPr>
              <w:t>1 580</w:t>
            </w:r>
          </w:p>
        </w:tc>
        <w:tc>
          <w:tcPr>
            <w:tcW w:w="713"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2Commitments"/>
              <w:jc w:val="right"/>
              <w:rPr>
                <w:rFonts w:ascii="Verdana" w:eastAsia="Verdana" w:hAnsi="Verdana" w:cs="Verdana"/>
                <w:b/>
                <w:noProof/>
                <w:color w:val="000000"/>
                <w:sz w:val="16"/>
              </w:rPr>
            </w:pPr>
            <w:r>
              <w:rPr>
                <w:rFonts w:ascii="Verdana" w:hAnsi="Verdana"/>
                <w:b/>
                <w:noProof/>
                <w:color w:val="000000"/>
                <w:sz w:val="16"/>
              </w:rPr>
              <w:t>14 454</w:t>
            </w:r>
          </w:p>
        </w:tc>
        <w:tc>
          <w:tcPr>
            <w:tcW w:w="713"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2Commitments"/>
              <w:jc w:val="right"/>
              <w:rPr>
                <w:rFonts w:ascii="Verdana" w:eastAsia="Verdana" w:hAnsi="Verdana" w:cs="Verdana"/>
                <w:b/>
                <w:noProof/>
                <w:color w:val="000000"/>
                <w:sz w:val="16"/>
              </w:rPr>
            </w:pPr>
            <w:r>
              <w:rPr>
                <w:rFonts w:ascii="Verdana" w:hAnsi="Verdana"/>
                <w:b/>
                <w:noProof/>
                <w:color w:val="000000"/>
                <w:sz w:val="16"/>
              </w:rPr>
              <w:t>212 116</w:t>
            </w:r>
          </w:p>
        </w:tc>
        <w:tc>
          <w:tcPr>
            <w:tcW w:w="713"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2Commitments"/>
              <w:jc w:val="right"/>
              <w:rPr>
                <w:rFonts w:ascii="Verdana" w:eastAsia="Verdana" w:hAnsi="Verdana" w:cs="Verdana"/>
                <w:b/>
                <w:noProof/>
                <w:color w:val="000000"/>
                <w:sz w:val="16"/>
              </w:rPr>
            </w:pPr>
            <w:r>
              <w:rPr>
                <w:rFonts w:ascii="Verdana" w:hAnsi="Verdana"/>
                <w:b/>
                <w:noProof/>
                <w:color w:val="000000"/>
                <w:sz w:val="16"/>
              </w:rPr>
              <w:t>93 %</w:t>
            </w:r>
          </w:p>
        </w:tc>
        <w:tc>
          <w:tcPr>
            <w:tcW w:w="713"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2Commitments"/>
              <w:jc w:val="right"/>
              <w:rPr>
                <w:rFonts w:ascii="Verdana" w:eastAsia="Verdana" w:hAnsi="Verdana" w:cs="Verdana"/>
                <w:b/>
                <w:noProof/>
                <w:color w:val="000000"/>
                <w:sz w:val="16"/>
              </w:rPr>
            </w:pPr>
            <w:r>
              <w:rPr>
                <w:rFonts w:ascii="Verdana" w:hAnsi="Verdana"/>
                <w:b/>
                <w:noProof/>
                <w:color w:val="000000"/>
                <w:sz w:val="16"/>
              </w:rPr>
              <w:t>2 126</w:t>
            </w:r>
          </w:p>
        </w:tc>
        <w:tc>
          <w:tcPr>
            <w:tcW w:w="713"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2Commitments"/>
              <w:jc w:val="right"/>
              <w:rPr>
                <w:rFonts w:ascii="Verdana" w:eastAsia="Verdana" w:hAnsi="Verdana" w:cs="Verdana"/>
                <w:b/>
                <w:noProof/>
                <w:color w:val="000000"/>
                <w:sz w:val="16"/>
              </w:rPr>
            </w:pPr>
            <w:r>
              <w:rPr>
                <w:rFonts w:ascii="Verdana" w:hAnsi="Verdana"/>
                <w:b/>
                <w:noProof/>
                <w:color w:val="000000"/>
                <w:sz w:val="16"/>
              </w:rPr>
              <w:t>12 379</w:t>
            </w:r>
          </w:p>
        </w:tc>
        <w:tc>
          <w:tcPr>
            <w:tcW w:w="713"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2Commitments"/>
              <w:jc w:val="right"/>
              <w:rPr>
                <w:rFonts w:ascii="Verdana" w:eastAsia="Verdana" w:hAnsi="Verdana" w:cs="Verdana"/>
                <w:b/>
                <w:noProof/>
                <w:color w:val="000000"/>
                <w:sz w:val="16"/>
              </w:rPr>
            </w:pPr>
            <w:r>
              <w:rPr>
                <w:rFonts w:ascii="Verdana" w:hAnsi="Verdana"/>
                <w:b/>
                <w:noProof/>
                <w:color w:val="000000"/>
                <w:sz w:val="16"/>
              </w:rPr>
              <w:t>14 505</w:t>
            </w:r>
          </w:p>
        </w:tc>
        <w:tc>
          <w:tcPr>
            <w:tcW w:w="713"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2Commitments"/>
              <w:jc w:val="right"/>
              <w:rPr>
                <w:rFonts w:ascii="Verdana" w:eastAsia="Verdana" w:hAnsi="Verdana" w:cs="Verdana"/>
                <w:b/>
                <w:noProof/>
                <w:color w:val="000000"/>
                <w:sz w:val="16"/>
              </w:rPr>
            </w:pPr>
            <w:r>
              <w:rPr>
                <w:rFonts w:ascii="Verdana" w:hAnsi="Verdana"/>
                <w:b/>
                <w:noProof/>
                <w:color w:val="000000"/>
                <w:sz w:val="16"/>
              </w:rPr>
              <w:t>1 206</w:t>
            </w:r>
          </w:p>
        </w:tc>
        <w:tc>
          <w:tcPr>
            <w:tcW w:w="713"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2Commitments"/>
              <w:jc w:val="right"/>
              <w:rPr>
                <w:rFonts w:ascii="Verdana" w:eastAsia="Verdana" w:hAnsi="Verdana" w:cs="Verdana"/>
                <w:b/>
                <w:noProof/>
                <w:color w:val="000000"/>
                <w:sz w:val="16"/>
              </w:rPr>
            </w:pPr>
            <w:r>
              <w:rPr>
                <w:rFonts w:ascii="Verdana" w:hAnsi="Verdana"/>
                <w:b/>
                <w:noProof/>
                <w:color w:val="000000"/>
                <w:sz w:val="16"/>
              </w:rPr>
              <w:t xml:space="preserve"> 33</w:t>
            </w:r>
          </w:p>
        </w:tc>
        <w:tc>
          <w:tcPr>
            <w:tcW w:w="713"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2Commitments"/>
              <w:jc w:val="right"/>
              <w:rPr>
                <w:rFonts w:ascii="Verdana" w:eastAsia="Verdana" w:hAnsi="Verdana" w:cs="Verdana"/>
                <w:b/>
                <w:noProof/>
                <w:color w:val="000000"/>
                <w:sz w:val="16"/>
              </w:rPr>
            </w:pPr>
            <w:r>
              <w:rPr>
                <w:rFonts w:ascii="Verdana" w:hAnsi="Verdana"/>
                <w:b/>
                <w:noProof/>
                <w:color w:val="000000"/>
                <w:sz w:val="16"/>
              </w:rPr>
              <w:t xml:space="preserve"> 237</w:t>
            </w:r>
          </w:p>
        </w:tc>
        <w:tc>
          <w:tcPr>
            <w:tcW w:w="713"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2Commitments"/>
              <w:jc w:val="right"/>
              <w:rPr>
                <w:rFonts w:ascii="Verdana" w:eastAsia="Verdana" w:hAnsi="Verdana" w:cs="Verdana"/>
                <w:b/>
                <w:noProof/>
                <w:color w:val="000000"/>
                <w:sz w:val="16"/>
              </w:rPr>
            </w:pPr>
            <w:r>
              <w:rPr>
                <w:rFonts w:ascii="Verdana" w:hAnsi="Verdana"/>
                <w:b/>
                <w:noProof/>
                <w:color w:val="000000"/>
                <w:sz w:val="16"/>
              </w:rPr>
              <w:t>1 476</w:t>
            </w:r>
          </w:p>
        </w:tc>
      </w:tr>
    </w:tbl>
    <w:p>
      <w:pPr>
        <w:pStyle w:val="Textstand-alone"/>
      </w:pPr>
    </w:p>
    <w:p>
      <w:pPr>
        <w:pStyle w:val="Textstand-alone"/>
        <w:sectPr>
          <w:headerReference w:type="default" r:id="rId181"/>
          <w:footerReference w:type="default" r:id="rId182"/>
          <w:type w:val="nextColumn"/>
          <w:pgSz w:w="16840" w:h="11900" w:orient="landscape"/>
          <w:pgMar w:top="1134" w:right="1134" w:bottom="1134" w:left="1134" w:header="720" w:footer="720" w:gutter="0"/>
          <w:cols w:space="720"/>
        </w:sectPr>
      </w:pPr>
      <w:r>
        <w:t xml:space="preserve">       </w:t>
      </w:r>
    </w:p>
    <w:p>
      <w:pPr>
        <w:pStyle w:val="HEADER2PartBUDG"/>
        <w:rPr>
          <w:noProof/>
        </w:rPr>
      </w:pPr>
      <w:bookmarkStart w:id="323" w:name="_Toc237349647"/>
      <w:r>
        <w:rPr>
          <w:noProof/>
        </w:rPr>
        <w:lastRenderedPageBreak/>
        <w:t>EXÉCUTION DES CRÉDITS DE PAIEMENT</w:t>
      </w:r>
      <w:bookmarkEnd w:id="323"/>
      <w:r>
        <w:rPr>
          <w:noProof/>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1"/>
        <w:gridCol w:w="4468"/>
        <w:gridCol w:w="651"/>
        <w:gridCol w:w="652"/>
        <w:gridCol w:w="652"/>
        <w:gridCol w:w="652"/>
        <w:gridCol w:w="652"/>
        <w:gridCol w:w="652"/>
        <w:gridCol w:w="652"/>
        <w:gridCol w:w="652"/>
        <w:gridCol w:w="652"/>
        <w:gridCol w:w="652"/>
        <w:gridCol w:w="652"/>
        <w:gridCol w:w="652"/>
      </w:tblGrid>
      <w:tr>
        <w:trPr>
          <w:trHeight w:val="255"/>
        </w:trPr>
        <w:tc>
          <w:tcPr>
            <w:tcW w:w="2401" w:type="dxa"/>
            <w:tcBorders>
              <w:top w:val="nil"/>
              <w:left w:val="nil"/>
              <w:bottom w:val="nil"/>
              <w:right w:val="nil"/>
              <w:tl2br w:val="nil"/>
              <w:tr2bl w:val="nil"/>
            </w:tcBorders>
            <w:tcMar>
              <w:left w:w="60" w:type="dxa"/>
              <w:right w:w="60" w:type="dxa"/>
            </w:tcMar>
            <w:vAlign w:val="center"/>
          </w:tcPr>
          <w:p>
            <w:pPr>
              <w:pStyle w:val="DMETW36778BIPInstitutions3Payments"/>
              <w:jc w:val="center"/>
              <w:rPr>
                <w:rFonts w:ascii="Verdana" w:eastAsia="Verdana" w:hAnsi="Verdana" w:cs="Verdana"/>
                <w:noProof/>
                <w:color w:val="FFFFFF"/>
                <w:sz w:val="16"/>
                <w:lang w:bidi="en-GB"/>
              </w:rPr>
            </w:pPr>
          </w:p>
        </w:tc>
        <w:tc>
          <w:tcPr>
            <w:tcW w:w="4468" w:type="dxa"/>
            <w:tcBorders>
              <w:top w:val="nil"/>
              <w:left w:val="nil"/>
              <w:bottom w:val="nil"/>
              <w:right w:val="nil"/>
              <w:tl2br w:val="nil"/>
              <w:tr2bl w:val="nil"/>
            </w:tcBorders>
            <w:tcMar>
              <w:left w:w="60" w:type="dxa"/>
              <w:right w:w="60" w:type="dxa"/>
            </w:tcMar>
            <w:vAlign w:val="center"/>
          </w:tcPr>
          <w:p>
            <w:pPr>
              <w:pStyle w:val="DMETW36778BIPInstitutions3Payments"/>
              <w:jc w:val="center"/>
              <w:rPr>
                <w:rFonts w:ascii="Verdana" w:eastAsia="Verdana" w:hAnsi="Verdana" w:cs="Verdana"/>
                <w:b/>
                <w:noProof/>
                <w:color w:val="FFFFFF"/>
                <w:sz w:val="16"/>
              </w:rPr>
            </w:pPr>
          </w:p>
        </w:tc>
        <w:tc>
          <w:tcPr>
            <w:tcW w:w="3259" w:type="dxa"/>
            <w:gridSpan w:val="5"/>
            <w:tcBorders>
              <w:top w:val="nil"/>
              <w:left w:val="nil"/>
              <w:bottom w:val="nil"/>
              <w:right w:val="nil"/>
              <w:tl2br w:val="nil"/>
              <w:tr2bl w:val="nil"/>
            </w:tcBorders>
            <w:tcMar>
              <w:left w:w="60" w:type="dxa"/>
              <w:right w:w="60" w:type="dxa"/>
            </w:tcMar>
            <w:vAlign w:val="center"/>
          </w:tcPr>
          <w:p>
            <w:pPr>
              <w:pStyle w:val="DMETW36778BIPInstitutions3Payments"/>
              <w:jc w:val="center"/>
              <w:rPr>
                <w:rFonts w:ascii="Verdana" w:eastAsia="Verdana" w:hAnsi="Verdana" w:cs="Verdana"/>
                <w:b/>
                <w:noProof/>
                <w:color w:val="FFFFFF"/>
                <w:sz w:val="16"/>
              </w:rPr>
            </w:pPr>
          </w:p>
        </w:tc>
        <w:tc>
          <w:tcPr>
            <w:tcW w:w="1956" w:type="dxa"/>
            <w:gridSpan w:val="3"/>
            <w:tcBorders>
              <w:top w:val="nil"/>
              <w:left w:val="nil"/>
              <w:bottom w:val="nil"/>
              <w:right w:val="nil"/>
              <w:tl2br w:val="nil"/>
              <w:tr2bl w:val="nil"/>
            </w:tcBorders>
            <w:tcMar>
              <w:left w:w="60" w:type="dxa"/>
              <w:right w:w="60" w:type="dxa"/>
            </w:tcMar>
            <w:vAlign w:val="center"/>
          </w:tcPr>
          <w:p>
            <w:pPr>
              <w:pStyle w:val="DMETW36778BIPInstitutions3Payments"/>
              <w:jc w:val="center"/>
              <w:rPr>
                <w:rFonts w:ascii="Verdana" w:eastAsia="Verdana" w:hAnsi="Verdana" w:cs="Verdana"/>
                <w:b/>
                <w:noProof/>
                <w:color w:val="FFFFFF"/>
                <w:sz w:val="16"/>
              </w:rPr>
            </w:pPr>
          </w:p>
        </w:tc>
        <w:tc>
          <w:tcPr>
            <w:tcW w:w="2608" w:type="dxa"/>
            <w:gridSpan w:val="4"/>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bCs/>
                <w:i/>
                <w:iCs/>
                <w:noProof/>
                <w:color w:val="000000" w:themeColor="text1"/>
                <w:sz w:val="16"/>
              </w:rPr>
            </w:pPr>
            <w:r>
              <w:rPr>
                <w:rFonts w:ascii="Verdana" w:hAnsi="Verdana"/>
                <w:i/>
                <w:noProof/>
                <w:color w:val="000000" w:themeColor="text1"/>
                <w:sz w:val="16"/>
              </w:rPr>
              <w:t>en Mio EUR</w:t>
            </w:r>
          </w:p>
        </w:tc>
      </w:tr>
      <w:tr>
        <w:trPr>
          <w:trHeight w:val="255"/>
        </w:trPr>
        <w:tc>
          <w:tcPr>
            <w:tcW w:w="2401"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3Payments"/>
              <w:jc w:val="center"/>
              <w:rPr>
                <w:rFonts w:ascii="Verdana" w:eastAsia="Verdana" w:hAnsi="Verdana" w:cs="Verdana"/>
                <w:noProof/>
                <w:color w:val="FFFFFF"/>
                <w:sz w:val="16"/>
              </w:rPr>
            </w:pPr>
            <w:bookmarkStart w:id="324" w:name="DOC_TBL00126_1_1"/>
            <w:bookmarkEnd w:id="324"/>
          </w:p>
        </w:tc>
        <w:tc>
          <w:tcPr>
            <w:tcW w:w="4468"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778BIPInstitutions3Payments"/>
              <w:jc w:val="center"/>
              <w:rPr>
                <w:rFonts w:ascii="Verdana" w:eastAsia="Verdana" w:hAnsi="Verdana" w:cs="Verdana"/>
                <w:b/>
                <w:noProof/>
                <w:color w:val="FFFFFF"/>
                <w:sz w:val="16"/>
              </w:rPr>
            </w:pPr>
            <w:r>
              <w:rPr>
                <w:rFonts w:ascii="Verdana" w:hAnsi="Verdana"/>
                <w:b/>
                <w:noProof/>
                <w:color w:val="FFFFFF"/>
                <w:sz w:val="16"/>
              </w:rPr>
              <w:t>Total crédits disponibles</w:t>
            </w:r>
          </w:p>
        </w:tc>
        <w:tc>
          <w:tcPr>
            <w:tcW w:w="3259" w:type="dxa"/>
            <w:gridSpan w:val="5"/>
            <w:tcBorders>
              <w:top w:val="nil"/>
              <w:left w:val="nil"/>
              <w:bottom w:val="nil"/>
              <w:right w:val="nil"/>
              <w:tl2br w:val="nil"/>
              <w:tr2bl w:val="nil"/>
            </w:tcBorders>
            <w:shd w:val="solid" w:color="016794" w:fill="FFFFFF"/>
            <w:tcMar>
              <w:left w:w="60" w:type="dxa"/>
              <w:right w:w="60" w:type="dxa"/>
            </w:tcMar>
            <w:vAlign w:val="center"/>
          </w:tcPr>
          <w:p>
            <w:pPr>
              <w:pStyle w:val="DMETW36778BIPInstitutions3Payments"/>
              <w:jc w:val="center"/>
              <w:rPr>
                <w:rFonts w:ascii="Verdana" w:eastAsia="Verdana" w:hAnsi="Verdana" w:cs="Verdana"/>
                <w:b/>
                <w:noProof/>
                <w:color w:val="FFFFFF"/>
                <w:sz w:val="16"/>
              </w:rPr>
            </w:pPr>
            <w:r>
              <w:rPr>
                <w:rFonts w:ascii="Verdana" w:hAnsi="Verdana"/>
                <w:b/>
                <w:noProof/>
                <w:color w:val="FFFFFF"/>
                <w:sz w:val="16"/>
              </w:rPr>
              <w:t>Paiements exécutés</w:t>
            </w:r>
          </w:p>
        </w:tc>
        <w:tc>
          <w:tcPr>
            <w:tcW w:w="1956" w:type="dxa"/>
            <w:gridSpan w:val="3"/>
            <w:tcBorders>
              <w:top w:val="nil"/>
              <w:left w:val="nil"/>
              <w:bottom w:val="nil"/>
              <w:right w:val="nil"/>
              <w:tl2br w:val="nil"/>
              <w:tr2bl w:val="nil"/>
            </w:tcBorders>
            <w:shd w:val="solid" w:color="016794" w:fill="FFFFFF"/>
            <w:tcMar>
              <w:left w:w="60" w:type="dxa"/>
              <w:right w:w="60" w:type="dxa"/>
            </w:tcMar>
            <w:vAlign w:val="center"/>
          </w:tcPr>
          <w:p>
            <w:pPr>
              <w:pStyle w:val="DMETW36778BIPInstitutions3Payments"/>
              <w:jc w:val="center"/>
              <w:rPr>
                <w:rFonts w:ascii="Verdana" w:eastAsia="Verdana" w:hAnsi="Verdana" w:cs="Verdana"/>
                <w:b/>
                <w:noProof/>
                <w:color w:val="FFFFFF"/>
                <w:sz w:val="16"/>
              </w:rPr>
            </w:pPr>
            <w:r>
              <w:rPr>
                <w:rFonts w:ascii="Verdana" w:hAnsi="Verdana"/>
                <w:b/>
                <w:noProof/>
                <w:color w:val="FFFFFF"/>
                <w:sz w:val="16"/>
              </w:rPr>
              <w:t>Crédits reportés</w:t>
            </w:r>
          </w:p>
          <w:p>
            <w:pPr>
              <w:pStyle w:val="DMETW36778BIPInstitutions3Payments"/>
              <w:jc w:val="center"/>
              <w:rPr>
                <w:rFonts w:ascii="Verdana" w:eastAsia="Verdana" w:hAnsi="Verdana" w:cs="Verdana"/>
                <w:b/>
                <w:noProof/>
                <w:color w:val="FFFFFF"/>
                <w:sz w:val="16"/>
              </w:rPr>
            </w:pPr>
            <w:r>
              <w:rPr>
                <w:rFonts w:ascii="Verdana" w:hAnsi="Verdana"/>
                <w:b/>
                <w:noProof/>
                <w:color w:val="FFFFFF"/>
                <w:sz w:val="16"/>
              </w:rPr>
              <w:t>à 2026</w:t>
            </w:r>
          </w:p>
        </w:tc>
        <w:tc>
          <w:tcPr>
            <w:tcW w:w="2608" w:type="dxa"/>
            <w:gridSpan w:val="4"/>
            <w:tcBorders>
              <w:top w:val="nil"/>
              <w:left w:val="nil"/>
              <w:bottom w:val="nil"/>
              <w:right w:val="nil"/>
              <w:tl2br w:val="nil"/>
              <w:tr2bl w:val="nil"/>
            </w:tcBorders>
            <w:shd w:val="solid" w:color="016794" w:fill="FFFFFF"/>
            <w:tcMar>
              <w:left w:w="60" w:type="dxa"/>
              <w:right w:w="60" w:type="dxa"/>
            </w:tcMar>
            <w:vAlign w:val="center"/>
          </w:tcPr>
          <w:p>
            <w:pPr>
              <w:pStyle w:val="DMETW36778BIPInstitutions3Payments"/>
              <w:jc w:val="center"/>
              <w:rPr>
                <w:rFonts w:ascii="Verdana" w:eastAsia="Verdana" w:hAnsi="Verdana" w:cs="Verdana"/>
                <w:b/>
                <w:noProof/>
                <w:color w:val="FFFFFF"/>
                <w:sz w:val="16"/>
              </w:rPr>
            </w:pPr>
            <w:r>
              <w:rPr>
                <w:rFonts w:ascii="Verdana" w:hAnsi="Verdana"/>
                <w:b/>
                <w:noProof/>
                <w:color w:val="FFFFFF"/>
                <w:sz w:val="16"/>
              </w:rPr>
              <w:t>Annulations</w:t>
            </w:r>
          </w:p>
        </w:tc>
      </w:tr>
      <w:tr>
        <w:trPr>
          <w:trHeight w:val="255"/>
        </w:trPr>
        <w:tc>
          <w:tcPr>
            <w:tcW w:w="2401"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3Payments"/>
              <w:jc w:val="center"/>
              <w:rPr>
                <w:rFonts w:ascii="Verdana" w:eastAsia="Verdana" w:hAnsi="Verdana" w:cs="Verdana"/>
                <w:noProof/>
                <w:color w:val="FFFFFF"/>
                <w:sz w:val="16"/>
              </w:rPr>
            </w:pPr>
          </w:p>
        </w:tc>
        <w:tc>
          <w:tcPr>
            <w:tcW w:w="4468" w:type="dxa"/>
            <w:vMerge/>
            <w:tcBorders>
              <w:top w:val="nil"/>
              <w:left w:val="nil"/>
              <w:bottom w:val="nil"/>
              <w:right w:val="nil"/>
              <w:tl2br w:val="nil"/>
              <w:tr2bl w:val="nil"/>
            </w:tcBorders>
            <w:shd w:val="solid" w:color="016794" w:fill="FFFFFF"/>
            <w:tcMar>
              <w:left w:w="60" w:type="dxa"/>
              <w:right w:w="60" w:type="dxa"/>
            </w:tcMar>
            <w:vAlign w:val="center"/>
          </w:tcPr>
          <w:p>
            <w:pPr>
              <w:pStyle w:val="DMETW36778BIPInstitutions3Payments"/>
              <w:jc w:val="center"/>
              <w:rPr>
                <w:rFonts w:ascii="Verdana" w:eastAsia="Verdana" w:hAnsi="Verdana" w:cs="Verdana"/>
                <w:b/>
                <w:noProof/>
                <w:color w:val="FFFFFF"/>
                <w:sz w:val="16"/>
              </w:rPr>
            </w:pPr>
          </w:p>
        </w:tc>
        <w:tc>
          <w:tcPr>
            <w:tcW w:w="651"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3Payments"/>
              <w:jc w:val="center"/>
              <w:rPr>
                <w:rFonts w:ascii="Verdana" w:eastAsia="Verdana" w:hAnsi="Verdana" w:cs="Verdana"/>
                <w:noProof/>
                <w:color w:val="FFFFFF"/>
                <w:sz w:val="16"/>
              </w:rPr>
            </w:pPr>
            <w:r>
              <w:rPr>
                <w:rFonts w:ascii="Verdana" w:hAnsi="Verdana"/>
                <w:noProof/>
                <w:color w:val="FFFFFF"/>
                <w:sz w:val="16"/>
              </w:rPr>
              <w:t>sur budget définitif adopté</w:t>
            </w:r>
          </w:p>
        </w:tc>
        <w:tc>
          <w:tcPr>
            <w:tcW w:w="652"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3Payments"/>
              <w:jc w:val="center"/>
              <w:rPr>
                <w:rFonts w:ascii="Verdana" w:eastAsia="Verdana" w:hAnsi="Verdana" w:cs="Verdana"/>
                <w:noProof/>
                <w:color w:val="FFFFFF"/>
                <w:sz w:val="16"/>
              </w:rPr>
            </w:pPr>
            <w:r>
              <w:rPr>
                <w:rFonts w:ascii="Verdana" w:hAnsi="Verdana"/>
                <w:noProof/>
                <w:color w:val="FFFFFF"/>
                <w:sz w:val="16"/>
              </w:rPr>
              <w:t>sur crédits reportés</w:t>
            </w:r>
          </w:p>
        </w:tc>
        <w:tc>
          <w:tcPr>
            <w:tcW w:w="652"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3Payments"/>
              <w:jc w:val="center"/>
              <w:rPr>
                <w:rFonts w:ascii="Verdana" w:eastAsia="Verdana" w:hAnsi="Verdana" w:cs="Verdana"/>
                <w:noProof/>
                <w:color w:val="FFFFFF"/>
                <w:sz w:val="16"/>
              </w:rPr>
            </w:pPr>
            <w:r>
              <w:rPr>
                <w:rFonts w:ascii="Verdana" w:hAnsi="Verdana"/>
                <w:noProof/>
                <w:color w:val="FFFFFF"/>
                <w:sz w:val="16"/>
              </w:rPr>
              <w:t>sur recettes affectées</w:t>
            </w:r>
          </w:p>
        </w:tc>
        <w:tc>
          <w:tcPr>
            <w:tcW w:w="652"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3Payments"/>
              <w:jc w:val="center"/>
              <w:rPr>
                <w:rFonts w:ascii="Verdana" w:eastAsia="Verdana" w:hAnsi="Verdana" w:cs="Verdana"/>
                <w:noProof/>
                <w:color w:val="FFFFFF"/>
                <w:sz w:val="16"/>
              </w:rPr>
            </w:pPr>
            <w:r>
              <w:rPr>
                <w:rFonts w:ascii="Verdana" w:hAnsi="Verdana"/>
                <w:noProof/>
                <w:color w:val="FFFFFF"/>
                <w:sz w:val="16"/>
              </w:rPr>
              <w:t>Total</w:t>
            </w:r>
          </w:p>
        </w:tc>
        <w:tc>
          <w:tcPr>
            <w:tcW w:w="652"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3Payments"/>
              <w:jc w:val="center"/>
              <w:rPr>
                <w:rFonts w:ascii="Verdana" w:eastAsia="Verdana" w:hAnsi="Verdana" w:cs="Verdana"/>
                <w:noProof/>
                <w:color w:val="FFFFFF"/>
                <w:sz w:val="16"/>
              </w:rPr>
            </w:pPr>
            <w:r>
              <w:rPr>
                <w:rFonts w:ascii="Verdana" w:hAnsi="Verdana"/>
                <w:noProof/>
                <w:color w:val="FFFFFF"/>
                <w:sz w:val="16"/>
              </w:rPr>
              <w:t>%</w:t>
            </w:r>
          </w:p>
        </w:tc>
        <w:tc>
          <w:tcPr>
            <w:tcW w:w="652"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3Payments"/>
              <w:jc w:val="center"/>
              <w:rPr>
                <w:rFonts w:ascii="Verdana" w:eastAsia="Verdana" w:hAnsi="Verdana" w:cs="Verdana"/>
                <w:noProof/>
                <w:color w:val="FFFFFF"/>
                <w:sz w:val="16"/>
              </w:rPr>
            </w:pPr>
            <w:r>
              <w:rPr>
                <w:rFonts w:ascii="Verdana" w:hAnsi="Verdana"/>
                <w:noProof/>
                <w:color w:val="FFFFFF"/>
                <w:sz w:val="16"/>
              </w:rPr>
              <w:t>sur budget définitif adopté</w:t>
            </w:r>
          </w:p>
        </w:tc>
        <w:tc>
          <w:tcPr>
            <w:tcW w:w="652"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3Payments"/>
              <w:jc w:val="center"/>
              <w:rPr>
                <w:rFonts w:ascii="Verdana" w:eastAsia="Verdana" w:hAnsi="Verdana" w:cs="Verdana"/>
                <w:noProof/>
                <w:color w:val="FFFFFF"/>
                <w:sz w:val="16"/>
              </w:rPr>
            </w:pPr>
            <w:r>
              <w:rPr>
                <w:rFonts w:ascii="Verdana" w:hAnsi="Verdana"/>
                <w:noProof/>
                <w:color w:val="FFFFFF"/>
                <w:sz w:val="16"/>
              </w:rPr>
              <w:t>sur recettes affectées</w:t>
            </w:r>
          </w:p>
        </w:tc>
        <w:tc>
          <w:tcPr>
            <w:tcW w:w="652"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3Payments"/>
              <w:jc w:val="center"/>
              <w:rPr>
                <w:rFonts w:ascii="Verdana" w:eastAsia="Verdana" w:hAnsi="Verdana" w:cs="Verdana"/>
                <w:noProof/>
                <w:color w:val="FFFFFF"/>
                <w:sz w:val="16"/>
              </w:rPr>
            </w:pPr>
            <w:r>
              <w:rPr>
                <w:rFonts w:ascii="Verdana" w:hAnsi="Verdana"/>
                <w:noProof/>
                <w:color w:val="FFFFFF"/>
                <w:sz w:val="16"/>
              </w:rPr>
              <w:t>Total</w:t>
            </w:r>
          </w:p>
        </w:tc>
        <w:tc>
          <w:tcPr>
            <w:tcW w:w="652"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3Payments"/>
              <w:jc w:val="center"/>
              <w:rPr>
                <w:rFonts w:ascii="Verdana" w:eastAsia="Verdana" w:hAnsi="Verdana" w:cs="Verdana"/>
                <w:noProof/>
                <w:color w:val="FFFFFF"/>
                <w:sz w:val="16"/>
              </w:rPr>
            </w:pPr>
            <w:r>
              <w:rPr>
                <w:rFonts w:ascii="Verdana" w:hAnsi="Verdana"/>
                <w:noProof/>
                <w:color w:val="FFFFFF"/>
                <w:sz w:val="16"/>
              </w:rPr>
              <w:t>sur budget définitif adopté</w:t>
            </w:r>
          </w:p>
        </w:tc>
        <w:tc>
          <w:tcPr>
            <w:tcW w:w="652"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3Payments"/>
              <w:jc w:val="center"/>
              <w:rPr>
                <w:rFonts w:ascii="Verdana" w:eastAsia="Verdana" w:hAnsi="Verdana" w:cs="Verdana"/>
                <w:noProof/>
                <w:color w:val="FFFFFF"/>
                <w:sz w:val="16"/>
              </w:rPr>
            </w:pPr>
            <w:r>
              <w:rPr>
                <w:rFonts w:ascii="Verdana" w:hAnsi="Verdana"/>
                <w:noProof/>
                <w:color w:val="FFFFFF"/>
                <w:sz w:val="16"/>
              </w:rPr>
              <w:t>sur crédits reportés</w:t>
            </w:r>
          </w:p>
        </w:tc>
        <w:tc>
          <w:tcPr>
            <w:tcW w:w="652"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3Payments"/>
              <w:jc w:val="center"/>
              <w:rPr>
                <w:rFonts w:ascii="Verdana" w:eastAsia="Verdana" w:hAnsi="Verdana" w:cs="Verdana"/>
                <w:noProof/>
                <w:color w:val="FFFFFF"/>
                <w:sz w:val="16"/>
              </w:rPr>
            </w:pPr>
            <w:r>
              <w:rPr>
                <w:rFonts w:ascii="Verdana" w:hAnsi="Verdana"/>
                <w:noProof/>
                <w:color w:val="FFFFFF"/>
                <w:sz w:val="16"/>
              </w:rPr>
              <w:t>sur recettes affectées</w:t>
            </w:r>
          </w:p>
        </w:tc>
        <w:tc>
          <w:tcPr>
            <w:tcW w:w="652"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3Payments"/>
              <w:jc w:val="center"/>
              <w:rPr>
                <w:rFonts w:ascii="Verdana" w:eastAsia="Verdana" w:hAnsi="Verdana" w:cs="Verdana"/>
                <w:noProof/>
                <w:color w:val="FFFFFF"/>
                <w:sz w:val="16"/>
              </w:rPr>
            </w:pPr>
            <w:r>
              <w:rPr>
                <w:rFonts w:ascii="Verdana" w:hAnsi="Verdana"/>
                <w:noProof/>
                <w:color w:val="FFFFFF"/>
                <w:sz w:val="16"/>
              </w:rPr>
              <w:t>Total</w:t>
            </w:r>
          </w:p>
        </w:tc>
      </w:tr>
      <w:tr>
        <w:trPr>
          <w:trHeight w:val="255"/>
        </w:trPr>
        <w:tc>
          <w:tcPr>
            <w:tcW w:w="2401" w:type="dxa"/>
            <w:tcBorders>
              <w:top w:val="nil"/>
              <w:left w:val="nil"/>
              <w:bottom w:val="nil"/>
              <w:right w:val="nil"/>
              <w:tl2br w:val="nil"/>
              <w:tr2bl w:val="nil"/>
            </w:tcBorders>
            <w:shd w:val="solid" w:color="3486A9" w:fill="FFFFFF"/>
            <w:tcMar>
              <w:left w:w="60" w:type="dxa"/>
              <w:right w:w="60" w:type="dxa"/>
            </w:tcMar>
            <w:vAlign w:val="center"/>
          </w:tcPr>
          <w:p>
            <w:pPr>
              <w:pStyle w:val="DMETW36778BIPInstitutions3Payments"/>
              <w:jc w:val="center"/>
              <w:rPr>
                <w:rFonts w:ascii="Verdana" w:eastAsia="Verdana" w:hAnsi="Verdana" w:cs="Verdana"/>
                <w:noProof/>
                <w:color w:val="FFFFFF"/>
                <w:sz w:val="16"/>
              </w:rPr>
            </w:pPr>
          </w:p>
        </w:tc>
        <w:tc>
          <w:tcPr>
            <w:tcW w:w="4468" w:type="dxa"/>
            <w:tcBorders>
              <w:top w:val="nil"/>
              <w:left w:val="nil"/>
              <w:bottom w:val="nil"/>
              <w:right w:val="nil"/>
              <w:tl2br w:val="nil"/>
              <w:tr2bl w:val="nil"/>
            </w:tcBorders>
            <w:shd w:val="solid" w:color="3486A9" w:fill="FFFFFF"/>
            <w:tcMar>
              <w:left w:w="60" w:type="dxa"/>
              <w:right w:w="60" w:type="dxa"/>
            </w:tcMar>
            <w:vAlign w:val="center"/>
          </w:tcPr>
          <w:p>
            <w:pPr>
              <w:pStyle w:val="DMETW36778BIPInstitutions3Payments"/>
              <w:jc w:val="center"/>
              <w:rPr>
                <w:rFonts w:ascii="Verdana" w:eastAsia="Verdana" w:hAnsi="Verdana" w:cs="Verdana"/>
                <w:noProof/>
                <w:color w:val="FFFFFF"/>
                <w:sz w:val="16"/>
              </w:rPr>
            </w:pPr>
            <w:r>
              <w:rPr>
                <w:rFonts w:ascii="Verdana" w:hAnsi="Verdana"/>
                <w:noProof/>
                <w:color w:val="FFFFFF"/>
                <w:sz w:val="16"/>
              </w:rPr>
              <w:t>1</w:t>
            </w:r>
          </w:p>
        </w:tc>
        <w:tc>
          <w:tcPr>
            <w:tcW w:w="651" w:type="dxa"/>
            <w:tcBorders>
              <w:top w:val="nil"/>
              <w:left w:val="nil"/>
              <w:bottom w:val="nil"/>
              <w:right w:val="nil"/>
              <w:tl2br w:val="nil"/>
              <w:tr2bl w:val="nil"/>
            </w:tcBorders>
            <w:shd w:val="solid" w:color="3486A9" w:fill="FFFFFF"/>
            <w:tcMar>
              <w:left w:w="60" w:type="dxa"/>
              <w:right w:w="60" w:type="dxa"/>
            </w:tcMar>
            <w:vAlign w:val="center"/>
          </w:tcPr>
          <w:p>
            <w:pPr>
              <w:pStyle w:val="DMETW36778BIPInstitutions3Payments"/>
              <w:jc w:val="center"/>
              <w:rPr>
                <w:rFonts w:ascii="Verdana" w:eastAsia="Verdana" w:hAnsi="Verdana" w:cs="Verdana"/>
                <w:noProof/>
                <w:color w:val="FFFFFF"/>
                <w:sz w:val="16"/>
              </w:rPr>
            </w:pPr>
            <w:r>
              <w:rPr>
                <w:rFonts w:ascii="Verdana" w:hAnsi="Verdana"/>
                <w:noProof/>
                <w:color w:val="FFFFFF"/>
                <w:sz w:val="16"/>
              </w:rPr>
              <w:t>2</w:t>
            </w:r>
          </w:p>
        </w:tc>
        <w:tc>
          <w:tcPr>
            <w:tcW w:w="652" w:type="dxa"/>
            <w:tcBorders>
              <w:top w:val="nil"/>
              <w:left w:val="nil"/>
              <w:bottom w:val="nil"/>
              <w:right w:val="nil"/>
              <w:tl2br w:val="nil"/>
              <w:tr2bl w:val="nil"/>
            </w:tcBorders>
            <w:shd w:val="solid" w:color="3486A9" w:fill="FFFFFF"/>
            <w:tcMar>
              <w:left w:w="60" w:type="dxa"/>
              <w:right w:w="60" w:type="dxa"/>
            </w:tcMar>
            <w:vAlign w:val="center"/>
          </w:tcPr>
          <w:p>
            <w:pPr>
              <w:pStyle w:val="DMETW36778BIPInstitutions3Payments"/>
              <w:jc w:val="center"/>
              <w:rPr>
                <w:rFonts w:ascii="Verdana" w:eastAsia="Verdana" w:hAnsi="Verdana" w:cs="Verdana"/>
                <w:noProof/>
                <w:color w:val="FFFFFF"/>
                <w:sz w:val="16"/>
              </w:rPr>
            </w:pPr>
            <w:r>
              <w:rPr>
                <w:rFonts w:ascii="Verdana" w:hAnsi="Verdana"/>
                <w:noProof/>
                <w:color w:val="FFFFFF"/>
                <w:sz w:val="16"/>
              </w:rPr>
              <w:t>3</w:t>
            </w:r>
          </w:p>
        </w:tc>
        <w:tc>
          <w:tcPr>
            <w:tcW w:w="652" w:type="dxa"/>
            <w:tcBorders>
              <w:top w:val="nil"/>
              <w:left w:val="nil"/>
              <w:bottom w:val="nil"/>
              <w:right w:val="nil"/>
              <w:tl2br w:val="nil"/>
              <w:tr2bl w:val="nil"/>
            </w:tcBorders>
            <w:shd w:val="solid" w:color="3486A9" w:fill="FFFFFF"/>
            <w:tcMar>
              <w:left w:w="60" w:type="dxa"/>
              <w:right w:w="60" w:type="dxa"/>
            </w:tcMar>
            <w:vAlign w:val="center"/>
          </w:tcPr>
          <w:p>
            <w:pPr>
              <w:pStyle w:val="DMETW36778BIPInstitutions3Payments"/>
              <w:jc w:val="center"/>
              <w:rPr>
                <w:rFonts w:ascii="Verdana" w:eastAsia="Verdana" w:hAnsi="Verdana" w:cs="Verdana"/>
                <w:noProof/>
                <w:color w:val="FFFFFF"/>
                <w:sz w:val="16"/>
              </w:rPr>
            </w:pPr>
            <w:r>
              <w:rPr>
                <w:rFonts w:ascii="Verdana" w:hAnsi="Verdana"/>
                <w:noProof/>
                <w:color w:val="FFFFFF"/>
                <w:sz w:val="16"/>
              </w:rPr>
              <w:t>4</w:t>
            </w:r>
          </w:p>
        </w:tc>
        <w:tc>
          <w:tcPr>
            <w:tcW w:w="652" w:type="dxa"/>
            <w:tcBorders>
              <w:top w:val="nil"/>
              <w:left w:val="nil"/>
              <w:bottom w:val="nil"/>
              <w:right w:val="nil"/>
              <w:tl2br w:val="nil"/>
              <w:tr2bl w:val="nil"/>
            </w:tcBorders>
            <w:shd w:val="solid" w:color="3486A9" w:fill="FFFFFF"/>
            <w:tcMar>
              <w:left w:w="60" w:type="dxa"/>
              <w:right w:w="60" w:type="dxa"/>
            </w:tcMar>
            <w:vAlign w:val="center"/>
          </w:tcPr>
          <w:p>
            <w:pPr>
              <w:pStyle w:val="DMETW36778BIPInstitutions3Payments"/>
              <w:jc w:val="center"/>
              <w:rPr>
                <w:rFonts w:ascii="Verdana" w:eastAsia="Verdana" w:hAnsi="Verdana" w:cs="Verdana"/>
                <w:noProof/>
                <w:color w:val="FFFFFF"/>
                <w:sz w:val="16"/>
              </w:rPr>
            </w:pPr>
            <w:r>
              <w:rPr>
                <w:rFonts w:ascii="Verdana" w:hAnsi="Verdana"/>
                <w:noProof/>
                <w:color w:val="FFFFFF"/>
                <w:sz w:val="16"/>
              </w:rPr>
              <w:t>5=2+3+4</w:t>
            </w:r>
          </w:p>
        </w:tc>
        <w:tc>
          <w:tcPr>
            <w:tcW w:w="652" w:type="dxa"/>
            <w:tcBorders>
              <w:top w:val="nil"/>
              <w:left w:val="nil"/>
              <w:bottom w:val="nil"/>
              <w:right w:val="nil"/>
              <w:tl2br w:val="nil"/>
              <w:tr2bl w:val="nil"/>
            </w:tcBorders>
            <w:shd w:val="solid" w:color="3486A9" w:fill="FFFFFF"/>
            <w:tcMar>
              <w:left w:w="60" w:type="dxa"/>
              <w:right w:w="60" w:type="dxa"/>
            </w:tcMar>
            <w:vAlign w:val="center"/>
          </w:tcPr>
          <w:p>
            <w:pPr>
              <w:pStyle w:val="DMETW36778BIPInstitutions3Payments"/>
              <w:jc w:val="center"/>
              <w:rPr>
                <w:rFonts w:ascii="Verdana" w:eastAsia="Verdana" w:hAnsi="Verdana" w:cs="Verdana"/>
                <w:noProof/>
                <w:color w:val="FFFFFF"/>
                <w:sz w:val="16"/>
              </w:rPr>
            </w:pPr>
            <w:r>
              <w:rPr>
                <w:rFonts w:ascii="Verdana" w:hAnsi="Verdana"/>
                <w:noProof/>
                <w:color w:val="FFFFFF"/>
                <w:sz w:val="16"/>
              </w:rPr>
              <w:t>6=5/1</w:t>
            </w:r>
          </w:p>
        </w:tc>
        <w:tc>
          <w:tcPr>
            <w:tcW w:w="652" w:type="dxa"/>
            <w:tcBorders>
              <w:top w:val="nil"/>
              <w:left w:val="nil"/>
              <w:bottom w:val="nil"/>
              <w:right w:val="nil"/>
              <w:tl2br w:val="nil"/>
              <w:tr2bl w:val="nil"/>
            </w:tcBorders>
            <w:shd w:val="solid" w:color="3486A9" w:fill="FFFFFF"/>
            <w:tcMar>
              <w:left w:w="60" w:type="dxa"/>
              <w:right w:w="60" w:type="dxa"/>
            </w:tcMar>
            <w:vAlign w:val="center"/>
          </w:tcPr>
          <w:p>
            <w:pPr>
              <w:pStyle w:val="DMETW36778BIPInstitutions3Payments"/>
              <w:jc w:val="center"/>
              <w:rPr>
                <w:rFonts w:ascii="Verdana" w:eastAsia="Verdana" w:hAnsi="Verdana" w:cs="Verdana"/>
                <w:noProof/>
                <w:color w:val="FFFFFF"/>
                <w:sz w:val="16"/>
              </w:rPr>
            </w:pPr>
            <w:r>
              <w:rPr>
                <w:rFonts w:ascii="Verdana" w:hAnsi="Verdana"/>
                <w:noProof/>
                <w:color w:val="FFFFFF"/>
                <w:sz w:val="16"/>
              </w:rPr>
              <w:t>7</w:t>
            </w:r>
          </w:p>
        </w:tc>
        <w:tc>
          <w:tcPr>
            <w:tcW w:w="652" w:type="dxa"/>
            <w:tcBorders>
              <w:top w:val="nil"/>
              <w:left w:val="nil"/>
              <w:bottom w:val="nil"/>
              <w:right w:val="nil"/>
              <w:tl2br w:val="nil"/>
              <w:tr2bl w:val="nil"/>
            </w:tcBorders>
            <w:shd w:val="solid" w:color="3486A9" w:fill="FFFFFF"/>
            <w:tcMar>
              <w:left w:w="60" w:type="dxa"/>
              <w:right w:w="60" w:type="dxa"/>
            </w:tcMar>
            <w:vAlign w:val="center"/>
          </w:tcPr>
          <w:p>
            <w:pPr>
              <w:pStyle w:val="DMETW36778BIPInstitutions3Payments"/>
              <w:jc w:val="center"/>
              <w:rPr>
                <w:rFonts w:ascii="Verdana" w:eastAsia="Verdana" w:hAnsi="Verdana" w:cs="Verdana"/>
                <w:noProof/>
                <w:color w:val="FFFFFF"/>
                <w:sz w:val="16"/>
              </w:rPr>
            </w:pPr>
            <w:r>
              <w:rPr>
                <w:rFonts w:ascii="Verdana" w:hAnsi="Verdana"/>
                <w:noProof/>
                <w:color w:val="FFFFFF"/>
                <w:sz w:val="16"/>
              </w:rPr>
              <w:t>8</w:t>
            </w:r>
          </w:p>
        </w:tc>
        <w:tc>
          <w:tcPr>
            <w:tcW w:w="652" w:type="dxa"/>
            <w:tcBorders>
              <w:top w:val="nil"/>
              <w:left w:val="nil"/>
              <w:bottom w:val="nil"/>
              <w:right w:val="nil"/>
              <w:tl2br w:val="nil"/>
              <w:tr2bl w:val="nil"/>
            </w:tcBorders>
            <w:shd w:val="solid" w:color="3486A9" w:fill="FFFFFF"/>
            <w:tcMar>
              <w:left w:w="60" w:type="dxa"/>
              <w:right w:w="60" w:type="dxa"/>
            </w:tcMar>
            <w:vAlign w:val="center"/>
          </w:tcPr>
          <w:p>
            <w:pPr>
              <w:pStyle w:val="DMETW36778BIPInstitutions3Payments"/>
              <w:jc w:val="center"/>
              <w:rPr>
                <w:rFonts w:ascii="Verdana" w:eastAsia="Verdana" w:hAnsi="Verdana" w:cs="Verdana"/>
                <w:noProof/>
                <w:color w:val="FFFFFF"/>
                <w:sz w:val="16"/>
              </w:rPr>
            </w:pPr>
            <w:r>
              <w:rPr>
                <w:rFonts w:ascii="Verdana" w:hAnsi="Verdana"/>
                <w:noProof/>
                <w:color w:val="FFFFFF"/>
                <w:sz w:val="16"/>
              </w:rPr>
              <w:t>9</w:t>
            </w:r>
          </w:p>
        </w:tc>
        <w:tc>
          <w:tcPr>
            <w:tcW w:w="652" w:type="dxa"/>
            <w:tcBorders>
              <w:top w:val="nil"/>
              <w:left w:val="nil"/>
              <w:bottom w:val="nil"/>
              <w:right w:val="nil"/>
              <w:tl2br w:val="nil"/>
              <w:tr2bl w:val="nil"/>
            </w:tcBorders>
            <w:shd w:val="solid" w:color="3486A9" w:fill="FFFFFF"/>
            <w:tcMar>
              <w:left w:w="60" w:type="dxa"/>
              <w:right w:w="60" w:type="dxa"/>
            </w:tcMar>
            <w:vAlign w:val="center"/>
          </w:tcPr>
          <w:p>
            <w:pPr>
              <w:pStyle w:val="DMETW36778BIPInstitutions3Payments"/>
              <w:jc w:val="center"/>
              <w:rPr>
                <w:rFonts w:ascii="Verdana" w:eastAsia="Verdana" w:hAnsi="Verdana" w:cs="Verdana"/>
                <w:noProof/>
                <w:color w:val="FFFFFF"/>
                <w:sz w:val="16"/>
              </w:rPr>
            </w:pPr>
            <w:r>
              <w:rPr>
                <w:rFonts w:ascii="Verdana" w:hAnsi="Verdana"/>
                <w:noProof/>
                <w:color w:val="FFFFFF"/>
                <w:sz w:val="16"/>
              </w:rPr>
              <w:t>10</w:t>
            </w:r>
          </w:p>
        </w:tc>
        <w:tc>
          <w:tcPr>
            <w:tcW w:w="652" w:type="dxa"/>
            <w:tcBorders>
              <w:top w:val="nil"/>
              <w:left w:val="nil"/>
              <w:bottom w:val="nil"/>
              <w:right w:val="nil"/>
              <w:tl2br w:val="nil"/>
              <w:tr2bl w:val="nil"/>
            </w:tcBorders>
            <w:shd w:val="solid" w:color="3486A9" w:fill="FFFFFF"/>
            <w:tcMar>
              <w:left w:w="60" w:type="dxa"/>
              <w:right w:w="60" w:type="dxa"/>
            </w:tcMar>
            <w:vAlign w:val="center"/>
          </w:tcPr>
          <w:p>
            <w:pPr>
              <w:pStyle w:val="DMETW36778BIPInstitutions3Payments"/>
              <w:jc w:val="center"/>
              <w:rPr>
                <w:rFonts w:ascii="Verdana" w:eastAsia="Verdana" w:hAnsi="Verdana" w:cs="Verdana"/>
                <w:noProof/>
                <w:color w:val="FFFFFF"/>
                <w:sz w:val="16"/>
              </w:rPr>
            </w:pPr>
            <w:r>
              <w:rPr>
                <w:rFonts w:ascii="Verdana" w:hAnsi="Verdana"/>
                <w:noProof/>
                <w:color w:val="FFFFFF"/>
                <w:sz w:val="16"/>
              </w:rPr>
              <w:t>11</w:t>
            </w:r>
          </w:p>
        </w:tc>
        <w:tc>
          <w:tcPr>
            <w:tcW w:w="652" w:type="dxa"/>
            <w:tcBorders>
              <w:top w:val="nil"/>
              <w:left w:val="nil"/>
              <w:bottom w:val="nil"/>
              <w:right w:val="nil"/>
              <w:tl2br w:val="nil"/>
              <w:tr2bl w:val="nil"/>
            </w:tcBorders>
            <w:shd w:val="solid" w:color="3486A9" w:fill="FFFFFF"/>
            <w:tcMar>
              <w:left w:w="60" w:type="dxa"/>
              <w:right w:w="60" w:type="dxa"/>
            </w:tcMar>
            <w:vAlign w:val="center"/>
          </w:tcPr>
          <w:p>
            <w:pPr>
              <w:pStyle w:val="DMETW36778BIPInstitutions3Payments"/>
              <w:jc w:val="center"/>
              <w:rPr>
                <w:rFonts w:ascii="Verdana" w:eastAsia="Verdana" w:hAnsi="Verdana" w:cs="Verdana"/>
                <w:noProof/>
                <w:color w:val="FFFFFF"/>
                <w:sz w:val="16"/>
              </w:rPr>
            </w:pPr>
            <w:r>
              <w:rPr>
                <w:rFonts w:ascii="Verdana" w:hAnsi="Verdana"/>
                <w:noProof/>
                <w:color w:val="FFFFFF"/>
                <w:sz w:val="16"/>
              </w:rPr>
              <w:t>12</w:t>
            </w:r>
          </w:p>
        </w:tc>
        <w:tc>
          <w:tcPr>
            <w:tcW w:w="652" w:type="dxa"/>
            <w:tcBorders>
              <w:top w:val="nil"/>
              <w:left w:val="nil"/>
              <w:bottom w:val="nil"/>
              <w:right w:val="nil"/>
              <w:tl2br w:val="nil"/>
              <w:tr2bl w:val="nil"/>
            </w:tcBorders>
            <w:shd w:val="solid" w:color="3486A9" w:fill="FFFFFF"/>
            <w:tcMar>
              <w:left w:w="60" w:type="dxa"/>
              <w:right w:w="60" w:type="dxa"/>
            </w:tcMar>
            <w:vAlign w:val="center"/>
          </w:tcPr>
          <w:p>
            <w:pPr>
              <w:pStyle w:val="DMETW36778BIPInstitutions3Payments"/>
              <w:jc w:val="center"/>
              <w:rPr>
                <w:rFonts w:ascii="Verdana" w:eastAsia="Verdana" w:hAnsi="Verdana" w:cs="Verdana"/>
                <w:noProof/>
                <w:color w:val="FFFFFF"/>
                <w:sz w:val="16"/>
              </w:rPr>
            </w:pPr>
            <w:r>
              <w:rPr>
                <w:rFonts w:ascii="Verdana" w:hAnsi="Verdana"/>
                <w:noProof/>
                <w:color w:val="FFFFFF"/>
                <w:sz w:val="16"/>
              </w:rPr>
              <w:t>13=10+</w:t>
            </w:r>
          </w:p>
          <w:p>
            <w:pPr>
              <w:pStyle w:val="DMETW36778BIPInstitutions3Payments"/>
              <w:jc w:val="center"/>
              <w:rPr>
                <w:rFonts w:ascii="Verdana" w:eastAsia="Verdana" w:hAnsi="Verdana" w:cs="Verdana"/>
                <w:noProof/>
                <w:color w:val="FFFFFF"/>
                <w:sz w:val="16"/>
              </w:rPr>
            </w:pPr>
            <w:r>
              <w:rPr>
                <w:rFonts w:ascii="Verdana" w:hAnsi="Verdana"/>
                <w:noProof/>
                <w:color w:val="FFFFFF"/>
                <w:sz w:val="16"/>
              </w:rPr>
              <w:t>11+12</w:t>
            </w:r>
          </w:p>
        </w:tc>
      </w:tr>
      <w:tr>
        <w:trPr>
          <w:trHeight w:val="255"/>
        </w:trPr>
        <w:tc>
          <w:tcPr>
            <w:tcW w:w="2401"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Parlement</w:t>
            </w:r>
          </w:p>
        </w:tc>
        <w:tc>
          <w:tcPr>
            <w:tcW w:w="4468"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2 948</w:t>
            </w:r>
          </w:p>
        </w:tc>
        <w:tc>
          <w:tcPr>
            <w:tcW w:w="651"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2 157</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307</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41</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2 504</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85 %</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361</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42</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403</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10</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30</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41</w:t>
            </w:r>
          </w:p>
        </w:tc>
      </w:tr>
      <w:tr>
        <w:trPr>
          <w:trHeight w:val="255"/>
        </w:trPr>
        <w:tc>
          <w:tcPr>
            <w:tcW w:w="2401"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Conseil</w:t>
            </w:r>
          </w:p>
        </w:tc>
        <w:tc>
          <w:tcPr>
            <w:tcW w:w="4468"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846</w:t>
            </w:r>
          </w:p>
        </w:tc>
        <w:tc>
          <w:tcPr>
            <w:tcW w:w="651"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604</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74</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24</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703</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83 %</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87</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28</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115</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23</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4</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0</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28</w:t>
            </w:r>
          </w:p>
        </w:tc>
      </w:tr>
      <w:tr>
        <w:trPr>
          <w:trHeight w:val="255"/>
        </w:trPr>
        <w:tc>
          <w:tcPr>
            <w:tcW w:w="2401"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Commission</w:t>
            </w:r>
          </w:p>
        </w:tc>
        <w:tc>
          <w:tcPr>
            <w:tcW w:w="4468"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244 557</w:t>
            </w:r>
          </w:p>
        </w:tc>
        <w:tc>
          <w:tcPr>
            <w:tcW w:w="651"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150 611</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3 016</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57 305</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210 932</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86 %</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5 424</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28 062</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33 486</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54</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42</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10</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106</w:t>
            </w:r>
          </w:p>
        </w:tc>
      </w:tr>
      <w:tr>
        <w:trPr>
          <w:trHeight w:val="255"/>
        </w:trPr>
        <w:tc>
          <w:tcPr>
            <w:tcW w:w="2401"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Cour de justice</w:t>
            </w:r>
          </w:p>
        </w:tc>
        <w:tc>
          <w:tcPr>
            <w:tcW w:w="4468"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571</w:t>
            </w:r>
          </w:p>
        </w:tc>
        <w:tc>
          <w:tcPr>
            <w:tcW w:w="651"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484</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28</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513</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90 %</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36</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0</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37</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16</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4</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0</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21</w:t>
            </w:r>
          </w:p>
        </w:tc>
      </w:tr>
      <w:tr>
        <w:trPr>
          <w:trHeight w:val="255"/>
        </w:trPr>
        <w:tc>
          <w:tcPr>
            <w:tcW w:w="2401"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Cour des comptes</w:t>
            </w:r>
          </w:p>
        </w:tc>
        <w:tc>
          <w:tcPr>
            <w:tcW w:w="4468"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204</w:t>
            </w:r>
          </w:p>
        </w:tc>
        <w:tc>
          <w:tcPr>
            <w:tcW w:w="651"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181</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9</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0</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190</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93 %</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10</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0</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11</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3</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0</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4</w:t>
            </w:r>
          </w:p>
        </w:tc>
      </w:tr>
      <w:tr>
        <w:trPr>
          <w:trHeight w:val="255"/>
        </w:trPr>
        <w:tc>
          <w:tcPr>
            <w:tcW w:w="2401"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Comité économique et social européen</w:t>
            </w:r>
          </w:p>
        </w:tc>
        <w:tc>
          <w:tcPr>
            <w:tcW w:w="4468"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192</w:t>
            </w:r>
          </w:p>
        </w:tc>
        <w:tc>
          <w:tcPr>
            <w:tcW w:w="651"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163</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10</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3</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177</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92 %</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10</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3</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13</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2</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3</w:t>
            </w:r>
          </w:p>
        </w:tc>
      </w:tr>
      <w:tr>
        <w:trPr>
          <w:trHeight w:val="255"/>
        </w:trPr>
        <w:tc>
          <w:tcPr>
            <w:tcW w:w="2401"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Comité des régions</w:t>
            </w:r>
          </w:p>
        </w:tc>
        <w:tc>
          <w:tcPr>
            <w:tcW w:w="4468"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145</w:t>
            </w:r>
          </w:p>
        </w:tc>
        <w:tc>
          <w:tcPr>
            <w:tcW w:w="651"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118</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9</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2</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128</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88 %</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12</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3</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15</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0</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0</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2401"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Médiateur européen</w:t>
            </w:r>
          </w:p>
        </w:tc>
        <w:tc>
          <w:tcPr>
            <w:tcW w:w="4468"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16</w:t>
            </w:r>
          </w:p>
        </w:tc>
        <w:tc>
          <w:tcPr>
            <w:tcW w:w="651"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14</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0</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15</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93 %</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0</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0</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0</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2401"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Contrôleur européen de la protection des données</w:t>
            </w:r>
          </w:p>
        </w:tc>
        <w:tc>
          <w:tcPr>
            <w:tcW w:w="4468"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30</w:t>
            </w:r>
          </w:p>
        </w:tc>
        <w:tc>
          <w:tcPr>
            <w:tcW w:w="651"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23</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2</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0</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25</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83 %</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2</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2</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2</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3</w:t>
            </w:r>
          </w:p>
        </w:tc>
      </w:tr>
      <w:tr>
        <w:trPr>
          <w:trHeight w:val="255"/>
        </w:trPr>
        <w:tc>
          <w:tcPr>
            <w:tcW w:w="2401"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Service européen pour l’action extérieure</w:t>
            </w:r>
          </w:p>
        </w:tc>
        <w:tc>
          <w:tcPr>
            <w:tcW w:w="4468"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1 448</w:t>
            </w:r>
          </w:p>
        </w:tc>
        <w:tc>
          <w:tcPr>
            <w:tcW w:w="651"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819</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121</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247</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1 187</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82 %</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110</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132</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242</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0</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18</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19</w:t>
            </w:r>
          </w:p>
        </w:tc>
      </w:tr>
      <w:tr>
        <w:trPr>
          <w:trHeight w:val="255"/>
        </w:trPr>
        <w:tc>
          <w:tcPr>
            <w:tcW w:w="2401"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3Payments"/>
              <w:jc w:val="right"/>
              <w:rPr>
                <w:rFonts w:ascii="Verdana" w:eastAsia="Verdana" w:hAnsi="Verdana" w:cs="Verdana"/>
                <w:b/>
                <w:noProof/>
                <w:color w:val="000000"/>
                <w:sz w:val="16"/>
              </w:rPr>
            </w:pPr>
          </w:p>
        </w:tc>
        <w:tc>
          <w:tcPr>
            <w:tcW w:w="4468"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3Payments"/>
              <w:jc w:val="right"/>
              <w:rPr>
                <w:rFonts w:ascii="Verdana" w:eastAsia="Verdana" w:hAnsi="Verdana" w:cs="Verdana"/>
                <w:b/>
                <w:noProof/>
                <w:color w:val="000000"/>
                <w:sz w:val="16"/>
              </w:rPr>
            </w:pPr>
            <w:r>
              <w:rPr>
                <w:rFonts w:ascii="Verdana" w:hAnsi="Verdana"/>
                <w:b/>
                <w:noProof/>
                <w:color w:val="000000"/>
                <w:sz w:val="16"/>
              </w:rPr>
              <w:t>250 956</w:t>
            </w:r>
          </w:p>
        </w:tc>
        <w:tc>
          <w:tcPr>
            <w:tcW w:w="651"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3Payments"/>
              <w:jc w:val="right"/>
              <w:rPr>
                <w:rFonts w:ascii="Verdana" w:eastAsia="Verdana" w:hAnsi="Verdana" w:cs="Verdana"/>
                <w:b/>
                <w:noProof/>
                <w:color w:val="000000"/>
                <w:sz w:val="16"/>
              </w:rPr>
            </w:pPr>
            <w:r>
              <w:rPr>
                <w:rFonts w:ascii="Verdana" w:hAnsi="Verdana"/>
                <w:b/>
                <w:noProof/>
                <w:color w:val="000000"/>
                <w:sz w:val="16"/>
              </w:rPr>
              <w:t>155 173</w:t>
            </w:r>
          </w:p>
        </w:tc>
        <w:tc>
          <w:tcPr>
            <w:tcW w:w="652"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3Payments"/>
              <w:jc w:val="right"/>
              <w:rPr>
                <w:rFonts w:ascii="Verdana" w:eastAsia="Verdana" w:hAnsi="Verdana" w:cs="Verdana"/>
                <w:b/>
                <w:noProof/>
                <w:color w:val="000000"/>
                <w:sz w:val="16"/>
              </w:rPr>
            </w:pPr>
            <w:r>
              <w:rPr>
                <w:rFonts w:ascii="Verdana" w:hAnsi="Verdana"/>
                <w:b/>
                <w:noProof/>
                <w:color w:val="000000"/>
                <w:sz w:val="16"/>
              </w:rPr>
              <w:t>3 575</w:t>
            </w:r>
          </w:p>
        </w:tc>
        <w:tc>
          <w:tcPr>
            <w:tcW w:w="652"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3Payments"/>
              <w:jc w:val="right"/>
              <w:rPr>
                <w:rFonts w:ascii="Verdana" w:eastAsia="Verdana" w:hAnsi="Verdana" w:cs="Verdana"/>
                <w:b/>
                <w:noProof/>
                <w:color w:val="000000"/>
                <w:sz w:val="16"/>
              </w:rPr>
            </w:pPr>
            <w:r>
              <w:rPr>
                <w:rFonts w:ascii="Verdana" w:hAnsi="Verdana"/>
                <w:b/>
                <w:noProof/>
                <w:color w:val="000000"/>
                <w:sz w:val="16"/>
              </w:rPr>
              <w:t>57 624</w:t>
            </w:r>
          </w:p>
        </w:tc>
        <w:tc>
          <w:tcPr>
            <w:tcW w:w="652"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3Payments"/>
              <w:jc w:val="right"/>
              <w:rPr>
                <w:rFonts w:ascii="Verdana" w:eastAsia="Verdana" w:hAnsi="Verdana" w:cs="Verdana"/>
                <w:b/>
                <w:noProof/>
                <w:color w:val="000000"/>
                <w:sz w:val="16"/>
              </w:rPr>
            </w:pPr>
            <w:r>
              <w:rPr>
                <w:rFonts w:ascii="Verdana" w:hAnsi="Verdana"/>
                <w:b/>
                <w:noProof/>
                <w:color w:val="000000"/>
                <w:sz w:val="16"/>
              </w:rPr>
              <w:t>216 373</w:t>
            </w:r>
          </w:p>
        </w:tc>
        <w:tc>
          <w:tcPr>
            <w:tcW w:w="652"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3Payments"/>
              <w:jc w:val="right"/>
              <w:rPr>
                <w:rFonts w:ascii="Verdana" w:eastAsia="Verdana" w:hAnsi="Verdana" w:cs="Verdana"/>
                <w:b/>
                <w:noProof/>
                <w:color w:val="000000"/>
                <w:sz w:val="16"/>
              </w:rPr>
            </w:pPr>
            <w:r>
              <w:rPr>
                <w:rFonts w:ascii="Verdana" w:hAnsi="Verdana"/>
                <w:b/>
                <w:noProof/>
                <w:color w:val="000000"/>
                <w:sz w:val="16"/>
              </w:rPr>
              <w:t>86 %</w:t>
            </w:r>
          </w:p>
        </w:tc>
        <w:tc>
          <w:tcPr>
            <w:tcW w:w="652"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3Payments"/>
              <w:jc w:val="right"/>
              <w:rPr>
                <w:rFonts w:ascii="Verdana" w:eastAsia="Verdana" w:hAnsi="Verdana" w:cs="Verdana"/>
                <w:b/>
                <w:noProof/>
                <w:color w:val="000000"/>
                <w:sz w:val="16"/>
              </w:rPr>
            </w:pPr>
            <w:r>
              <w:rPr>
                <w:rFonts w:ascii="Verdana" w:hAnsi="Verdana"/>
                <w:b/>
                <w:noProof/>
                <w:color w:val="000000"/>
                <w:sz w:val="16"/>
              </w:rPr>
              <w:t>6 054</w:t>
            </w:r>
          </w:p>
        </w:tc>
        <w:tc>
          <w:tcPr>
            <w:tcW w:w="652"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3Payments"/>
              <w:jc w:val="right"/>
              <w:rPr>
                <w:rFonts w:ascii="Verdana" w:eastAsia="Verdana" w:hAnsi="Verdana" w:cs="Verdana"/>
                <w:b/>
                <w:noProof/>
                <w:color w:val="000000"/>
                <w:sz w:val="16"/>
              </w:rPr>
            </w:pPr>
            <w:r>
              <w:rPr>
                <w:rFonts w:ascii="Verdana" w:hAnsi="Verdana"/>
                <w:b/>
                <w:noProof/>
                <w:color w:val="000000"/>
                <w:sz w:val="16"/>
              </w:rPr>
              <w:t>28 271</w:t>
            </w:r>
          </w:p>
        </w:tc>
        <w:tc>
          <w:tcPr>
            <w:tcW w:w="652"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3Payments"/>
              <w:jc w:val="right"/>
              <w:rPr>
                <w:rFonts w:ascii="Verdana" w:eastAsia="Verdana" w:hAnsi="Verdana" w:cs="Verdana"/>
                <w:b/>
                <w:noProof/>
                <w:color w:val="000000"/>
                <w:sz w:val="16"/>
              </w:rPr>
            </w:pPr>
            <w:r>
              <w:rPr>
                <w:rFonts w:ascii="Verdana" w:hAnsi="Verdana"/>
                <w:b/>
                <w:noProof/>
                <w:color w:val="000000"/>
                <w:sz w:val="16"/>
              </w:rPr>
              <w:t>34 325</w:t>
            </w:r>
          </w:p>
        </w:tc>
        <w:tc>
          <w:tcPr>
            <w:tcW w:w="652"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3Payments"/>
              <w:jc w:val="right"/>
              <w:rPr>
                <w:rFonts w:ascii="Verdana" w:eastAsia="Verdana" w:hAnsi="Verdana" w:cs="Verdana"/>
                <w:b/>
                <w:noProof/>
                <w:color w:val="000000"/>
                <w:sz w:val="16"/>
              </w:rPr>
            </w:pPr>
            <w:r>
              <w:rPr>
                <w:rFonts w:ascii="Verdana" w:hAnsi="Verdana"/>
                <w:b/>
                <w:noProof/>
                <w:color w:val="000000"/>
                <w:sz w:val="16"/>
              </w:rPr>
              <w:t xml:space="preserve"> 110</w:t>
            </w:r>
          </w:p>
        </w:tc>
        <w:tc>
          <w:tcPr>
            <w:tcW w:w="652"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3Payments"/>
              <w:jc w:val="right"/>
              <w:rPr>
                <w:rFonts w:ascii="Verdana" w:eastAsia="Verdana" w:hAnsi="Verdana" w:cs="Verdana"/>
                <w:b/>
                <w:noProof/>
                <w:color w:val="000000"/>
                <w:sz w:val="16"/>
              </w:rPr>
            </w:pPr>
            <w:r>
              <w:rPr>
                <w:rFonts w:ascii="Verdana" w:hAnsi="Verdana"/>
                <w:b/>
                <w:noProof/>
                <w:color w:val="000000"/>
                <w:sz w:val="16"/>
              </w:rPr>
              <w:t xml:space="preserve"> 104</w:t>
            </w:r>
          </w:p>
        </w:tc>
        <w:tc>
          <w:tcPr>
            <w:tcW w:w="652"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3Payments"/>
              <w:jc w:val="right"/>
              <w:rPr>
                <w:rFonts w:ascii="Verdana" w:eastAsia="Verdana" w:hAnsi="Verdana" w:cs="Verdana"/>
                <w:b/>
                <w:noProof/>
                <w:color w:val="000000"/>
                <w:sz w:val="16"/>
              </w:rPr>
            </w:pPr>
            <w:r>
              <w:rPr>
                <w:rFonts w:ascii="Verdana" w:hAnsi="Verdana"/>
                <w:b/>
                <w:noProof/>
                <w:color w:val="000000"/>
                <w:sz w:val="16"/>
              </w:rPr>
              <w:t xml:space="preserve"> 12</w:t>
            </w:r>
          </w:p>
        </w:tc>
        <w:tc>
          <w:tcPr>
            <w:tcW w:w="652"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3Payments"/>
              <w:jc w:val="right"/>
              <w:rPr>
                <w:rFonts w:ascii="Verdana" w:eastAsia="Verdana" w:hAnsi="Verdana" w:cs="Verdana"/>
                <w:b/>
                <w:noProof/>
                <w:color w:val="000000"/>
                <w:sz w:val="16"/>
              </w:rPr>
            </w:pPr>
            <w:r>
              <w:rPr>
                <w:rFonts w:ascii="Verdana" w:hAnsi="Verdana"/>
                <w:b/>
                <w:noProof/>
                <w:color w:val="000000"/>
                <w:sz w:val="16"/>
              </w:rPr>
              <w:t xml:space="preserve"> 226</w:t>
            </w:r>
          </w:p>
        </w:tc>
      </w:tr>
    </w:tbl>
    <w:p>
      <w:pPr>
        <w:pStyle w:val="DGTextstand-alone"/>
      </w:pPr>
    </w:p>
    <w:bookmarkEnd w:id="315"/>
    <w:p>
      <w:pPr>
        <w:pStyle w:val="DGTextstand-alone"/>
        <w:sectPr>
          <w:headerReference w:type="default" r:id="rId183"/>
          <w:footerReference w:type="default" r:id="rId184"/>
          <w:type w:val="nextColumn"/>
          <w:pgSz w:w="16840" w:h="11907" w:orient="landscape" w:code="9"/>
          <w:pgMar w:top="1134" w:right="1134" w:bottom="1134" w:left="1134" w:header="709" w:footer="709" w:gutter="0"/>
          <w:cols w:space="708"/>
          <w:docGrid w:linePitch="360"/>
        </w:sectPr>
      </w:pPr>
    </w:p>
    <w:p>
      <w:pPr>
        <w:pStyle w:val="HEADER1PartBUDG"/>
        <w:rPr>
          <w:noProof/>
        </w:rPr>
      </w:pPr>
      <w:bookmarkStart w:id="325" w:name="_DMBM_36790"/>
      <w:r>
        <w:rPr>
          <w:noProof/>
        </w:rPr>
        <w:lastRenderedPageBreak/>
        <w:t xml:space="preserve"> </w:t>
      </w:r>
      <w:bookmarkStart w:id="326" w:name="_Toc237349648"/>
      <w:r>
        <w:rPr>
          <w:noProof/>
        </w:rPr>
        <w:t>EXÉCUTION DES BUDGETS DES AGENCES</w:t>
      </w:r>
      <w:bookmarkEnd w:id="326"/>
    </w:p>
    <w:p>
      <w:pPr>
        <w:pStyle w:val="DGTextstand-alone"/>
        <w:spacing w:after="120"/>
      </w:pPr>
      <w:r>
        <w:t>Les recettes et dépenses des agences, telles qu’elles figurent dans les rapports 8.1 et 8.2 présentés ci-dessous, ne sont pas consolidées en tant que telles dans le budget de l’UE.</w:t>
      </w:r>
    </w:p>
    <w:p>
      <w:pPr>
        <w:pStyle w:val="DGTextstand-alone"/>
        <w:spacing w:before="120" w:after="120"/>
      </w:pPr>
      <w:r>
        <w:t>Les sections 1 à 7 des rapports sur l’exécution du budget comprennent uniquement les subventions issues du budget de l’UE versées aux agences en tant que crédits d’engagement et de paiement, le cas échéant.</w:t>
      </w:r>
    </w:p>
    <w:p>
      <w:pPr>
        <w:pStyle w:val="DGTextstand-alone"/>
        <w:spacing w:before="120" w:after="120"/>
      </w:pPr>
      <w:r>
        <w:t>Les rapports présentés ci-dessous concernant les agences donnent une vue d’ensemble de celles-ci, qu'elles soient décentralisées (les agences «traditionnelles») ou exécutives, ainsi que de leurs recettes (8.1) et de leurs dépenses (8.2). Ils comprennent non seulement la subvention versée à partir du budget de l’UE, mais aussi les autres sources de recettes et les dépenses correspondantes (qui ne sont pas intégrées dans les comptes budgétaires de l’UE). Chaque agence présente son propre ensemble de comptes annuels.</w:t>
      </w:r>
    </w:p>
    <w:p>
      <w:pPr>
        <w:pStyle w:val="HEADER2PartBUDG"/>
        <w:spacing w:before="240" w:after="120"/>
        <w:rPr>
          <w:noProof/>
        </w:rPr>
      </w:pPr>
      <w:bookmarkStart w:id="327" w:name="_Toc237349649"/>
      <w:r>
        <w:rPr>
          <w:noProof/>
        </w:rPr>
        <w:t>RECETTES BUDGÉTAIRES</w:t>
      </w:r>
      <w:bookmarkEnd w:id="3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25"/>
        <w:gridCol w:w="257"/>
        <w:gridCol w:w="970"/>
        <w:gridCol w:w="60"/>
        <w:gridCol w:w="960"/>
        <w:gridCol w:w="74"/>
        <w:gridCol w:w="1106"/>
      </w:tblGrid>
      <w:tr>
        <w:trPr>
          <w:trHeight w:val="198"/>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bookmarkStart w:id="328" w:name="DOC_TBL00127_1_1"/>
            <w:bookmarkEnd w:id="328"/>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i/>
                <w:noProof/>
                <w:color w:val="000000"/>
                <w:sz w:val="16"/>
              </w:rPr>
            </w:pPr>
            <w:r>
              <w:rPr>
                <w:rFonts w:ascii="Verdana" w:hAnsi="Verdana"/>
                <w:i/>
                <w:noProof/>
                <w:color w:val="000000"/>
                <w:sz w:val="16"/>
              </w:rPr>
              <w:t>en Mio EUR</w:t>
            </w:r>
          </w:p>
        </w:tc>
      </w:tr>
      <w:tr>
        <w:trPr>
          <w:trHeight w:val="198"/>
        </w:trPr>
        <w:tc>
          <w:tcPr>
            <w:tcW w:w="6582" w:type="dxa"/>
            <w:gridSpan w:val="2"/>
            <w:tcBorders>
              <w:top w:val="nil"/>
              <w:left w:val="nil"/>
              <w:bottom w:val="nil"/>
              <w:right w:val="nil"/>
              <w:tl2br w:val="nil"/>
              <w:tr2bl w:val="nil"/>
            </w:tcBorders>
            <w:shd w:val="solid" w:color="016794" w:fill="FFFFFF"/>
            <w:tcMar>
              <w:left w:w="60" w:type="dxa"/>
              <w:right w:w="60" w:type="dxa"/>
            </w:tcMar>
            <w:vAlign w:val="center"/>
          </w:tcPr>
          <w:p>
            <w:pPr>
              <w:pStyle w:val="DMETW36778BIPAgencies1Revenue"/>
              <w:jc w:val="center"/>
              <w:rPr>
                <w:rFonts w:ascii="Verdana" w:eastAsia="Verdana" w:hAnsi="Verdana" w:cs="Verdana"/>
                <w:noProof/>
                <w:color w:val="FFFFFF"/>
                <w:sz w:val="16"/>
              </w:rPr>
            </w:pPr>
            <w:r>
              <w:rPr>
                <w:rFonts w:ascii="Verdana" w:hAnsi="Verdana"/>
                <w:noProof/>
                <w:color w:val="FFFFFF"/>
                <w:sz w:val="16"/>
              </w:rPr>
              <w:t>Agence</w:t>
            </w:r>
          </w:p>
        </w:tc>
        <w:tc>
          <w:tcPr>
            <w:tcW w:w="970" w:type="dxa"/>
            <w:tcBorders>
              <w:top w:val="nil"/>
              <w:left w:val="nil"/>
              <w:bottom w:val="nil"/>
              <w:right w:val="nil"/>
              <w:tl2br w:val="nil"/>
              <w:tr2bl w:val="nil"/>
            </w:tcBorders>
            <w:shd w:val="solid" w:color="016794" w:fill="FFFFFF"/>
            <w:tcMar>
              <w:left w:w="60" w:type="dxa"/>
              <w:right w:w="60" w:type="dxa"/>
            </w:tcMar>
            <w:vAlign w:val="center"/>
          </w:tcPr>
          <w:p>
            <w:pPr>
              <w:pStyle w:val="DMETW36778BIPAgencies1Revenue"/>
              <w:jc w:val="center"/>
              <w:rPr>
                <w:rFonts w:ascii="Verdana" w:eastAsia="Verdana" w:hAnsi="Verdana" w:cs="Verdana"/>
                <w:noProof/>
                <w:color w:val="FFFFFF"/>
                <w:sz w:val="16"/>
              </w:rPr>
            </w:pPr>
            <w:r>
              <w:rPr>
                <w:rFonts w:ascii="Verdana" w:hAnsi="Verdana"/>
                <w:noProof/>
                <w:color w:val="FFFFFF"/>
                <w:sz w:val="16"/>
              </w:rPr>
              <w:t>Financement rubrique CFP</w:t>
            </w:r>
          </w:p>
        </w:tc>
        <w:tc>
          <w:tcPr>
            <w:tcW w:w="1020" w:type="dxa"/>
            <w:gridSpan w:val="2"/>
            <w:tcBorders>
              <w:top w:val="nil"/>
              <w:left w:val="nil"/>
              <w:bottom w:val="nil"/>
              <w:right w:val="nil"/>
              <w:tl2br w:val="nil"/>
              <w:tr2bl w:val="nil"/>
            </w:tcBorders>
            <w:shd w:val="solid" w:color="016794" w:fill="FFFFFF"/>
            <w:tcMar>
              <w:left w:w="60" w:type="dxa"/>
              <w:right w:w="60" w:type="dxa"/>
            </w:tcMar>
            <w:vAlign w:val="center"/>
          </w:tcPr>
          <w:p>
            <w:pPr>
              <w:pStyle w:val="DMETW36778BIPAgencies1Revenue"/>
              <w:jc w:val="center"/>
              <w:rPr>
                <w:rFonts w:ascii="Verdana" w:eastAsia="Verdana" w:hAnsi="Verdana" w:cs="Verdana"/>
                <w:noProof/>
                <w:color w:val="FFFFFF"/>
                <w:sz w:val="16"/>
              </w:rPr>
            </w:pPr>
            <w:r>
              <w:rPr>
                <w:rFonts w:ascii="Verdana" w:hAnsi="Verdana"/>
                <w:noProof/>
                <w:color w:val="FFFFFF"/>
                <w:sz w:val="16"/>
              </w:rPr>
              <w:t>Budget définitif adopté</w:t>
            </w:r>
          </w:p>
        </w:tc>
        <w:tc>
          <w:tcPr>
            <w:tcW w:w="1180" w:type="dxa"/>
            <w:gridSpan w:val="2"/>
            <w:tcBorders>
              <w:top w:val="nil"/>
              <w:left w:val="nil"/>
              <w:bottom w:val="nil"/>
              <w:right w:val="nil"/>
              <w:tl2br w:val="nil"/>
              <w:tr2bl w:val="nil"/>
            </w:tcBorders>
            <w:shd w:val="solid" w:color="016794" w:fill="FFFFFF"/>
            <w:tcMar>
              <w:left w:w="60" w:type="dxa"/>
              <w:right w:w="60" w:type="dxa"/>
            </w:tcMar>
            <w:vAlign w:val="center"/>
          </w:tcPr>
          <w:p>
            <w:pPr>
              <w:pStyle w:val="DMETW36778BIPAgencies1Revenue"/>
              <w:jc w:val="center"/>
              <w:rPr>
                <w:rFonts w:ascii="Verdana" w:eastAsia="Verdana" w:hAnsi="Verdana" w:cs="Verdana"/>
                <w:noProof/>
                <w:color w:val="FFFFFF"/>
                <w:sz w:val="16"/>
              </w:rPr>
            </w:pPr>
            <w:r>
              <w:rPr>
                <w:rFonts w:ascii="Verdana" w:hAnsi="Verdana"/>
                <w:noProof/>
                <w:color w:val="FFFFFF"/>
                <w:sz w:val="16"/>
              </w:rPr>
              <w:t>Recettes perçues</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Agence de coopération des régulateurs de l’énergie</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1</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45</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43</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Agence pour la gestion opérationnelle des systèmes d’information à grande échelle</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4</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338</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362</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Organe des régulateurs européens des communications électroniques</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1</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8</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9</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Office communautaire des variétés végétales</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s.o.</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22</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21</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Agence européenne pour la sécurité et la santé au travail</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2 b</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18</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18</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Bureau européen d’appui en matière d’asile</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4</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240</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212</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Agence européenne de la sécurité aérienne</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1</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248</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197</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Autorité bancaire européenne</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1</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59</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60</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Agence européenne de garde-frontières et de garde-côtes</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4</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1 124</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1 137</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Centre européen de prévention et de contrôle des maladies</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2 b</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106</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99</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Centre européen pour le développement de la formation professionnelle</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2 b</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22</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23</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Agence européenne des produits chimiques</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1</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134</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138</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Agence exécutive européenne pour le climat, les infrastructures et l’environnement</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1, 2 a, 3, 5</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75</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75</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Agence exécutive européenne pour l’éducation et la culture</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2 b, 6</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152</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75</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Agence européenne pour l’environnement</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3</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109</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102</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Agence européenne de contrôle des pêches</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3</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31</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33</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Autorité européenne de sécurité des aliments</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2 b</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151</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153</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Fondation européenne pour l’amélioration des conditions de vie et de travail</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2 b</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25</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28</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Agence exécutive européenne pour la santé et le numérique</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1, 2 b</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62</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62</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Agence exécutive pour le Conseil européen de l’innovation et les PME</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1, 2 a</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50</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50</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Institut européen pour l’égalité entre les hommes et les femmes</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2 b</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10</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12</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Institut européen d’innovation et de technologie</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1</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435</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435</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Autorité européenne des assurances et des pensions professionnelles</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1</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40</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41</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Autorité européenne du travail</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2 b</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50</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50</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Agence européenne pour la sécurité maritime</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1</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127</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127</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Agence européenne des médicaments</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2 b</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600</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608</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Observatoire européen des drogues et des toxicomanies</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5</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36</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37</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Parquet européen</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2 b</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86</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86</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Agence exécutive du Conseil européen de la recherche</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1</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73</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73</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Agence exécutive européenne pour la recherche</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1, 3</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102</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127</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Autorité européenne des marchés financiers</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1</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82</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86</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Fondation européenne pour la formation</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2 b</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24</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29</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Agence de l’Union européenne pour la coopération judiciaire en matière pénale</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2 b</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68</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78</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Agence de l’Union européenne pour la cybersécurité</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1</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26</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55</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Agence de l’Union européenne pour la coopération des services répressifs</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5</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246</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243</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Agence de l’Union européenne pour la formation des services répressifs</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5</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13</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13</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Agence de l’Union européenne pour les chemins de fer</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1</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31</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47</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Agence de l’Union européenne pour le programme spatial</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1</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83</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1 164</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Agence des droits fondamentaux de l’Union européenne</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2 b</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27</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27</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lastRenderedPageBreak/>
              <w:t>Office de l’Union européenne pour la propriété intellectuelle</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s.o.</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480</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501</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Entreprise commune Fusion for Energy</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1</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646</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799</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Centre de traduction des organes de l’Union européenne</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7</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52</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45</w:t>
            </w:r>
          </w:p>
        </w:tc>
      </w:tr>
      <w:tr>
        <w:trPr>
          <w:trHeight w:val="275"/>
        </w:trPr>
        <w:tc>
          <w:tcPr>
            <w:tcW w:w="6582" w:type="dxa"/>
            <w:gridSpan w:val="2"/>
            <w:tcBorders>
              <w:top w:val="nil"/>
              <w:left w:val="nil"/>
              <w:bottom w:val="nil"/>
              <w:right w:val="nil"/>
              <w:tl2br w:val="nil"/>
              <w:tr2bl w:val="nil"/>
            </w:tcBorders>
            <w:shd w:val="solid" w:color="CCE1EA" w:fill="FFFFFF"/>
            <w:tcMar>
              <w:left w:w="60" w:type="dxa"/>
              <w:right w:w="60" w:type="dxa"/>
            </w:tcMar>
            <w:vAlign w:val="center"/>
          </w:tcPr>
          <w:p>
            <w:pPr>
              <w:pStyle w:val="DMETW36778BIPAgencies1Revenue"/>
              <w:rPr>
                <w:rFonts w:ascii="Verdana" w:eastAsia="Verdana" w:hAnsi="Verdana" w:cs="Verdana"/>
                <w:b/>
                <w:noProof/>
                <w:color w:val="000000"/>
                <w:sz w:val="16"/>
              </w:rPr>
            </w:pPr>
            <w:r>
              <w:rPr>
                <w:rFonts w:ascii="Verdana" w:hAnsi="Verdana"/>
                <w:b/>
                <w:noProof/>
                <w:color w:val="000000"/>
                <w:sz w:val="16"/>
              </w:rPr>
              <w:t>Total</w:t>
            </w:r>
          </w:p>
        </w:tc>
        <w:tc>
          <w:tcPr>
            <w:tcW w:w="970" w:type="dxa"/>
            <w:tcBorders>
              <w:top w:val="nil"/>
              <w:left w:val="nil"/>
              <w:bottom w:val="nil"/>
              <w:right w:val="nil"/>
              <w:tl2br w:val="nil"/>
              <w:tr2bl w:val="nil"/>
            </w:tcBorders>
            <w:shd w:val="solid" w:color="CCE1EA" w:fill="FFFFFF"/>
            <w:tcMar>
              <w:left w:w="60" w:type="dxa"/>
              <w:right w:w="60" w:type="dxa"/>
            </w:tcMar>
            <w:vAlign w:val="center"/>
          </w:tcPr>
          <w:p>
            <w:pPr>
              <w:pStyle w:val="DMETW36778BIPAgencies1Revenue"/>
              <w:rPr>
                <w:rFonts w:ascii="Verdana" w:eastAsia="Verdana" w:hAnsi="Verdana" w:cs="Verdana"/>
                <w:b/>
                <w:noProof/>
                <w:color w:val="000000"/>
                <w:sz w:val="16"/>
              </w:rPr>
            </w:pPr>
          </w:p>
        </w:tc>
        <w:tc>
          <w:tcPr>
            <w:tcW w:w="1020" w:type="dxa"/>
            <w:gridSpan w:val="2"/>
            <w:tcBorders>
              <w:top w:val="nil"/>
              <w:left w:val="nil"/>
              <w:bottom w:val="nil"/>
              <w:right w:val="nil"/>
              <w:tl2br w:val="nil"/>
              <w:tr2bl w:val="nil"/>
            </w:tcBorders>
            <w:shd w:val="solid" w:color="CCE1EA" w:fill="FFFFFF"/>
            <w:tcMar>
              <w:left w:w="60" w:type="dxa"/>
              <w:right w:w="60" w:type="dxa"/>
            </w:tcMar>
            <w:vAlign w:val="center"/>
          </w:tcPr>
          <w:p>
            <w:pPr>
              <w:pStyle w:val="DMETW36778BIPAgencies1Revenue"/>
              <w:jc w:val="right"/>
              <w:rPr>
                <w:rFonts w:ascii="Verdana" w:eastAsia="Verdana" w:hAnsi="Verdana" w:cs="Verdana"/>
                <w:b/>
                <w:noProof/>
                <w:color w:val="000000"/>
                <w:sz w:val="16"/>
              </w:rPr>
            </w:pPr>
            <w:r>
              <w:rPr>
                <w:rFonts w:ascii="Verdana" w:hAnsi="Verdana"/>
                <w:b/>
                <w:noProof/>
                <w:color w:val="000000"/>
                <w:sz w:val="16"/>
              </w:rPr>
              <w:t>6 356</w:t>
            </w:r>
          </w:p>
        </w:tc>
        <w:tc>
          <w:tcPr>
            <w:tcW w:w="1180" w:type="dxa"/>
            <w:gridSpan w:val="2"/>
            <w:tcBorders>
              <w:top w:val="nil"/>
              <w:left w:val="nil"/>
              <w:bottom w:val="nil"/>
              <w:right w:val="nil"/>
              <w:tl2br w:val="nil"/>
              <w:tr2bl w:val="nil"/>
            </w:tcBorders>
            <w:shd w:val="solid" w:color="CCE1EA" w:fill="FFFFFF"/>
            <w:tcMar>
              <w:left w:w="60" w:type="dxa"/>
              <w:right w:w="60" w:type="dxa"/>
            </w:tcMar>
            <w:vAlign w:val="center"/>
          </w:tcPr>
          <w:p>
            <w:pPr>
              <w:pStyle w:val="DMETW36778BIPAgencies1Revenue"/>
              <w:jc w:val="right"/>
              <w:rPr>
                <w:rFonts w:ascii="Verdana" w:eastAsia="Verdana" w:hAnsi="Verdana" w:cs="Verdana"/>
                <w:b/>
                <w:noProof/>
                <w:color w:val="000000"/>
                <w:sz w:val="16"/>
              </w:rPr>
            </w:pPr>
            <w:r>
              <w:rPr>
                <w:rFonts w:ascii="Verdana" w:hAnsi="Verdana"/>
                <w:b/>
                <w:noProof/>
                <w:color w:val="000000"/>
                <w:sz w:val="16"/>
              </w:rPr>
              <w:t>7 581</w:t>
            </w:r>
          </w:p>
        </w:tc>
      </w:tr>
      <w:tr>
        <w:trPr>
          <w:cantSplit/>
          <w:trHeight w:val="227"/>
          <w:tblHeader/>
        </w:trPr>
        <w:tc>
          <w:tcPr>
            <w:tcW w:w="6325" w:type="dxa"/>
            <w:tcBorders>
              <w:top w:val="nil"/>
              <w:left w:val="nil"/>
              <w:bottom w:val="nil"/>
              <w:right w:val="nil"/>
              <w:tl2br w:val="nil"/>
              <w:tr2bl w:val="nil"/>
            </w:tcBorders>
            <w:tcMar>
              <w:left w:w="60" w:type="dxa"/>
              <w:right w:w="60" w:type="dxa"/>
            </w:tcMar>
            <w:vAlign w:val="center"/>
          </w:tcPr>
          <w:p>
            <w:pPr>
              <w:pStyle w:val="DMETW36778BIPAgencies2TypeofRevenue"/>
              <w:rPr>
                <w:rFonts w:ascii="Verdana" w:eastAsia="Verdana" w:hAnsi="Verdana" w:cs="Verdana"/>
                <w:noProof/>
                <w:color w:val="000000"/>
                <w:sz w:val="16"/>
              </w:rPr>
            </w:pPr>
            <w:bookmarkStart w:id="329" w:name="DOC_TBL00128_1_1"/>
            <w:bookmarkEnd w:id="329"/>
          </w:p>
        </w:tc>
        <w:tc>
          <w:tcPr>
            <w:tcW w:w="1287" w:type="dxa"/>
            <w:gridSpan w:val="3"/>
            <w:tcBorders>
              <w:top w:val="nil"/>
              <w:left w:val="nil"/>
              <w:bottom w:val="nil"/>
              <w:right w:val="nil"/>
              <w:tl2br w:val="nil"/>
              <w:tr2bl w:val="nil"/>
            </w:tcBorders>
            <w:tcMar>
              <w:left w:w="60" w:type="dxa"/>
              <w:right w:w="60" w:type="dxa"/>
            </w:tcMar>
            <w:vAlign w:val="center"/>
          </w:tcPr>
          <w:p>
            <w:pPr>
              <w:pStyle w:val="DMETW36778BIPAgencies2TypeofRevenue"/>
              <w:rPr>
                <w:rFonts w:ascii="Verdana" w:eastAsia="Verdana" w:hAnsi="Verdana" w:cs="Verdana"/>
                <w:noProof/>
                <w:color w:val="000000"/>
                <w:sz w:val="16"/>
              </w:rPr>
            </w:pPr>
            <w:bookmarkStart w:id="330" w:name="DOC_TBL00128_1_2"/>
            <w:bookmarkEnd w:id="330"/>
          </w:p>
        </w:tc>
        <w:tc>
          <w:tcPr>
            <w:tcW w:w="1034" w:type="dxa"/>
            <w:gridSpan w:val="2"/>
            <w:tcBorders>
              <w:top w:val="nil"/>
              <w:left w:val="nil"/>
              <w:bottom w:val="nil"/>
              <w:right w:val="nil"/>
              <w:tl2br w:val="nil"/>
              <w:tr2bl w:val="nil"/>
            </w:tcBorders>
            <w:tcMar>
              <w:left w:w="60" w:type="dxa"/>
              <w:right w:w="60" w:type="dxa"/>
            </w:tcMar>
            <w:vAlign w:val="center"/>
          </w:tcPr>
          <w:p>
            <w:pPr>
              <w:pStyle w:val="DMETW36778BIPAgencies2TypeofRevenue"/>
              <w:jc w:val="right"/>
              <w:rPr>
                <w:rFonts w:ascii="Verdana" w:eastAsia="Verdana" w:hAnsi="Verdana" w:cs="Verdana"/>
                <w:noProof/>
                <w:color w:val="000000"/>
                <w:sz w:val="16"/>
              </w:rPr>
            </w:pPr>
            <w:bookmarkStart w:id="331" w:name="DOC_TBL00128_1_3"/>
            <w:bookmarkEnd w:id="331"/>
          </w:p>
        </w:tc>
        <w:tc>
          <w:tcPr>
            <w:tcW w:w="1106" w:type="dxa"/>
            <w:tcBorders>
              <w:top w:val="nil"/>
              <w:left w:val="nil"/>
              <w:bottom w:val="nil"/>
              <w:right w:val="nil"/>
              <w:tl2br w:val="nil"/>
              <w:tr2bl w:val="nil"/>
            </w:tcBorders>
            <w:tcMar>
              <w:left w:w="60" w:type="dxa"/>
              <w:right w:w="60" w:type="dxa"/>
            </w:tcMar>
            <w:vAlign w:val="center"/>
          </w:tcPr>
          <w:p>
            <w:pPr>
              <w:pStyle w:val="DMETW36778BIPAgencies2TypeofRevenue"/>
              <w:jc w:val="right"/>
              <w:rPr>
                <w:rFonts w:ascii="Verdana" w:eastAsia="Verdana" w:hAnsi="Verdana" w:cs="Verdana"/>
                <w:i/>
                <w:noProof/>
                <w:color w:val="000000"/>
                <w:sz w:val="16"/>
              </w:rPr>
            </w:pPr>
            <w:bookmarkStart w:id="332" w:name="DOC_TBL00128_1_4"/>
            <w:r>
              <w:rPr>
                <w:rFonts w:ascii="Verdana" w:hAnsi="Verdana"/>
                <w:i/>
                <w:noProof/>
                <w:color w:val="000000"/>
                <w:sz w:val="16"/>
              </w:rPr>
              <w:t>en Mio EUR</w:t>
            </w:r>
            <w:bookmarkEnd w:id="332"/>
          </w:p>
        </w:tc>
      </w:tr>
      <w:tr>
        <w:trPr>
          <w:cantSplit/>
          <w:trHeight w:val="227"/>
          <w:tblHeader/>
        </w:trPr>
        <w:tc>
          <w:tcPr>
            <w:tcW w:w="6325" w:type="dxa"/>
            <w:tcBorders>
              <w:top w:val="nil"/>
              <w:left w:val="nil"/>
              <w:bottom w:val="nil"/>
              <w:right w:val="nil"/>
              <w:tl2br w:val="nil"/>
              <w:tr2bl w:val="nil"/>
            </w:tcBorders>
            <w:shd w:val="solid" w:color="016794" w:fill="FFFFFF"/>
            <w:tcMar>
              <w:left w:w="60" w:type="dxa"/>
              <w:right w:w="60" w:type="dxa"/>
            </w:tcMar>
            <w:vAlign w:val="center"/>
          </w:tcPr>
          <w:p>
            <w:pPr>
              <w:pStyle w:val="DMETW36778BIPAgencies2TypeofRevenue"/>
              <w:jc w:val="center"/>
              <w:rPr>
                <w:rFonts w:ascii="Verdana" w:eastAsia="Verdana" w:hAnsi="Verdana" w:cs="Verdana"/>
                <w:noProof/>
                <w:color w:val="FFFFFF"/>
                <w:sz w:val="16"/>
              </w:rPr>
            </w:pPr>
            <w:bookmarkStart w:id="333" w:name="DOC_TBL00128_2_1"/>
            <w:r>
              <w:rPr>
                <w:rFonts w:ascii="Verdana" w:hAnsi="Verdana"/>
                <w:noProof/>
                <w:color w:val="FFFFFF"/>
                <w:sz w:val="16"/>
              </w:rPr>
              <w:t>Catégorie de recettes des agences</w:t>
            </w:r>
            <w:bookmarkEnd w:id="333"/>
          </w:p>
        </w:tc>
        <w:tc>
          <w:tcPr>
            <w:tcW w:w="1287" w:type="dxa"/>
            <w:gridSpan w:val="3"/>
            <w:tcBorders>
              <w:top w:val="nil"/>
              <w:left w:val="nil"/>
              <w:bottom w:val="nil"/>
              <w:right w:val="nil"/>
              <w:tl2br w:val="nil"/>
              <w:tr2bl w:val="nil"/>
            </w:tcBorders>
            <w:shd w:val="solid" w:color="016794" w:fill="FFFFFF"/>
            <w:tcMar>
              <w:left w:w="60" w:type="dxa"/>
              <w:right w:w="60" w:type="dxa"/>
            </w:tcMar>
            <w:vAlign w:val="center"/>
          </w:tcPr>
          <w:p>
            <w:pPr>
              <w:pStyle w:val="DMETW36778BIPAgencies2TypeofRevenue"/>
              <w:jc w:val="center"/>
              <w:rPr>
                <w:rFonts w:ascii="Verdana" w:eastAsia="Verdana" w:hAnsi="Verdana" w:cs="Verdana"/>
                <w:noProof/>
                <w:color w:val="FFFFFF"/>
                <w:sz w:val="16"/>
              </w:rPr>
            </w:pPr>
            <w:bookmarkStart w:id="334" w:name="DOC_TBL00128_2_2"/>
            <w:bookmarkEnd w:id="334"/>
          </w:p>
        </w:tc>
        <w:tc>
          <w:tcPr>
            <w:tcW w:w="1034" w:type="dxa"/>
            <w:gridSpan w:val="2"/>
            <w:tcBorders>
              <w:top w:val="nil"/>
              <w:left w:val="nil"/>
              <w:bottom w:val="nil"/>
              <w:right w:val="nil"/>
              <w:tl2br w:val="nil"/>
              <w:tr2bl w:val="nil"/>
            </w:tcBorders>
            <w:shd w:val="solid" w:color="016794" w:fill="FFFFFF"/>
            <w:tcMar>
              <w:left w:w="60" w:type="dxa"/>
              <w:right w:w="60" w:type="dxa"/>
            </w:tcMar>
            <w:vAlign w:val="center"/>
          </w:tcPr>
          <w:p>
            <w:pPr>
              <w:pStyle w:val="DMETW36778BIPAgencies2TypeofRevenue"/>
              <w:jc w:val="center"/>
              <w:rPr>
                <w:rFonts w:ascii="Verdana" w:eastAsia="Verdana" w:hAnsi="Verdana" w:cs="Verdana"/>
                <w:noProof/>
                <w:color w:val="FFFFFF"/>
                <w:sz w:val="16"/>
              </w:rPr>
            </w:pPr>
            <w:bookmarkStart w:id="335" w:name="DOC_TBL00128_2_3"/>
            <w:bookmarkEnd w:id="335"/>
          </w:p>
        </w:tc>
        <w:tc>
          <w:tcPr>
            <w:tcW w:w="1106" w:type="dxa"/>
            <w:tcBorders>
              <w:top w:val="nil"/>
              <w:left w:val="nil"/>
              <w:bottom w:val="nil"/>
              <w:right w:val="nil"/>
              <w:tl2br w:val="nil"/>
              <w:tr2bl w:val="nil"/>
            </w:tcBorders>
            <w:shd w:val="solid" w:color="016794" w:fill="FFFFFF"/>
            <w:tcMar>
              <w:left w:w="60" w:type="dxa"/>
              <w:right w:w="60" w:type="dxa"/>
            </w:tcMar>
            <w:vAlign w:val="center"/>
          </w:tcPr>
          <w:p>
            <w:pPr>
              <w:pStyle w:val="DMETW36778BIPAgencies2TypeofRevenue"/>
              <w:jc w:val="center"/>
              <w:rPr>
                <w:rFonts w:ascii="Verdana" w:eastAsia="Verdana" w:hAnsi="Verdana" w:cs="Verdana"/>
                <w:noProof/>
                <w:color w:val="FFFFFF"/>
                <w:sz w:val="16"/>
              </w:rPr>
            </w:pPr>
            <w:bookmarkStart w:id="336" w:name="DOC_TBL00128_2_4"/>
            <w:r>
              <w:rPr>
                <w:rFonts w:ascii="Verdana" w:hAnsi="Verdana"/>
                <w:noProof/>
                <w:color w:val="FFFFFF"/>
                <w:sz w:val="16"/>
              </w:rPr>
              <w:t>Recettes perçues</w:t>
            </w:r>
            <w:bookmarkEnd w:id="336"/>
          </w:p>
        </w:tc>
      </w:tr>
      <w:tr>
        <w:trPr>
          <w:cantSplit/>
          <w:trHeight w:val="283"/>
          <w:tblHeader/>
        </w:trPr>
        <w:tc>
          <w:tcPr>
            <w:tcW w:w="6325" w:type="dxa"/>
            <w:tcBorders>
              <w:top w:val="nil"/>
              <w:left w:val="nil"/>
              <w:bottom w:val="nil"/>
              <w:right w:val="nil"/>
              <w:tl2br w:val="nil"/>
              <w:tr2bl w:val="nil"/>
            </w:tcBorders>
            <w:tcMar>
              <w:left w:w="60" w:type="dxa"/>
              <w:right w:w="60" w:type="dxa"/>
            </w:tcMar>
            <w:vAlign w:val="center"/>
          </w:tcPr>
          <w:p>
            <w:pPr>
              <w:pStyle w:val="DMETW36778BIPAgencies2TypeofRevenue"/>
              <w:rPr>
                <w:rFonts w:ascii="Verdana" w:eastAsia="Verdana" w:hAnsi="Verdana" w:cs="Verdana"/>
                <w:noProof/>
                <w:color w:val="000000"/>
                <w:sz w:val="16"/>
              </w:rPr>
            </w:pPr>
            <w:bookmarkStart w:id="337" w:name="DOC_TBL00128_3_1"/>
            <w:r>
              <w:rPr>
                <w:rFonts w:ascii="Verdana" w:hAnsi="Verdana"/>
                <w:noProof/>
                <w:color w:val="000000"/>
                <w:sz w:val="16"/>
              </w:rPr>
              <w:t>Subvention de la Commission</w:t>
            </w:r>
            <w:bookmarkEnd w:id="337"/>
          </w:p>
        </w:tc>
        <w:tc>
          <w:tcPr>
            <w:tcW w:w="1287" w:type="dxa"/>
            <w:gridSpan w:val="3"/>
            <w:tcBorders>
              <w:top w:val="nil"/>
              <w:left w:val="nil"/>
              <w:bottom w:val="nil"/>
              <w:right w:val="nil"/>
              <w:tl2br w:val="nil"/>
              <w:tr2bl w:val="nil"/>
            </w:tcBorders>
            <w:tcMar>
              <w:left w:w="60" w:type="dxa"/>
              <w:right w:w="60" w:type="dxa"/>
            </w:tcMar>
            <w:vAlign w:val="center"/>
          </w:tcPr>
          <w:p>
            <w:pPr>
              <w:pStyle w:val="DMETW36778BIPAgencies2TypeofRevenue"/>
              <w:rPr>
                <w:rFonts w:ascii="Verdana" w:eastAsia="Verdana" w:hAnsi="Verdana" w:cs="Verdana"/>
                <w:noProof/>
                <w:color w:val="000000"/>
                <w:sz w:val="16"/>
              </w:rPr>
            </w:pPr>
            <w:bookmarkStart w:id="338" w:name="DOC_TBL00128_3_2"/>
            <w:bookmarkEnd w:id="338"/>
          </w:p>
        </w:tc>
        <w:tc>
          <w:tcPr>
            <w:tcW w:w="1034" w:type="dxa"/>
            <w:gridSpan w:val="2"/>
            <w:tcBorders>
              <w:top w:val="nil"/>
              <w:left w:val="nil"/>
              <w:bottom w:val="nil"/>
              <w:right w:val="nil"/>
              <w:tl2br w:val="nil"/>
              <w:tr2bl w:val="nil"/>
            </w:tcBorders>
            <w:tcMar>
              <w:left w:w="60" w:type="dxa"/>
              <w:right w:w="60" w:type="dxa"/>
            </w:tcMar>
            <w:vAlign w:val="center"/>
          </w:tcPr>
          <w:p>
            <w:pPr>
              <w:pStyle w:val="DMETW36778BIPAgencies2TypeofRevenue"/>
              <w:jc w:val="right"/>
              <w:rPr>
                <w:rFonts w:ascii="Verdana" w:eastAsia="Verdana" w:hAnsi="Verdana" w:cs="Verdana"/>
                <w:noProof/>
                <w:color w:val="000000"/>
                <w:sz w:val="16"/>
              </w:rPr>
            </w:pPr>
            <w:bookmarkStart w:id="339" w:name="DOC_TBL00128_3_3"/>
            <w:bookmarkEnd w:id="339"/>
          </w:p>
        </w:tc>
        <w:tc>
          <w:tcPr>
            <w:tcW w:w="1106" w:type="dxa"/>
            <w:tcBorders>
              <w:top w:val="nil"/>
              <w:left w:val="nil"/>
              <w:bottom w:val="nil"/>
              <w:right w:val="nil"/>
              <w:tl2br w:val="nil"/>
              <w:tr2bl w:val="nil"/>
            </w:tcBorders>
            <w:tcMar>
              <w:left w:w="60" w:type="dxa"/>
              <w:right w:w="60" w:type="dxa"/>
            </w:tcMar>
            <w:vAlign w:val="center"/>
          </w:tcPr>
          <w:p>
            <w:pPr>
              <w:pStyle w:val="DMETW36778BIPAgencies2TypeofRevenue"/>
              <w:jc w:val="right"/>
              <w:rPr>
                <w:rFonts w:ascii="Verdana" w:eastAsia="Verdana" w:hAnsi="Verdana" w:cs="Verdana"/>
                <w:noProof/>
                <w:color w:val="000000"/>
                <w:sz w:val="16"/>
              </w:rPr>
            </w:pPr>
            <w:bookmarkStart w:id="340" w:name="DOC_TBL00128_3_4"/>
            <w:r>
              <w:rPr>
                <w:rFonts w:ascii="Verdana" w:hAnsi="Verdana"/>
                <w:noProof/>
                <w:color w:val="000000"/>
                <w:sz w:val="16"/>
              </w:rPr>
              <w:t>4 913</w:t>
            </w:r>
            <w:bookmarkEnd w:id="340"/>
          </w:p>
        </w:tc>
      </w:tr>
      <w:tr>
        <w:trPr>
          <w:cantSplit/>
          <w:trHeight w:val="283"/>
          <w:tblHeader/>
        </w:trPr>
        <w:tc>
          <w:tcPr>
            <w:tcW w:w="6325" w:type="dxa"/>
            <w:tcBorders>
              <w:top w:val="nil"/>
              <w:left w:val="nil"/>
              <w:bottom w:val="nil"/>
              <w:right w:val="nil"/>
              <w:tl2br w:val="nil"/>
              <w:tr2bl w:val="nil"/>
            </w:tcBorders>
            <w:tcMar>
              <w:left w:w="60" w:type="dxa"/>
              <w:right w:w="60" w:type="dxa"/>
            </w:tcMar>
            <w:vAlign w:val="center"/>
          </w:tcPr>
          <w:p>
            <w:pPr>
              <w:pStyle w:val="DMETW36778BIPAgencies2TypeofRevenue"/>
              <w:rPr>
                <w:rFonts w:ascii="Verdana" w:eastAsia="Verdana" w:hAnsi="Verdana" w:cs="Verdana"/>
                <w:noProof/>
                <w:color w:val="000000"/>
                <w:sz w:val="16"/>
              </w:rPr>
            </w:pPr>
            <w:bookmarkStart w:id="341" w:name="DOC_TBL00128_4_1"/>
            <w:r>
              <w:rPr>
                <w:rFonts w:ascii="Verdana" w:hAnsi="Verdana"/>
                <w:noProof/>
                <w:color w:val="000000"/>
                <w:sz w:val="16"/>
              </w:rPr>
              <w:t>Redevances</w:t>
            </w:r>
            <w:bookmarkEnd w:id="341"/>
          </w:p>
        </w:tc>
        <w:tc>
          <w:tcPr>
            <w:tcW w:w="1287" w:type="dxa"/>
            <w:gridSpan w:val="3"/>
            <w:tcBorders>
              <w:top w:val="nil"/>
              <w:left w:val="nil"/>
              <w:bottom w:val="nil"/>
              <w:right w:val="nil"/>
              <w:tl2br w:val="nil"/>
              <w:tr2bl w:val="nil"/>
            </w:tcBorders>
            <w:tcMar>
              <w:left w:w="60" w:type="dxa"/>
              <w:right w:w="60" w:type="dxa"/>
            </w:tcMar>
            <w:vAlign w:val="center"/>
          </w:tcPr>
          <w:p>
            <w:pPr>
              <w:pStyle w:val="DMETW36778BIPAgencies2TypeofRevenue"/>
              <w:rPr>
                <w:rFonts w:ascii="Verdana" w:eastAsia="Verdana" w:hAnsi="Verdana" w:cs="Verdana"/>
                <w:noProof/>
                <w:color w:val="000000"/>
                <w:sz w:val="16"/>
              </w:rPr>
            </w:pPr>
            <w:bookmarkStart w:id="342" w:name="DOC_TBL00128_4_2"/>
            <w:bookmarkEnd w:id="342"/>
          </w:p>
        </w:tc>
        <w:tc>
          <w:tcPr>
            <w:tcW w:w="1034" w:type="dxa"/>
            <w:gridSpan w:val="2"/>
            <w:tcBorders>
              <w:top w:val="nil"/>
              <w:left w:val="nil"/>
              <w:bottom w:val="nil"/>
              <w:right w:val="nil"/>
              <w:tl2br w:val="nil"/>
              <w:tr2bl w:val="nil"/>
            </w:tcBorders>
            <w:tcMar>
              <w:left w:w="60" w:type="dxa"/>
              <w:right w:w="60" w:type="dxa"/>
            </w:tcMar>
            <w:vAlign w:val="center"/>
          </w:tcPr>
          <w:p>
            <w:pPr>
              <w:pStyle w:val="DMETW36778BIPAgencies2TypeofRevenue"/>
              <w:jc w:val="right"/>
              <w:rPr>
                <w:rFonts w:ascii="Verdana" w:eastAsia="Verdana" w:hAnsi="Verdana" w:cs="Verdana"/>
                <w:noProof/>
                <w:color w:val="000000"/>
                <w:sz w:val="16"/>
              </w:rPr>
            </w:pPr>
            <w:bookmarkStart w:id="343" w:name="DOC_TBL00128_4_3"/>
            <w:bookmarkEnd w:id="343"/>
          </w:p>
        </w:tc>
        <w:tc>
          <w:tcPr>
            <w:tcW w:w="1106" w:type="dxa"/>
            <w:tcBorders>
              <w:top w:val="nil"/>
              <w:left w:val="nil"/>
              <w:bottom w:val="nil"/>
              <w:right w:val="nil"/>
              <w:tl2br w:val="nil"/>
              <w:tr2bl w:val="nil"/>
            </w:tcBorders>
            <w:tcMar>
              <w:left w:w="60" w:type="dxa"/>
              <w:right w:w="60" w:type="dxa"/>
            </w:tcMar>
            <w:vAlign w:val="center"/>
          </w:tcPr>
          <w:p>
            <w:pPr>
              <w:pStyle w:val="DMETW36778BIPAgencies2TypeofRevenue"/>
              <w:jc w:val="right"/>
              <w:rPr>
                <w:rFonts w:ascii="Verdana" w:eastAsia="Verdana" w:hAnsi="Verdana" w:cs="Verdana"/>
                <w:noProof/>
                <w:color w:val="000000"/>
                <w:sz w:val="16"/>
              </w:rPr>
            </w:pPr>
            <w:bookmarkStart w:id="344" w:name="DOC_TBL00128_4_4"/>
            <w:r>
              <w:rPr>
                <w:rFonts w:ascii="Verdana" w:hAnsi="Verdana"/>
                <w:noProof/>
                <w:color w:val="000000"/>
                <w:sz w:val="16"/>
              </w:rPr>
              <w:t>1 136</w:t>
            </w:r>
            <w:bookmarkEnd w:id="344"/>
          </w:p>
        </w:tc>
      </w:tr>
      <w:tr>
        <w:trPr>
          <w:cantSplit/>
          <w:trHeight w:val="283"/>
          <w:tblHeader/>
        </w:trPr>
        <w:tc>
          <w:tcPr>
            <w:tcW w:w="6325" w:type="dxa"/>
            <w:tcBorders>
              <w:top w:val="nil"/>
              <w:left w:val="nil"/>
              <w:bottom w:val="nil"/>
              <w:right w:val="nil"/>
              <w:tl2br w:val="nil"/>
              <w:tr2bl w:val="nil"/>
            </w:tcBorders>
            <w:tcMar>
              <w:left w:w="60" w:type="dxa"/>
              <w:right w:w="60" w:type="dxa"/>
            </w:tcMar>
            <w:vAlign w:val="center"/>
          </w:tcPr>
          <w:p>
            <w:pPr>
              <w:pStyle w:val="DMETW36778BIPAgencies2TypeofRevenue"/>
              <w:rPr>
                <w:rFonts w:ascii="Verdana" w:eastAsia="Verdana" w:hAnsi="Verdana" w:cs="Verdana"/>
                <w:noProof/>
                <w:color w:val="000000"/>
                <w:sz w:val="16"/>
              </w:rPr>
            </w:pPr>
            <w:bookmarkStart w:id="345" w:name="DOC_TBL00128_5_1"/>
            <w:r>
              <w:rPr>
                <w:rFonts w:ascii="Verdana" w:hAnsi="Verdana"/>
                <w:noProof/>
                <w:color w:val="000000"/>
                <w:sz w:val="16"/>
              </w:rPr>
              <w:t>Autres recettes</w:t>
            </w:r>
            <w:bookmarkEnd w:id="345"/>
          </w:p>
        </w:tc>
        <w:tc>
          <w:tcPr>
            <w:tcW w:w="1287" w:type="dxa"/>
            <w:gridSpan w:val="3"/>
            <w:tcBorders>
              <w:top w:val="nil"/>
              <w:left w:val="nil"/>
              <w:bottom w:val="nil"/>
              <w:right w:val="nil"/>
              <w:tl2br w:val="nil"/>
              <w:tr2bl w:val="nil"/>
            </w:tcBorders>
            <w:tcMar>
              <w:left w:w="60" w:type="dxa"/>
              <w:right w:w="60" w:type="dxa"/>
            </w:tcMar>
            <w:vAlign w:val="center"/>
          </w:tcPr>
          <w:p>
            <w:pPr>
              <w:pStyle w:val="DMETW36778BIPAgencies2TypeofRevenue"/>
              <w:rPr>
                <w:rFonts w:ascii="Verdana" w:eastAsia="Verdana" w:hAnsi="Verdana" w:cs="Verdana"/>
                <w:noProof/>
                <w:color w:val="000000"/>
                <w:sz w:val="16"/>
              </w:rPr>
            </w:pPr>
            <w:bookmarkStart w:id="346" w:name="DOC_TBL00128_5_2"/>
            <w:bookmarkEnd w:id="346"/>
          </w:p>
        </w:tc>
        <w:tc>
          <w:tcPr>
            <w:tcW w:w="1034" w:type="dxa"/>
            <w:gridSpan w:val="2"/>
            <w:tcBorders>
              <w:top w:val="nil"/>
              <w:left w:val="nil"/>
              <w:bottom w:val="nil"/>
              <w:right w:val="nil"/>
              <w:tl2br w:val="nil"/>
              <w:tr2bl w:val="nil"/>
            </w:tcBorders>
            <w:tcMar>
              <w:left w:w="60" w:type="dxa"/>
              <w:right w:w="60" w:type="dxa"/>
            </w:tcMar>
            <w:vAlign w:val="center"/>
          </w:tcPr>
          <w:p>
            <w:pPr>
              <w:pStyle w:val="DMETW36778BIPAgencies2TypeofRevenue"/>
              <w:jc w:val="right"/>
              <w:rPr>
                <w:rFonts w:ascii="Verdana" w:eastAsia="Verdana" w:hAnsi="Verdana" w:cs="Verdana"/>
                <w:noProof/>
                <w:color w:val="000000"/>
                <w:sz w:val="16"/>
              </w:rPr>
            </w:pPr>
            <w:bookmarkStart w:id="347" w:name="DOC_TBL00128_5_3"/>
            <w:bookmarkEnd w:id="347"/>
          </w:p>
        </w:tc>
        <w:tc>
          <w:tcPr>
            <w:tcW w:w="1106" w:type="dxa"/>
            <w:tcBorders>
              <w:top w:val="nil"/>
              <w:left w:val="nil"/>
              <w:bottom w:val="nil"/>
              <w:right w:val="nil"/>
              <w:tl2br w:val="nil"/>
              <w:tr2bl w:val="nil"/>
            </w:tcBorders>
            <w:tcMar>
              <w:left w:w="60" w:type="dxa"/>
              <w:right w:w="60" w:type="dxa"/>
            </w:tcMar>
            <w:vAlign w:val="center"/>
          </w:tcPr>
          <w:p>
            <w:pPr>
              <w:pStyle w:val="DMETW36778BIPAgencies2TypeofRevenue"/>
              <w:jc w:val="right"/>
              <w:rPr>
                <w:rFonts w:ascii="Verdana" w:eastAsia="Verdana" w:hAnsi="Verdana" w:cs="Verdana"/>
                <w:noProof/>
                <w:color w:val="000000"/>
                <w:sz w:val="16"/>
              </w:rPr>
            </w:pPr>
            <w:bookmarkStart w:id="348" w:name="DOC_TBL00128_5_4"/>
            <w:r>
              <w:rPr>
                <w:rFonts w:ascii="Verdana" w:hAnsi="Verdana"/>
                <w:noProof/>
                <w:color w:val="000000"/>
                <w:sz w:val="16"/>
              </w:rPr>
              <w:t>1 531</w:t>
            </w:r>
            <w:bookmarkEnd w:id="348"/>
          </w:p>
        </w:tc>
      </w:tr>
      <w:tr>
        <w:trPr>
          <w:cantSplit/>
          <w:trHeight w:val="283"/>
          <w:tblHeader/>
        </w:trPr>
        <w:tc>
          <w:tcPr>
            <w:tcW w:w="6325" w:type="dxa"/>
            <w:tcBorders>
              <w:top w:val="nil"/>
              <w:left w:val="nil"/>
              <w:bottom w:val="nil"/>
              <w:right w:val="nil"/>
              <w:tl2br w:val="nil"/>
              <w:tr2bl w:val="nil"/>
            </w:tcBorders>
            <w:shd w:val="solid" w:color="CCE1EA" w:fill="FFFFFF"/>
            <w:tcMar>
              <w:left w:w="60" w:type="dxa"/>
              <w:right w:w="60" w:type="dxa"/>
            </w:tcMar>
            <w:vAlign w:val="center"/>
          </w:tcPr>
          <w:p>
            <w:pPr>
              <w:pStyle w:val="DMETW36778BIPAgencies2TypeofRevenue"/>
              <w:rPr>
                <w:rFonts w:ascii="Verdana" w:eastAsia="Verdana" w:hAnsi="Verdana" w:cs="Verdana"/>
                <w:b/>
                <w:noProof/>
                <w:color w:val="000000"/>
                <w:sz w:val="16"/>
              </w:rPr>
            </w:pPr>
            <w:bookmarkStart w:id="349" w:name="DOC_TBL00128_6_1"/>
            <w:r>
              <w:rPr>
                <w:rFonts w:ascii="Verdana" w:hAnsi="Verdana"/>
                <w:b/>
                <w:noProof/>
                <w:color w:val="000000"/>
                <w:sz w:val="16"/>
              </w:rPr>
              <w:t>Total</w:t>
            </w:r>
            <w:bookmarkEnd w:id="349"/>
          </w:p>
        </w:tc>
        <w:tc>
          <w:tcPr>
            <w:tcW w:w="1287"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6778BIPAgencies2TypeofRevenue"/>
              <w:rPr>
                <w:rFonts w:ascii="Verdana" w:eastAsia="Verdana" w:hAnsi="Verdana" w:cs="Verdana"/>
                <w:b/>
                <w:noProof/>
                <w:color w:val="000000"/>
                <w:sz w:val="16"/>
              </w:rPr>
            </w:pPr>
            <w:bookmarkStart w:id="350" w:name="DOC_TBL00128_6_2"/>
            <w:bookmarkEnd w:id="350"/>
          </w:p>
        </w:tc>
        <w:tc>
          <w:tcPr>
            <w:tcW w:w="1034" w:type="dxa"/>
            <w:gridSpan w:val="2"/>
            <w:tcBorders>
              <w:top w:val="nil"/>
              <w:left w:val="nil"/>
              <w:bottom w:val="nil"/>
              <w:right w:val="nil"/>
              <w:tl2br w:val="nil"/>
              <w:tr2bl w:val="nil"/>
            </w:tcBorders>
            <w:shd w:val="solid" w:color="CCE1EA" w:fill="FFFFFF"/>
            <w:tcMar>
              <w:left w:w="60" w:type="dxa"/>
              <w:right w:w="60" w:type="dxa"/>
            </w:tcMar>
            <w:vAlign w:val="center"/>
          </w:tcPr>
          <w:p>
            <w:pPr>
              <w:pStyle w:val="DMETW36778BIPAgencies2TypeofRevenue"/>
              <w:rPr>
                <w:rFonts w:ascii="Verdana" w:eastAsia="Verdana" w:hAnsi="Verdana" w:cs="Verdana"/>
                <w:b/>
                <w:noProof/>
                <w:color w:val="000000"/>
                <w:sz w:val="16"/>
              </w:rPr>
            </w:pPr>
            <w:bookmarkStart w:id="351" w:name="DOC_TBL00128_6_3"/>
            <w:bookmarkEnd w:id="351"/>
          </w:p>
        </w:tc>
        <w:tc>
          <w:tcPr>
            <w:tcW w:w="1106" w:type="dxa"/>
            <w:tcBorders>
              <w:top w:val="nil"/>
              <w:left w:val="nil"/>
              <w:bottom w:val="nil"/>
              <w:right w:val="nil"/>
              <w:tl2br w:val="nil"/>
              <w:tr2bl w:val="nil"/>
            </w:tcBorders>
            <w:shd w:val="solid" w:color="CCE1EA" w:fill="FFFFFF"/>
            <w:tcMar>
              <w:left w:w="60" w:type="dxa"/>
              <w:right w:w="60" w:type="dxa"/>
            </w:tcMar>
            <w:vAlign w:val="center"/>
          </w:tcPr>
          <w:p>
            <w:pPr>
              <w:pStyle w:val="DMETW36778BIPAgencies2TypeofRevenue"/>
              <w:jc w:val="right"/>
              <w:rPr>
                <w:rFonts w:ascii="Verdana" w:eastAsia="Verdana" w:hAnsi="Verdana" w:cs="Verdana"/>
                <w:b/>
                <w:noProof/>
                <w:color w:val="000000"/>
                <w:sz w:val="16"/>
              </w:rPr>
            </w:pPr>
            <w:bookmarkStart w:id="352" w:name="DOC_TBL00128_6_4"/>
            <w:r>
              <w:rPr>
                <w:rFonts w:ascii="Verdana" w:hAnsi="Verdana"/>
                <w:b/>
                <w:noProof/>
                <w:color w:val="000000"/>
                <w:sz w:val="16"/>
              </w:rPr>
              <w:t>7 581</w:t>
            </w:r>
            <w:bookmarkEnd w:id="352"/>
          </w:p>
        </w:tc>
      </w:tr>
    </w:tbl>
    <w:p>
      <w:pPr>
        <w:pStyle w:val="DGTextstand-alone"/>
      </w:pPr>
    </w:p>
    <w:p>
      <w:pPr>
        <w:pStyle w:val="HEADER2PartBUDG"/>
        <w:spacing w:after="120"/>
        <w:ind w:left="357" w:hanging="357"/>
        <w:rPr>
          <w:noProof/>
        </w:rPr>
      </w:pPr>
      <w:bookmarkStart w:id="353" w:name="_Toc237349650"/>
      <w:r>
        <w:rPr>
          <w:noProof/>
        </w:rPr>
        <w:t>CRÉDITS D’ENGAGEMENT ET DE PAIEMENT PAR AGENCE</w:t>
      </w:r>
      <w:bookmarkEnd w:id="3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5"/>
        <w:gridCol w:w="1134"/>
        <w:gridCol w:w="1134"/>
        <w:gridCol w:w="1136"/>
        <w:gridCol w:w="1043"/>
      </w:tblGrid>
      <w:tr>
        <w:trPr>
          <w:trHeight w:val="284"/>
          <w:tblHeader/>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bookmarkStart w:id="354" w:name="DOC_TBL00129_1_1"/>
            <w:bookmarkEnd w:id="354"/>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i/>
                <w:noProof/>
                <w:color w:val="000000"/>
                <w:sz w:val="16"/>
              </w:rPr>
            </w:pPr>
            <w:r>
              <w:rPr>
                <w:rFonts w:ascii="Verdana" w:hAnsi="Verdana"/>
                <w:i/>
                <w:noProof/>
                <w:color w:val="000000"/>
                <w:sz w:val="16"/>
              </w:rPr>
              <w:t>en Mio EUR</w:t>
            </w:r>
          </w:p>
        </w:tc>
      </w:tr>
      <w:tr>
        <w:trPr>
          <w:trHeight w:val="284"/>
          <w:tblHeader/>
        </w:trPr>
        <w:tc>
          <w:tcPr>
            <w:tcW w:w="5305" w:type="dxa"/>
            <w:tcBorders>
              <w:top w:val="nil"/>
              <w:left w:val="nil"/>
              <w:bottom w:val="nil"/>
              <w:right w:val="nil"/>
              <w:tl2br w:val="nil"/>
              <w:tr2bl w:val="nil"/>
            </w:tcBorders>
            <w:shd w:val="solid" w:color="016794" w:fill="FFFFFF"/>
            <w:tcMar>
              <w:left w:w="60" w:type="dxa"/>
              <w:right w:w="60" w:type="dxa"/>
            </w:tcMar>
            <w:vAlign w:val="center"/>
          </w:tcPr>
          <w:p>
            <w:pPr>
              <w:pStyle w:val="DMETW36778BIPAgencies3CommitmentsPayments"/>
              <w:jc w:val="center"/>
              <w:rPr>
                <w:rFonts w:ascii="Verdana" w:eastAsia="Verdana" w:hAnsi="Verdana" w:cs="Verdana"/>
                <w:noProof/>
                <w:color w:val="FFFFFF"/>
                <w:sz w:val="16"/>
              </w:rPr>
            </w:pPr>
          </w:p>
        </w:tc>
        <w:tc>
          <w:tcPr>
            <w:tcW w:w="1134" w:type="dxa"/>
            <w:gridSpan w:val="2"/>
            <w:tcBorders>
              <w:top w:val="nil"/>
              <w:left w:val="nil"/>
              <w:bottom w:val="nil"/>
              <w:right w:val="nil"/>
              <w:tl2br w:val="nil"/>
              <w:tr2bl w:val="nil"/>
            </w:tcBorders>
            <w:shd w:val="solid" w:color="016794" w:fill="FFFFFF"/>
            <w:tcMar>
              <w:left w:w="60" w:type="dxa"/>
              <w:right w:w="60" w:type="dxa"/>
            </w:tcMar>
            <w:vAlign w:val="center"/>
          </w:tcPr>
          <w:p>
            <w:pPr>
              <w:pStyle w:val="DMETW36778BIPAgencies3CommitmentsPayments"/>
              <w:jc w:val="center"/>
              <w:rPr>
                <w:rFonts w:ascii="Verdana" w:eastAsia="Verdana" w:hAnsi="Verdana" w:cs="Verdana"/>
                <w:b/>
                <w:noProof/>
                <w:color w:val="FFFFFF"/>
                <w:sz w:val="16"/>
              </w:rPr>
            </w:pPr>
            <w:r>
              <w:rPr>
                <w:rFonts w:ascii="Verdana" w:hAnsi="Verdana"/>
                <w:b/>
                <w:noProof/>
                <w:color w:val="FFFFFF"/>
                <w:sz w:val="16"/>
              </w:rPr>
              <w:t>Crédits d’engagement</w:t>
            </w:r>
          </w:p>
        </w:tc>
        <w:tc>
          <w:tcPr>
            <w:tcW w:w="1136" w:type="dxa"/>
            <w:gridSpan w:val="2"/>
            <w:tcBorders>
              <w:top w:val="nil"/>
              <w:left w:val="nil"/>
              <w:bottom w:val="nil"/>
              <w:right w:val="nil"/>
              <w:tl2br w:val="nil"/>
              <w:tr2bl w:val="nil"/>
            </w:tcBorders>
            <w:shd w:val="solid" w:color="016794" w:fill="FFFFFF"/>
            <w:tcMar>
              <w:left w:w="60" w:type="dxa"/>
              <w:right w:w="60" w:type="dxa"/>
            </w:tcMar>
            <w:vAlign w:val="center"/>
          </w:tcPr>
          <w:p>
            <w:pPr>
              <w:pStyle w:val="DMETW36778BIPAgencies3CommitmentsPayments"/>
              <w:jc w:val="center"/>
              <w:rPr>
                <w:rFonts w:ascii="Verdana" w:eastAsia="Verdana" w:hAnsi="Verdana" w:cs="Verdana"/>
                <w:b/>
                <w:noProof/>
                <w:color w:val="FFFFFF"/>
                <w:sz w:val="16"/>
              </w:rPr>
            </w:pPr>
            <w:r>
              <w:rPr>
                <w:rFonts w:ascii="Verdana" w:hAnsi="Verdana"/>
                <w:b/>
                <w:noProof/>
                <w:color w:val="FFFFFF"/>
                <w:sz w:val="16"/>
              </w:rPr>
              <w:t>Crédits de paiement</w:t>
            </w:r>
          </w:p>
        </w:tc>
      </w:tr>
      <w:tr>
        <w:trPr>
          <w:trHeight w:val="284"/>
          <w:tblHeader/>
        </w:trPr>
        <w:tc>
          <w:tcPr>
            <w:tcW w:w="5305" w:type="dxa"/>
            <w:tcBorders>
              <w:top w:val="nil"/>
              <w:left w:val="nil"/>
              <w:bottom w:val="nil"/>
              <w:right w:val="nil"/>
              <w:tl2br w:val="nil"/>
              <w:tr2bl w:val="nil"/>
            </w:tcBorders>
            <w:shd w:val="solid" w:color="016794" w:fill="FFFFFF"/>
            <w:tcMar>
              <w:left w:w="60" w:type="dxa"/>
              <w:right w:w="60" w:type="dxa"/>
            </w:tcMar>
            <w:vAlign w:val="center"/>
          </w:tcPr>
          <w:p>
            <w:pPr>
              <w:pStyle w:val="DMETW36778BIPAgencies3CommitmentsPayments"/>
              <w:jc w:val="center"/>
              <w:rPr>
                <w:rFonts w:ascii="Verdana" w:eastAsia="Verdana" w:hAnsi="Verdana" w:cs="Verdana"/>
                <w:noProof/>
                <w:color w:val="FFFFFF"/>
                <w:sz w:val="16"/>
              </w:rPr>
            </w:pPr>
            <w:r>
              <w:rPr>
                <w:rFonts w:ascii="Verdana" w:hAnsi="Verdana"/>
                <w:noProof/>
                <w:color w:val="FFFFFF"/>
                <w:sz w:val="16"/>
              </w:rPr>
              <w:t>Agence</w:t>
            </w:r>
          </w:p>
        </w:tc>
        <w:tc>
          <w:tcPr>
            <w:tcW w:w="1134" w:type="dxa"/>
            <w:tcBorders>
              <w:top w:val="nil"/>
              <w:left w:val="nil"/>
              <w:bottom w:val="nil"/>
              <w:right w:val="nil"/>
              <w:tl2br w:val="nil"/>
              <w:tr2bl w:val="nil"/>
            </w:tcBorders>
            <w:shd w:val="solid" w:color="016794" w:fill="FFFFFF"/>
            <w:tcMar>
              <w:left w:w="60" w:type="dxa"/>
              <w:right w:w="60" w:type="dxa"/>
            </w:tcMar>
            <w:vAlign w:val="center"/>
          </w:tcPr>
          <w:p>
            <w:pPr>
              <w:pStyle w:val="DMETW36778BIPAgencies3CommitmentsPayments"/>
              <w:jc w:val="center"/>
              <w:rPr>
                <w:rFonts w:ascii="Verdana" w:eastAsia="Verdana" w:hAnsi="Verdana" w:cs="Verdana"/>
                <w:noProof/>
                <w:color w:val="FFFFFF"/>
                <w:sz w:val="16"/>
              </w:rPr>
            </w:pPr>
            <w:r>
              <w:rPr>
                <w:rFonts w:ascii="Verdana" w:hAnsi="Verdana"/>
                <w:noProof/>
                <w:color w:val="FFFFFF"/>
                <w:sz w:val="16"/>
              </w:rPr>
              <w:t>Total crédits disponibles</w:t>
            </w:r>
          </w:p>
        </w:tc>
        <w:tc>
          <w:tcPr>
            <w:tcW w:w="1134" w:type="dxa"/>
            <w:tcBorders>
              <w:top w:val="nil"/>
              <w:left w:val="nil"/>
              <w:bottom w:val="nil"/>
              <w:right w:val="nil"/>
              <w:tl2br w:val="nil"/>
              <w:tr2bl w:val="nil"/>
            </w:tcBorders>
            <w:shd w:val="solid" w:color="016794" w:fill="FFFFFF"/>
            <w:tcMar>
              <w:left w:w="60" w:type="dxa"/>
              <w:right w:w="60" w:type="dxa"/>
            </w:tcMar>
            <w:vAlign w:val="center"/>
          </w:tcPr>
          <w:p>
            <w:pPr>
              <w:pStyle w:val="DMETW36778BIPAgencies3CommitmentsPayments"/>
              <w:jc w:val="center"/>
              <w:rPr>
                <w:rFonts w:ascii="Verdana" w:eastAsia="Verdana" w:hAnsi="Verdana" w:cs="Verdana"/>
                <w:noProof/>
                <w:color w:val="FFFFFF"/>
                <w:sz w:val="16"/>
              </w:rPr>
            </w:pPr>
            <w:r>
              <w:rPr>
                <w:rFonts w:ascii="Verdana" w:hAnsi="Verdana"/>
                <w:noProof/>
                <w:color w:val="FFFFFF"/>
                <w:sz w:val="16"/>
              </w:rPr>
              <w:t>Engagements contractés</w:t>
            </w:r>
          </w:p>
        </w:tc>
        <w:tc>
          <w:tcPr>
            <w:tcW w:w="1136" w:type="dxa"/>
            <w:tcBorders>
              <w:top w:val="nil"/>
              <w:left w:val="nil"/>
              <w:bottom w:val="nil"/>
              <w:right w:val="nil"/>
              <w:tl2br w:val="nil"/>
              <w:tr2bl w:val="nil"/>
            </w:tcBorders>
            <w:shd w:val="solid" w:color="016794" w:fill="FFFFFF"/>
            <w:tcMar>
              <w:left w:w="60" w:type="dxa"/>
              <w:right w:w="60" w:type="dxa"/>
            </w:tcMar>
            <w:vAlign w:val="center"/>
          </w:tcPr>
          <w:p>
            <w:pPr>
              <w:pStyle w:val="DMETW36778BIPAgencies3CommitmentsPayments"/>
              <w:jc w:val="center"/>
              <w:rPr>
                <w:rFonts w:ascii="Verdana" w:eastAsia="Verdana" w:hAnsi="Verdana" w:cs="Verdana"/>
                <w:noProof/>
                <w:color w:val="FFFFFF"/>
                <w:sz w:val="16"/>
              </w:rPr>
            </w:pPr>
            <w:r>
              <w:rPr>
                <w:rFonts w:ascii="Verdana" w:hAnsi="Verdana"/>
                <w:noProof/>
                <w:color w:val="FFFFFF"/>
                <w:sz w:val="16"/>
              </w:rPr>
              <w:t>Total crédits disponibles</w:t>
            </w:r>
          </w:p>
        </w:tc>
        <w:tc>
          <w:tcPr>
            <w:tcW w:w="1043" w:type="dxa"/>
            <w:tcBorders>
              <w:top w:val="nil"/>
              <w:left w:val="nil"/>
              <w:bottom w:val="nil"/>
              <w:right w:val="nil"/>
              <w:tl2br w:val="nil"/>
              <w:tr2bl w:val="nil"/>
            </w:tcBorders>
            <w:shd w:val="solid" w:color="016794" w:fill="FFFFFF"/>
            <w:tcMar>
              <w:left w:w="60" w:type="dxa"/>
              <w:right w:w="60" w:type="dxa"/>
            </w:tcMar>
            <w:vAlign w:val="center"/>
          </w:tcPr>
          <w:p>
            <w:pPr>
              <w:pStyle w:val="DMETW36778BIPAgencies3CommitmentsPayments"/>
              <w:jc w:val="center"/>
              <w:rPr>
                <w:rFonts w:ascii="Verdana" w:eastAsia="Verdana" w:hAnsi="Verdana" w:cs="Verdana"/>
                <w:noProof/>
                <w:color w:val="FFFFFF"/>
                <w:sz w:val="16"/>
              </w:rPr>
            </w:pPr>
            <w:r>
              <w:rPr>
                <w:rFonts w:ascii="Verdana" w:hAnsi="Verdana"/>
                <w:noProof/>
                <w:color w:val="FFFFFF"/>
                <w:sz w:val="16"/>
              </w:rPr>
              <w:t>Paiements exécutés</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Agence de coopération des régulateurs de l’énergie</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45</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45</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54</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41</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Agence pour la gestion opérationnelle des systèmes d’information à grande échelle</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378</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357</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464</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400</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Organe des régulateurs européens des communications électroniques</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9</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8</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10</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8</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Office communautaire des variétés végétales</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21</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19</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22</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20</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Agence européenne pour la sécurité et la santé au travail</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18</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17</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22</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17</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Bureau européen d’appui en matière d’asile</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264</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208</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277</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191</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Agence européenne de la sécurité aérienne</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317</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250</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331</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227</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Autorité bancaire européenne</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61</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59</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65</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58</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Agence européenne de garde-frontières et de garde-côtes</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1 158</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1 132</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1 561</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1 023</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Centre européen de prévention et de contrôle des maladies</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109</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99</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135</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103</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Centre européen pour le développement de la formation professionnelle</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23</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22</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24</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21</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Agence européenne des produits chimiques</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142</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137</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159</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139</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Agence exécutive européenne pour le climat, les infrastructures et l’environnement</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75</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73</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78</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72</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Agence exécutive européenne pour l’éducation et la culture</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75</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75</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80</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75</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Agence européenne pour l’environnement</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116</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103</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155</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101</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Agence européenne de contrôle des pêches</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36</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34</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43</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35</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Autorité européenne de sécurité des aliments</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166</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165</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168</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157</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Fondation européenne pour l’amélioration des conditions de vie et de travail</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29</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26</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33</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25</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Agence exécutive européenne pour la santé et le numérique</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62</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61</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65</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60</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Agence exécutive pour le Conseil européen de l’innovation et les PME</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50</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50</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52</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49</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Institut européen pour l’égalité entre les hommes et les femmes</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12</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10</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14</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10</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Institut européen d’innovation et de technologie</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529</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522</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475</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463</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Autorité européenne des assurances et des pensions professionnelles</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41</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40</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43</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40</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Autorité européenne du travail</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52</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51</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53</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50</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Agence européenne pour la sécurité maritime</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139</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124</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156</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126</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Agence européenne des médicaments</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625</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606</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699</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607</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Observatoire européen des drogues et des toxicomanies</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38</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37</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46</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35</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Parquet européen</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86</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86</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95</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87</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Agence exécutive du Conseil européen de la recherche</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73</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73</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74</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72</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lastRenderedPageBreak/>
              <w:t>Agence exécutive européenne pour la recherche</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127</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127</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132</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126</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Autorité européenne des marchés financiers</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87</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85</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91</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80</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Fondation européenne pour la formation</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32</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29</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35</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28</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Agence de l’Union européenne pour la coopération judiciaire en matière pénale</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93</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80</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103</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80</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Agence de l’Union européenne pour la cybersécurité</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66</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41</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72</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33</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Agence de l’Union européenne pour la coopération des services répressifs</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253</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247</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275</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239</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Agence de l’Union européenne pour la formation des services répressifs</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32</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19</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35</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19</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Agence de l’Union européenne pour les chemins de fer</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67</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49</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53</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45</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Agence de l’Union européenne pour le programme spatial</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2 306</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677</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2 366</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1 185</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Agence des droits fondamentaux de l'Union européenne</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27</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26</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33</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28</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Office de l’Union européenne pour la propriété intellectuelle</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345</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345</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532</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341</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Entreprise commune Fusion for Energy</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1 066</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979</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849</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789</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Centre de traduction des organes de l’Union européenne</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52</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46</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54</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46</w:t>
            </w:r>
          </w:p>
        </w:tc>
      </w:tr>
      <w:tr>
        <w:trPr>
          <w:trHeight w:val="284"/>
        </w:trPr>
        <w:tc>
          <w:tcPr>
            <w:tcW w:w="5305" w:type="dxa"/>
            <w:tcBorders>
              <w:top w:val="nil"/>
              <w:left w:val="nil"/>
              <w:bottom w:val="nil"/>
              <w:right w:val="nil"/>
              <w:tl2br w:val="nil"/>
              <w:tr2bl w:val="nil"/>
            </w:tcBorders>
            <w:shd w:val="solid" w:color="CCE1EA" w:fill="FFFFFF"/>
            <w:tcMar>
              <w:left w:w="60" w:type="dxa"/>
              <w:right w:w="60" w:type="dxa"/>
            </w:tcMar>
            <w:vAlign w:val="center"/>
          </w:tcPr>
          <w:p>
            <w:pPr>
              <w:pStyle w:val="DMETW36778BIPAgencies3CommitmentsPayments"/>
              <w:rPr>
                <w:rFonts w:ascii="Verdana" w:eastAsia="Verdana" w:hAnsi="Verdana" w:cs="Verdana"/>
                <w:b/>
                <w:noProof/>
                <w:color w:val="000000"/>
                <w:sz w:val="16"/>
              </w:rPr>
            </w:pPr>
            <w:r>
              <w:rPr>
                <w:rFonts w:ascii="Verdana" w:hAnsi="Verdana"/>
                <w:b/>
                <w:noProof/>
                <w:color w:val="000000"/>
                <w:sz w:val="16"/>
              </w:rPr>
              <w:t>Total</w:t>
            </w:r>
          </w:p>
        </w:tc>
        <w:tc>
          <w:tcPr>
            <w:tcW w:w="1134" w:type="dxa"/>
            <w:tcBorders>
              <w:top w:val="nil"/>
              <w:left w:val="nil"/>
              <w:bottom w:val="nil"/>
              <w:right w:val="nil"/>
              <w:tl2br w:val="nil"/>
              <w:tr2bl w:val="nil"/>
            </w:tcBorders>
            <w:shd w:val="solid" w:color="CCE1EA" w:fill="FFFFFF"/>
            <w:tcMar>
              <w:left w:w="60" w:type="dxa"/>
              <w:right w:w="60" w:type="dxa"/>
            </w:tcMar>
            <w:vAlign w:val="center"/>
          </w:tcPr>
          <w:p>
            <w:pPr>
              <w:pStyle w:val="DMETW36778BIPAgencies3CommitmentsPayments"/>
              <w:jc w:val="right"/>
              <w:rPr>
                <w:rFonts w:ascii="Verdana" w:eastAsia="Verdana" w:hAnsi="Verdana" w:cs="Verdana"/>
                <w:b/>
                <w:noProof/>
                <w:color w:val="000000"/>
                <w:sz w:val="16"/>
              </w:rPr>
            </w:pPr>
            <w:r>
              <w:rPr>
                <w:rFonts w:ascii="Verdana" w:hAnsi="Verdana"/>
                <w:b/>
                <w:noProof/>
                <w:color w:val="000000"/>
                <w:sz w:val="16"/>
              </w:rPr>
              <w:t>9 300</w:t>
            </w:r>
          </w:p>
        </w:tc>
        <w:tc>
          <w:tcPr>
            <w:tcW w:w="1134" w:type="dxa"/>
            <w:tcBorders>
              <w:top w:val="nil"/>
              <w:left w:val="nil"/>
              <w:bottom w:val="nil"/>
              <w:right w:val="nil"/>
              <w:tl2br w:val="nil"/>
              <w:tr2bl w:val="nil"/>
            </w:tcBorders>
            <w:shd w:val="solid" w:color="CCE1EA" w:fill="FFFFFF"/>
            <w:tcMar>
              <w:left w:w="60" w:type="dxa"/>
              <w:right w:w="60" w:type="dxa"/>
            </w:tcMar>
            <w:vAlign w:val="center"/>
          </w:tcPr>
          <w:p>
            <w:pPr>
              <w:pStyle w:val="DMETW36778BIPAgencies3CommitmentsPayments"/>
              <w:jc w:val="right"/>
              <w:rPr>
                <w:rFonts w:ascii="Verdana" w:eastAsia="Verdana" w:hAnsi="Verdana" w:cs="Verdana"/>
                <w:b/>
                <w:noProof/>
                <w:color w:val="000000"/>
                <w:sz w:val="16"/>
              </w:rPr>
            </w:pPr>
            <w:r>
              <w:rPr>
                <w:rFonts w:ascii="Verdana" w:hAnsi="Verdana"/>
                <w:b/>
                <w:noProof/>
                <w:color w:val="000000"/>
                <w:sz w:val="16"/>
              </w:rPr>
              <w:t>7 239</w:t>
            </w:r>
          </w:p>
        </w:tc>
        <w:tc>
          <w:tcPr>
            <w:tcW w:w="1136" w:type="dxa"/>
            <w:tcBorders>
              <w:top w:val="nil"/>
              <w:left w:val="nil"/>
              <w:bottom w:val="nil"/>
              <w:right w:val="nil"/>
              <w:tl2br w:val="nil"/>
              <w:tr2bl w:val="nil"/>
            </w:tcBorders>
            <w:shd w:val="solid" w:color="CCE1EA" w:fill="FFFFFF"/>
            <w:tcMar>
              <w:left w:w="60" w:type="dxa"/>
              <w:right w:w="60" w:type="dxa"/>
            </w:tcMar>
            <w:vAlign w:val="center"/>
          </w:tcPr>
          <w:p>
            <w:pPr>
              <w:pStyle w:val="DMETW36778BIPAgencies3CommitmentsPayments"/>
              <w:jc w:val="right"/>
              <w:rPr>
                <w:rFonts w:ascii="Verdana" w:eastAsia="Verdana" w:hAnsi="Verdana" w:cs="Verdana"/>
                <w:b/>
                <w:noProof/>
                <w:color w:val="000000"/>
                <w:sz w:val="16"/>
              </w:rPr>
            </w:pPr>
            <w:r>
              <w:rPr>
                <w:rFonts w:ascii="Verdana" w:hAnsi="Verdana"/>
                <w:b/>
                <w:noProof/>
                <w:color w:val="000000"/>
                <w:sz w:val="16"/>
              </w:rPr>
              <w:t>10 082</w:t>
            </w:r>
          </w:p>
        </w:tc>
        <w:tc>
          <w:tcPr>
            <w:tcW w:w="1043" w:type="dxa"/>
            <w:tcBorders>
              <w:top w:val="nil"/>
              <w:left w:val="nil"/>
              <w:bottom w:val="nil"/>
              <w:right w:val="nil"/>
              <w:tl2br w:val="nil"/>
              <w:tr2bl w:val="nil"/>
            </w:tcBorders>
            <w:shd w:val="solid" w:color="CCE1EA" w:fill="FFFFFF"/>
            <w:tcMar>
              <w:left w:w="60" w:type="dxa"/>
              <w:right w:w="60" w:type="dxa"/>
            </w:tcMar>
            <w:vAlign w:val="center"/>
          </w:tcPr>
          <w:p>
            <w:pPr>
              <w:pStyle w:val="DMETW36778BIPAgencies3CommitmentsPayments"/>
              <w:jc w:val="right"/>
              <w:rPr>
                <w:rFonts w:ascii="Verdana" w:eastAsia="Verdana" w:hAnsi="Verdana" w:cs="Verdana"/>
                <w:b/>
                <w:noProof/>
                <w:color w:val="000000"/>
                <w:sz w:val="16"/>
              </w:rPr>
            </w:pPr>
            <w:r>
              <w:rPr>
                <w:rFonts w:ascii="Verdana" w:hAnsi="Verdana"/>
                <w:b/>
                <w:noProof/>
                <w:color w:val="000000"/>
                <w:sz w:val="16"/>
              </w:rPr>
              <w:t>7 355</w:t>
            </w:r>
          </w:p>
        </w:tc>
      </w:tr>
    </w:tbl>
    <w:p>
      <w:pPr>
        <w:pStyle w:val="DGTextstand-alone"/>
        <w:rPr>
          <w:lang w:bidi="en-GB"/>
        </w:rPr>
      </w:pPr>
    </w:p>
    <w:tbl>
      <w:tblPr>
        <w:tblW w:w="9637"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8"/>
        <w:gridCol w:w="1276"/>
        <w:gridCol w:w="1134"/>
        <w:gridCol w:w="1275"/>
        <w:gridCol w:w="1134"/>
      </w:tblGrid>
      <w:tr>
        <w:trPr>
          <w:cantSplit/>
          <w:trHeight w:val="284"/>
        </w:trPr>
        <w:tc>
          <w:tcPr>
            <w:tcW w:w="4818" w:type="dxa"/>
            <w:tcBorders>
              <w:top w:val="nil"/>
              <w:left w:val="nil"/>
              <w:bottom w:val="nil"/>
              <w:right w:val="nil"/>
              <w:tl2br w:val="nil"/>
              <w:tr2bl w:val="nil"/>
            </w:tcBorders>
            <w:tcMar>
              <w:left w:w="60" w:type="dxa"/>
              <w:right w:w="60" w:type="dxa"/>
            </w:tcMar>
            <w:vAlign w:val="center"/>
          </w:tcPr>
          <w:p>
            <w:pPr>
              <w:pStyle w:val="DMETW36778BIPAgencies4TypeofExpenditure"/>
              <w:rPr>
                <w:rFonts w:ascii="Verdana" w:eastAsia="Verdana" w:hAnsi="Verdana" w:cs="Verdana"/>
                <w:noProof/>
                <w:color w:val="000000"/>
                <w:sz w:val="16"/>
              </w:rPr>
            </w:pPr>
            <w:bookmarkStart w:id="355" w:name="DOC_TBL00130_1_1"/>
            <w:bookmarkEnd w:id="355"/>
          </w:p>
        </w:tc>
        <w:tc>
          <w:tcPr>
            <w:tcW w:w="1276" w:type="dxa"/>
            <w:tcBorders>
              <w:top w:val="nil"/>
              <w:left w:val="nil"/>
              <w:bottom w:val="nil"/>
              <w:right w:val="nil"/>
              <w:tl2br w:val="nil"/>
              <w:tr2bl w:val="nil"/>
            </w:tcBorders>
            <w:tcMar>
              <w:left w:w="60" w:type="dxa"/>
              <w:right w:w="60" w:type="dxa"/>
            </w:tcMar>
            <w:vAlign w:val="center"/>
          </w:tcPr>
          <w:p>
            <w:pPr>
              <w:pStyle w:val="DMETW36778BIPAgencies4TypeofExpenditure"/>
              <w:jc w:val="right"/>
              <w:rPr>
                <w:rFonts w:ascii="Verdana" w:eastAsia="Verdana" w:hAnsi="Verdana" w:cs="Verdana"/>
                <w:noProof/>
                <w:color w:val="000000"/>
                <w:sz w:val="16"/>
              </w:rPr>
            </w:pPr>
          </w:p>
        </w:tc>
        <w:tc>
          <w:tcPr>
            <w:tcW w:w="1134" w:type="dxa"/>
            <w:tcBorders>
              <w:top w:val="nil"/>
              <w:left w:val="nil"/>
              <w:bottom w:val="nil"/>
              <w:right w:val="nil"/>
              <w:tl2br w:val="nil"/>
              <w:tr2bl w:val="nil"/>
            </w:tcBorders>
            <w:tcMar>
              <w:left w:w="60" w:type="dxa"/>
              <w:right w:w="60" w:type="dxa"/>
            </w:tcMar>
            <w:vAlign w:val="center"/>
          </w:tcPr>
          <w:p>
            <w:pPr>
              <w:pStyle w:val="DMETW36778BIPAgencies4TypeofExpenditure"/>
              <w:jc w:val="right"/>
              <w:rPr>
                <w:rFonts w:ascii="Verdana" w:eastAsia="Verdana" w:hAnsi="Verdana" w:cs="Verdana"/>
                <w:noProof/>
                <w:color w:val="000000"/>
                <w:sz w:val="16"/>
              </w:rPr>
            </w:pPr>
          </w:p>
        </w:tc>
        <w:tc>
          <w:tcPr>
            <w:tcW w:w="1275" w:type="dxa"/>
            <w:tcBorders>
              <w:top w:val="nil"/>
              <w:left w:val="nil"/>
              <w:bottom w:val="nil"/>
              <w:right w:val="nil"/>
              <w:tl2br w:val="nil"/>
              <w:tr2bl w:val="nil"/>
            </w:tcBorders>
            <w:tcMar>
              <w:left w:w="60" w:type="dxa"/>
              <w:right w:w="60" w:type="dxa"/>
            </w:tcMar>
            <w:vAlign w:val="center"/>
          </w:tcPr>
          <w:p>
            <w:pPr>
              <w:pStyle w:val="DMETW36778BIPAgencies4TypeofExpenditure"/>
              <w:jc w:val="right"/>
              <w:rPr>
                <w:rFonts w:ascii="Verdana" w:eastAsia="Verdana" w:hAnsi="Verdana" w:cs="Verdana"/>
                <w:noProof/>
                <w:color w:val="000000"/>
                <w:sz w:val="16"/>
              </w:rPr>
            </w:pPr>
          </w:p>
        </w:tc>
        <w:tc>
          <w:tcPr>
            <w:tcW w:w="1134" w:type="dxa"/>
            <w:tcBorders>
              <w:top w:val="nil"/>
              <w:left w:val="nil"/>
              <w:bottom w:val="nil"/>
              <w:right w:val="nil"/>
              <w:tl2br w:val="nil"/>
              <w:tr2bl w:val="nil"/>
            </w:tcBorders>
            <w:tcMar>
              <w:left w:w="60" w:type="dxa"/>
              <w:right w:w="60" w:type="dxa"/>
            </w:tcMar>
            <w:vAlign w:val="center"/>
          </w:tcPr>
          <w:p>
            <w:pPr>
              <w:pStyle w:val="DMETW36778BIPAgencies4TypeofExpenditure"/>
              <w:jc w:val="right"/>
              <w:rPr>
                <w:rFonts w:ascii="Verdana" w:eastAsia="Verdana" w:hAnsi="Verdana" w:cs="Verdana"/>
                <w:i/>
                <w:noProof/>
                <w:color w:val="000000"/>
                <w:sz w:val="16"/>
              </w:rPr>
            </w:pPr>
            <w:r>
              <w:rPr>
                <w:rFonts w:ascii="Verdana" w:hAnsi="Verdana"/>
                <w:i/>
                <w:noProof/>
                <w:color w:val="000000"/>
                <w:sz w:val="16"/>
              </w:rPr>
              <w:t>en Mio EUR</w:t>
            </w:r>
          </w:p>
        </w:tc>
      </w:tr>
      <w:tr>
        <w:trPr>
          <w:cantSplit/>
          <w:trHeight w:val="454"/>
        </w:trPr>
        <w:tc>
          <w:tcPr>
            <w:tcW w:w="4818" w:type="dxa"/>
            <w:tcBorders>
              <w:top w:val="nil"/>
              <w:left w:val="nil"/>
              <w:bottom w:val="nil"/>
              <w:right w:val="nil"/>
              <w:tl2br w:val="nil"/>
              <w:tr2bl w:val="nil"/>
            </w:tcBorders>
            <w:shd w:val="solid" w:color="016794" w:fill="FFFFFF"/>
            <w:tcMar>
              <w:left w:w="60" w:type="dxa"/>
              <w:right w:w="60" w:type="dxa"/>
            </w:tcMar>
            <w:vAlign w:val="center"/>
          </w:tcPr>
          <w:p>
            <w:pPr>
              <w:pStyle w:val="DMETW36778BIPAgencies4TypeofExpenditure"/>
              <w:jc w:val="center"/>
              <w:rPr>
                <w:rFonts w:ascii="Verdana" w:eastAsia="Verdana" w:hAnsi="Verdana" w:cs="Verdana"/>
                <w:noProof/>
                <w:color w:val="FFFFFF"/>
                <w:sz w:val="16"/>
              </w:rPr>
            </w:pPr>
          </w:p>
        </w:tc>
        <w:tc>
          <w:tcPr>
            <w:tcW w:w="1276" w:type="dxa"/>
            <w:gridSpan w:val="2"/>
            <w:tcBorders>
              <w:top w:val="nil"/>
              <w:left w:val="nil"/>
              <w:bottom w:val="nil"/>
              <w:right w:val="nil"/>
              <w:tl2br w:val="nil"/>
              <w:tr2bl w:val="nil"/>
            </w:tcBorders>
            <w:shd w:val="solid" w:color="016794" w:fill="FFFFFF"/>
            <w:tcMar>
              <w:left w:w="60" w:type="dxa"/>
              <w:right w:w="60" w:type="dxa"/>
            </w:tcMar>
            <w:vAlign w:val="center"/>
          </w:tcPr>
          <w:p>
            <w:pPr>
              <w:pStyle w:val="DMETW36778BIPAgencies4TypeofExpenditure"/>
              <w:jc w:val="center"/>
              <w:rPr>
                <w:rFonts w:ascii="Verdana" w:eastAsia="Verdana" w:hAnsi="Verdana" w:cs="Verdana"/>
                <w:b/>
                <w:noProof/>
                <w:color w:val="FFFFFF"/>
                <w:sz w:val="16"/>
              </w:rPr>
            </w:pPr>
            <w:r>
              <w:rPr>
                <w:rFonts w:ascii="Verdana" w:hAnsi="Verdana"/>
                <w:b/>
                <w:noProof/>
                <w:color w:val="FFFFFF"/>
                <w:sz w:val="16"/>
              </w:rPr>
              <w:t>Crédits d’engagement</w:t>
            </w:r>
          </w:p>
        </w:tc>
        <w:tc>
          <w:tcPr>
            <w:tcW w:w="1275" w:type="dxa"/>
            <w:gridSpan w:val="2"/>
            <w:tcBorders>
              <w:top w:val="nil"/>
              <w:left w:val="nil"/>
              <w:bottom w:val="nil"/>
              <w:right w:val="nil"/>
              <w:tl2br w:val="nil"/>
              <w:tr2bl w:val="nil"/>
            </w:tcBorders>
            <w:shd w:val="solid" w:color="016794" w:fill="FFFFFF"/>
            <w:tcMar>
              <w:left w:w="60" w:type="dxa"/>
              <w:right w:w="60" w:type="dxa"/>
            </w:tcMar>
            <w:vAlign w:val="center"/>
          </w:tcPr>
          <w:p>
            <w:pPr>
              <w:pStyle w:val="DMETW36778BIPAgencies4TypeofExpenditure"/>
              <w:jc w:val="center"/>
              <w:rPr>
                <w:rFonts w:ascii="Verdana" w:eastAsia="Verdana" w:hAnsi="Verdana" w:cs="Verdana"/>
                <w:b/>
                <w:noProof/>
                <w:color w:val="FFFFFF"/>
                <w:sz w:val="16"/>
              </w:rPr>
            </w:pPr>
            <w:r>
              <w:rPr>
                <w:rFonts w:ascii="Verdana" w:hAnsi="Verdana"/>
                <w:b/>
                <w:noProof/>
                <w:color w:val="FFFFFF"/>
                <w:sz w:val="16"/>
              </w:rPr>
              <w:t>Crédits de paiement</w:t>
            </w:r>
          </w:p>
        </w:tc>
      </w:tr>
      <w:tr>
        <w:trPr>
          <w:cantSplit/>
          <w:trHeight w:val="454"/>
        </w:trPr>
        <w:tc>
          <w:tcPr>
            <w:tcW w:w="4818" w:type="dxa"/>
            <w:tcBorders>
              <w:top w:val="nil"/>
              <w:left w:val="nil"/>
              <w:bottom w:val="nil"/>
              <w:right w:val="nil"/>
              <w:tl2br w:val="nil"/>
              <w:tr2bl w:val="nil"/>
            </w:tcBorders>
            <w:shd w:val="solid" w:color="016794" w:fill="FFFFFF"/>
            <w:tcMar>
              <w:left w:w="60" w:type="dxa"/>
              <w:right w:w="60" w:type="dxa"/>
            </w:tcMar>
            <w:vAlign w:val="center"/>
          </w:tcPr>
          <w:p>
            <w:pPr>
              <w:pStyle w:val="DMETW36778BIPAgencies4TypeofExpenditure"/>
              <w:jc w:val="center"/>
              <w:rPr>
                <w:rFonts w:ascii="Verdana" w:eastAsia="Verdana" w:hAnsi="Verdana" w:cs="Verdana"/>
                <w:noProof/>
                <w:color w:val="FFFFFF"/>
                <w:sz w:val="16"/>
              </w:rPr>
            </w:pPr>
            <w:r>
              <w:rPr>
                <w:rFonts w:ascii="Verdana" w:hAnsi="Verdana"/>
                <w:noProof/>
                <w:color w:val="FFFFFF"/>
                <w:sz w:val="16"/>
              </w:rPr>
              <w:t>Nature de la dépense</w:t>
            </w:r>
          </w:p>
        </w:tc>
        <w:tc>
          <w:tcPr>
            <w:tcW w:w="1276" w:type="dxa"/>
            <w:tcBorders>
              <w:top w:val="nil"/>
              <w:left w:val="nil"/>
              <w:bottom w:val="nil"/>
              <w:right w:val="nil"/>
              <w:tl2br w:val="nil"/>
              <w:tr2bl w:val="nil"/>
            </w:tcBorders>
            <w:shd w:val="solid" w:color="016794" w:fill="FFFFFF"/>
            <w:tcMar>
              <w:left w:w="60" w:type="dxa"/>
              <w:right w:w="60" w:type="dxa"/>
            </w:tcMar>
            <w:vAlign w:val="center"/>
          </w:tcPr>
          <w:p>
            <w:pPr>
              <w:pStyle w:val="DMETW36778BIPAgencies4TypeofExpenditure"/>
              <w:jc w:val="center"/>
              <w:rPr>
                <w:rFonts w:ascii="Verdana" w:eastAsia="Verdana" w:hAnsi="Verdana" w:cs="Verdana"/>
                <w:noProof/>
                <w:color w:val="FFFFFF"/>
                <w:sz w:val="16"/>
              </w:rPr>
            </w:pPr>
            <w:r>
              <w:rPr>
                <w:rFonts w:ascii="Verdana" w:hAnsi="Verdana"/>
                <w:noProof/>
                <w:color w:val="FFFFFF"/>
                <w:sz w:val="16"/>
              </w:rPr>
              <w:t>Total crédits disponibles</w:t>
            </w:r>
          </w:p>
        </w:tc>
        <w:tc>
          <w:tcPr>
            <w:tcW w:w="1134" w:type="dxa"/>
            <w:tcBorders>
              <w:top w:val="nil"/>
              <w:left w:val="nil"/>
              <w:bottom w:val="nil"/>
              <w:right w:val="nil"/>
              <w:tl2br w:val="nil"/>
              <w:tr2bl w:val="nil"/>
            </w:tcBorders>
            <w:shd w:val="solid" w:color="016794" w:fill="FFFFFF"/>
            <w:tcMar>
              <w:left w:w="60" w:type="dxa"/>
              <w:right w:w="60" w:type="dxa"/>
            </w:tcMar>
            <w:vAlign w:val="center"/>
          </w:tcPr>
          <w:p>
            <w:pPr>
              <w:pStyle w:val="DMETW36778BIPAgencies4TypeofExpenditure"/>
              <w:jc w:val="center"/>
              <w:rPr>
                <w:rFonts w:ascii="Verdana" w:eastAsia="Verdana" w:hAnsi="Verdana" w:cs="Verdana"/>
                <w:noProof/>
                <w:color w:val="FFFFFF"/>
                <w:sz w:val="16"/>
              </w:rPr>
            </w:pPr>
            <w:r>
              <w:rPr>
                <w:rFonts w:ascii="Verdana" w:hAnsi="Verdana"/>
                <w:noProof/>
                <w:color w:val="FFFFFF"/>
                <w:sz w:val="16"/>
              </w:rPr>
              <w:t>Engagements contractés</w:t>
            </w:r>
          </w:p>
        </w:tc>
        <w:tc>
          <w:tcPr>
            <w:tcW w:w="1275" w:type="dxa"/>
            <w:tcBorders>
              <w:top w:val="nil"/>
              <w:left w:val="nil"/>
              <w:bottom w:val="nil"/>
              <w:right w:val="nil"/>
              <w:tl2br w:val="nil"/>
              <w:tr2bl w:val="nil"/>
            </w:tcBorders>
            <w:shd w:val="solid" w:color="016794" w:fill="FFFFFF"/>
            <w:tcMar>
              <w:left w:w="60" w:type="dxa"/>
              <w:right w:w="60" w:type="dxa"/>
            </w:tcMar>
            <w:vAlign w:val="center"/>
          </w:tcPr>
          <w:p>
            <w:pPr>
              <w:pStyle w:val="DMETW36778BIPAgencies4TypeofExpenditure"/>
              <w:jc w:val="center"/>
              <w:rPr>
                <w:rFonts w:ascii="Verdana" w:eastAsia="Verdana" w:hAnsi="Verdana" w:cs="Verdana"/>
                <w:noProof/>
                <w:color w:val="FFFFFF"/>
                <w:sz w:val="16"/>
              </w:rPr>
            </w:pPr>
            <w:r>
              <w:rPr>
                <w:rFonts w:ascii="Verdana" w:hAnsi="Verdana"/>
                <w:noProof/>
                <w:color w:val="FFFFFF"/>
                <w:sz w:val="16"/>
              </w:rPr>
              <w:t>Total crédits disponibles</w:t>
            </w:r>
          </w:p>
        </w:tc>
        <w:tc>
          <w:tcPr>
            <w:tcW w:w="1134" w:type="dxa"/>
            <w:tcBorders>
              <w:top w:val="nil"/>
              <w:left w:val="nil"/>
              <w:bottom w:val="nil"/>
              <w:right w:val="nil"/>
              <w:tl2br w:val="nil"/>
              <w:tr2bl w:val="nil"/>
            </w:tcBorders>
            <w:shd w:val="solid" w:color="016794" w:fill="FFFFFF"/>
            <w:tcMar>
              <w:left w:w="60" w:type="dxa"/>
              <w:right w:w="60" w:type="dxa"/>
            </w:tcMar>
            <w:vAlign w:val="center"/>
          </w:tcPr>
          <w:p>
            <w:pPr>
              <w:pStyle w:val="DMETW36778BIPAgencies4TypeofExpenditure"/>
              <w:jc w:val="center"/>
              <w:rPr>
                <w:rFonts w:ascii="Verdana" w:eastAsia="Verdana" w:hAnsi="Verdana" w:cs="Verdana"/>
                <w:noProof/>
                <w:color w:val="FFFFFF"/>
                <w:sz w:val="16"/>
              </w:rPr>
            </w:pPr>
            <w:r>
              <w:rPr>
                <w:rFonts w:ascii="Verdana" w:hAnsi="Verdana"/>
                <w:noProof/>
                <w:color w:val="FFFFFF"/>
                <w:sz w:val="16"/>
              </w:rPr>
              <w:t>Paiements exécutés</w:t>
            </w:r>
          </w:p>
        </w:tc>
      </w:tr>
      <w:tr>
        <w:trPr>
          <w:cantSplit/>
          <w:trHeight w:val="284"/>
        </w:trPr>
        <w:tc>
          <w:tcPr>
            <w:tcW w:w="4818" w:type="dxa"/>
            <w:tcBorders>
              <w:top w:val="nil"/>
              <w:left w:val="nil"/>
              <w:bottom w:val="nil"/>
              <w:right w:val="nil"/>
              <w:tl2br w:val="nil"/>
              <w:tr2bl w:val="nil"/>
            </w:tcBorders>
            <w:tcMar>
              <w:left w:w="60" w:type="dxa"/>
              <w:right w:w="60" w:type="dxa"/>
            </w:tcMar>
            <w:vAlign w:val="center"/>
          </w:tcPr>
          <w:p>
            <w:pPr>
              <w:pStyle w:val="DMETW36778BIPAgencies4TypeofExpenditure"/>
              <w:rPr>
                <w:rFonts w:ascii="Verdana" w:eastAsia="Verdana" w:hAnsi="Verdana" w:cs="Verdana"/>
                <w:noProof/>
                <w:color w:val="000000"/>
                <w:sz w:val="16"/>
              </w:rPr>
            </w:pPr>
            <w:r>
              <w:rPr>
                <w:rFonts w:ascii="Verdana" w:hAnsi="Verdana"/>
                <w:noProof/>
                <w:color w:val="000000"/>
                <w:sz w:val="16"/>
              </w:rPr>
              <w:t>Administrative</w:t>
            </w:r>
          </w:p>
        </w:tc>
        <w:tc>
          <w:tcPr>
            <w:tcW w:w="1276" w:type="dxa"/>
            <w:tcBorders>
              <w:top w:val="nil"/>
              <w:left w:val="nil"/>
              <w:bottom w:val="nil"/>
              <w:right w:val="nil"/>
              <w:tl2br w:val="nil"/>
              <w:tr2bl w:val="nil"/>
            </w:tcBorders>
            <w:tcMar>
              <w:left w:w="60" w:type="dxa"/>
              <w:right w:w="60" w:type="dxa"/>
            </w:tcMar>
            <w:vAlign w:val="center"/>
          </w:tcPr>
          <w:p>
            <w:pPr>
              <w:pStyle w:val="DMETW36778BIPAgencies4TypeofExpenditure"/>
              <w:jc w:val="right"/>
              <w:rPr>
                <w:rFonts w:ascii="Verdana" w:eastAsia="Verdana" w:hAnsi="Verdana" w:cs="Verdana"/>
                <w:noProof/>
                <w:color w:val="000000"/>
                <w:sz w:val="16"/>
              </w:rPr>
            </w:pPr>
            <w:r>
              <w:rPr>
                <w:rFonts w:ascii="Verdana" w:hAnsi="Verdana"/>
                <w:noProof/>
                <w:color w:val="000000"/>
                <w:sz w:val="16"/>
              </w:rPr>
              <w:t xml:space="preserve"> 612</w:t>
            </w:r>
          </w:p>
        </w:tc>
        <w:tc>
          <w:tcPr>
            <w:tcW w:w="1134" w:type="dxa"/>
            <w:tcBorders>
              <w:top w:val="nil"/>
              <w:left w:val="nil"/>
              <w:bottom w:val="nil"/>
              <w:right w:val="nil"/>
              <w:tl2br w:val="nil"/>
              <w:tr2bl w:val="nil"/>
            </w:tcBorders>
            <w:tcMar>
              <w:left w:w="60" w:type="dxa"/>
              <w:right w:w="60" w:type="dxa"/>
            </w:tcMar>
            <w:vAlign w:val="center"/>
          </w:tcPr>
          <w:p>
            <w:pPr>
              <w:pStyle w:val="DMETW36778BIPAgencies4TypeofExpenditure"/>
              <w:jc w:val="right"/>
              <w:rPr>
                <w:rFonts w:ascii="Verdana" w:eastAsia="Verdana" w:hAnsi="Verdana" w:cs="Verdana"/>
                <w:noProof/>
                <w:color w:val="000000"/>
                <w:sz w:val="16"/>
              </w:rPr>
            </w:pPr>
            <w:r>
              <w:rPr>
                <w:rFonts w:ascii="Verdana" w:hAnsi="Verdana"/>
                <w:noProof/>
                <w:color w:val="000000"/>
                <w:sz w:val="16"/>
              </w:rPr>
              <w:t xml:space="preserve"> 593</w:t>
            </w:r>
          </w:p>
        </w:tc>
        <w:tc>
          <w:tcPr>
            <w:tcW w:w="1275" w:type="dxa"/>
            <w:tcBorders>
              <w:top w:val="nil"/>
              <w:left w:val="nil"/>
              <w:bottom w:val="nil"/>
              <w:right w:val="nil"/>
              <w:tl2br w:val="nil"/>
              <w:tr2bl w:val="nil"/>
            </w:tcBorders>
            <w:tcMar>
              <w:left w:w="60" w:type="dxa"/>
              <w:right w:w="60" w:type="dxa"/>
            </w:tcMar>
            <w:vAlign w:val="center"/>
          </w:tcPr>
          <w:p>
            <w:pPr>
              <w:pStyle w:val="DMETW36778BIPAgencies4TypeofExpenditure"/>
              <w:jc w:val="right"/>
              <w:rPr>
                <w:rFonts w:ascii="Verdana" w:eastAsia="Verdana" w:hAnsi="Verdana" w:cs="Verdana"/>
                <w:noProof/>
                <w:color w:val="000000"/>
                <w:sz w:val="16"/>
              </w:rPr>
            </w:pPr>
            <w:r>
              <w:rPr>
                <w:rFonts w:ascii="Verdana" w:hAnsi="Verdana"/>
                <w:noProof/>
                <w:color w:val="000000"/>
                <w:sz w:val="16"/>
              </w:rPr>
              <w:t xml:space="preserve"> 746</w:t>
            </w:r>
          </w:p>
        </w:tc>
        <w:tc>
          <w:tcPr>
            <w:tcW w:w="1134" w:type="dxa"/>
            <w:tcBorders>
              <w:top w:val="nil"/>
              <w:left w:val="nil"/>
              <w:bottom w:val="nil"/>
              <w:right w:val="nil"/>
              <w:tl2br w:val="nil"/>
              <w:tr2bl w:val="nil"/>
            </w:tcBorders>
            <w:tcMar>
              <w:left w:w="60" w:type="dxa"/>
              <w:right w:w="60" w:type="dxa"/>
            </w:tcMar>
            <w:vAlign w:val="center"/>
          </w:tcPr>
          <w:p>
            <w:pPr>
              <w:pStyle w:val="DMETW36778BIPAgencies4TypeofExpenditure"/>
              <w:jc w:val="right"/>
              <w:rPr>
                <w:rFonts w:ascii="Verdana" w:eastAsia="Verdana" w:hAnsi="Verdana" w:cs="Verdana"/>
                <w:noProof/>
                <w:color w:val="000000"/>
                <w:sz w:val="16"/>
              </w:rPr>
            </w:pPr>
            <w:r>
              <w:rPr>
                <w:rFonts w:ascii="Verdana" w:hAnsi="Verdana"/>
                <w:noProof/>
                <w:color w:val="000000"/>
                <w:sz w:val="16"/>
              </w:rPr>
              <w:t xml:space="preserve"> 584</w:t>
            </w:r>
          </w:p>
        </w:tc>
      </w:tr>
      <w:tr>
        <w:trPr>
          <w:cantSplit/>
          <w:trHeight w:val="284"/>
        </w:trPr>
        <w:tc>
          <w:tcPr>
            <w:tcW w:w="4818" w:type="dxa"/>
            <w:tcBorders>
              <w:top w:val="nil"/>
              <w:left w:val="nil"/>
              <w:bottom w:val="nil"/>
              <w:right w:val="nil"/>
              <w:tl2br w:val="nil"/>
              <w:tr2bl w:val="nil"/>
            </w:tcBorders>
            <w:tcMar>
              <w:left w:w="60" w:type="dxa"/>
              <w:right w:w="60" w:type="dxa"/>
            </w:tcMar>
            <w:vAlign w:val="center"/>
          </w:tcPr>
          <w:p>
            <w:pPr>
              <w:pStyle w:val="DMETW36778BIPAgencies4TypeofExpenditure"/>
              <w:rPr>
                <w:rFonts w:ascii="Verdana" w:eastAsia="Verdana" w:hAnsi="Verdana" w:cs="Verdana"/>
                <w:noProof/>
                <w:color w:val="000000"/>
                <w:sz w:val="16"/>
              </w:rPr>
            </w:pPr>
            <w:r>
              <w:rPr>
                <w:rFonts w:ascii="Verdana" w:hAnsi="Verdana"/>
                <w:noProof/>
                <w:color w:val="000000"/>
                <w:sz w:val="16"/>
              </w:rPr>
              <w:t>Opérationnelle</w:t>
            </w:r>
          </w:p>
        </w:tc>
        <w:tc>
          <w:tcPr>
            <w:tcW w:w="1276" w:type="dxa"/>
            <w:tcBorders>
              <w:top w:val="nil"/>
              <w:left w:val="nil"/>
              <w:bottom w:val="nil"/>
              <w:right w:val="nil"/>
              <w:tl2br w:val="nil"/>
              <w:tr2bl w:val="nil"/>
            </w:tcBorders>
            <w:tcMar>
              <w:left w:w="60" w:type="dxa"/>
              <w:right w:w="60" w:type="dxa"/>
            </w:tcMar>
            <w:vAlign w:val="center"/>
          </w:tcPr>
          <w:p>
            <w:pPr>
              <w:pStyle w:val="DMETW36778BIPAgencies4TypeofExpenditure"/>
              <w:jc w:val="right"/>
              <w:rPr>
                <w:rFonts w:ascii="Verdana" w:eastAsia="Verdana" w:hAnsi="Verdana" w:cs="Verdana"/>
                <w:noProof/>
                <w:color w:val="000000"/>
                <w:sz w:val="16"/>
              </w:rPr>
            </w:pPr>
            <w:r>
              <w:rPr>
                <w:rFonts w:ascii="Verdana" w:hAnsi="Verdana"/>
                <w:noProof/>
                <w:color w:val="000000"/>
                <w:sz w:val="16"/>
              </w:rPr>
              <w:t>6 396</w:t>
            </w:r>
          </w:p>
        </w:tc>
        <w:tc>
          <w:tcPr>
            <w:tcW w:w="1134" w:type="dxa"/>
            <w:tcBorders>
              <w:top w:val="nil"/>
              <w:left w:val="nil"/>
              <w:bottom w:val="nil"/>
              <w:right w:val="nil"/>
              <w:tl2br w:val="nil"/>
              <w:tr2bl w:val="nil"/>
            </w:tcBorders>
            <w:tcMar>
              <w:left w:w="60" w:type="dxa"/>
              <w:right w:w="60" w:type="dxa"/>
            </w:tcMar>
            <w:vAlign w:val="center"/>
          </w:tcPr>
          <w:p>
            <w:pPr>
              <w:pStyle w:val="DMETW36778BIPAgencies4TypeofExpenditure"/>
              <w:jc w:val="right"/>
              <w:rPr>
                <w:rFonts w:ascii="Verdana" w:eastAsia="Verdana" w:hAnsi="Verdana" w:cs="Verdana"/>
                <w:noProof/>
                <w:color w:val="000000"/>
                <w:sz w:val="16"/>
              </w:rPr>
            </w:pPr>
            <w:r>
              <w:rPr>
                <w:rFonts w:ascii="Verdana" w:hAnsi="Verdana"/>
                <w:noProof/>
                <w:color w:val="000000"/>
                <w:sz w:val="16"/>
              </w:rPr>
              <w:t>4 378</w:t>
            </w:r>
          </w:p>
        </w:tc>
        <w:tc>
          <w:tcPr>
            <w:tcW w:w="1275" w:type="dxa"/>
            <w:tcBorders>
              <w:top w:val="nil"/>
              <w:left w:val="nil"/>
              <w:bottom w:val="nil"/>
              <w:right w:val="nil"/>
              <w:tl2br w:val="nil"/>
              <w:tr2bl w:val="nil"/>
            </w:tcBorders>
            <w:tcMar>
              <w:left w:w="60" w:type="dxa"/>
              <w:right w:w="60" w:type="dxa"/>
            </w:tcMar>
            <w:vAlign w:val="center"/>
          </w:tcPr>
          <w:p>
            <w:pPr>
              <w:pStyle w:val="DMETW36778BIPAgencies4TypeofExpenditure"/>
              <w:jc w:val="right"/>
              <w:rPr>
                <w:rFonts w:ascii="Verdana" w:eastAsia="Verdana" w:hAnsi="Verdana" w:cs="Verdana"/>
                <w:noProof/>
                <w:color w:val="000000"/>
                <w:sz w:val="16"/>
              </w:rPr>
            </w:pPr>
            <w:r>
              <w:rPr>
                <w:rFonts w:ascii="Verdana" w:hAnsi="Verdana"/>
                <w:noProof/>
                <w:color w:val="000000"/>
                <w:sz w:val="16"/>
              </w:rPr>
              <w:t>7 010</w:t>
            </w:r>
          </w:p>
        </w:tc>
        <w:tc>
          <w:tcPr>
            <w:tcW w:w="1134" w:type="dxa"/>
            <w:tcBorders>
              <w:top w:val="nil"/>
              <w:left w:val="nil"/>
              <w:bottom w:val="nil"/>
              <w:right w:val="nil"/>
              <w:tl2br w:val="nil"/>
              <w:tr2bl w:val="nil"/>
            </w:tcBorders>
            <w:tcMar>
              <w:left w:w="60" w:type="dxa"/>
              <w:right w:w="60" w:type="dxa"/>
            </w:tcMar>
            <w:vAlign w:val="center"/>
          </w:tcPr>
          <w:p>
            <w:pPr>
              <w:pStyle w:val="DMETW36778BIPAgencies4TypeofExpenditure"/>
              <w:jc w:val="right"/>
              <w:rPr>
                <w:rFonts w:ascii="Verdana" w:eastAsia="Verdana" w:hAnsi="Verdana" w:cs="Verdana"/>
                <w:noProof/>
                <w:color w:val="000000"/>
                <w:sz w:val="16"/>
              </w:rPr>
            </w:pPr>
            <w:r>
              <w:rPr>
                <w:rFonts w:ascii="Verdana" w:hAnsi="Verdana"/>
                <w:noProof/>
                <w:color w:val="000000"/>
                <w:sz w:val="16"/>
              </w:rPr>
              <w:t>4 518</w:t>
            </w:r>
          </w:p>
        </w:tc>
      </w:tr>
      <w:tr>
        <w:trPr>
          <w:cantSplit/>
          <w:trHeight w:val="284"/>
        </w:trPr>
        <w:tc>
          <w:tcPr>
            <w:tcW w:w="4818" w:type="dxa"/>
            <w:tcBorders>
              <w:top w:val="nil"/>
              <w:left w:val="nil"/>
              <w:bottom w:val="nil"/>
              <w:right w:val="nil"/>
              <w:tl2br w:val="nil"/>
              <w:tr2bl w:val="nil"/>
            </w:tcBorders>
            <w:tcMar>
              <w:left w:w="60" w:type="dxa"/>
              <w:right w:w="60" w:type="dxa"/>
            </w:tcMar>
            <w:vAlign w:val="center"/>
          </w:tcPr>
          <w:p>
            <w:pPr>
              <w:pStyle w:val="DMETW36778BIPAgencies4TypeofExpenditure"/>
              <w:rPr>
                <w:rFonts w:ascii="Verdana" w:eastAsia="Verdana" w:hAnsi="Verdana" w:cs="Verdana"/>
                <w:noProof/>
                <w:color w:val="000000"/>
                <w:sz w:val="16"/>
              </w:rPr>
            </w:pPr>
            <w:r>
              <w:rPr>
                <w:rFonts w:ascii="Verdana" w:hAnsi="Verdana"/>
                <w:noProof/>
                <w:color w:val="000000"/>
                <w:sz w:val="16"/>
              </w:rPr>
              <w:t>Personnel</w:t>
            </w:r>
          </w:p>
        </w:tc>
        <w:tc>
          <w:tcPr>
            <w:tcW w:w="1276" w:type="dxa"/>
            <w:tcBorders>
              <w:top w:val="nil"/>
              <w:left w:val="nil"/>
              <w:bottom w:val="nil"/>
              <w:right w:val="nil"/>
              <w:tl2br w:val="nil"/>
              <w:tr2bl w:val="nil"/>
            </w:tcBorders>
            <w:tcMar>
              <w:left w:w="60" w:type="dxa"/>
              <w:right w:w="60" w:type="dxa"/>
            </w:tcMar>
            <w:vAlign w:val="center"/>
          </w:tcPr>
          <w:p>
            <w:pPr>
              <w:pStyle w:val="DMETW36778BIPAgencies4TypeofExpenditure"/>
              <w:jc w:val="right"/>
              <w:rPr>
                <w:rFonts w:ascii="Verdana" w:eastAsia="Verdana" w:hAnsi="Verdana" w:cs="Verdana"/>
                <w:noProof/>
                <w:color w:val="000000"/>
                <w:sz w:val="16"/>
              </w:rPr>
            </w:pPr>
            <w:r>
              <w:rPr>
                <w:rFonts w:ascii="Verdana" w:hAnsi="Verdana"/>
                <w:noProof/>
                <w:color w:val="000000"/>
                <w:sz w:val="16"/>
              </w:rPr>
              <w:t>2 292</w:t>
            </w:r>
          </w:p>
        </w:tc>
        <w:tc>
          <w:tcPr>
            <w:tcW w:w="1134" w:type="dxa"/>
            <w:tcBorders>
              <w:top w:val="nil"/>
              <w:left w:val="nil"/>
              <w:bottom w:val="nil"/>
              <w:right w:val="nil"/>
              <w:tl2br w:val="nil"/>
              <w:tr2bl w:val="nil"/>
            </w:tcBorders>
            <w:tcMar>
              <w:left w:w="60" w:type="dxa"/>
              <w:right w:w="60" w:type="dxa"/>
            </w:tcMar>
            <w:vAlign w:val="center"/>
          </w:tcPr>
          <w:p>
            <w:pPr>
              <w:pStyle w:val="DMETW36778BIPAgencies4TypeofExpenditure"/>
              <w:jc w:val="right"/>
              <w:rPr>
                <w:rFonts w:ascii="Verdana" w:eastAsia="Verdana" w:hAnsi="Verdana" w:cs="Verdana"/>
                <w:noProof/>
                <w:color w:val="000000"/>
                <w:sz w:val="16"/>
              </w:rPr>
            </w:pPr>
            <w:r>
              <w:rPr>
                <w:rFonts w:ascii="Verdana" w:hAnsi="Verdana"/>
                <w:noProof/>
                <w:color w:val="000000"/>
                <w:sz w:val="16"/>
              </w:rPr>
              <w:t>2 268</w:t>
            </w:r>
          </w:p>
        </w:tc>
        <w:tc>
          <w:tcPr>
            <w:tcW w:w="1275" w:type="dxa"/>
            <w:tcBorders>
              <w:top w:val="nil"/>
              <w:left w:val="nil"/>
              <w:bottom w:val="nil"/>
              <w:right w:val="nil"/>
              <w:tl2br w:val="nil"/>
              <w:tr2bl w:val="nil"/>
            </w:tcBorders>
            <w:tcMar>
              <w:left w:w="60" w:type="dxa"/>
              <w:right w:w="60" w:type="dxa"/>
            </w:tcMar>
            <w:vAlign w:val="center"/>
          </w:tcPr>
          <w:p>
            <w:pPr>
              <w:pStyle w:val="DMETW36778BIPAgencies4TypeofExpenditure"/>
              <w:jc w:val="right"/>
              <w:rPr>
                <w:rFonts w:ascii="Verdana" w:eastAsia="Verdana" w:hAnsi="Verdana" w:cs="Verdana"/>
                <w:noProof/>
                <w:color w:val="000000"/>
                <w:sz w:val="16"/>
              </w:rPr>
            </w:pPr>
            <w:r>
              <w:rPr>
                <w:rFonts w:ascii="Verdana" w:hAnsi="Verdana"/>
                <w:noProof/>
                <w:color w:val="000000"/>
                <w:sz w:val="16"/>
              </w:rPr>
              <w:t>2 327</w:t>
            </w:r>
          </w:p>
        </w:tc>
        <w:tc>
          <w:tcPr>
            <w:tcW w:w="1134" w:type="dxa"/>
            <w:tcBorders>
              <w:top w:val="nil"/>
              <w:left w:val="nil"/>
              <w:bottom w:val="nil"/>
              <w:right w:val="nil"/>
              <w:tl2br w:val="nil"/>
              <w:tr2bl w:val="nil"/>
            </w:tcBorders>
            <w:tcMar>
              <w:left w:w="60" w:type="dxa"/>
              <w:right w:w="60" w:type="dxa"/>
            </w:tcMar>
            <w:vAlign w:val="center"/>
          </w:tcPr>
          <w:p>
            <w:pPr>
              <w:pStyle w:val="DMETW36778BIPAgencies4TypeofExpenditure"/>
              <w:jc w:val="right"/>
              <w:rPr>
                <w:rFonts w:ascii="Verdana" w:eastAsia="Verdana" w:hAnsi="Verdana" w:cs="Verdana"/>
                <w:noProof/>
                <w:color w:val="000000"/>
                <w:sz w:val="16"/>
              </w:rPr>
            </w:pPr>
            <w:r>
              <w:rPr>
                <w:rFonts w:ascii="Verdana" w:hAnsi="Verdana"/>
                <w:noProof/>
                <w:color w:val="000000"/>
                <w:sz w:val="16"/>
              </w:rPr>
              <w:t>2 254</w:t>
            </w:r>
          </w:p>
        </w:tc>
      </w:tr>
      <w:tr>
        <w:trPr>
          <w:trHeight w:val="284"/>
        </w:trPr>
        <w:tc>
          <w:tcPr>
            <w:tcW w:w="4818" w:type="dxa"/>
            <w:tcBorders>
              <w:top w:val="nil"/>
              <w:left w:val="nil"/>
              <w:bottom w:val="nil"/>
              <w:right w:val="nil"/>
              <w:tl2br w:val="nil"/>
              <w:tr2bl w:val="nil"/>
            </w:tcBorders>
            <w:shd w:val="solid" w:color="CCE1EA" w:fill="FFFFFF"/>
            <w:tcMar>
              <w:left w:w="60" w:type="dxa"/>
              <w:right w:w="60" w:type="dxa"/>
            </w:tcMar>
            <w:vAlign w:val="center"/>
          </w:tcPr>
          <w:p>
            <w:pPr>
              <w:pStyle w:val="DMETW36778BIPAgencies4TypeofExpenditure"/>
              <w:rPr>
                <w:rFonts w:ascii="Verdana" w:eastAsia="Verdana" w:hAnsi="Verdana" w:cs="Verdana"/>
                <w:b/>
                <w:noProof/>
                <w:color w:val="000000"/>
                <w:sz w:val="16"/>
              </w:rPr>
            </w:pPr>
            <w:r>
              <w:rPr>
                <w:rFonts w:ascii="Verdana" w:hAnsi="Verdana"/>
                <w:b/>
                <w:noProof/>
                <w:color w:val="000000"/>
                <w:sz w:val="16"/>
              </w:rPr>
              <w:t>Total</w:t>
            </w:r>
          </w:p>
        </w:tc>
        <w:tc>
          <w:tcPr>
            <w:tcW w:w="1276" w:type="dxa"/>
            <w:tcBorders>
              <w:top w:val="nil"/>
              <w:left w:val="nil"/>
              <w:bottom w:val="nil"/>
              <w:right w:val="nil"/>
              <w:tl2br w:val="nil"/>
              <w:tr2bl w:val="nil"/>
            </w:tcBorders>
            <w:shd w:val="solid" w:color="CCE1EA" w:fill="FFFFFF"/>
            <w:tcMar>
              <w:left w:w="60" w:type="dxa"/>
              <w:right w:w="60" w:type="dxa"/>
            </w:tcMar>
            <w:vAlign w:val="center"/>
          </w:tcPr>
          <w:p>
            <w:pPr>
              <w:pStyle w:val="DMETW36778BIPAgencies4TypeofExpenditure"/>
              <w:jc w:val="right"/>
              <w:rPr>
                <w:rFonts w:ascii="Verdana" w:eastAsia="Verdana" w:hAnsi="Verdana" w:cs="Verdana"/>
                <w:b/>
                <w:noProof/>
                <w:color w:val="000000"/>
                <w:sz w:val="16"/>
              </w:rPr>
            </w:pPr>
            <w:r>
              <w:rPr>
                <w:rFonts w:ascii="Verdana" w:hAnsi="Verdana"/>
                <w:b/>
                <w:noProof/>
                <w:color w:val="000000"/>
                <w:sz w:val="16"/>
              </w:rPr>
              <w:t>9 300</w:t>
            </w:r>
          </w:p>
        </w:tc>
        <w:tc>
          <w:tcPr>
            <w:tcW w:w="1134" w:type="dxa"/>
            <w:tcBorders>
              <w:top w:val="nil"/>
              <w:left w:val="nil"/>
              <w:bottom w:val="nil"/>
              <w:right w:val="nil"/>
              <w:tl2br w:val="nil"/>
              <w:tr2bl w:val="nil"/>
            </w:tcBorders>
            <w:shd w:val="solid" w:color="CCE1EA" w:fill="FFFFFF"/>
            <w:tcMar>
              <w:left w:w="60" w:type="dxa"/>
              <w:right w:w="60" w:type="dxa"/>
            </w:tcMar>
            <w:vAlign w:val="center"/>
          </w:tcPr>
          <w:p>
            <w:pPr>
              <w:pStyle w:val="DMETW36778BIPAgencies4TypeofExpenditure"/>
              <w:jc w:val="right"/>
              <w:rPr>
                <w:rFonts w:ascii="Verdana" w:eastAsia="Verdana" w:hAnsi="Verdana" w:cs="Verdana"/>
                <w:b/>
                <w:noProof/>
                <w:color w:val="000000"/>
                <w:sz w:val="16"/>
              </w:rPr>
            </w:pPr>
            <w:r>
              <w:rPr>
                <w:rFonts w:ascii="Verdana" w:hAnsi="Verdana"/>
                <w:b/>
                <w:noProof/>
                <w:color w:val="000000"/>
                <w:sz w:val="16"/>
              </w:rPr>
              <w:t>7 239</w:t>
            </w:r>
          </w:p>
        </w:tc>
        <w:tc>
          <w:tcPr>
            <w:tcW w:w="1275" w:type="dxa"/>
            <w:tcBorders>
              <w:top w:val="nil"/>
              <w:left w:val="nil"/>
              <w:bottom w:val="nil"/>
              <w:right w:val="nil"/>
              <w:tl2br w:val="nil"/>
              <w:tr2bl w:val="nil"/>
            </w:tcBorders>
            <w:shd w:val="solid" w:color="CCE1EA" w:fill="FFFFFF"/>
            <w:tcMar>
              <w:left w:w="60" w:type="dxa"/>
              <w:right w:w="60" w:type="dxa"/>
            </w:tcMar>
            <w:vAlign w:val="center"/>
          </w:tcPr>
          <w:p>
            <w:pPr>
              <w:pStyle w:val="DMETW36778BIPAgencies4TypeofExpenditure"/>
              <w:jc w:val="right"/>
              <w:rPr>
                <w:rFonts w:ascii="Verdana" w:eastAsia="Verdana" w:hAnsi="Verdana" w:cs="Verdana"/>
                <w:b/>
                <w:noProof/>
                <w:color w:val="000000"/>
                <w:sz w:val="16"/>
              </w:rPr>
            </w:pPr>
            <w:r>
              <w:rPr>
                <w:rFonts w:ascii="Verdana" w:hAnsi="Verdana"/>
                <w:b/>
                <w:noProof/>
                <w:color w:val="000000"/>
                <w:sz w:val="16"/>
              </w:rPr>
              <w:t>10 082</w:t>
            </w:r>
          </w:p>
        </w:tc>
        <w:tc>
          <w:tcPr>
            <w:tcW w:w="1134" w:type="dxa"/>
            <w:tcBorders>
              <w:top w:val="nil"/>
              <w:left w:val="nil"/>
              <w:bottom w:val="nil"/>
              <w:right w:val="nil"/>
              <w:tl2br w:val="nil"/>
              <w:tr2bl w:val="nil"/>
            </w:tcBorders>
            <w:shd w:val="solid" w:color="CCE1EA" w:fill="FFFFFF"/>
            <w:tcMar>
              <w:left w:w="60" w:type="dxa"/>
              <w:right w:w="60" w:type="dxa"/>
            </w:tcMar>
            <w:vAlign w:val="center"/>
          </w:tcPr>
          <w:p>
            <w:pPr>
              <w:pStyle w:val="DMETW36778BIPAgencies4TypeofExpenditure"/>
              <w:jc w:val="right"/>
              <w:rPr>
                <w:rFonts w:ascii="Verdana" w:eastAsia="Verdana" w:hAnsi="Verdana" w:cs="Verdana"/>
                <w:b/>
                <w:noProof/>
                <w:color w:val="000000"/>
                <w:sz w:val="16"/>
              </w:rPr>
            </w:pPr>
            <w:r>
              <w:rPr>
                <w:rFonts w:ascii="Verdana" w:hAnsi="Verdana"/>
                <w:b/>
                <w:noProof/>
                <w:color w:val="000000"/>
                <w:sz w:val="16"/>
              </w:rPr>
              <w:t>7 355</w:t>
            </w:r>
          </w:p>
        </w:tc>
      </w:tr>
      <w:bookmarkEnd w:id="325"/>
    </w:tbl>
    <w:p>
      <w:pPr>
        <w:pStyle w:val="DGTextstand-alone"/>
        <w:rPr>
          <w:lang w:bidi="en-GB"/>
        </w:rPr>
        <w:sectPr>
          <w:headerReference w:type="even" r:id="rId185"/>
          <w:headerReference w:type="default" r:id="rId186"/>
          <w:footerReference w:type="even" r:id="rId187"/>
          <w:footerReference w:type="default" r:id="rId188"/>
          <w:headerReference w:type="first" r:id="rId189"/>
          <w:footerReference w:type="first" r:id="rId190"/>
          <w:pgSz w:w="11900" w:h="16840"/>
          <w:pgMar w:top="1134" w:right="1134" w:bottom="1134" w:left="1134" w:header="709" w:footer="709" w:gutter="0"/>
          <w:cols w:space="720"/>
        </w:sectPr>
      </w:pPr>
    </w:p>
    <w:p>
      <w:pPr>
        <w:pStyle w:val="FIRSTCHAPTERPAGE"/>
        <w:rPr>
          <w:noProof/>
        </w:rPr>
      </w:pPr>
      <w:bookmarkStart w:id="356" w:name="_Toc237348413"/>
      <w:bookmarkStart w:id="357" w:name="_DMBM_36780"/>
      <w:r>
        <w:rPr>
          <w:noProof/>
        </w:rPr>
        <w:lastRenderedPageBreak/>
        <w:t>GLOSSAIRE</w:t>
      </w:r>
      <w:bookmarkEnd w:id="356"/>
      <w:bookmarkEnd w:id="357"/>
    </w:p>
    <w:p>
      <w:pPr>
        <w:pStyle w:val="HEADER5"/>
        <w:rPr>
          <w:noProof/>
        </w:rPr>
      </w:pPr>
      <w:r>
        <w:rPr>
          <w:noProof/>
        </w:rPr>
        <w:t>Actifs et passifs financiers au coût amorti</w:t>
      </w:r>
    </w:p>
    <w:p>
      <w:pPr>
        <w:pStyle w:val="HEADER5"/>
        <w:rPr>
          <w:noProof/>
          <w:color w:val="000000" w:themeColor="text1"/>
        </w:rPr>
      </w:pPr>
      <w:r>
        <w:rPr>
          <w:noProof/>
          <w:lang w:val="fr-BE"/>
        </w:rPr>
        <w:br/>
      </w:r>
      <w:r>
        <w:rPr>
          <w:noProof/>
          <w:color w:val="000000" w:themeColor="text1"/>
          <w:lang w:val="fr-BE"/>
        </w:rPr>
        <w:t>L’ensemble des actifs et passifs financiers qui, selon les normes comptables internationales pour le secteur public, sont évalués au coût amorti.</w:t>
      </w:r>
    </w:p>
    <w:p>
      <w:pPr>
        <w:pStyle w:val="HEADER5"/>
        <w:rPr>
          <w:noProof/>
          <w:color w:val="000000" w:themeColor="text1"/>
        </w:rPr>
      </w:pPr>
    </w:p>
    <w:p>
      <w:pPr>
        <w:pStyle w:val="HEADER5"/>
        <w:rPr>
          <w:noProof/>
        </w:rPr>
      </w:pPr>
      <w:r>
        <w:rPr>
          <w:noProof/>
        </w:rPr>
        <w:t>Actifs financiers disponibles à la vente</w:t>
      </w:r>
    </w:p>
    <w:p>
      <w:pPr>
        <w:pStyle w:val="DGTextstand-alone"/>
        <w:spacing w:before="0" w:after="0"/>
        <w:rPr>
          <w:lang w:val="fr-BE"/>
        </w:rPr>
      </w:pPr>
      <w:r>
        <w:rPr>
          <w:lang w:val="fr-BE"/>
        </w:rPr>
        <w:br/>
        <w:t>Tous les actifs financiers (à l’exception des dérivés) qui, conformément aux normes comptables admises au niveau international pour le secteur public, sont évalués à la juste valeur et dont les variations de la juste valeur doivent être comptabilisées dans une réserve en actifs nets jusqu’à leur décomptabilisation (ou leur dépréciation).</w:t>
      </w:r>
    </w:p>
    <w:p>
      <w:pPr>
        <w:pStyle w:val="DGTextstand-alone"/>
        <w:spacing w:before="0" w:after="0"/>
        <w:rPr>
          <w:lang w:val="fr-BE"/>
        </w:rPr>
      </w:pPr>
    </w:p>
    <w:p>
      <w:pPr>
        <w:pStyle w:val="HEADER5"/>
        <w:rPr>
          <w:noProof/>
        </w:rPr>
      </w:pPr>
      <w:r>
        <w:rPr>
          <w:noProof/>
        </w:rPr>
        <w:t>Actifs ou passifs financiers à la juste valeur par le biais du compte de résultat</w:t>
      </w:r>
    </w:p>
    <w:p>
      <w:pPr>
        <w:pStyle w:val="DGTextstand-alone"/>
        <w:spacing w:before="0" w:after="0"/>
        <w:rPr>
          <w:lang w:val="fr-BE"/>
        </w:rPr>
      </w:pPr>
      <w:r>
        <w:rPr>
          <w:lang w:val="fr-BE"/>
        </w:rPr>
        <w:br/>
        <w:t>Tous les actifs ou passifs financiers qui, conformément aux normes comptables admises au niveau international pour le secteur public, sont évalués à la juste valeur et dont les variations de la juste valeur doivent être comptabilisées en termes de résultat de la période (comme les dérivés).</w:t>
      </w:r>
    </w:p>
    <w:p>
      <w:pPr>
        <w:pStyle w:val="DGTextstand-alone"/>
        <w:spacing w:before="0" w:after="0"/>
        <w:rPr>
          <w:lang w:val="fr-BE"/>
        </w:rPr>
      </w:pPr>
    </w:p>
    <w:p>
      <w:pPr>
        <w:pStyle w:val="HEADER5"/>
        <w:rPr>
          <w:noProof/>
        </w:rPr>
      </w:pPr>
      <w:r>
        <w:rPr>
          <w:noProof/>
          <w:lang w:val="fr-BE" w:eastAsia="en-US"/>
        </w:rPr>
        <w:t xml:space="preserve"> </w:t>
      </w:r>
      <w:r>
        <w:rPr>
          <w:noProof/>
        </w:rPr>
        <w:t>Annulation de crédits</w:t>
      </w:r>
    </w:p>
    <w:p>
      <w:pPr>
        <w:pStyle w:val="DGTextstand-alone"/>
        <w:spacing w:before="0" w:after="0"/>
        <w:rPr>
          <w:lang w:val="fr-BE"/>
        </w:rPr>
      </w:pPr>
      <w:r>
        <w:rPr>
          <w:lang w:val="fr-BE"/>
        </w:rPr>
        <w:br/>
        <w:t>Concerne les crédits inutilisés qui ne peuvent plus servir.</w:t>
      </w:r>
    </w:p>
    <w:p>
      <w:pPr>
        <w:pStyle w:val="DGTextstand-alone"/>
        <w:spacing w:before="0" w:after="0"/>
        <w:rPr>
          <w:lang w:val="fr-BE"/>
        </w:rPr>
      </w:pPr>
    </w:p>
    <w:p>
      <w:pPr>
        <w:pStyle w:val="HEADER5"/>
        <w:rPr>
          <w:noProof/>
        </w:rPr>
      </w:pPr>
      <w:r>
        <w:rPr>
          <w:noProof/>
        </w:rPr>
        <w:t>Budget adopté</w:t>
      </w:r>
    </w:p>
    <w:p>
      <w:pPr>
        <w:pStyle w:val="DGTextstand-alone"/>
        <w:spacing w:before="0" w:after="0"/>
        <w:rPr>
          <w:lang w:val="fr-BE"/>
        </w:rPr>
      </w:pPr>
      <w:r>
        <w:rPr>
          <w:lang w:val="fr-BE"/>
        </w:rPr>
        <w:br/>
        <w:t>Le projet de budget devient le budget adopté dès qu’il est approuvé par l’autorité budgétaire et déclaré définitivement adopté par le président du Parlement européen.</w:t>
      </w:r>
    </w:p>
    <w:p>
      <w:pPr>
        <w:pStyle w:val="DGTextstand-alone"/>
        <w:spacing w:before="0" w:after="0"/>
        <w:rPr>
          <w:lang w:val="fr-BE"/>
        </w:rPr>
      </w:pPr>
    </w:p>
    <w:p>
      <w:pPr>
        <w:pStyle w:val="HEADER5"/>
        <w:rPr>
          <w:noProof/>
        </w:rPr>
      </w:pPr>
      <w:r>
        <w:rPr>
          <w:noProof/>
        </w:rPr>
        <w:t>Budget rectificatif</w:t>
      </w:r>
    </w:p>
    <w:p>
      <w:pPr>
        <w:pStyle w:val="DGTextstand-alone"/>
        <w:spacing w:before="0" w:after="0"/>
        <w:rPr>
          <w:lang w:val="fr-BE"/>
        </w:rPr>
      </w:pPr>
      <w:r>
        <w:rPr>
          <w:lang w:val="fr-BE"/>
        </w:rPr>
        <w:br/>
        <w:t>Décision adoptée en cours d’exercice afin de modifier (augmenter, diminuer ou transférer) des éléments du budget adopté pour l’exercice en question.</w:t>
      </w:r>
    </w:p>
    <w:p>
      <w:pPr>
        <w:pStyle w:val="DGTextstand-alone"/>
        <w:spacing w:before="0" w:after="0"/>
        <w:rPr>
          <w:lang w:val="fr-BE"/>
        </w:rPr>
      </w:pPr>
    </w:p>
    <w:p>
      <w:pPr>
        <w:pStyle w:val="HEADER5"/>
        <w:rPr>
          <w:noProof/>
        </w:rPr>
      </w:pPr>
      <w:r>
        <w:rPr>
          <w:noProof/>
        </w:rPr>
        <w:t>Correction financière</w:t>
      </w:r>
    </w:p>
    <w:p>
      <w:pPr>
        <w:pStyle w:val="DGTextstand-alone"/>
        <w:spacing w:before="0" w:after="0"/>
        <w:rPr>
          <w:lang w:val="fr-BE"/>
        </w:rPr>
      </w:pPr>
      <w:r>
        <w:rPr>
          <w:lang w:val="fr-BE"/>
        </w:rPr>
        <w:br/>
        <w:t>Les corrections financières visent à protéger le budget de l’UE contre la charge que représentent les dépenses irrégulières. En ce qui concerne les dépenses en gestion partagée, le recouvrement des paiements irréguliers incombe au premier chef à l'État membre.</w:t>
      </w:r>
      <w:r>
        <w:rPr>
          <w:lang w:val="fr-BE"/>
        </w:rPr>
        <w:br/>
        <w:t>Une correction financière est «confirmée» lorsqu'elle a été acceptée par l'État membre concerné. Une correction financière est «décidée» lorsqu'elle a été adoptée par une décision de la Commission exigeant de l'État membre qu'il rembourse les financements irréguliers au budget de l'UE et entraînant une réduction définitive de l'enveloppe qui lui a été allouée. Les corrections décidées sont toujours des corrections nettes. Dans la présente publication, les corrections financières confirmées et décidées sont présentées comme une seule catégorie.</w:t>
      </w:r>
      <w:r>
        <w:rPr>
          <w:lang w:val="fr-BE"/>
        </w:rPr>
        <w:tab/>
      </w:r>
      <w:r>
        <w:rPr>
          <w:lang w:val="fr-BE"/>
        </w:rPr>
        <w:br/>
        <w:t>Une correction financière est «exécutée» lorsqu'elle a permis de corriger l'irrégularité constatée.</w:t>
      </w:r>
    </w:p>
    <w:p>
      <w:pPr>
        <w:pStyle w:val="DGTextstand-alone"/>
        <w:spacing w:before="0" w:after="0"/>
        <w:rPr>
          <w:lang w:val="fr-BE"/>
        </w:rPr>
      </w:pPr>
    </w:p>
    <w:p>
      <w:pPr>
        <w:pStyle w:val="HEADER5"/>
        <w:rPr>
          <w:noProof/>
        </w:rPr>
      </w:pPr>
    </w:p>
    <w:p>
      <w:pPr>
        <w:pStyle w:val="HEADER5"/>
        <w:rPr>
          <w:noProof/>
        </w:rPr>
      </w:pPr>
    </w:p>
    <w:p>
      <w:pPr>
        <w:pStyle w:val="HEADER5"/>
        <w:rPr>
          <w:noProof/>
        </w:rPr>
      </w:pPr>
    </w:p>
    <w:p>
      <w:pPr>
        <w:pStyle w:val="HEADER5"/>
        <w:rPr>
          <w:noProof/>
        </w:rPr>
      </w:pPr>
    </w:p>
    <w:p>
      <w:pPr>
        <w:pStyle w:val="HEADER5"/>
        <w:rPr>
          <w:noProof/>
        </w:rPr>
      </w:pPr>
    </w:p>
    <w:p>
      <w:pPr>
        <w:pStyle w:val="HEADER5"/>
        <w:rPr>
          <w:noProof/>
        </w:rPr>
      </w:pPr>
    </w:p>
    <w:p>
      <w:pPr>
        <w:pStyle w:val="HEADER5"/>
        <w:rPr>
          <w:noProof/>
        </w:rPr>
      </w:pPr>
    </w:p>
    <w:p>
      <w:pPr>
        <w:pStyle w:val="HEADER5"/>
        <w:rPr>
          <w:noProof/>
        </w:rPr>
      </w:pPr>
    </w:p>
    <w:p>
      <w:pPr>
        <w:pStyle w:val="HEADER5"/>
        <w:rPr>
          <w:noProof/>
        </w:rPr>
      </w:pPr>
    </w:p>
    <w:p>
      <w:pPr>
        <w:pStyle w:val="HEADER5"/>
        <w:rPr>
          <w:noProof/>
        </w:rPr>
      </w:pPr>
    </w:p>
    <w:p>
      <w:pPr>
        <w:pStyle w:val="HEADER5"/>
        <w:rPr>
          <w:noProof/>
        </w:rPr>
      </w:pPr>
    </w:p>
    <w:p>
      <w:pPr>
        <w:pStyle w:val="HEADER5"/>
        <w:rPr>
          <w:noProof/>
        </w:rPr>
      </w:pPr>
    </w:p>
    <w:p>
      <w:pPr>
        <w:pStyle w:val="HEADER5"/>
        <w:rPr>
          <w:noProof/>
        </w:rPr>
      </w:pPr>
    </w:p>
    <w:p>
      <w:pPr>
        <w:pStyle w:val="HEADER5"/>
        <w:rPr>
          <w:noProof/>
        </w:rPr>
      </w:pPr>
    </w:p>
    <w:p>
      <w:pPr>
        <w:pStyle w:val="HEADER5"/>
        <w:rPr>
          <w:noProof/>
        </w:rPr>
      </w:pPr>
    </w:p>
    <w:p>
      <w:pPr>
        <w:pStyle w:val="HEADER5"/>
        <w:rPr>
          <w:noProof/>
        </w:rPr>
      </w:pPr>
    </w:p>
    <w:p>
      <w:pPr>
        <w:pStyle w:val="HEADER5"/>
        <w:rPr>
          <w:noProof/>
        </w:rPr>
      </w:pPr>
      <w:r>
        <w:rPr>
          <w:noProof/>
        </w:rPr>
        <w:lastRenderedPageBreak/>
        <w:t>Coût des services rendus au cours de la période</w:t>
      </w:r>
    </w:p>
    <w:p>
      <w:pPr>
        <w:pStyle w:val="DGTextstand-alone"/>
        <w:spacing w:before="0" w:after="0"/>
        <w:rPr>
          <w:lang w:val="fr-BE"/>
        </w:rPr>
      </w:pPr>
      <w:r>
        <w:rPr>
          <w:lang w:val="fr-BE"/>
        </w:rPr>
        <w:br/>
        <w:t>Hausse du passif d'un régime découlant des services rendus au cours de l’exercice financier.</w:t>
      </w:r>
    </w:p>
    <w:p>
      <w:pPr>
        <w:pStyle w:val="HEADER5"/>
        <w:rPr>
          <w:noProof/>
        </w:rPr>
      </w:pPr>
    </w:p>
    <w:p>
      <w:pPr>
        <w:pStyle w:val="HEADER5"/>
        <w:rPr>
          <w:noProof/>
        </w:rPr>
      </w:pPr>
      <w:r>
        <w:rPr>
          <w:noProof/>
        </w:rPr>
        <w:t>Crédits</w:t>
      </w:r>
    </w:p>
    <w:p>
      <w:pPr>
        <w:pStyle w:val="HEADER5"/>
        <w:rPr>
          <w:noProof/>
          <w:color w:val="000000" w:themeColor="text1"/>
          <w:lang w:val="fr-BE"/>
        </w:rPr>
      </w:pPr>
      <w:r>
        <w:rPr>
          <w:noProof/>
          <w:lang w:val="fr-BE"/>
        </w:rPr>
        <w:br/>
      </w:r>
      <w:r>
        <w:rPr>
          <w:noProof/>
          <w:color w:val="000000" w:themeColor="text1"/>
          <w:lang w:val="fr-BE"/>
        </w:rPr>
        <w:t>Fonds budgétaires. Le budget prévoit à la fois des engagements et des paiements (versements d'espèces ou virements bancaires aux bénéficiaires). Les crédits pour engagements et les crédits pour paiements diffèrent souvent (crédits dissociés) car les programmes et projets pluriannuels sont généralement engagés intégralement pendant l'année où ils sont décidés, et ils donnent lieu à des paiements au fil des années, à mesure que progresse la mise en œuvre du programme ou du projet. Les crédits non dissociés s’appliquent aux dépenses administratives, au soutien aux marchés agricoles et aux paiements directs, les crédits d’engagement étant équivalents aux crédits de paiement.</w:t>
      </w:r>
    </w:p>
    <w:p>
      <w:pPr>
        <w:pStyle w:val="HEADER5"/>
        <w:rPr>
          <w:noProof/>
          <w:color w:val="000000" w:themeColor="text1"/>
        </w:rPr>
      </w:pPr>
    </w:p>
    <w:p>
      <w:pPr>
        <w:pStyle w:val="HEADER5"/>
        <w:rPr>
          <w:noProof/>
        </w:rPr>
      </w:pPr>
      <w:r>
        <w:rPr>
          <w:noProof/>
        </w:rPr>
        <w:t>Crédits administratifs</w:t>
      </w:r>
    </w:p>
    <w:p>
      <w:pPr>
        <w:pStyle w:val="DGTextstand-alone"/>
        <w:rPr>
          <w:lang w:val="fr-BE"/>
        </w:rPr>
      </w:pPr>
      <w:r>
        <w:rPr>
          <w:lang w:val="fr-BE"/>
        </w:rPr>
        <w:br/>
        <w:t>Les crédits administratifs couvrent les frais de fonctionnement des institutions et des entités (personnel, bâtiments, matériel de bureau).</w:t>
      </w:r>
    </w:p>
    <w:p>
      <w:pPr>
        <w:pStyle w:val="HEADER5"/>
        <w:rPr>
          <w:noProof/>
        </w:rPr>
      </w:pPr>
      <w:r>
        <w:rPr>
          <w:noProof/>
        </w:rPr>
        <w:t>Crédits d’engagement</w:t>
      </w:r>
    </w:p>
    <w:p>
      <w:pPr>
        <w:pStyle w:val="DGTextstand-alone"/>
        <w:spacing w:before="0" w:after="0"/>
        <w:rPr>
          <w:lang w:val="fr-BE"/>
        </w:rPr>
      </w:pPr>
      <w:r>
        <w:rPr>
          <w:lang w:val="fr-BE"/>
        </w:rPr>
        <w:br/>
        <w:t>Les crédits d’engagement couvrent le coût total des obligations juridiques (contrats, décisions/conventions de subvention) ayant pu être contractées pendant l’exercice en cours.</w:t>
      </w:r>
    </w:p>
    <w:p>
      <w:pPr>
        <w:pStyle w:val="HEADER5"/>
        <w:rPr>
          <w:noProof/>
        </w:rPr>
      </w:pPr>
      <w:r>
        <w:rPr>
          <w:noProof/>
        </w:rPr>
        <w:t>Crédits de paiement</w:t>
      </w:r>
    </w:p>
    <w:p>
      <w:pPr>
        <w:pStyle w:val="DGTextstand-alone"/>
        <w:spacing w:before="0" w:after="0"/>
        <w:rPr>
          <w:lang w:val="fr-BE"/>
        </w:rPr>
      </w:pPr>
      <w:r>
        <w:rPr>
          <w:lang w:val="fr-BE"/>
        </w:rPr>
        <w:br/>
        <w:t>Les crédits de paiement couvrent les dépenses prévues pour l'exercice en cours qui découlent des engagements juridiques contractés pendant l'exercice en cours et/ou les exercices précédents.</w:t>
      </w:r>
    </w:p>
    <w:p>
      <w:pPr>
        <w:pStyle w:val="DGTextstand-alone"/>
        <w:spacing w:before="0" w:after="0"/>
        <w:rPr>
          <w:lang w:val="fr-BE"/>
        </w:rPr>
      </w:pPr>
    </w:p>
    <w:p>
      <w:pPr>
        <w:pStyle w:val="HEADER5"/>
        <w:rPr>
          <w:noProof/>
        </w:rPr>
      </w:pPr>
      <w:r>
        <w:rPr>
          <w:noProof/>
        </w:rPr>
        <w:t>Crédits tombant en annulation</w:t>
      </w:r>
    </w:p>
    <w:p>
      <w:pPr>
        <w:pStyle w:val="DGTextstand-alone"/>
        <w:spacing w:before="0" w:after="0"/>
        <w:rPr>
          <w:lang w:val="fr-BE"/>
        </w:rPr>
      </w:pPr>
      <w:r>
        <w:rPr>
          <w:lang w:val="fr-BE"/>
        </w:rPr>
        <w:br/>
        <w:t>Crédits inutilisés à annuler à la clôture de l’exercice. Il s’agit de l’annulation de tout ou partie de l’autorisation, représentée par un crédit, d'effectuer des dépenses et/ou d'assumer des passifs. En ce qui concerne les entreprises communes uniquement, conformément à leurs règles financières, les crédits inutilisés peuvent être inscrits dans l’état prévisionnel des recettes et des dépenses des trois exercices suivants au maximum (règle «N+3»). Par conséquent, les crédits annulés des entreprises communes peuvent être réactivés jusqu’à l’exercice «N+3».</w:t>
      </w:r>
    </w:p>
    <w:p>
      <w:pPr>
        <w:pStyle w:val="DGTextstand-alone"/>
        <w:spacing w:before="0" w:after="0"/>
        <w:rPr>
          <w:lang w:val="fr-BE"/>
        </w:rPr>
      </w:pPr>
    </w:p>
    <w:p>
      <w:pPr>
        <w:pStyle w:val="HEADER5"/>
        <w:rPr>
          <w:noProof/>
        </w:rPr>
      </w:pPr>
      <w:r>
        <w:rPr>
          <w:noProof/>
        </w:rPr>
        <w:t>Dégagement</w:t>
      </w:r>
    </w:p>
    <w:p>
      <w:pPr>
        <w:pStyle w:val="DGTextstand-alone"/>
        <w:spacing w:before="0" w:after="0"/>
        <w:rPr>
          <w:lang w:val="fr-BE"/>
        </w:rPr>
      </w:pPr>
      <w:r>
        <w:rPr>
          <w:lang w:val="fr-BE"/>
        </w:rPr>
        <w:br/>
        <w:t>Acte annulant un engagement antérieur (ou une partie de celui-ci).</w:t>
      </w:r>
    </w:p>
    <w:p>
      <w:pPr>
        <w:pStyle w:val="DGTextstand-alone"/>
        <w:spacing w:before="0" w:after="0"/>
        <w:rPr>
          <w:lang w:val="fr-BE"/>
        </w:rPr>
      </w:pPr>
    </w:p>
    <w:p>
      <w:pPr>
        <w:pStyle w:val="HEADER5"/>
        <w:rPr>
          <w:noProof/>
        </w:rPr>
      </w:pPr>
      <w:r>
        <w:rPr>
          <w:noProof/>
        </w:rPr>
        <w:t>Dérivés</w:t>
      </w:r>
    </w:p>
    <w:p>
      <w:pPr>
        <w:pStyle w:val="DGTextstand-alone"/>
        <w:spacing w:before="0" w:after="0"/>
        <w:rPr>
          <w:lang w:val="fr-BE"/>
        </w:rPr>
      </w:pPr>
      <w:r>
        <w:rPr>
          <w:lang w:val="fr-BE"/>
        </w:rPr>
        <w:br/>
        <w:t>Instruments financiers dont la valeur est liée aux variations de la valeur d’un autre instrument financier, d’un indicateur ou d’une marchandise. Contrairement au porteur d’un instrument financier primaire (par exemple une obligation d’État), qui dispose du droit absolu de recevoir de la trésorerie (ou un autre avantage économique) dans le futur, pour le porteur d’un instrument dérivé, ce droit est assorti de conditions. Le contrat de change à terme est un exemple d’instrument dérivé.</w:t>
      </w:r>
    </w:p>
    <w:p>
      <w:pPr>
        <w:pStyle w:val="DGTextstand-alone"/>
        <w:spacing w:before="0" w:after="0"/>
        <w:rPr>
          <w:lang w:val="fr-BE"/>
        </w:rPr>
      </w:pPr>
    </w:p>
    <w:p>
      <w:pPr>
        <w:pStyle w:val="HEADER5"/>
        <w:rPr>
          <w:noProof/>
        </w:rPr>
      </w:pPr>
      <w:r>
        <w:rPr>
          <w:noProof/>
        </w:rPr>
        <w:t>Écarts actuariels</w:t>
      </w:r>
    </w:p>
    <w:p>
      <w:pPr>
        <w:pStyle w:val="DGTextstand-alone"/>
        <w:spacing w:before="0" w:after="0"/>
        <w:rPr>
          <w:lang w:val="fr-BE"/>
        </w:rPr>
      </w:pPr>
      <w:r>
        <w:rPr>
          <w:lang w:val="fr-BE"/>
        </w:rPr>
        <w:br/>
        <w:t>Pour un régime à prestations définies, il s'agit de l’évolution des pertes ou des gains actuariels. Ils résultent des différences entre les hypothèses actuarielles antérieures et ce qui s’est effectivement produit ainsi que des changements dans les hypothèses actuarielles.</w:t>
      </w:r>
    </w:p>
    <w:p>
      <w:pPr>
        <w:pStyle w:val="HEADER5"/>
        <w:rPr>
          <w:noProof/>
        </w:rPr>
      </w:pPr>
    </w:p>
    <w:p>
      <w:pPr>
        <w:pStyle w:val="HEADER5"/>
        <w:rPr>
          <w:noProof/>
        </w:rPr>
      </w:pPr>
      <w:r>
        <w:rPr>
          <w:noProof/>
        </w:rPr>
        <w:t>Engagement</w:t>
      </w:r>
    </w:p>
    <w:p>
      <w:pPr>
        <w:pStyle w:val="DGTextstand-alone"/>
        <w:spacing w:before="0" w:after="0"/>
        <w:rPr>
          <w:lang w:val="fr-BE"/>
        </w:rPr>
      </w:pPr>
      <w:r>
        <w:rPr>
          <w:lang w:val="fr-BE"/>
        </w:rPr>
        <w:br/>
        <w:t>Engagement juridique à fournir des moyens budgétaires, pour autant que certaines conditions soient remplies. L’UE s’engage à rembourser sa part des coûts d’un projet qu’elle finance. Les engagements d’aujourd'hui sont les paiements de demain, tandis que les paiements d'aujourd'hui correspondent aux engagements d'hier.</w:t>
      </w:r>
    </w:p>
    <w:p>
      <w:pPr>
        <w:pStyle w:val="HEADER5"/>
        <w:keepNext/>
        <w:rPr>
          <w:noProof/>
        </w:rPr>
      </w:pPr>
    </w:p>
    <w:p>
      <w:pPr>
        <w:pStyle w:val="HEADER5"/>
        <w:keepNext/>
        <w:rPr>
          <w:noProof/>
        </w:rPr>
      </w:pPr>
    </w:p>
    <w:p>
      <w:pPr>
        <w:pStyle w:val="HEADER5"/>
        <w:keepNext/>
        <w:rPr>
          <w:noProof/>
        </w:rPr>
      </w:pPr>
      <w:r>
        <w:rPr>
          <w:noProof/>
        </w:rPr>
        <w:t>Engagements restant à liquider</w:t>
      </w:r>
    </w:p>
    <w:p>
      <w:pPr>
        <w:pStyle w:val="DGTextstand-alone"/>
        <w:spacing w:before="0" w:after="0"/>
        <w:rPr>
          <w:lang w:val="fr-BE"/>
        </w:rPr>
      </w:pPr>
      <w:r>
        <w:rPr>
          <w:lang w:val="fr-BE"/>
        </w:rPr>
        <w:br/>
        <w:t>Formant le «reste à liquider» (RAL), ils constituent le montant des engagements budgétaires contractés alors que les paiements ultérieurs n’ont pas encore été effectués. Ils représentent pour l’UE des obligations de paiement pour les exercices à venir et découlent directement de l’existence de programmes pluriannuels et de la dissociation entre crédits d’engagement et crédits de paiement.</w:t>
      </w:r>
    </w:p>
    <w:p>
      <w:pPr>
        <w:pStyle w:val="HEADER5"/>
        <w:rPr>
          <w:noProof/>
        </w:rPr>
      </w:pPr>
    </w:p>
    <w:p>
      <w:pPr>
        <w:pStyle w:val="HEADER5"/>
        <w:rPr>
          <w:noProof/>
        </w:rPr>
      </w:pPr>
    </w:p>
    <w:p>
      <w:pPr>
        <w:pStyle w:val="HEADER5"/>
        <w:rPr>
          <w:noProof/>
        </w:rPr>
      </w:pPr>
      <w:r>
        <w:rPr>
          <w:noProof/>
        </w:rPr>
        <w:t>Gestion directe</w:t>
      </w:r>
    </w:p>
    <w:p>
      <w:pPr>
        <w:pStyle w:val="DGTextstand-alone"/>
        <w:rPr>
          <w:lang w:val="fr-BE"/>
        </w:rPr>
      </w:pPr>
      <w:r>
        <w:rPr>
          <w:lang w:val="fr-BE"/>
        </w:rPr>
        <w:br/>
        <w:t>Mode d’exécution du budget. En gestion directe, le budget est directement exécuté par les services de la Commission, des agences exécutives ou des fonds fiduciaires.</w:t>
      </w:r>
    </w:p>
    <w:p>
      <w:pPr>
        <w:pStyle w:val="HEADER5"/>
        <w:rPr>
          <w:noProof/>
        </w:rPr>
      </w:pPr>
      <w:r>
        <w:rPr>
          <w:noProof/>
        </w:rPr>
        <w:t>Gestion indirecte</w:t>
      </w:r>
    </w:p>
    <w:p>
      <w:pPr>
        <w:pStyle w:val="DGTextstand-alone"/>
        <w:rPr>
          <w:lang w:val="fr-BE"/>
        </w:rPr>
      </w:pPr>
      <w:r>
        <w:rPr>
          <w:lang w:val="fr-BE"/>
        </w:rPr>
        <w:br/>
        <w:t>Mode d’exécution du budget. En gestion indirecte, la Commission confie certaines tâches d’exécution budgétaire à des organismes de droit européen ou de droit national.</w:t>
      </w:r>
    </w:p>
    <w:p>
      <w:pPr>
        <w:pStyle w:val="HEADER5"/>
        <w:rPr>
          <w:noProof/>
        </w:rPr>
      </w:pPr>
      <w:r>
        <w:rPr>
          <w:noProof/>
        </w:rPr>
        <w:t>Gestion partagée</w:t>
      </w:r>
    </w:p>
    <w:p>
      <w:pPr>
        <w:pStyle w:val="DGTextstand-alone"/>
        <w:rPr>
          <w:lang w:val="fr-BE"/>
        </w:rPr>
      </w:pPr>
      <w:r>
        <w:rPr>
          <w:lang w:val="fr-BE"/>
        </w:rPr>
        <w:br/>
        <w:t>Mode d’exécution du budget. En gestion partagée, les tâches d’exécution budgétaires sont déléguées aux États membres. Environ trois quarts des dépenses de l’UE relèvent de ce mode d’exécution.</w:t>
      </w:r>
    </w:p>
    <w:p>
      <w:pPr>
        <w:pStyle w:val="HEADER5"/>
        <w:rPr>
          <w:noProof/>
        </w:rPr>
      </w:pPr>
      <w:r>
        <w:rPr>
          <w:noProof/>
        </w:rPr>
        <w:t>Hypothèses actuarielles</w:t>
      </w:r>
    </w:p>
    <w:p>
      <w:pPr>
        <w:pStyle w:val="DGTextstand-alone"/>
        <w:spacing w:before="0" w:after="0"/>
        <w:rPr>
          <w:lang w:val="fr-BE"/>
        </w:rPr>
      </w:pPr>
      <w:r>
        <w:rPr>
          <w:lang w:val="fr-BE"/>
        </w:rPr>
        <w:br/>
        <w:t>Hypothèses servant à calculer les coûts d'événements futurs ayant une incidence sur la charge des pensions.</w:t>
      </w:r>
    </w:p>
    <w:p>
      <w:pPr>
        <w:pStyle w:val="DGTextstand-alone"/>
        <w:spacing w:before="0" w:after="0"/>
        <w:rPr>
          <w:lang w:val="fr-BE"/>
        </w:rPr>
      </w:pPr>
    </w:p>
    <w:p>
      <w:pPr>
        <w:pStyle w:val="HEADER5"/>
        <w:rPr>
          <w:noProof/>
        </w:rPr>
      </w:pPr>
      <w:r>
        <w:rPr>
          <w:noProof/>
        </w:rPr>
        <w:t>Interruptions et suspensions</w:t>
      </w:r>
    </w:p>
    <w:p>
      <w:pPr>
        <w:pStyle w:val="DGTextstand-alone"/>
        <w:spacing w:before="0" w:after="0"/>
        <w:rPr>
          <w:lang w:val="fr-BE"/>
        </w:rPr>
      </w:pPr>
      <w:r>
        <w:rPr>
          <w:lang w:val="fr-BE"/>
        </w:rPr>
        <w:br/>
        <w:t>La Commission peut interrompre ou suspendre les paiements si, sur la base de ses propres travaux ou des informations transmises par les autorités d'audit, elle constate qu'un État membre n'a pas comblé les graves lacunes qui affectent les systèmes de gestion et de contrôle et/ou qu'il n'a pas corrigé les dépenses irrégulières déclarées et certifiées.</w:t>
      </w:r>
    </w:p>
    <w:p>
      <w:pPr>
        <w:pStyle w:val="DGTextstand-alone"/>
        <w:spacing w:before="0" w:after="0"/>
        <w:rPr>
          <w:lang w:val="fr-BE"/>
        </w:rPr>
      </w:pPr>
    </w:p>
    <w:p>
      <w:pPr>
        <w:pStyle w:val="HEADER5"/>
        <w:rPr>
          <w:noProof/>
        </w:rPr>
      </w:pPr>
      <w:r>
        <w:rPr>
          <w:noProof/>
        </w:rPr>
        <w:t>Irrégularité</w:t>
      </w:r>
    </w:p>
    <w:p>
      <w:pPr>
        <w:pStyle w:val="DGTextstand-alone"/>
        <w:spacing w:before="0" w:after="0"/>
        <w:rPr>
          <w:lang w:val="fr-BE"/>
        </w:rPr>
      </w:pPr>
      <w:r>
        <w:rPr>
          <w:lang w:val="fr-BE"/>
        </w:rPr>
        <w:br/>
        <w:t>Une irrégularité est un acte non conforme aux règles nationales ou de l’Union applicables dont les répercussions sur les intérêts financiers de l’UE sont potentiellement négatives. Elle peut résulter du comportement des bénéficiaires de fonds ou des autorités responsables de leur versement. La notion d’irrégularité est plus vaste que celle de fraude, qui désigne un comportement pouvant être qualifié d’infraction pénale.</w:t>
      </w:r>
    </w:p>
    <w:p>
      <w:pPr>
        <w:pStyle w:val="HEADER5"/>
        <w:rPr>
          <w:noProof/>
        </w:rPr>
      </w:pPr>
    </w:p>
    <w:p>
      <w:pPr>
        <w:pStyle w:val="HEADER5"/>
        <w:rPr>
          <w:noProof/>
        </w:rPr>
      </w:pPr>
      <w:r>
        <w:rPr>
          <w:noProof/>
        </w:rPr>
        <w:t>Ligne budgétaire</w:t>
      </w:r>
    </w:p>
    <w:p>
      <w:pPr>
        <w:pStyle w:val="DGTextstand-alone"/>
        <w:spacing w:before="0" w:after="0"/>
        <w:rPr>
          <w:lang w:val="fr-BE"/>
        </w:rPr>
      </w:pPr>
      <w:r>
        <w:rPr>
          <w:lang w:val="fr-BE"/>
        </w:rPr>
        <w:br/>
        <w:t>En ce qui concerne la structure du budget, les recettes et les dépenses sont présentées conformément à une nomenclature contraignante, reflétant une classification voulue par l'autorité budgétaire selon leur nature et leur destination. Les différents intitulés (titre, chapitre, article ou ligne) constituent la description formelle de la nomenclature.</w:t>
      </w:r>
    </w:p>
    <w:p>
      <w:pPr>
        <w:pStyle w:val="DGTextstand-alone"/>
        <w:spacing w:before="0" w:after="0"/>
        <w:rPr>
          <w:lang w:val="fr-BE"/>
        </w:rPr>
      </w:pPr>
    </w:p>
    <w:p>
      <w:pPr>
        <w:pStyle w:val="HEADER5"/>
        <w:rPr>
          <w:noProof/>
        </w:rPr>
      </w:pPr>
      <w:r>
        <w:rPr>
          <w:noProof/>
        </w:rPr>
        <w:t>Mesures préventives</w:t>
      </w:r>
    </w:p>
    <w:p>
      <w:pPr>
        <w:pStyle w:val="DGTextstand-alone"/>
        <w:spacing w:before="0" w:after="0"/>
        <w:rPr>
          <w:lang w:val="fr-BE"/>
        </w:rPr>
      </w:pPr>
      <w:r>
        <w:rPr>
          <w:lang w:val="fr-BE"/>
        </w:rPr>
        <w:br/>
        <w:t>Mesures de prévention dont dispose la Commission pour protéger le budget de l'UE lorsqu'elle a connaissance d'insuffisances potentielles. Ces mesures comprennent les suspensions et interruptions de paiements à partir du budget de l'UE en faveur du programme opérationnel.</w:t>
      </w:r>
    </w:p>
    <w:p>
      <w:pPr>
        <w:pStyle w:val="DGTextstand-alone"/>
        <w:spacing w:before="0" w:after="0"/>
        <w:rPr>
          <w:lang w:val="fr-BE"/>
        </w:rPr>
      </w:pPr>
    </w:p>
    <w:p>
      <w:pPr>
        <w:pStyle w:val="HEADER5"/>
        <w:rPr>
          <w:noProof/>
        </w:rPr>
      </w:pPr>
    </w:p>
    <w:p>
      <w:pPr>
        <w:pStyle w:val="HEADER5"/>
        <w:rPr>
          <w:noProof/>
        </w:rPr>
      </w:pPr>
    </w:p>
    <w:p>
      <w:pPr>
        <w:pStyle w:val="HEADER5"/>
        <w:rPr>
          <w:noProof/>
        </w:rPr>
      </w:pPr>
    </w:p>
    <w:p>
      <w:pPr>
        <w:pStyle w:val="HEADER5"/>
        <w:rPr>
          <w:noProof/>
        </w:rPr>
      </w:pPr>
    </w:p>
    <w:p>
      <w:pPr>
        <w:pStyle w:val="HEADER5"/>
        <w:rPr>
          <w:noProof/>
        </w:rPr>
      </w:pPr>
      <w:r>
        <w:rPr>
          <w:noProof/>
        </w:rPr>
        <w:lastRenderedPageBreak/>
        <w:t>Montants à appeler auprès des États membres</w:t>
      </w:r>
    </w:p>
    <w:p>
      <w:pPr>
        <w:pStyle w:val="DGTextstand-alone"/>
        <w:spacing w:before="0" w:after="0"/>
        <w:rPr>
          <w:lang w:val="fr-BE"/>
        </w:rPr>
      </w:pPr>
      <w:r>
        <w:rPr>
          <w:lang w:val="fr-BE"/>
        </w:rPr>
        <w:br/>
        <w:t>Il s’agit des dépenses encourues au cours de la période de référence qui devront être financées par des budgets ultérieurs, c’est-à-dire par les États membres de l’UE. Ces dépenses sont une conséquence de la coexistence d'états financiers établis selon la comptabilité d'exercice et d’un budget de trésorerie.</w:t>
      </w:r>
    </w:p>
    <w:p>
      <w:pPr>
        <w:pStyle w:val="DGTextstand-alone"/>
        <w:spacing w:before="0" w:after="0"/>
        <w:rPr>
          <w:lang w:val="fr-BE"/>
        </w:rPr>
      </w:pPr>
    </w:p>
    <w:p>
      <w:pPr>
        <w:pStyle w:val="HEADER5"/>
        <w:rPr>
          <w:noProof/>
        </w:rPr>
      </w:pPr>
      <w:r>
        <w:rPr>
          <w:noProof/>
        </w:rPr>
        <w:t>Préfinancements</w:t>
      </w:r>
    </w:p>
    <w:p>
      <w:pPr>
        <w:pStyle w:val="DGTextstand-alone"/>
        <w:spacing w:before="0" w:after="0"/>
        <w:rPr>
          <w:lang w:val="fr-BE"/>
        </w:rPr>
      </w:pPr>
      <w:r>
        <w:rPr>
          <w:lang w:val="fr-BE"/>
        </w:rPr>
        <w:br/>
        <w:t>Paiement visant à procurer un fond de trésorerie au bénéficiaire. Il peut être fractionné en plusieurs tranches conformément aux dispositions du contrat, de la décision, de la convention ou de l’acte de base sous-jacent. Le fond de trésorerie (ou l’avance) est soit utilisé aux fins pour lesquelles il a été fourni pendant la période définie dans la convention, soit remboursé.</w:t>
      </w:r>
    </w:p>
    <w:p>
      <w:pPr>
        <w:pStyle w:val="DGTextstand-alone"/>
        <w:spacing w:before="0" w:after="0"/>
        <w:rPr>
          <w:lang w:val="fr-BE"/>
        </w:rPr>
      </w:pPr>
    </w:p>
    <w:p>
      <w:pPr>
        <w:pStyle w:val="DGTextstand-alone"/>
        <w:spacing w:before="0" w:after="0"/>
        <w:rPr>
          <w:lang w:val="fr-BE"/>
        </w:rPr>
      </w:pPr>
    </w:p>
    <w:p>
      <w:pPr>
        <w:pStyle w:val="HEADER5"/>
        <w:rPr>
          <w:noProof/>
        </w:rPr>
      </w:pPr>
      <w:r>
        <w:rPr>
          <w:noProof/>
        </w:rPr>
        <w:t>Rapport annuel d'activités (RAA)</w:t>
      </w:r>
    </w:p>
    <w:p>
      <w:pPr>
        <w:pStyle w:val="DGTextstand-alone"/>
        <w:spacing w:before="0" w:after="0"/>
        <w:rPr>
          <w:lang w:val="fr-BE"/>
        </w:rPr>
      </w:pPr>
      <w:r>
        <w:rPr>
          <w:lang w:val="fr-BE"/>
        </w:rPr>
        <w:br/>
        <w:t>Les rapports annuels d'activités présentent notamment des informations sur les résultats des opérations par rapport aux objectifs fixés, les risques associés et la structure du contrôle interne. Depuis les exercices 2001, pour la Commission, et 2003, pour toutes les autres institutions de l'Union européenne, chaque «ordonnateur délégué» rend compte à son institution de l'exercice de ses fonctions sous la forme d'un RAA, contenant des informations financières et de gestion.</w:t>
      </w:r>
    </w:p>
    <w:p>
      <w:pPr>
        <w:pStyle w:val="DGTextstand-alone"/>
        <w:spacing w:before="0" w:after="0"/>
        <w:rPr>
          <w:lang w:val="fr-BE"/>
        </w:rPr>
      </w:pPr>
    </w:p>
    <w:p>
      <w:pPr>
        <w:pStyle w:val="HEADER5"/>
        <w:rPr>
          <w:noProof/>
        </w:rPr>
      </w:pPr>
      <w:r>
        <w:rPr>
          <w:noProof/>
        </w:rPr>
        <w:t>Recettes affectées</w:t>
      </w:r>
    </w:p>
    <w:p>
      <w:pPr>
        <w:pStyle w:val="DGTextstand-alone"/>
        <w:spacing w:before="0" w:after="0"/>
        <w:rPr>
          <w:lang w:val="fr-BE"/>
        </w:rPr>
      </w:pPr>
      <w:r>
        <w:rPr>
          <w:lang w:val="fr-BE"/>
        </w:rPr>
        <w:br/>
        <w:t>Recettes spéciales reçues pour financer des dépenses spécifiques. Les contributions financières des pays tiers en faveur de programmes financés par l’Union sont la principale source de recettes affectées externes. La principale source de recettes affectées internes est constituée par les recettes provenant de tiers pour des fournitures, des prestations de services ou des travaux effectués sur leur demande, les recettes provenant de la restitution des sommes qui ont été indûment payées et les recettes provenant de la vente de publications et films.</w:t>
      </w:r>
    </w:p>
    <w:p>
      <w:pPr>
        <w:pStyle w:val="DGTextstand-alone"/>
        <w:spacing w:before="0" w:after="0"/>
        <w:rPr>
          <w:lang w:val="fr-BE"/>
        </w:rPr>
      </w:pPr>
    </w:p>
    <w:p>
      <w:pPr>
        <w:pStyle w:val="HEADER5"/>
        <w:rPr>
          <w:noProof/>
        </w:rPr>
      </w:pPr>
      <w:r>
        <w:rPr>
          <w:noProof/>
        </w:rPr>
        <w:t>Régime à prestations définies</w:t>
      </w:r>
    </w:p>
    <w:p>
      <w:pPr>
        <w:pStyle w:val="DGTextstand-alone"/>
        <w:spacing w:before="0" w:after="0"/>
        <w:rPr>
          <w:lang w:val="fr-BE"/>
        </w:rPr>
      </w:pPr>
      <w:r>
        <w:rPr>
          <w:lang w:val="fr-BE"/>
        </w:rPr>
        <w:br/>
        <w:t>Régime de pension ou autre régime de prestations de retraite dans lequel les règles du régime définissent les prestations indépendamment des cotisations dues. Les prestations ne sont pas directement liées aux investissements du régime. Celui-ci peut être financé ou non.</w:t>
      </w:r>
    </w:p>
    <w:p>
      <w:pPr>
        <w:pStyle w:val="HEADER5"/>
        <w:rPr>
          <w:noProof/>
        </w:rPr>
      </w:pPr>
    </w:p>
    <w:p>
      <w:pPr>
        <w:pStyle w:val="HEADER5"/>
        <w:rPr>
          <w:noProof/>
        </w:rPr>
      </w:pPr>
      <w:r>
        <w:rPr>
          <w:noProof/>
        </w:rPr>
        <w:t>Report de crédits</w:t>
      </w:r>
    </w:p>
    <w:p>
      <w:pPr>
        <w:pStyle w:val="DGTextstand-alone"/>
        <w:spacing w:before="0" w:after="0"/>
        <w:rPr>
          <w:lang w:val="fr-BE"/>
        </w:rPr>
      </w:pPr>
      <w:r>
        <w:rPr>
          <w:lang w:val="fr-BE"/>
        </w:rPr>
        <w:br/>
        <w:t>Exception au principe d’annualité dans la mesure où les crédits n’ayant pas pu être utilisés lors d’un exercice donné peuvent, moyennant le respect de conditions strictes et à titre exceptionnel, être reportés à l’exercice suivant.</w:t>
      </w:r>
    </w:p>
    <w:p>
      <w:pPr>
        <w:pStyle w:val="HEADER5"/>
        <w:rPr>
          <w:noProof/>
        </w:rPr>
      </w:pPr>
    </w:p>
    <w:p>
      <w:pPr>
        <w:pStyle w:val="HEADER5"/>
        <w:rPr>
          <w:noProof/>
        </w:rPr>
      </w:pPr>
      <w:r>
        <w:rPr>
          <w:noProof/>
        </w:rPr>
        <w:t>Ressources propres</w:t>
      </w:r>
    </w:p>
    <w:p>
      <w:pPr>
        <w:pStyle w:val="DGTextstand-alone"/>
        <w:spacing w:before="0" w:after="0"/>
        <w:rPr>
          <w:lang w:val="fr-BE"/>
        </w:rPr>
      </w:pPr>
      <w:r>
        <w:rPr>
          <w:lang w:val="fr-BE"/>
        </w:rPr>
        <w:br/>
        <w:t>La principale source de recettes aux fins du budget de l’UE. Les différentes ressources propres sont énumérées dans la décision sur les ressources propres applicable [décision (UE, Euratom) 2020/2053 du Conseil]; il s’agit des ressources propres traditionnelles, de la ressource TVA, de la ressource RNB et de la ressource propre fondée sur les déchets d’emballages en plastique non recyclés.</w:t>
      </w:r>
    </w:p>
    <w:p>
      <w:pPr>
        <w:pStyle w:val="DGTextstand-alone"/>
        <w:spacing w:before="0" w:after="0"/>
        <w:rPr>
          <w:lang w:val="fr-BE"/>
        </w:rPr>
      </w:pPr>
    </w:p>
    <w:p>
      <w:pPr>
        <w:pStyle w:val="HEADER5"/>
        <w:rPr>
          <w:noProof/>
        </w:rPr>
      </w:pPr>
      <w:r>
        <w:rPr>
          <w:noProof/>
        </w:rPr>
        <w:t>Ressources propres traditionnelles</w:t>
      </w:r>
    </w:p>
    <w:p>
      <w:pPr>
        <w:pStyle w:val="DGTextstand-alone"/>
        <w:spacing w:before="0" w:after="0"/>
        <w:rPr>
          <w:lang w:val="fr-BE"/>
        </w:rPr>
      </w:pPr>
      <w:r>
        <w:rPr>
          <w:lang w:val="fr-BE"/>
        </w:rPr>
        <w:br/>
        <w:t>Elles sont définies dans la décision sur les ressources propres applicable [la décision (UE, Euratom) 2020/2053 du Conseil] et comprennent notamment les droits de douane et les cotisations «sucre».</w:t>
      </w:r>
    </w:p>
    <w:p>
      <w:pPr>
        <w:pStyle w:val="DGTextstand-alone"/>
        <w:spacing w:before="0" w:after="0"/>
        <w:rPr>
          <w:lang w:val="fr-BE"/>
        </w:rPr>
      </w:pPr>
    </w:p>
    <w:p>
      <w:pPr>
        <w:pStyle w:val="HEADER5"/>
        <w:rPr>
          <w:noProof/>
        </w:rPr>
      </w:pPr>
      <w:r>
        <w:rPr>
          <w:noProof/>
        </w:rPr>
        <w:t>Reste à liquider (RAL)</w:t>
      </w:r>
    </w:p>
    <w:p>
      <w:pPr>
        <w:pStyle w:val="DGTextstand-alone"/>
        <w:spacing w:before="0" w:after="0"/>
        <w:rPr>
          <w:lang w:val="fr-BE"/>
        </w:rPr>
      </w:pPr>
      <w:r>
        <w:rPr>
          <w:lang w:val="fr-BE"/>
        </w:rPr>
        <w:br/>
        <w:t>Formant les engagements restant à liquider, il constitue le montant des engagements budgétaires contractés alors que les paiements ultérieurs n’ont pas encore été effectués. Il représente pour l’UE des obligations de paiement pour les exercices à venir et découle directement de l’existence de programmes pluriannuels et de la dissociation entre crédits d’engagement et crédits de paiement.</w:t>
      </w:r>
    </w:p>
    <w:p>
      <w:pPr>
        <w:pStyle w:val="DGTextstand-alone"/>
        <w:spacing w:before="0" w:after="0"/>
        <w:rPr>
          <w:lang w:val="fr-BE"/>
        </w:rPr>
      </w:pPr>
    </w:p>
    <w:p>
      <w:pPr>
        <w:pStyle w:val="HEADER5"/>
        <w:rPr>
          <w:noProof/>
        </w:rPr>
      </w:pPr>
    </w:p>
    <w:p>
      <w:pPr>
        <w:pStyle w:val="HEADER5"/>
        <w:rPr>
          <w:noProof/>
        </w:rPr>
      </w:pPr>
    </w:p>
    <w:p>
      <w:pPr>
        <w:pStyle w:val="HEADER5"/>
        <w:rPr>
          <w:noProof/>
        </w:rPr>
      </w:pPr>
    </w:p>
    <w:p>
      <w:pPr>
        <w:pStyle w:val="HEADER5"/>
        <w:keepNext/>
        <w:rPr>
          <w:noProof/>
        </w:rPr>
      </w:pPr>
      <w:r>
        <w:rPr>
          <w:noProof/>
        </w:rPr>
        <w:lastRenderedPageBreak/>
        <w:t>Taux d’actualisation</w:t>
      </w:r>
    </w:p>
    <w:p>
      <w:pPr>
        <w:pStyle w:val="DGTextstand-alone"/>
        <w:spacing w:before="0" w:after="0"/>
        <w:rPr>
          <w:lang w:val="fr-BE"/>
        </w:rPr>
      </w:pPr>
      <w:r>
        <w:rPr>
          <w:lang w:val="fr-BE"/>
        </w:rPr>
        <w:br/>
        <w:t>Taux utilisé pour ajuster la valeur temps de l’argent. L’actualisation est une technique utilisée pour comparer les coûts et les avantages au cours de différentes périodes de temps.</w:t>
      </w:r>
    </w:p>
    <w:p>
      <w:pPr>
        <w:pStyle w:val="DGTextstand-alone"/>
        <w:spacing w:before="0" w:after="0"/>
        <w:rPr>
          <w:lang w:val="fr-BE"/>
        </w:rPr>
      </w:pPr>
    </w:p>
    <w:p>
      <w:pPr>
        <w:pStyle w:val="HEADER5"/>
        <w:rPr>
          <w:noProof/>
        </w:rPr>
      </w:pPr>
      <w:r>
        <w:rPr>
          <w:noProof/>
        </w:rPr>
        <w:t>Taux d'intérêt effectif</w:t>
      </w:r>
    </w:p>
    <w:p>
      <w:pPr>
        <w:pStyle w:val="DGTextstand-alone"/>
        <w:spacing w:before="0" w:after="0"/>
        <w:rPr>
          <w:lang w:val="fr-BE"/>
        </w:rPr>
      </w:pPr>
      <w:r>
        <w:rPr>
          <w:lang w:val="fr-BE"/>
        </w:rPr>
        <w:br/>
        <w:t>Taux qui actualise les encaissements ou décaissements de trésorerie futurs sur la durée de vie prévue de l’actif ou du passif financier de manière à obtenir la valeur comptable nette de l’actif ou du passif.</w:t>
      </w:r>
    </w:p>
    <w:p>
      <w:pPr>
        <w:pStyle w:val="DGTextstand-alone"/>
        <w:spacing w:before="0" w:after="0"/>
        <w:rPr>
          <w:lang w:val="fr-BE"/>
        </w:rPr>
      </w:pPr>
    </w:p>
    <w:p>
      <w:pPr>
        <w:pStyle w:val="HEADER5"/>
        <w:rPr>
          <w:noProof/>
        </w:rPr>
      </w:pPr>
      <w:r>
        <w:rPr>
          <w:noProof/>
        </w:rPr>
        <w:t>Virements (entre lignes budgétaires)</w:t>
      </w:r>
    </w:p>
    <w:p>
      <w:pPr>
        <w:pStyle w:val="DGTextstand-alone"/>
        <w:spacing w:before="0" w:after="0"/>
        <w:rPr>
          <w:lang w:val="fr-BE"/>
        </w:rPr>
      </w:pPr>
      <w:r>
        <w:rPr>
          <w:lang w:val="fr-BE"/>
        </w:rPr>
        <w:br/>
        <w:t>Les virements entre lignes budgétaires impliquent la réaffectation de crédits d’une ligne budgétaire à une autre au cours de l’exercice. Ils constituent ainsi une exception au principe budgétaire de spécialité. Ils sont toutefois expressément autorisés par le traité sur le fonctionnement de l’Union européenne, dans les conditions fixées par le règlement financier (RF). Ce dernier définit les différents types de virements selon qu’ils sont effectués entre titres, chapitres ou articles du budget, ou à l'intérieur de ceux-ci, et selon le niveau d’autorisation requis.</w:t>
      </w:r>
    </w:p>
    <w:p>
      <w:pPr>
        <w:pStyle w:val="DGTextstand-alone"/>
        <w:rPr>
          <w:lang w:val="fr-BE"/>
        </w:rPr>
        <w:sectPr>
          <w:headerReference w:type="default" r:id="rId191"/>
          <w:footerReference w:type="default" r:id="rId192"/>
          <w:pgSz w:w="11906" w:h="16838"/>
          <w:pgMar w:top="1134" w:right="1134" w:bottom="1134" w:left="1134" w:header="709" w:footer="709" w:gutter="0"/>
          <w:cols w:space="708"/>
          <w:docGrid w:linePitch="360"/>
        </w:sectPr>
      </w:pPr>
    </w:p>
    <w:p>
      <w:pPr>
        <w:pStyle w:val="FIRSTCHAPTERPAGE"/>
        <w:rPr>
          <w:noProof/>
        </w:rPr>
      </w:pPr>
      <w:bookmarkStart w:id="358" w:name="_Toc237348414"/>
      <w:bookmarkStart w:id="359" w:name="_DMBM_36787"/>
      <w:r>
        <w:rPr>
          <w:noProof/>
        </w:rPr>
        <w:lastRenderedPageBreak/>
        <w:t>LISTE DES ABRÉVIATIONS</w:t>
      </w:r>
      <w:bookmarkEnd w:id="358"/>
      <w:r>
        <w:rPr>
          <w:noProof/>
        </w:rPr>
        <w:t xml:space="preserve"> </w:t>
      </w:r>
    </w:p>
    <w:tbl>
      <w:tblPr>
        <w:tblStyle w:val="TableGrid"/>
        <w:tblW w:w="0" w:type="auto"/>
        <w:tblBorders>
          <w:top w:val="none" w:sz="0" w:space="0" w:color="auto"/>
          <w:left w:val="none" w:sz="0" w:space="0" w:color="auto"/>
          <w:bottom w:val="none" w:sz="0" w:space="0" w:color="auto"/>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878"/>
        <w:gridCol w:w="7976"/>
      </w:tblGrid>
      <w:tr>
        <w:tc>
          <w:tcPr>
            <w:tcW w:w="1878" w:type="dxa"/>
          </w:tcPr>
          <w:p>
            <w:pPr>
              <w:pStyle w:val="DGTextstand-alone"/>
              <w:spacing w:before="0"/>
            </w:pPr>
            <w:r>
              <w:rPr>
                <w:color w:val="016794"/>
              </w:rPr>
              <w:t>7</w:t>
            </w:r>
            <w:r>
              <w:rPr>
                <w:color w:val="016794"/>
                <w:vertAlign w:val="superscript"/>
              </w:rPr>
              <w:t>e</w:t>
            </w:r>
            <w:r>
              <w:rPr>
                <w:color w:val="016794"/>
              </w:rPr>
              <w:t> PC</w:t>
            </w:r>
            <w:r>
              <w:t xml:space="preserve"> </w:t>
            </w:r>
          </w:p>
        </w:tc>
        <w:tc>
          <w:tcPr>
            <w:tcW w:w="7976" w:type="dxa"/>
          </w:tcPr>
          <w:p>
            <w:pPr>
              <w:pStyle w:val="DGTextstand-alone"/>
              <w:spacing w:before="0"/>
            </w:pPr>
            <w:r>
              <w:t>7</w:t>
            </w:r>
            <w:r>
              <w:rPr>
                <w:vertAlign w:val="superscript"/>
              </w:rPr>
              <w:t>e</w:t>
            </w:r>
            <w:r>
              <w:t> programme-cadre de recherche et de développement technologique</w:t>
            </w:r>
          </w:p>
        </w:tc>
      </w:tr>
      <w:tr>
        <w:tc>
          <w:tcPr>
            <w:tcW w:w="1878" w:type="dxa"/>
          </w:tcPr>
          <w:p>
            <w:pPr>
              <w:pStyle w:val="DGTextstand-alone"/>
              <w:spacing w:before="0"/>
              <w:jc w:val="left"/>
              <w:rPr>
                <w:color w:val="016794"/>
              </w:rPr>
            </w:pPr>
            <w:r>
              <w:rPr>
                <w:color w:val="016794"/>
              </w:rPr>
              <w:t>AC</w:t>
            </w:r>
          </w:p>
        </w:tc>
        <w:tc>
          <w:tcPr>
            <w:tcW w:w="7976" w:type="dxa"/>
          </w:tcPr>
          <w:p>
            <w:pPr>
              <w:pStyle w:val="DGTextstand-alone"/>
              <w:spacing w:before="0"/>
              <w:jc w:val="left"/>
            </w:pPr>
            <w:r>
              <w:t>Coût amorti</w:t>
            </w:r>
          </w:p>
        </w:tc>
      </w:tr>
      <w:tr>
        <w:tc>
          <w:tcPr>
            <w:tcW w:w="1878" w:type="dxa"/>
          </w:tcPr>
          <w:p>
            <w:pPr>
              <w:pStyle w:val="DGTextstand-alone"/>
              <w:spacing w:before="0"/>
            </w:pPr>
            <w:r>
              <w:rPr>
                <w:color w:val="016794"/>
              </w:rPr>
              <w:t>AELE</w:t>
            </w:r>
            <w:r>
              <w:t xml:space="preserve"> </w:t>
            </w:r>
          </w:p>
        </w:tc>
        <w:tc>
          <w:tcPr>
            <w:tcW w:w="7976" w:type="dxa"/>
          </w:tcPr>
          <w:p>
            <w:pPr>
              <w:pStyle w:val="DGTextstand-alone"/>
              <w:spacing w:before="0"/>
            </w:pPr>
            <w:r>
              <w:t>Association européenne de libre-échange</w:t>
            </w:r>
          </w:p>
        </w:tc>
      </w:tr>
      <w:tr>
        <w:tc>
          <w:tcPr>
            <w:tcW w:w="1878" w:type="dxa"/>
          </w:tcPr>
          <w:p>
            <w:pPr>
              <w:pStyle w:val="DGTextstand-alone"/>
              <w:spacing w:before="0"/>
              <w:rPr>
                <w:color w:val="016794"/>
              </w:rPr>
            </w:pPr>
            <w:r>
              <w:rPr>
                <w:color w:val="016794"/>
              </w:rPr>
              <w:t>AIRC</w:t>
            </w:r>
          </w:p>
        </w:tc>
        <w:tc>
          <w:tcPr>
            <w:tcW w:w="7976" w:type="dxa"/>
          </w:tcPr>
          <w:p>
            <w:pPr>
              <w:pStyle w:val="DGTextstand-alone"/>
              <w:spacing w:before="0"/>
              <w:rPr>
                <w:rFonts w:cs="DejaVuSansCondensed-Bold"/>
                <w:bCs/>
              </w:rPr>
            </w:pPr>
            <w:r>
              <w:t>Augmentation importante du risque de crédit</w:t>
            </w:r>
          </w:p>
        </w:tc>
      </w:tr>
      <w:tr>
        <w:tc>
          <w:tcPr>
            <w:tcW w:w="1878" w:type="dxa"/>
          </w:tcPr>
          <w:p>
            <w:pPr>
              <w:pStyle w:val="DGTextstand-alone"/>
              <w:spacing w:before="0"/>
              <w:rPr>
                <w:iCs/>
              </w:rPr>
            </w:pPr>
            <w:r>
              <w:rPr>
                <w:color w:val="016794"/>
              </w:rPr>
              <w:t>AMF</w:t>
            </w:r>
            <w:r>
              <w:t xml:space="preserve"> </w:t>
            </w:r>
          </w:p>
        </w:tc>
        <w:tc>
          <w:tcPr>
            <w:tcW w:w="7976" w:type="dxa"/>
          </w:tcPr>
          <w:p>
            <w:pPr>
              <w:pStyle w:val="DGTextstand-alone"/>
              <w:spacing w:before="0"/>
              <w:rPr>
                <w:iCs/>
              </w:rPr>
            </w:pPr>
            <w:r>
              <w:t>Assistance macrofinancière</w:t>
            </w:r>
          </w:p>
        </w:tc>
      </w:tr>
      <w:tr>
        <w:tc>
          <w:tcPr>
            <w:tcW w:w="1878" w:type="dxa"/>
          </w:tcPr>
          <w:p>
            <w:pPr>
              <w:pStyle w:val="DGTextstand-alone"/>
              <w:spacing w:before="0"/>
            </w:pPr>
            <w:r>
              <w:rPr>
                <w:color w:val="016794"/>
              </w:rPr>
              <w:t>AMIF</w:t>
            </w:r>
            <w:r>
              <w:t xml:space="preserve"> </w:t>
            </w:r>
          </w:p>
        </w:tc>
        <w:tc>
          <w:tcPr>
            <w:tcW w:w="7976" w:type="dxa"/>
          </w:tcPr>
          <w:p>
            <w:pPr>
              <w:pStyle w:val="DGTextstand-alone"/>
              <w:spacing w:before="0"/>
            </w:pPr>
            <w:r>
              <w:t>Fonds «Asile, migration et intégration»</w:t>
            </w:r>
          </w:p>
        </w:tc>
      </w:tr>
      <w:tr>
        <w:tc>
          <w:tcPr>
            <w:tcW w:w="1878" w:type="dxa"/>
          </w:tcPr>
          <w:p>
            <w:pPr>
              <w:pStyle w:val="DGTextstand-alone"/>
              <w:spacing w:before="0"/>
              <w:jc w:val="left"/>
              <w:rPr>
                <w:color w:val="016794"/>
              </w:rPr>
            </w:pPr>
            <w:r>
              <w:rPr>
                <w:color w:val="016794"/>
              </w:rPr>
              <w:t>ATM</w:t>
            </w:r>
          </w:p>
          <w:p>
            <w:pPr>
              <w:pStyle w:val="DGTextstand-alone"/>
              <w:spacing w:before="0"/>
              <w:jc w:val="left"/>
              <w:rPr>
                <w:color w:val="016794"/>
              </w:rPr>
            </w:pPr>
            <w:r>
              <w:rPr>
                <w:color w:val="016794"/>
              </w:rPr>
              <w:t>RAB</w:t>
            </w:r>
          </w:p>
        </w:tc>
        <w:tc>
          <w:tcPr>
            <w:tcW w:w="7976" w:type="dxa"/>
          </w:tcPr>
          <w:p>
            <w:pPr>
              <w:pStyle w:val="DGTextstand-alone"/>
              <w:spacing w:before="0"/>
              <w:jc w:val="left"/>
            </w:pPr>
            <w:r>
              <w:t>Gestion du trafic aérien</w:t>
            </w:r>
          </w:p>
          <w:p>
            <w:pPr>
              <w:pStyle w:val="DGTextstand-alone"/>
              <w:spacing w:before="0"/>
              <w:jc w:val="left"/>
              <w:rPr>
                <w:color w:val="016794"/>
              </w:rPr>
            </w:pPr>
            <w:r>
              <w:t>Réserve d’ajustement au Brexit</w:t>
            </w:r>
          </w:p>
        </w:tc>
      </w:tr>
      <w:tr>
        <w:tc>
          <w:tcPr>
            <w:tcW w:w="1878" w:type="dxa"/>
          </w:tcPr>
          <w:p>
            <w:pPr>
              <w:pStyle w:val="DGTextstand-alone"/>
              <w:spacing w:before="0"/>
              <w:jc w:val="left"/>
              <w:rPr>
                <w:color w:val="016794"/>
              </w:rPr>
            </w:pPr>
            <w:r>
              <w:rPr>
                <w:color w:val="016794"/>
              </w:rPr>
              <w:t xml:space="preserve">BCE </w:t>
            </w:r>
          </w:p>
        </w:tc>
        <w:tc>
          <w:tcPr>
            <w:tcW w:w="7976" w:type="dxa"/>
          </w:tcPr>
          <w:p>
            <w:pPr>
              <w:pStyle w:val="DGTextstand-alone"/>
              <w:spacing w:before="0"/>
              <w:jc w:val="left"/>
            </w:pPr>
            <w:r>
              <w:t>Banque centrale européenne</w:t>
            </w:r>
          </w:p>
        </w:tc>
      </w:tr>
      <w:tr>
        <w:tc>
          <w:tcPr>
            <w:tcW w:w="1878" w:type="dxa"/>
          </w:tcPr>
          <w:p>
            <w:pPr>
              <w:pStyle w:val="DGTextstand-alone"/>
              <w:spacing w:before="0"/>
              <w:jc w:val="left"/>
              <w:rPr>
                <w:color w:val="016794"/>
              </w:rPr>
            </w:pPr>
            <w:r>
              <w:rPr>
                <w:color w:val="016794"/>
              </w:rPr>
              <w:t>BDP</w:t>
            </w:r>
          </w:p>
        </w:tc>
        <w:tc>
          <w:tcPr>
            <w:tcW w:w="7976" w:type="dxa"/>
          </w:tcPr>
          <w:p>
            <w:pPr>
              <w:pStyle w:val="DGTextstand-alone"/>
              <w:spacing w:before="0"/>
              <w:jc w:val="left"/>
              <w:rPr>
                <w:color w:val="016794"/>
              </w:rPr>
            </w:pPr>
            <w:r>
              <w:t>Balance des paiements</w:t>
            </w:r>
          </w:p>
        </w:tc>
      </w:tr>
      <w:tr>
        <w:tc>
          <w:tcPr>
            <w:tcW w:w="1878" w:type="dxa"/>
          </w:tcPr>
          <w:p>
            <w:pPr>
              <w:pStyle w:val="DGTextstand-alone"/>
              <w:spacing w:before="0"/>
            </w:pPr>
            <w:r>
              <w:rPr>
                <w:color w:val="016794"/>
              </w:rPr>
              <w:t>BEI</w:t>
            </w:r>
            <w:r>
              <w:t xml:space="preserve"> </w:t>
            </w:r>
          </w:p>
        </w:tc>
        <w:tc>
          <w:tcPr>
            <w:tcW w:w="7976" w:type="dxa"/>
          </w:tcPr>
          <w:p>
            <w:pPr>
              <w:pStyle w:val="DGTextstand-alone"/>
              <w:spacing w:before="0"/>
            </w:pPr>
            <w:r>
              <w:t>Banque européenne d’investissement</w:t>
            </w:r>
          </w:p>
        </w:tc>
      </w:tr>
      <w:tr>
        <w:tc>
          <w:tcPr>
            <w:tcW w:w="1878" w:type="dxa"/>
          </w:tcPr>
          <w:p>
            <w:pPr>
              <w:pStyle w:val="DGTextstand-alone"/>
              <w:spacing w:before="0"/>
              <w:jc w:val="left"/>
              <w:rPr>
                <w:color w:val="016794"/>
              </w:rPr>
            </w:pPr>
            <w:r>
              <w:rPr>
                <w:color w:val="016794"/>
              </w:rPr>
              <w:t>BERD</w:t>
            </w:r>
          </w:p>
        </w:tc>
        <w:tc>
          <w:tcPr>
            <w:tcW w:w="7976" w:type="dxa"/>
          </w:tcPr>
          <w:p>
            <w:pPr>
              <w:pStyle w:val="DGTextstand-alone"/>
              <w:spacing w:before="0"/>
              <w:jc w:val="left"/>
            </w:pPr>
            <w:r>
              <w:t>Banque européenne pour la reconstruction et le développement</w:t>
            </w:r>
          </w:p>
        </w:tc>
      </w:tr>
      <w:tr>
        <w:tc>
          <w:tcPr>
            <w:tcW w:w="1878" w:type="dxa"/>
          </w:tcPr>
          <w:p>
            <w:pPr>
              <w:pStyle w:val="DGTextstand-alone"/>
              <w:spacing w:before="0"/>
              <w:jc w:val="left"/>
              <w:rPr>
                <w:color w:val="016794"/>
              </w:rPr>
            </w:pPr>
            <w:r>
              <w:rPr>
                <w:color w:val="016794"/>
              </w:rPr>
              <w:t>CCE</w:t>
            </w:r>
          </w:p>
        </w:tc>
        <w:tc>
          <w:tcPr>
            <w:tcW w:w="7976" w:type="dxa"/>
          </w:tcPr>
          <w:p>
            <w:pPr>
              <w:pStyle w:val="DGTextstand-alone"/>
              <w:spacing w:before="0"/>
              <w:jc w:val="left"/>
            </w:pPr>
            <w:r>
              <w:t>Cour des comptes européenne</w:t>
            </w:r>
          </w:p>
        </w:tc>
      </w:tr>
      <w:tr>
        <w:tc>
          <w:tcPr>
            <w:tcW w:w="1878" w:type="dxa"/>
          </w:tcPr>
          <w:p>
            <w:pPr>
              <w:pStyle w:val="DGTextstand-alone"/>
              <w:spacing w:before="0"/>
              <w:jc w:val="left"/>
              <w:rPr>
                <w:color w:val="016794"/>
              </w:rPr>
            </w:pPr>
            <w:r>
              <w:rPr>
                <w:color w:val="016794"/>
              </w:rPr>
              <w:t>CCS LGF</w:t>
            </w:r>
          </w:p>
        </w:tc>
        <w:tc>
          <w:tcPr>
            <w:tcW w:w="7976" w:type="dxa"/>
          </w:tcPr>
          <w:p>
            <w:pPr>
              <w:pStyle w:val="DGTextstand-alone"/>
              <w:spacing w:before="0"/>
              <w:jc w:val="left"/>
              <w:rPr>
                <w:color w:val="016794"/>
              </w:rPr>
            </w:pPr>
            <w:r>
              <w:t>Mécanisme de garantie en faveur des secteurs de la culture et de la création</w:t>
            </w:r>
          </w:p>
        </w:tc>
      </w:tr>
      <w:tr>
        <w:tc>
          <w:tcPr>
            <w:tcW w:w="1878" w:type="dxa"/>
          </w:tcPr>
          <w:p>
            <w:pPr>
              <w:pStyle w:val="DGTextstand-alone"/>
              <w:spacing w:before="0"/>
              <w:jc w:val="left"/>
              <w:rPr>
                <w:color w:val="016794"/>
              </w:rPr>
            </w:pPr>
            <w:r>
              <w:rPr>
                <w:color w:val="016794"/>
              </w:rPr>
              <w:t>CECA en liq.</w:t>
            </w:r>
            <w:r>
              <w:t xml:space="preserve"> </w:t>
            </w:r>
          </w:p>
        </w:tc>
        <w:tc>
          <w:tcPr>
            <w:tcW w:w="7976" w:type="dxa"/>
          </w:tcPr>
          <w:p>
            <w:pPr>
              <w:pStyle w:val="DGTextstand-alone"/>
              <w:spacing w:before="0"/>
              <w:jc w:val="left"/>
            </w:pPr>
            <w:r>
              <w:t>Communauté européenne du charbon et de l’acier en liquidation</w:t>
            </w:r>
          </w:p>
        </w:tc>
      </w:tr>
      <w:tr>
        <w:tc>
          <w:tcPr>
            <w:tcW w:w="1878" w:type="dxa"/>
          </w:tcPr>
          <w:p>
            <w:pPr>
              <w:pStyle w:val="DGTextstand-alone"/>
              <w:spacing w:before="0"/>
              <w:jc w:val="left"/>
              <w:rPr>
                <w:color w:val="016794"/>
              </w:rPr>
            </w:pPr>
            <w:r>
              <w:rPr>
                <w:color w:val="016794"/>
              </w:rPr>
              <w:t>CEF DI</w:t>
            </w:r>
          </w:p>
        </w:tc>
        <w:tc>
          <w:tcPr>
            <w:tcW w:w="7976" w:type="dxa"/>
          </w:tcPr>
          <w:p>
            <w:pPr>
              <w:pStyle w:val="DGTextstand-alone"/>
              <w:spacing w:before="0"/>
              <w:jc w:val="left"/>
              <w:rPr>
                <w:color w:val="016794"/>
              </w:rPr>
            </w:pPr>
            <w:r>
              <w:t>Instrument de prêt du mécanisme pour l’interconnexion en Europe</w:t>
            </w:r>
          </w:p>
        </w:tc>
      </w:tr>
      <w:tr>
        <w:tc>
          <w:tcPr>
            <w:tcW w:w="1878" w:type="dxa"/>
          </w:tcPr>
          <w:p>
            <w:pPr>
              <w:pStyle w:val="DGTextstand-alone"/>
              <w:spacing w:before="0"/>
              <w:jc w:val="left"/>
              <w:rPr>
                <w:color w:val="016794"/>
              </w:rPr>
            </w:pPr>
            <w:r>
              <w:rPr>
                <w:color w:val="016794"/>
              </w:rPr>
              <w:t>CEF2</w:t>
            </w:r>
          </w:p>
        </w:tc>
        <w:tc>
          <w:tcPr>
            <w:tcW w:w="7976" w:type="dxa"/>
          </w:tcPr>
          <w:p>
            <w:pPr>
              <w:pStyle w:val="DGTextstand-alone"/>
              <w:spacing w:before="0"/>
              <w:jc w:val="left"/>
              <w:rPr>
                <w:color w:val="016794"/>
              </w:rPr>
            </w:pPr>
            <w:r>
              <w:t>Mécanisme pour l’interconnexion en Europe</w:t>
            </w:r>
          </w:p>
        </w:tc>
      </w:tr>
      <w:tr>
        <w:tc>
          <w:tcPr>
            <w:tcW w:w="1878" w:type="dxa"/>
          </w:tcPr>
          <w:p>
            <w:pPr>
              <w:pStyle w:val="DGTextstand-alone"/>
              <w:spacing w:before="0"/>
            </w:pPr>
            <w:r>
              <w:rPr>
                <w:color w:val="016794"/>
              </w:rPr>
              <w:t>CFP</w:t>
            </w:r>
            <w:r>
              <w:t xml:space="preserve"> </w:t>
            </w:r>
          </w:p>
        </w:tc>
        <w:tc>
          <w:tcPr>
            <w:tcW w:w="7976" w:type="dxa"/>
          </w:tcPr>
          <w:p>
            <w:pPr>
              <w:pStyle w:val="DGTextstand-alone"/>
              <w:spacing w:before="0"/>
            </w:pPr>
            <w:r>
              <w:t>Cadre financier pluriannuel</w:t>
            </w:r>
          </w:p>
        </w:tc>
      </w:tr>
      <w:tr>
        <w:tc>
          <w:tcPr>
            <w:tcW w:w="1878" w:type="dxa"/>
          </w:tcPr>
          <w:p>
            <w:pPr>
              <w:pStyle w:val="DGTextstand-alone"/>
              <w:spacing w:before="0"/>
              <w:jc w:val="left"/>
              <w:rPr>
                <w:color w:val="016794"/>
              </w:rPr>
            </w:pPr>
            <w:r>
              <w:rPr>
                <w:color w:val="016794"/>
              </w:rPr>
              <w:t>CGF</w:t>
            </w:r>
          </w:p>
        </w:tc>
        <w:tc>
          <w:tcPr>
            <w:tcW w:w="7976" w:type="dxa"/>
          </w:tcPr>
          <w:p>
            <w:pPr>
              <w:pStyle w:val="DGTextstand-alone"/>
              <w:spacing w:before="0"/>
              <w:jc w:val="left"/>
            </w:pPr>
            <w:r>
              <w:t>Contrat de garantie financière</w:t>
            </w:r>
          </w:p>
        </w:tc>
      </w:tr>
      <w:tr>
        <w:tc>
          <w:tcPr>
            <w:tcW w:w="1878" w:type="dxa"/>
          </w:tcPr>
          <w:p>
            <w:pPr>
              <w:pStyle w:val="DGTextstand-alone"/>
              <w:spacing w:before="0"/>
              <w:jc w:val="left"/>
              <w:rPr>
                <w:color w:val="016794"/>
              </w:rPr>
            </w:pPr>
            <w:r>
              <w:rPr>
                <w:color w:val="016794"/>
              </w:rPr>
              <w:t>COM</w:t>
            </w:r>
          </w:p>
        </w:tc>
        <w:tc>
          <w:tcPr>
            <w:tcW w:w="7976" w:type="dxa"/>
          </w:tcPr>
          <w:p>
            <w:pPr>
              <w:pStyle w:val="DGTextstand-alone"/>
              <w:spacing w:before="0"/>
              <w:jc w:val="left"/>
              <w:rPr>
                <w:color w:val="016794"/>
              </w:rPr>
            </w:pPr>
            <w:r>
              <w:t>Commission européenne</w:t>
            </w:r>
          </w:p>
        </w:tc>
      </w:tr>
      <w:tr>
        <w:tc>
          <w:tcPr>
            <w:tcW w:w="1878" w:type="dxa"/>
          </w:tcPr>
          <w:p>
            <w:pPr>
              <w:pStyle w:val="DGTextstand-alone"/>
              <w:spacing w:before="0"/>
              <w:jc w:val="left"/>
              <w:rPr>
                <w:color w:val="016794"/>
              </w:rPr>
            </w:pPr>
            <w:r>
              <w:rPr>
                <w:color w:val="016794"/>
              </w:rPr>
              <w:t>COSME</w:t>
            </w:r>
          </w:p>
        </w:tc>
        <w:tc>
          <w:tcPr>
            <w:tcW w:w="7976" w:type="dxa"/>
          </w:tcPr>
          <w:p>
            <w:pPr>
              <w:pStyle w:val="DGTextstand-alone"/>
              <w:spacing w:before="0"/>
              <w:jc w:val="left"/>
              <w:rPr>
                <w:color w:val="016794"/>
              </w:rPr>
            </w:pPr>
            <w:r>
              <w:t>Programme pour la compétitivité des entreprises et des petites et moyennes entreprises</w:t>
            </w:r>
          </w:p>
        </w:tc>
      </w:tr>
      <w:tr>
        <w:tc>
          <w:tcPr>
            <w:tcW w:w="1878" w:type="dxa"/>
          </w:tcPr>
          <w:p>
            <w:pPr>
              <w:pStyle w:val="DGTextstand-alone"/>
              <w:spacing w:before="0"/>
              <w:jc w:val="left"/>
              <w:rPr>
                <w:color w:val="016794"/>
              </w:rPr>
            </w:pPr>
            <w:r>
              <w:rPr>
                <w:color w:val="016794"/>
              </w:rPr>
              <w:t>COSO</w:t>
            </w:r>
            <w:r>
              <w:tab/>
            </w:r>
          </w:p>
        </w:tc>
        <w:tc>
          <w:tcPr>
            <w:tcW w:w="7976" w:type="dxa"/>
          </w:tcPr>
          <w:p>
            <w:pPr>
              <w:pStyle w:val="DGTextstand-alone"/>
              <w:spacing w:before="0"/>
              <w:jc w:val="left"/>
              <w:rPr>
                <w:color w:val="016794"/>
                <w:lang w:val="en-IE"/>
              </w:rPr>
            </w:pPr>
            <w:r>
              <w:rPr>
                <w:i/>
                <w:lang w:val="en-IE"/>
              </w:rPr>
              <w:t>Committee of Sponsoring Organizations of the Treadway Commission</w:t>
            </w:r>
          </w:p>
        </w:tc>
      </w:tr>
      <w:tr>
        <w:tc>
          <w:tcPr>
            <w:tcW w:w="1878" w:type="dxa"/>
          </w:tcPr>
          <w:p>
            <w:pPr>
              <w:pStyle w:val="DGTextstand-alone"/>
              <w:spacing w:before="0"/>
              <w:jc w:val="left"/>
              <w:rPr>
                <w:color w:val="016794"/>
              </w:rPr>
            </w:pPr>
            <w:r>
              <w:rPr>
                <w:color w:val="016794"/>
              </w:rPr>
              <w:t>CRII+</w:t>
            </w:r>
          </w:p>
        </w:tc>
        <w:tc>
          <w:tcPr>
            <w:tcW w:w="7976" w:type="dxa"/>
          </w:tcPr>
          <w:p>
            <w:pPr>
              <w:pStyle w:val="DGTextstand-alone"/>
              <w:spacing w:before="0"/>
              <w:jc w:val="left"/>
            </w:pPr>
            <w:r>
              <w:t>Initiative d’investissement+ en réaction au coronavirus</w:t>
            </w:r>
          </w:p>
        </w:tc>
      </w:tr>
      <w:tr>
        <w:tc>
          <w:tcPr>
            <w:tcW w:w="1878" w:type="dxa"/>
          </w:tcPr>
          <w:p>
            <w:pPr>
              <w:pStyle w:val="DGTextstand-alone"/>
              <w:spacing w:before="0"/>
              <w:jc w:val="left"/>
              <w:rPr>
                <w:color w:val="016794"/>
              </w:rPr>
            </w:pPr>
            <w:r>
              <w:rPr>
                <w:color w:val="016794"/>
              </w:rPr>
              <w:t>CRO</w:t>
            </w:r>
          </w:p>
        </w:tc>
        <w:tc>
          <w:tcPr>
            <w:tcW w:w="7976" w:type="dxa"/>
          </w:tcPr>
          <w:p>
            <w:pPr>
              <w:pStyle w:val="DGTextstand-alone"/>
              <w:spacing w:before="0"/>
              <w:jc w:val="left"/>
            </w:pPr>
            <w:r>
              <w:t>Directeur des risques (Chief Risk Officer)</w:t>
            </w:r>
          </w:p>
        </w:tc>
      </w:tr>
      <w:tr>
        <w:tc>
          <w:tcPr>
            <w:tcW w:w="1878" w:type="dxa"/>
          </w:tcPr>
          <w:p>
            <w:pPr>
              <w:pStyle w:val="DGTextstand-alone"/>
              <w:spacing w:before="0"/>
              <w:jc w:val="left"/>
              <w:rPr>
                <w:color w:val="016794"/>
              </w:rPr>
            </w:pPr>
            <w:r>
              <w:rPr>
                <w:color w:val="016794"/>
              </w:rPr>
              <w:t>D&amp;WM</w:t>
            </w:r>
          </w:p>
        </w:tc>
        <w:tc>
          <w:tcPr>
            <w:tcW w:w="7976" w:type="dxa"/>
          </w:tcPr>
          <w:p>
            <w:pPr>
              <w:pStyle w:val="DGTextstand-alone"/>
              <w:spacing w:before="0"/>
              <w:jc w:val="left"/>
            </w:pPr>
            <w:r>
              <w:t>Démantèlement et gestion des déchets</w:t>
            </w:r>
          </w:p>
        </w:tc>
      </w:tr>
      <w:tr>
        <w:tc>
          <w:tcPr>
            <w:tcW w:w="1878" w:type="dxa"/>
          </w:tcPr>
          <w:p>
            <w:pPr>
              <w:pStyle w:val="DGTextstand-alone"/>
              <w:spacing w:before="0"/>
              <w:jc w:val="left"/>
              <w:rPr>
                <w:color w:val="016794"/>
              </w:rPr>
            </w:pPr>
            <w:r>
              <w:rPr>
                <w:color w:val="016794"/>
              </w:rPr>
              <w:t>DAV</w:t>
            </w:r>
          </w:p>
        </w:tc>
        <w:tc>
          <w:tcPr>
            <w:tcW w:w="7976" w:type="dxa"/>
          </w:tcPr>
          <w:p>
            <w:pPr>
              <w:pStyle w:val="DGTextstand-alone"/>
              <w:spacing w:before="0"/>
              <w:jc w:val="left"/>
            </w:pPr>
            <w:r>
              <w:t>Disponible à la vente</w:t>
            </w:r>
          </w:p>
        </w:tc>
      </w:tr>
      <w:tr>
        <w:tc>
          <w:tcPr>
            <w:tcW w:w="1878" w:type="dxa"/>
          </w:tcPr>
          <w:p>
            <w:pPr>
              <w:pStyle w:val="DGTextstand-alone"/>
              <w:spacing w:before="0"/>
            </w:pPr>
            <w:r>
              <w:rPr>
                <w:color w:val="016794"/>
              </w:rPr>
              <w:t>DRP</w:t>
            </w:r>
            <w:r>
              <w:t xml:space="preserve"> </w:t>
            </w:r>
          </w:p>
        </w:tc>
        <w:tc>
          <w:tcPr>
            <w:tcW w:w="7976" w:type="dxa"/>
          </w:tcPr>
          <w:p>
            <w:pPr>
              <w:pStyle w:val="DGTextstand-alone"/>
              <w:spacing w:before="0"/>
            </w:pPr>
            <w:r>
              <w:t>Décision relative aux ressources propres</w:t>
            </w:r>
          </w:p>
        </w:tc>
      </w:tr>
      <w:tr>
        <w:tc>
          <w:tcPr>
            <w:tcW w:w="1878" w:type="dxa"/>
          </w:tcPr>
          <w:p>
            <w:pPr>
              <w:pStyle w:val="DGTextstand-alone"/>
              <w:spacing w:before="0"/>
              <w:jc w:val="left"/>
              <w:rPr>
                <w:color w:val="016794"/>
              </w:rPr>
            </w:pPr>
            <w:r>
              <w:rPr>
                <w:color w:val="016794"/>
              </w:rPr>
              <w:t>EAR</w:t>
            </w:r>
          </w:p>
        </w:tc>
        <w:tc>
          <w:tcPr>
            <w:tcW w:w="7976" w:type="dxa"/>
          </w:tcPr>
          <w:p>
            <w:pPr>
              <w:pStyle w:val="DGTextstand-alone"/>
              <w:spacing w:before="0"/>
              <w:jc w:val="left"/>
            </w:pPr>
            <w:r>
              <w:t>Règle comptable de l’Union européenne</w:t>
            </w:r>
          </w:p>
        </w:tc>
      </w:tr>
      <w:tr>
        <w:tc>
          <w:tcPr>
            <w:tcW w:w="1878" w:type="dxa"/>
          </w:tcPr>
          <w:p>
            <w:pPr>
              <w:pStyle w:val="DGTextstand-alone"/>
              <w:spacing w:before="0"/>
              <w:jc w:val="left"/>
              <w:rPr>
                <w:color w:val="016794"/>
              </w:rPr>
            </w:pPr>
            <w:r>
              <w:rPr>
                <w:color w:val="016794"/>
              </w:rPr>
              <w:lastRenderedPageBreak/>
              <w:t>EaSI</w:t>
            </w:r>
          </w:p>
        </w:tc>
        <w:tc>
          <w:tcPr>
            <w:tcW w:w="7976" w:type="dxa"/>
          </w:tcPr>
          <w:p>
            <w:pPr>
              <w:pStyle w:val="DGTextstand-alone"/>
              <w:spacing w:before="0"/>
              <w:jc w:val="left"/>
            </w:pPr>
            <w:r>
              <w:t>Emploi et innovation sociale</w:t>
            </w:r>
          </w:p>
        </w:tc>
      </w:tr>
      <w:tr>
        <w:tc>
          <w:tcPr>
            <w:tcW w:w="1878" w:type="dxa"/>
          </w:tcPr>
          <w:p>
            <w:pPr>
              <w:pStyle w:val="DGTextstand-alone"/>
              <w:spacing w:before="0"/>
              <w:jc w:val="left"/>
              <w:rPr>
                <w:color w:val="016794"/>
              </w:rPr>
            </w:pPr>
            <w:r>
              <w:rPr>
                <w:color w:val="016794"/>
              </w:rPr>
              <w:t>ECD</w:t>
            </w:r>
          </w:p>
        </w:tc>
        <w:tc>
          <w:tcPr>
            <w:tcW w:w="7976" w:type="dxa"/>
          </w:tcPr>
          <w:p>
            <w:pPr>
              <w:pStyle w:val="DGTextstand-alone"/>
              <w:spacing w:before="0"/>
              <w:jc w:val="left"/>
            </w:pPr>
            <w:r>
              <w:t>Exposition en cas de défaillance</w:t>
            </w:r>
          </w:p>
        </w:tc>
      </w:tr>
      <w:tr>
        <w:tc>
          <w:tcPr>
            <w:tcW w:w="1878" w:type="dxa"/>
          </w:tcPr>
          <w:p>
            <w:pPr>
              <w:pStyle w:val="DGTextstand-alone"/>
              <w:spacing w:before="0"/>
              <w:jc w:val="left"/>
              <w:rPr>
                <w:color w:val="016794"/>
              </w:rPr>
            </w:pPr>
            <w:r>
              <w:rPr>
                <w:color w:val="016794"/>
              </w:rPr>
              <w:t>Ecofin</w:t>
            </w:r>
          </w:p>
        </w:tc>
        <w:tc>
          <w:tcPr>
            <w:tcW w:w="7976" w:type="dxa"/>
          </w:tcPr>
          <w:p>
            <w:pPr>
              <w:pStyle w:val="DGTextstand-alone"/>
              <w:spacing w:before="0"/>
              <w:jc w:val="left"/>
            </w:pPr>
            <w:r>
              <w:t>Conseil «Affaires économiques et financières»</w:t>
            </w:r>
          </w:p>
        </w:tc>
      </w:tr>
      <w:tr>
        <w:tc>
          <w:tcPr>
            <w:tcW w:w="1878" w:type="dxa"/>
          </w:tcPr>
          <w:p>
            <w:pPr>
              <w:pStyle w:val="DGTextstand-alone"/>
              <w:spacing w:before="0"/>
              <w:jc w:val="left"/>
              <w:rPr>
                <w:color w:val="016794"/>
              </w:rPr>
            </w:pPr>
            <w:r>
              <w:rPr>
                <w:color w:val="016794"/>
              </w:rPr>
              <w:t>EDIF</w:t>
            </w:r>
          </w:p>
        </w:tc>
        <w:tc>
          <w:tcPr>
            <w:tcW w:w="7976" w:type="dxa"/>
          </w:tcPr>
          <w:p>
            <w:pPr>
              <w:pStyle w:val="DGTextstand-alone"/>
              <w:spacing w:before="0"/>
              <w:jc w:val="left"/>
            </w:pPr>
            <w:r>
              <w:t>Mécanisme de garantie dans les Balkans occidentaux</w:t>
            </w:r>
          </w:p>
        </w:tc>
      </w:tr>
      <w:tr>
        <w:tc>
          <w:tcPr>
            <w:tcW w:w="1878" w:type="dxa"/>
          </w:tcPr>
          <w:p>
            <w:pPr>
              <w:pStyle w:val="DGTextstand-alone"/>
              <w:spacing w:before="0"/>
              <w:jc w:val="left"/>
              <w:rPr>
                <w:color w:val="016794"/>
              </w:rPr>
            </w:pPr>
            <w:r>
              <w:rPr>
                <w:color w:val="016794"/>
              </w:rPr>
              <w:t>EEE</w:t>
            </w:r>
          </w:p>
        </w:tc>
        <w:tc>
          <w:tcPr>
            <w:tcW w:w="7976" w:type="dxa"/>
          </w:tcPr>
          <w:p>
            <w:pPr>
              <w:pStyle w:val="DGTextstand-alone"/>
              <w:spacing w:before="0"/>
              <w:jc w:val="left"/>
            </w:pPr>
            <w:r>
              <w:t>Espace économique européen</w:t>
            </w:r>
          </w:p>
        </w:tc>
      </w:tr>
      <w:tr>
        <w:tc>
          <w:tcPr>
            <w:tcW w:w="1878" w:type="dxa"/>
          </w:tcPr>
          <w:p>
            <w:pPr>
              <w:pStyle w:val="DGTextstand-alone"/>
              <w:spacing w:before="0"/>
            </w:pPr>
            <w:r>
              <w:rPr>
                <w:color w:val="016794"/>
              </w:rPr>
              <w:t>EFSI</w:t>
            </w:r>
          </w:p>
        </w:tc>
        <w:tc>
          <w:tcPr>
            <w:tcW w:w="7976" w:type="dxa"/>
          </w:tcPr>
          <w:p>
            <w:pPr>
              <w:pStyle w:val="DGTextstand-alone"/>
              <w:spacing w:before="0"/>
            </w:pPr>
            <w:r>
              <w:t>Fonds européen pour les investissements stratégiques</w:t>
            </w:r>
          </w:p>
        </w:tc>
      </w:tr>
      <w:tr>
        <w:tc>
          <w:tcPr>
            <w:tcW w:w="1878" w:type="dxa"/>
          </w:tcPr>
          <w:p>
            <w:pPr>
              <w:pStyle w:val="DGTextstand-alone"/>
              <w:spacing w:before="0"/>
            </w:pPr>
            <w:r>
              <w:rPr>
                <w:color w:val="016794"/>
              </w:rPr>
              <w:t>EGNOS</w:t>
            </w:r>
            <w:r>
              <w:t xml:space="preserve"> </w:t>
            </w:r>
          </w:p>
        </w:tc>
        <w:tc>
          <w:tcPr>
            <w:tcW w:w="7976" w:type="dxa"/>
          </w:tcPr>
          <w:p>
            <w:pPr>
              <w:pStyle w:val="DGTextstand-alone"/>
              <w:spacing w:before="0"/>
            </w:pPr>
            <w:r>
              <w:t>Système européen de navigation par recouvrement géostationnaire</w:t>
            </w:r>
          </w:p>
        </w:tc>
      </w:tr>
      <w:tr>
        <w:tc>
          <w:tcPr>
            <w:tcW w:w="1878" w:type="dxa"/>
          </w:tcPr>
          <w:p>
            <w:pPr>
              <w:pStyle w:val="DGTextstand-alone"/>
              <w:spacing w:before="0"/>
            </w:pPr>
            <w:r>
              <w:rPr>
                <w:color w:val="016794"/>
              </w:rPr>
              <w:t>ElectriFI</w:t>
            </w:r>
          </w:p>
        </w:tc>
        <w:tc>
          <w:tcPr>
            <w:tcW w:w="7976" w:type="dxa"/>
          </w:tcPr>
          <w:p>
            <w:pPr>
              <w:pStyle w:val="DGTextstand-alone"/>
              <w:spacing w:before="0"/>
              <w:rPr>
                <w:b/>
              </w:rPr>
            </w:pPr>
            <w:r>
              <w:t>Initiative de financement de l’électrification (</w:t>
            </w:r>
            <w:r>
              <w:rPr>
                <w:i/>
              </w:rPr>
              <w:t>Electrification Financing Initiative</w:t>
            </w:r>
            <w:r>
              <w:t>)</w:t>
            </w:r>
            <w:r>
              <w:rPr>
                <w:rStyle w:val="st1"/>
              </w:rPr>
              <w:t xml:space="preserve"> </w:t>
            </w:r>
          </w:p>
        </w:tc>
      </w:tr>
      <w:tr>
        <w:tc>
          <w:tcPr>
            <w:tcW w:w="1878" w:type="dxa"/>
          </w:tcPr>
          <w:p>
            <w:pPr>
              <w:pStyle w:val="DGTextstand-alone"/>
              <w:spacing w:before="0"/>
            </w:pPr>
            <w:r>
              <w:rPr>
                <w:color w:val="016794"/>
              </w:rPr>
              <w:t>ENEF</w:t>
            </w:r>
            <w:r>
              <w:t xml:space="preserve"> </w:t>
            </w:r>
          </w:p>
        </w:tc>
        <w:tc>
          <w:tcPr>
            <w:tcW w:w="7976" w:type="dxa"/>
          </w:tcPr>
          <w:p>
            <w:pPr>
              <w:pStyle w:val="DGTextstand-alone"/>
              <w:spacing w:before="0"/>
            </w:pPr>
            <w:r>
              <w:t>Fonds pour le développement des entreprises</w:t>
            </w:r>
          </w:p>
        </w:tc>
      </w:tr>
      <w:tr>
        <w:tc>
          <w:tcPr>
            <w:tcW w:w="1878" w:type="dxa"/>
          </w:tcPr>
          <w:p>
            <w:pPr>
              <w:pStyle w:val="DGTextstand-alone"/>
              <w:spacing w:before="0"/>
            </w:pPr>
            <w:r>
              <w:rPr>
                <w:color w:val="016794"/>
              </w:rPr>
              <w:t>ENIF</w:t>
            </w:r>
            <w:r>
              <w:t xml:space="preserve"> </w:t>
            </w:r>
          </w:p>
        </w:tc>
        <w:tc>
          <w:tcPr>
            <w:tcW w:w="7976" w:type="dxa"/>
          </w:tcPr>
          <w:p>
            <w:pPr>
              <w:pStyle w:val="DGTextstand-alone"/>
              <w:spacing w:before="0"/>
            </w:pPr>
            <w:r>
              <w:t>Fonds pour l’innovation des entreprises</w:t>
            </w:r>
          </w:p>
        </w:tc>
      </w:tr>
      <w:tr>
        <w:tc>
          <w:tcPr>
            <w:tcW w:w="1878" w:type="dxa"/>
          </w:tcPr>
          <w:p>
            <w:pPr>
              <w:pStyle w:val="DGTextstand-alone"/>
              <w:spacing w:before="0"/>
            </w:pPr>
            <w:r>
              <w:rPr>
                <w:color w:val="016794"/>
              </w:rPr>
              <w:t>Eumetsat</w:t>
            </w:r>
            <w:r>
              <w:t xml:space="preserve"> </w:t>
            </w:r>
          </w:p>
        </w:tc>
        <w:tc>
          <w:tcPr>
            <w:tcW w:w="7976" w:type="dxa"/>
          </w:tcPr>
          <w:p>
            <w:pPr>
              <w:pStyle w:val="DGTextstand-alone"/>
              <w:spacing w:before="0"/>
              <w:rPr>
                <w:highlight w:val="yellow"/>
              </w:rPr>
            </w:pPr>
            <w:r>
              <w:t>Organisation européenne pour l’exploitation de satellites météorologiques</w:t>
            </w:r>
          </w:p>
        </w:tc>
      </w:tr>
      <w:tr>
        <w:tc>
          <w:tcPr>
            <w:tcW w:w="1878" w:type="dxa"/>
          </w:tcPr>
          <w:p>
            <w:pPr>
              <w:pStyle w:val="DGTextstand-alone"/>
              <w:spacing w:before="0"/>
            </w:pPr>
            <w:r>
              <w:rPr>
                <w:color w:val="016794"/>
              </w:rPr>
              <w:t>Euratom</w:t>
            </w:r>
          </w:p>
        </w:tc>
        <w:tc>
          <w:tcPr>
            <w:tcW w:w="7976" w:type="dxa"/>
          </w:tcPr>
          <w:p>
            <w:pPr>
              <w:pStyle w:val="DGTextstand-alone"/>
              <w:spacing w:before="0"/>
            </w:pPr>
            <w:r>
              <w:t>Communauté européenne de l’énergie atomique</w:t>
            </w:r>
          </w:p>
        </w:tc>
      </w:tr>
      <w:tr>
        <w:tc>
          <w:tcPr>
            <w:tcW w:w="1878" w:type="dxa"/>
          </w:tcPr>
          <w:p>
            <w:pPr>
              <w:pStyle w:val="DGTextstand-alone"/>
              <w:spacing w:before="0"/>
              <w:jc w:val="left"/>
              <w:rPr>
                <w:color w:val="016794"/>
              </w:rPr>
            </w:pPr>
            <w:r>
              <w:rPr>
                <w:color w:val="016794"/>
              </w:rPr>
              <w:t>FC</w:t>
            </w:r>
          </w:p>
        </w:tc>
        <w:tc>
          <w:tcPr>
            <w:tcW w:w="7976" w:type="dxa"/>
          </w:tcPr>
          <w:p>
            <w:pPr>
              <w:pStyle w:val="DGTextstand-alone"/>
              <w:spacing w:before="0"/>
              <w:jc w:val="left"/>
              <w:rPr>
                <w:color w:val="016794"/>
              </w:rPr>
            </w:pPr>
            <w:r>
              <w:t>Fonds de cohésion</w:t>
            </w:r>
          </w:p>
        </w:tc>
      </w:tr>
      <w:tr>
        <w:tc>
          <w:tcPr>
            <w:tcW w:w="1878" w:type="dxa"/>
          </w:tcPr>
          <w:p>
            <w:pPr>
              <w:pStyle w:val="DGTextstand-alone"/>
              <w:spacing w:before="0"/>
              <w:jc w:val="left"/>
              <w:rPr>
                <w:color w:val="016794"/>
              </w:rPr>
            </w:pPr>
            <w:r>
              <w:rPr>
                <w:color w:val="016794"/>
              </w:rPr>
              <w:t>FCP</w:t>
            </w:r>
          </w:p>
        </w:tc>
        <w:tc>
          <w:tcPr>
            <w:tcW w:w="7976" w:type="dxa"/>
          </w:tcPr>
          <w:p>
            <w:pPr>
              <w:pStyle w:val="DGTextstand-alone"/>
              <w:spacing w:before="0"/>
              <w:jc w:val="left"/>
            </w:pPr>
            <w:r>
              <w:rPr>
                <w:color w:val="000000"/>
              </w:rPr>
              <w:t>Fonds commun de provisionnement</w:t>
            </w:r>
          </w:p>
        </w:tc>
      </w:tr>
      <w:tr>
        <w:tc>
          <w:tcPr>
            <w:tcW w:w="1878" w:type="dxa"/>
          </w:tcPr>
          <w:p>
            <w:pPr>
              <w:pStyle w:val="DGTextstand-alone"/>
              <w:spacing w:before="0"/>
              <w:jc w:val="left"/>
              <w:rPr>
                <w:color w:val="016794"/>
              </w:rPr>
            </w:pPr>
            <w:r>
              <w:rPr>
                <w:color w:val="016794"/>
              </w:rPr>
              <w:t>Feader</w:t>
            </w:r>
          </w:p>
        </w:tc>
        <w:tc>
          <w:tcPr>
            <w:tcW w:w="7976" w:type="dxa"/>
          </w:tcPr>
          <w:p>
            <w:pPr>
              <w:pStyle w:val="DGTextstand-alone"/>
              <w:spacing w:before="0"/>
              <w:jc w:val="left"/>
            </w:pPr>
            <w:r>
              <w:t>Fonds européen agricole pour le développement rural</w:t>
            </w:r>
          </w:p>
        </w:tc>
      </w:tr>
      <w:tr>
        <w:tc>
          <w:tcPr>
            <w:tcW w:w="1878" w:type="dxa"/>
          </w:tcPr>
          <w:p>
            <w:pPr>
              <w:pStyle w:val="DGTextstand-alone"/>
              <w:spacing w:before="0"/>
              <w:jc w:val="left"/>
              <w:rPr>
                <w:color w:val="016794"/>
              </w:rPr>
            </w:pPr>
            <w:r>
              <w:rPr>
                <w:color w:val="016794"/>
              </w:rPr>
              <w:t>FEAGA</w:t>
            </w:r>
            <w:r>
              <w:t xml:space="preserve"> </w:t>
            </w:r>
            <w:r>
              <w:tab/>
            </w:r>
          </w:p>
        </w:tc>
        <w:tc>
          <w:tcPr>
            <w:tcW w:w="7976" w:type="dxa"/>
          </w:tcPr>
          <w:p>
            <w:pPr>
              <w:pStyle w:val="DGTextstand-alone"/>
              <w:spacing w:before="0"/>
              <w:jc w:val="left"/>
            </w:pPr>
            <w:r>
              <w:t>Fonds européen agricole de garantie</w:t>
            </w:r>
          </w:p>
        </w:tc>
      </w:tr>
      <w:tr>
        <w:tc>
          <w:tcPr>
            <w:tcW w:w="1878" w:type="dxa"/>
          </w:tcPr>
          <w:p>
            <w:pPr>
              <w:pStyle w:val="DGTextstand-alone"/>
              <w:spacing w:before="0"/>
              <w:jc w:val="left"/>
              <w:rPr>
                <w:color w:val="016794"/>
              </w:rPr>
            </w:pPr>
            <w:r>
              <w:rPr>
                <w:color w:val="016794"/>
              </w:rPr>
              <w:t>FED</w:t>
            </w:r>
          </w:p>
        </w:tc>
        <w:tc>
          <w:tcPr>
            <w:tcW w:w="7976" w:type="dxa"/>
          </w:tcPr>
          <w:p>
            <w:pPr>
              <w:pStyle w:val="DGTextstand-alone"/>
              <w:spacing w:before="0"/>
              <w:jc w:val="left"/>
            </w:pPr>
            <w:r>
              <w:t>Fonds européen de développement</w:t>
            </w:r>
          </w:p>
        </w:tc>
      </w:tr>
      <w:tr>
        <w:tc>
          <w:tcPr>
            <w:tcW w:w="1878" w:type="dxa"/>
          </w:tcPr>
          <w:p>
            <w:pPr>
              <w:pStyle w:val="DGTextstand-alone"/>
              <w:spacing w:before="0"/>
            </w:pPr>
            <w:r>
              <w:rPr>
                <w:color w:val="016794"/>
              </w:rPr>
              <w:t>FEDD</w:t>
            </w:r>
          </w:p>
        </w:tc>
        <w:tc>
          <w:tcPr>
            <w:tcW w:w="7976" w:type="dxa"/>
          </w:tcPr>
          <w:p>
            <w:pPr>
              <w:pStyle w:val="DGTextstand-alone"/>
              <w:spacing w:before="0"/>
            </w:pPr>
            <w:r>
              <w:t>Fonds européen pour le développement durable</w:t>
            </w:r>
          </w:p>
        </w:tc>
      </w:tr>
      <w:tr>
        <w:tc>
          <w:tcPr>
            <w:tcW w:w="1878" w:type="dxa"/>
          </w:tcPr>
          <w:p>
            <w:pPr>
              <w:pStyle w:val="DGTextstand-alone"/>
              <w:spacing w:before="0"/>
            </w:pPr>
            <w:r>
              <w:rPr>
                <w:color w:val="016794"/>
              </w:rPr>
              <w:t>FEDER</w:t>
            </w:r>
            <w:r>
              <w:t xml:space="preserve"> </w:t>
            </w:r>
          </w:p>
        </w:tc>
        <w:tc>
          <w:tcPr>
            <w:tcW w:w="7976" w:type="dxa"/>
          </w:tcPr>
          <w:p>
            <w:pPr>
              <w:pStyle w:val="DGTextstand-alone"/>
              <w:spacing w:before="0"/>
            </w:pPr>
            <w:r>
              <w:t>Fonds européen de développement régional</w:t>
            </w:r>
          </w:p>
        </w:tc>
      </w:tr>
      <w:tr>
        <w:tc>
          <w:tcPr>
            <w:tcW w:w="1878" w:type="dxa"/>
          </w:tcPr>
          <w:p>
            <w:pPr>
              <w:pStyle w:val="DGTextstand-alone"/>
              <w:spacing w:before="0"/>
            </w:pPr>
            <w:r>
              <w:rPr>
                <w:color w:val="016794"/>
              </w:rPr>
              <w:t>FEESE</w:t>
            </w:r>
            <w:r>
              <w:t xml:space="preserve"> </w:t>
            </w:r>
          </w:p>
        </w:tc>
        <w:tc>
          <w:tcPr>
            <w:tcW w:w="7976" w:type="dxa"/>
          </w:tcPr>
          <w:p>
            <w:pPr>
              <w:pStyle w:val="DGTextstand-alone"/>
              <w:spacing w:before="0"/>
            </w:pPr>
            <w:r>
              <w:t>Fonds européen pour l’Europe du Sud-Est</w:t>
            </w:r>
          </w:p>
        </w:tc>
      </w:tr>
      <w:tr>
        <w:tc>
          <w:tcPr>
            <w:tcW w:w="1878" w:type="dxa"/>
          </w:tcPr>
          <w:p>
            <w:pPr>
              <w:pStyle w:val="DGTextstand-alone"/>
              <w:spacing w:before="0"/>
            </w:pPr>
            <w:r>
              <w:rPr>
                <w:color w:val="016794"/>
              </w:rPr>
              <w:t>FEI</w:t>
            </w:r>
            <w:r>
              <w:t xml:space="preserve"> </w:t>
            </w:r>
          </w:p>
        </w:tc>
        <w:tc>
          <w:tcPr>
            <w:tcW w:w="7976" w:type="dxa"/>
          </w:tcPr>
          <w:p>
            <w:pPr>
              <w:pStyle w:val="DGTextstand-alone"/>
              <w:spacing w:before="0"/>
            </w:pPr>
            <w:r>
              <w:t>Fonds européen d’investissement</w:t>
            </w:r>
          </w:p>
        </w:tc>
      </w:tr>
      <w:tr>
        <w:tc>
          <w:tcPr>
            <w:tcW w:w="1878" w:type="dxa"/>
          </w:tcPr>
          <w:p>
            <w:pPr>
              <w:pStyle w:val="DGTextstand-alone"/>
              <w:spacing w:before="0"/>
            </w:pPr>
            <w:r>
              <w:rPr>
                <w:color w:val="016794"/>
              </w:rPr>
              <w:t>FESF</w:t>
            </w:r>
            <w:r>
              <w:t xml:space="preserve"> </w:t>
            </w:r>
          </w:p>
        </w:tc>
        <w:tc>
          <w:tcPr>
            <w:tcW w:w="7976" w:type="dxa"/>
          </w:tcPr>
          <w:p>
            <w:pPr>
              <w:pStyle w:val="DGTextstand-alone"/>
              <w:spacing w:before="0"/>
            </w:pPr>
            <w:r>
              <w:t>Fonds européen de stabilité financière</w:t>
            </w:r>
          </w:p>
        </w:tc>
      </w:tr>
      <w:tr>
        <w:tc>
          <w:tcPr>
            <w:tcW w:w="1878" w:type="dxa"/>
          </w:tcPr>
          <w:p>
            <w:pPr>
              <w:pStyle w:val="DGTextstand-alone"/>
              <w:spacing w:before="0"/>
              <w:rPr>
                <w:color w:val="016794"/>
              </w:rPr>
            </w:pPr>
            <w:r>
              <w:rPr>
                <w:color w:val="016794"/>
              </w:rPr>
              <w:t>FGIF</w:t>
            </w:r>
          </w:p>
          <w:p>
            <w:pPr>
              <w:pStyle w:val="DGTextstand-alone"/>
              <w:spacing w:before="0"/>
            </w:pPr>
            <w:r>
              <w:rPr>
                <w:color w:val="016794"/>
              </w:rPr>
              <w:t>FI</w:t>
            </w:r>
          </w:p>
        </w:tc>
        <w:tc>
          <w:tcPr>
            <w:tcW w:w="7976" w:type="dxa"/>
          </w:tcPr>
          <w:p>
            <w:pPr>
              <w:pStyle w:val="DGTextstand-alone"/>
              <w:spacing w:before="0"/>
            </w:pPr>
            <w:r>
              <w:t>Fonds pour la gestion intégrée des frontières</w:t>
            </w:r>
          </w:p>
          <w:p>
            <w:pPr>
              <w:pStyle w:val="DGTextstand-alone"/>
              <w:spacing w:before="0"/>
            </w:pPr>
            <w:r>
              <w:t>Fonds pour l’innovation</w:t>
            </w:r>
          </w:p>
        </w:tc>
      </w:tr>
      <w:tr>
        <w:tc>
          <w:tcPr>
            <w:tcW w:w="1878" w:type="dxa"/>
          </w:tcPr>
          <w:p>
            <w:pPr>
              <w:pStyle w:val="DGTextstand-alone"/>
              <w:spacing w:before="0"/>
            </w:pPr>
            <w:r>
              <w:rPr>
                <w:color w:val="016794"/>
              </w:rPr>
              <w:t>FGP</w:t>
            </w:r>
            <w:r>
              <w:t xml:space="preserve"> </w:t>
            </w:r>
          </w:p>
        </w:tc>
        <w:tc>
          <w:tcPr>
            <w:tcW w:w="7976" w:type="dxa"/>
          </w:tcPr>
          <w:p>
            <w:pPr>
              <w:pStyle w:val="DGTextstand-alone"/>
              <w:spacing w:before="0"/>
            </w:pPr>
            <w:r>
              <w:t>Fonds de garantie des participants</w:t>
            </w:r>
          </w:p>
        </w:tc>
      </w:tr>
      <w:tr>
        <w:tc>
          <w:tcPr>
            <w:tcW w:w="1878" w:type="dxa"/>
          </w:tcPr>
          <w:p>
            <w:pPr>
              <w:pStyle w:val="DGTextstand-alone"/>
              <w:spacing w:before="0"/>
            </w:pPr>
            <w:r>
              <w:rPr>
                <w:color w:val="016794"/>
              </w:rPr>
              <w:t>FMI</w:t>
            </w:r>
            <w:r>
              <w:t xml:space="preserve"> </w:t>
            </w:r>
          </w:p>
        </w:tc>
        <w:tc>
          <w:tcPr>
            <w:tcW w:w="7976" w:type="dxa"/>
          </w:tcPr>
          <w:p>
            <w:pPr>
              <w:pStyle w:val="DGTextstand-alone"/>
              <w:spacing w:before="0"/>
            </w:pPr>
            <w:r>
              <w:t>Fonds monétaire international</w:t>
            </w:r>
          </w:p>
        </w:tc>
      </w:tr>
      <w:tr>
        <w:tc>
          <w:tcPr>
            <w:tcW w:w="1878" w:type="dxa"/>
          </w:tcPr>
          <w:p>
            <w:pPr>
              <w:pStyle w:val="DGTextstand-alone"/>
              <w:spacing w:before="0"/>
            </w:pPr>
            <w:r>
              <w:rPr>
                <w:color w:val="016794"/>
              </w:rPr>
              <w:t>FNB</w:t>
            </w:r>
            <w:r>
              <w:t xml:space="preserve"> </w:t>
            </w:r>
          </w:p>
        </w:tc>
        <w:tc>
          <w:tcPr>
            <w:tcW w:w="7976" w:type="dxa"/>
          </w:tcPr>
          <w:p>
            <w:pPr>
              <w:pStyle w:val="DGTextstand-alone"/>
              <w:spacing w:before="0"/>
            </w:pPr>
            <w:r>
              <w:t>Fonds négociés en bourse</w:t>
            </w:r>
          </w:p>
        </w:tc>
      </w:tr>
      <w:tr>
        <w:tc>
          <w:tcPr>
            <w:tcW w:w="1878" w:type="dxa"/>
          </w:tcPr>
          <w:p>
            <w:pPr>
              <w:pStyle w:val="DGTextstand-alone"/>
              <w:spacing w:before="0"/>
              <w:jc w:val="left"/>
              <w:rPr>
                <w:color w:val="016794"/>
              </w:rPr>
            </w:pPr>
            <w:r>
              <w:rPr>
                <w:color w:val="016794"/>
              </w:rPr>
              <w:t>Fonds</w:t>
            </w:r>
            <w:r>
              <w:t xml:space="preserve"> </w:t>
            </w:r>
            <w:r>
              <w:rPr>
                <w:color w:val="016794"/>
              </w:rPr>
              <w:t xml:space="preserve"> BUFI</w:t>
            </w:r>
          </w:p>
        </w:tc>
        <w:tc>
          <w:tcPr>
            <w:tcW w:w="7976" w:type="dxa"/>
          </w:tcPr>
          <w:p>
            <w:pPr>
              <w:pStyle w:val="DGTextstand-alone"/>
              <w:spacing w:before="0"/>
              <w:jc w:val="left"/>
              <w:rPr>
                <w:color w:val="016794"/>
              </w:rPr>
            </w:pPr>
            <w:r>
              <w:t>Fonds «amendes budget» (</w:t>
            </w:r>
            <w:r>
              <w:rPr>
                <w:i/>
              </w:rPr>
              <w:t>Budget Fines</w:t>
            </w:r>
            <w:r>
              <w:t>)</w:t>
            </w:r>
          </w:p>
        </w:tc>
      </w:tr>
      <w:tr>
        <w:tc>
          <w:tcPr>
            <w:tcW w:w="1878" w:type="dxa"/>
          </w:tcPr>
          <w:p>
            <w:pPr>
              <w:pStyle w:val="DGTextstand-alone"/>
              <w:spacing w:before="0"/>
            </w:pPr>
            <w:r>
              <w:rPr>
                <w:color w:val="016794"/>
              </w:rPr>
              <w:t>Fonds ESI</w:t>
            </w:r>
            <w:r>
              <w:t xml:space="preserve"> </w:t>
            </w:r>
          </w:p>
        </w:tc>
        <w:tc>
          <w:tcPr>
            <w:tcW w:w="7976" w:type="dxa"/>
          </w:tcPr>
          <w:p>
            <w:pPr>
              <w:pStyle w:val="DGTextstand-alone"/>
              <w:spacing w:before="0"/>
            </w:pPr>
            <w:r>
              <w:t>Fonds structurels et d’investissement européens</w:t>
            </w:r>
          </w:p>
        </w:tc>
      </w:tr>
      <w:tr>
        <w:tc>
          <w:tcPr>
            <w:tcW w:w="1878" w:type="dxa"/>
          </w:tcPr>
          <w:p>
            <w:pPr>
              <w:pStyle w:val="DGTextstand-alone"/>
              <w:spacing w:before="0"/>
              <w:rPr>
                <w:color w:val="016794"/>
              </w:rPr>
            </w:pPr>
            <w:r>
              <w:rPr>
                <w:color w:val="016794"/>
              </w:rPr>
              <w:t>FRR</w:t>
            </w:r>
          </w:p>
        </w:tc>
        <w:tc>
          <w:tcPr>
            <w:tcW w:w="7976" w:type="dxa"/>
          </w:tcPr>
          <w:p>
            <w:pPr>
              <w:pStyle w:val="DGTextstand-alone"/>
              <w:spacing w:before="0"/>
            </w:pPr>
            <w:r>
              <w:t>Facilité pour la reprise et la résilience</w:t>
            </w:r>
          </w:p>
        </w:tc>
      </w:tr>
      <w:tr>
        <w:tc>
          <w:tcPr>
            <w:tcW w:w="1878" w:type="dxa"/>
          </w:tcPr>
          <w:p>
            <w:pPr>
              <w:pStyle w:val="DGTextstand-alone"/>
              <w:spacing w:before="0"/>
            </w:pPr>
            <w:r>
              <w:rPr>
                <w:color w:val="016794"/>
              </w:rPr>
              <w:t>FSDA</w:t>
            </w:r>
            <w:r>
              <w:t xml:space="preserve"> </w:t>
            </w:r>
            <w:r>
              <w:tab/>
            </w:r>
          </w:p>
        </w:tc>
        <w:tc>
          <w:tcPr>
            <w:tcW w:w="7976" w:type="dxa"/>
          </w:tcPr>
          <w:p>
            <w:pPr>
              <w:pStyle w:val="DGTextstand-alone"/>
              <w:spacing w:before="0"/>
            </w:pPr>
            <w:r>
              <w:t>Examen et analyse des états financiers</w:t>
            </w:r>
          </w:p>
        </w:tc>
      </w:tr>
      <w:tr>
        <w:tc>
          <w:tcPr>
            <w:tcW w:w="1878" w:type="dxa"/>
          </w:tcPr>
          <w:p>
            <w:pPr>
              <w:pStyle w:val="DGTextstand-alone"/>
              <w:spacing w:before="0"/>
            </w:pPr>
            <w:r>
              <w:rPr>
                <w:color w:val="016794"/>
              </w:rPr>
              <w:lastRenderedPageBreak/>
              <w:t>FSE</w:t>
            </w:r>
            <w:r>
              <w:t xml:space="preserve"> </w:t>
            </w:r>
          </w:p>
        </w:tc>
        <w:tc>
          <w:tcPr>
            <w:tcW w:w="7976" w:type="dxa"/>
          </w:tcPr>
          <w:p>
            <w:pPr>
              <w:pStyle w:val="DGTextstand-alone"/>
              <w:spacing w:before="0"/>
            </w:pPr>
            <w:r>
              <w:t>Fonds social européen</w:t>
            </w:r>
          </w:p>
        </w:tc>
      </w:tr>
      <w:tr>
        <w:tc>
          <w:tcPr>
            <w:tcW w:w="1878" w:type="dxa"/>
          </w:tcPr>
          <w:p>
            <w:pPr>
              <w:pStyle w:val="DGTextstand-alone"/>
              <w:spacing w:before="0"/>
              <w:rPr>
                <w:color w:val="016794"/>
              </w:rPr>
            </w:pPr>
            <w:r>
              <w:rPr>
                <w:color w:val="016794"/>
              </w:rPr>
              <w:t>FSUE</w:t>
            </w:r>
          </w:p>
        </w:tc>
        <w:tc>
          <w:tcPr>
            <w:tcW w:w="7976" w:type="dxa"/>
          </w:tcPr>
          <w:p>
            <w:pPr>
              <w:pStyle w:val="DGTextstand-alone"/>
              <w:spacing w:before="0"/>
              <w:rPr>
                <w:bCs/>
              </w:rPr>
            </w:pPr>
            <w:r>
              <w:t>Fonds de solidarité de l’Union européenne</w:t>
            </w:r>
          </w:p>
        </w:tc>
      </w:tr>
      <w:tr>
        <w:tc>
          <w:tcPr>
            <w:tcW w:w="1878" w:type="dxa"/>
          </w:tcPr>
          <w:p>
            <w:pPr>
              <w:pStyle w:val="DGTextstand-alone"/>
              <w:spacing w:before="0"/>
              <w:rPr>
                <w:color w:val="016794"/>
              </w:rPr>
            </w:pPr>
            <w:r>
              <w:rPr>
                <w:color w:val="016794"/>
              </w:rPr>
              <w:t>FVNA</w:t>
            </w:r>
          </w:p>
        </w:tc>
        <w:tc>
          <w:tcPr>
            <w:tcW w:w="7976" w:type="dxa"/>
          </w:tcPr>
          <w:p>
            <w:pPr>
              <w:pStyle w:val="DGTextstand-alone"/>
              <w:spacing w:before="0"/>
            </w:pPr>
            <w:r>
              <w:t>Juste valeur par le biais de l’actif net/de la situation nette</w:t>
            </w:r>
          </w:p>
        </w:tc>
      </w:tr>
      <w:tr>
        <w:tc>
          <w:tcPr>
            <w:tcW w:w="1878" w:type="dxa"/>
          </w:tcPr>
          <w:p>
            <w:pPr>
              <w:pStyle w:val="DGTextstand-alone"/>
              <w:spacing w:before="0"/>
            </w:pPr>
            <w:r>
              <w:rPr>
                <w:color w:val="016794"/>
              </w:rPr>
              <w:t>GNSS</w:t>
            </w:r>
            <w:r>
              <w:t xml:space="preserve"> </w:t>
            </w:r>
          </w:p>
        </w:tc>
        <w:tc>
          <w:tcPr>
            <w:tcW w:w="7976" w:type="dxa"/>
          </w:tcPr>
          <w:p>
            <w:pPr>
              <w:pStyle w:val="DGTextstand-alone"/>
              <w:spacing w:before="0"/>
            </w:pPr>
            <w:r>
              <w:t>Systèmes globaux de navigation par satellite</w:t>
            </w:r>
          </w:p>
        </w:tc>
      </w:tr>
      <w:tr>
        <w:tc>
          <w:tcPr>
            <w:tcW w:w="1878" w:type="dxa"/>
          </w:tcPr>
          <w:p>
            <w:pPr>
              <w:pStyle w:val="DGTextstand-alone"/>
              <w:spacing w:before="0"/>
            </w:pPr>
            <w:r>
              <w:rPr>
                <w:color w:val="016794"/>
              </w:rPr>
              <w:t>GPTT</w:t>
            </w:r>
            <w:r>
              <w:t xml:space="preserve"> </w:t>
            </w:r>
          </w:p>
        </w:tc>
        <w:tc>
          <w:tcPr>
            <w:tcW w:w="7976" w:type="dxa"/>
          </w:tcPr>
          <w:p>
            <w:pPr>
              <w:pStyle w:val="DGTextstand-alone"/>
              <w:spacing w:before="0"/>
            </w:pPr>
            <w:r>
              <w:t>Instrument de garantie de prêts pour les projets RTE-T</w:t>
            </w:r>
          </w:p>
        </w:tc>
      </w:tr>
      <w:tr>
        <w:tc>
          <w:tcPr>
            <w:tcW w:w="1878" w:type="dxa"/>
          </w:tcPr>
          <w:p>
            <w:pPr>
              <w:pStyle w:val="DGTextstand-alone"/>
              <w:spacing w:before="0"/>
            </w:pPr>
            <w:r>
              <w:rPr>
                <w:color w:val="016794"/>
              </w:rPr>
              <w:t>H2020</w:t>
            </w:r>
            <w:r>
              <w:t xml:space="preserve"> </w:t>
            </w:r>
          </w:p>
        </w:tc>
        <w:tc>
          <w:tcPr>
            <w:tcW w:w="7976" w:type="dxa"/>
          </w:tcPr>
          <w:p>
            <w:pPr>
              <w:pStyle w:val="DGTextstand-alone"/>
              <w:spacing w:before="0"/>
            </w:pPr>
            <w:r>
              <w:t>Horizon 2020</w:t>
            </w:r>
          </w:p>
        </w:tc>
      </w:tr>
      <w:tr>
        <w:tc>
          <w:tcPr>
            <w:tcW w:w="1878" w:type="dxa"/>
          </w:tcPr>
          <w:p>
            <w:pPr>
              <w:pStyle w:val="DGTextstand-alone"/>
              <w:spacing w:before="0"/>
            </w:pPr>
            <w:r>
              <w:rPr>
                <w:color w:val="016794"/>
              </w:rPr>
              <w:t>IEVP</w:t>
            </w:r>
            <w:r>
              <w:t xml:space="preserve"> </w:t>
            </w:r>
          </w:p>
        </w:tc>
        <w:tc>
          <w:tcPr>
            <w:tcW w:w="7976" w:type="dxa"/>
          </w:tcPr>
          <w:p>
            <w:pPr>
              <w:pStyle w:val="DGTextstand-alone"/>
              <w:spacing w:before="0"/>
            </w:pPr>
            <w:r>
              <w:t>Instrument européen de voisinage et de partenariat</w:t>
            </w:r>
          </w:p>
        </w:tc>
      </w:tr>
      <w:tr>
        <w:tc>
          <w:tcPr>
            <w:tcW w:w="1878" w:type="dxa"/>
          </w:tcPr>
          <w:p>
            <w:pPr>
              <w:pStyle w:val="DGTextstand-alone"/>
              <w:spacing w:before="0"/>
              <w:rPr>
                <w:color w:val="016794"/>
              </w:rPr>
            </w:pPr>
            <w:r>
              <w:rPr>
                <w:color w:val="016794"/>
              </w:rPr>
              <w:t>IIW</w:t>
            </w:r>
          </w:p>
        </w:tc>
        <w:tc>
          <w:tcPr>
            <w:tcW w:w="7976" w:type="dxa"/>
          </w:tcPr>
          <w:p>
            <w:pPr>
              <w:pStyle w:val="DGTextstand-alone"/>
              <w:spacing w:before="0"/>
            </w:pPr>
            <w:r>
              <w:t>Volet «Infrastructures et innovation»</w:t>
            </w:r>
          </w:p>
        </w:tc>
      </w:tr>
      <w:tr>
        <w:tc>
          <w:tcPr>
            <w:tcW w:w="1878" w:type="dxa"/>
          </w:tcPr>
          <w:p>
            <w:pPr>
              <w:pStyle w:val="DGTextstand-alone"/>
              <w:spacing w:before="0"/>
              <w:rPr>
                <w:color w:val="016794"/>
              </w:rPr>
            </w:pPr>
            <w:r>
              <w:rPr>
                <w:color w:val="016794"/>
              </w:rPr>
              <w:t>IPSAS</w:t>
            </w:r>
          </w:p>
        </w:tc>
        <w:tc>
          <w:tcPr>
            <w:tcW w:w="7976" w:type="dxa"/>
          </w:tcPr>
          <w:p>
            <w:pPr>
              <w:pStyle w:val="DGTextstand-alone"/>
              <w:spacing w:before="0"/>
              <w:rPr>
                <w:rFonts w:cs="Calibri"/>
              </w:rPr>
            </w:pPr>
            <w:r>
              <w:t>Normes comptables admises au niveau international pour le secteur public</w:t>
            </w:r>
          </w:p>
        </w:tc>
      </w:tr>
      <w:tr>
        <w:tc>
          <w:tcPr>
            <w:tcW w:w="1878" w:type="dxa"/>
          </w:tcPr>
          <w:p>
            <w:pPr>
              <w:pStyle w:val="DGTextstand-alone"/>
              <w:spacing w:before="0"/>
              <w:rPr>
                <w:color w:val="016794"/>
              </w:rPr>
            </w:pPr>
            <w:r>
              <w:rPr>
                <w:color w:val="016794"/>
              </w:rPr>
              <w:t>IRE</w:t>
            </w:r>
          </w:p>
          <w:p>
            <w:pPr>
              <w:pStyle w:val="DGTextstand-alone"/>
              <w:spacing w:before="0"/>
            </w:pPr>
            <w:r>
              <w:rPr>
                <w:color w:val="016794"/>
              </w:rPr>
              <w:t>ESA</w:t>
            </w:r>
            <w:r>
              <w:t xml:space="preserve"> </w:t>
            </w:r>
          </w:p>
        </w:tc>
        <w:tc>
          <w:tcPr>
            <w:tcW w:w="7976" w:type="dxa"/>
          </w:tcPr>
          <w:p>
            <w:pPr>
              <w:pStyle w:val="DGTextstand-alone"/>
              <w:spacing w:before="0"/>
            </w:pPr>
            <w:r>
              <w:t>Initiative «résilience» de la BEI</w:t>
            </w:r>
          </w:p>
          <w:p>
            <w:pPr>
              <w:pStyle w:val="DGTextstand-alone"/>
              <w:spacing w:before="0"/>
            </w:pPr>
            <w:r>
              <w:t>Agence spatiale européenne</w:t>
            </w:r>
          </w:p>
        </w:tc>
      </w:tr>
      <w:tr>
        <w:tc>
          <w:tcPr>
            <w:tcW w:w="1878" w:type="dxa"/>
          </w:tcPr>
          <w:p>
            <w:pPr>
              <w:pStyle w:val="DGTextstand-alone"/>
              <w:spacing w:before="0"/>
              <w:rPr>
                <w:color w:val="016794"/>
              </w:rPr>
            </w:pPr>
            <w:r>
              <w:rPr>
                <w:color w:val="016794"/>
              </w:rPr>
              <w:t>ITDR</w:t>
            </w:r>
            <w:r>
              <w:t xml:space="preserve"> </w:t>
            </w:r>
          </w:p>
          <w:p>
            <w:pPr>
              <w:rPr>
                <w:noProof/>
              </w:rPr>
            </w:pPr>
            <w:r>
              <w:rPr>
                <w:rFonts w:ascii="Verdana" w:hAnsi="Verdana"/>
                <w:noProof/>
                <w:color w:val="016794"/>
                <w:sz w:val="18"/>
              </w:rPr>
              <w:t>MCPU</w:t>
            </w:r>
          </w:p>
        </w:tc>
        <w:tc>
          <w:tcPr>
            <w:tcW w:w="7976" w:type="dxa"/>
          </w:tcPr>
          <w:p>
            <w:pPr>
              <w:pStyle w:val="DGTextstand-alone"/>
              <w:spacing w:before="0"/>
              <w:rPr>
                <w:iCs/>
              </w:rPr>
            </w:pPr>
            <w:r>
              <w:t>Instrument temporaire de développement rural</w:t>
            </w:r>
          </w:p>
          <w:p>
            <w:pPr>
              <w:pStyle w:val="DGTextstand-alone"/>
              <w:spacing w:before="0"/>
              <w:rPr>
                <w:iCs/>
              </w:rPr>
            </w:pPr>
            <w:r>
              <w:t>Mécanisme de coopération pour les prêts à l’Ukraine</w:t>
            </w:r>
          </w:p>
        </w:tc>
      </w:tr>
      <w:tr>
        <w:tc>
          <w:tcPr>
            <w:tcW w:w="1878" w:type="dxa"/>
          </w:tcPr>
          <w:p>
            <w:pPr>
              <w:pStyle w:val="DGTextstand-alone"/>
              <w:spacing w:before="0"/>
            </w:pPr>
            <w:r>
              <w:rPr>
                <w:color w:val="016794"/>
              </w:rPr>
              <w:t>ITER</w:t>
            </w:r>
            <w:r>
              <w:t xml:space="preserve"> </w:t>
            </w:r>
          </w:p>
        </w:tc>
        <w:tc>
          <w:tcPr>
            <w:tcW w:w="7976" w:type="dxa"/>
          </w:tcPr>
          <w:p>
            <w:pPr>
              <w:pStyle w:val="DGTextstand-alone"/>
              <w:spacing w:before="0"/>
            </w:pPr>
            <w:r>
              <w:t>Réacteur thermonucléaire expérimental international</w:t>
            </w:r>
          </w:p>
        </w:tc>
      </w:tr>
      <w:tr>
        <w:tc>
          <w:tcPr>
            <w:tcW w:w="1878" w:type="dxa"/>
          </w:tcPr>
          <w:p>
            <w:pPr>
              <w:pStyle w:val="DGTextstand-alone"/>
              <w:spacing w:before="0"/>
              <w:rPr>
                <w:color w:val="016794"/>
              </w:rPr>
            </w:pPr>
            <w:r>
              <w:rPr>
                <w:color w:val="016794"/>
              </w:rPr>
              <w:t>IVCDCI</w:t>
            </w:r>
          </w:p>
        </w:tc>
        <w:tc>
          <w:tcPr>
            <w:tcW w:w="7976" w:type="dxa"/>
          </w:tcPr>
          <w:p>
            <w:pPr>
              <w:pStyle w:val="DGTextstand-alone"/>
              <w:spacing w:before="0"/>
              <w:rPr>
                <w:rFonts w:cs="DejaVuSansCondensed-Bold"/>
                <w:bCs/>
              </w:rPr>
            </w:pPr>
            <w:r>
              <w:t>Instrument de voisinage, de coopération au développement et de coopération internationale</w:t>
            </w:r>
          </w:p>
        </w:tc>
      </w:tr>
      <w:tr>
        <w:tc>
          <w:tcPr>
            <w:tcW w:w="1878" w:type="dxa"/>
          </w:tcPr>
          <w:p>
            <w:pPr>
              <w:pStyle w:val="DGTextstand-alone"/>
              <w:spacing w:before="0"/>
            </w:pPr>
            <w:r>
              <w:rPr>
                <w:color w:val="016794"/>
              </w:rPr>
              <w:t>JRC</w:t>
            </w:r>
            <w:r>
              <w:t xml:space="preserve"> </w:t>
            </w:r>
          </w:p>
        </w:tc>
        <w:tc>
          <w:tcPr>
            <w:tcW w:w="7976" w:type="dxa"/>
          </w:tcPr>
          <w:p>
            <w:pPr>
              <w:pStyle w:val="DGTextstand-alone"/>
              <w:spacing w:before="0"/>
            </w:pPr>
            <w:r>
              <w:t>Centre commun de recherche</w:t>
            </w:r>
          </w:p>
        </w:tc>
      </w:tr>
      <w:tr>
        <w:tc>
          <w:tcPr>
            <w:tcW w:w="1878" w:type="dxa"/>
          </w:tcPr>
          <w:p>
            <w:pPr>
              <w:pStyle w:val="DGTextstand-alone"/>
              <w:spacing w:before="0"/>
              <w:rPr>
                <w:color w:val="016794"/>
              </w:rPr>
            </w:pPr>
            <w:r>
              <w:rPr>
                <w:color w:val="016794"/>
              </w:rPr>
              <w:t>JVCR</w:t>
            </w:r>
          </w:p>
        </w:tc>
        <w:tc>
          <w:tcPr>
            <w:tcW w:w="7976" w:type="dxa"/>
          </w:tcPr>
          <w:p>
            <w:pPr>
              <w:pStyle w:val="DGTextstand-alone"/>
              <w:spacing w:before="0"/>
            </w:pPr>
            <w:r>
              <w:t>Juste valeur par le biais du compte de résultat</w:t>
            </w:r>
          </w:p>
        </w:tc>
      </w:tr>
      <w:tr>
        <w:tc>
          <w:tcPr>
            <w:tcW w:w="1878" w:type="dxa"/>
          </w:tcPr>
          <w:p>
            <w:pPr>
              <w:pStyle w:val="DGTextstand-alone"/>
              <w:spacing w:before="0"/>
              <w:rPr>
                <w:color w:val="016794"/>
              </w:rPr>
            </w:pPr>
            <w:r>
              <w:rPr>
                <w:color w:val="016794"/>
              </w:rPr>
              <w:t>LGF</w:t>
            </w:r>
          </w:p>
        </w:tc>
        <w:tc>
          <w:tcPr>
            <w:tcW w:w="7976" w:type="dxa"/>
          </w:tcPr>
          <w:p>
            <w:pPr>
              <w:pStyle w:val="DGTextstand-alone"/>
              <w:spacing w:before="0"/>
              <w:rPr>
                <w:rFonts w:cs="Calibri"/>
              </w:rPr>
            </w:pPr>
            <w:r>
              <w:t>Facilité «garanties de prêts»</w:t>
            </w:r>
          </w:p>
        </w:tc>
      </w:tr>
      <w:tr>
        <w:tc>
          <w:tcPr>
            <w:tcW w:w="1878" w:type="dxa"/>
          </w:tcPr>
          <w:p>
            <w:pPr>
              <w:pStyle w:val="DGTextstand-alone"/>
              <w:spacing w:before="0"/>
              <w:rPr>
                <w:color w:val="016794"/>
              </w:rPr>
            </w:pPr>
            <w:r>
              <w:rPr>
                <w:color w:val="016794"/>
              </w:rPr>
              <w:t>MAM</w:t>
            </w:r>
          </w:p>
          <w:p>
            <w:pPr>
              <w:pStyle w:val="DGTextstand-alone"/>
              <w:spacing w:before="0"/>
              <w:rPr>
                <w:color w:val="016794"/>
              </w:rPr>
            </w:pPr>
            <w:r>
              <w:rPr>
                <w:color w:val="016794"/>
              </w:rPr>
              <w:t>FMM</w:t>
            </w:r>
          </w:p>
        </w:tc>
        <w:tc>
          <w:tcPr>
            <w:tcW w:w="7976" w:type="dxa"/>
          </w:tcPr>
          <w:p>
            <w:pPr>
              <w:pStyle w:val="DGTextstand-alone"/>
              <w:spacing w:before="0"/>
            </w:pPr>
            <w:r>
              <w:t>Mécanisme d’assurance mutuelle</w:t>
            </w:r>
          </w:p>
          <w:p>
            <w:pPr>
              <w:pStyle w:val="DGTextstand-alone"/>
              <w:spacing w:before="0"/>
            </w:pPr>
            <w:r>
              <w:t>Fonds du marché monétaire</w:t>
            </w:r>
          </w:p>
        </w:tc>
      </w:tr>
      <w:tr>
        <w:tc>
          <w:tcPr>
            <w:tcW w:w="1878" w:type="dxa"/>
          </w:tcPr>
          <w:p>
            <w:pPr>
              <w:pStyle w:val="DGTextstand-alone"/>
              <w:spacing w:before="0"/>
            </w:pPr>
            <w:r>
              <w:rPr>
                <w:color w:val="016794"/>
              </w:rPr>
              <w:t>MAP</w:t>
            </w:r>
            <w:r>
              <w:t xml:space="preserve"> </w:t>
            </w:r>
          </w:p>
        </w:tc>
        <w:tc>
          <w:tcPr>
            <w:tcW w:w="7976" w:type="dxa"/>
          </w:tcPr>
          <w:p>
            <w:pPr>
              <w:pStyle w:val="DGTextstand-alone"/>
              <w:spacing w:before="0"/>
            </w:pPr>
            <w:r>
              <w:t>Programme pluriannuel - Programme d’inclusion financière pour moyennes entreprises</w:t>
            </w:r>
          </w:p>
        </w:tc>
      </w:tr>
      <w:tr>
        <w:tc>
          <w:tcPr>
            <w:tcW w:w="1878" w:type="dxa"/>
          </w:tcPr>
          <w:p>
            <w:pPr>
              <w:pStyle w:val="DGTextstand-alone"/>
              <w:spacing w:before="0"/>
            </w:pPr>
            <w:r>
              <w:rPr>
                <w:color w:val="016794"/>
              </w:rPr>
              <w:t>MES</w:t>
            </w:r>
            <w:r>
              <w:t xml:space="preserve"> </w:t>
            </w:r>
          </w:p>
        </w:tc>
        <w:tc>
          <w:tcPr>
            <w:tcW w:w="7976" w:type="dxa"/>
          </w:tcPr>
          <w:p>
            <w:pPr>
              <w:pStyle w:val="DGTextstand-alone"/>
              <w:spacing w:before="0"/>
            </w:pPr>
            <w:r>
              <w:t>Mécanisme européen de stabilité</w:t>
            </w:r>
          </w:p>
        </w:tc>
      </w:tr>
      <w:tr>
        <w:tc>
          <w:tcPr>
            <w:tcW w:w="1878" w:type="dxa"/>
          </w:tcPr>
          <w:p>
            <w:pPr>
              <w:pStyle w:val="DGTextstand-alone"/>
              <w:spacing w:before="0"/>
            </w:pPr>
            <w:r>
              <w:rPr>
                <w:color w:val="016794"/>
              </w:rPr>
              <w:t>MESF</w:t>
            </w:r>
          </w:p>
        </w:tc>
        <w:tc>
          <w:tcPr>
            <w:tcW w:w="7976" w:type="dxa"/>
          </w:tcPr>
          <w:p>
            <w:pPr>
              <w:pStyle w:val="DGTextstand-alone"/>
              <w:spacing w:before="0"/>
            </w:pPr>
            <w:r>
              <w:t>Mécanisme européen de stabilisation financière</w:t>
            </w:r>
          </w:p>
        </w:tc>
      </w:tr>
      <w:tr>
        <w:tc>
          <w:tcPr>
            <w:tcW w:w="1878" w:type="dxa"/>
          </w:tcPr>
          <w:p>
            <w:pPr>
              <w:pStyle w:val="DGTextstand-alone"/>
              <w:spacing w:before="0"/>
            </w:pPr>
            <w:r>
              <w:rPr>
                <w:color w:val="016794"/>
              </w:rPr>
              <w:t>MFPR</w:t>
            </w:r>
            <w:r>
              <w:t xml:space="preserve"> </w:t>
            </w:r>
          </w:p>
        </w:tc>
        <w:tc>
          <w:tcPr>
            <w:tcW w:w="7976" w:type="dxa"/>
          </w:tcPr>
          <w:p>
            <w:pPr>
              <w:pStyle w:val="DGTextstand-alone"/>
              <w:spacing w:before="0"/>
            </w:pPr>
            <w:r>
              <w:t>Mécanisme de financement avec partage des risques</w:t>
            </w:r>
          </w:p>
        </w:tc>
      </w:tr>
      <w:tr>
        <w:tc>
          <w:tcPr>
            <w:tcW w:w="1878" w:type="dxa"/>
          </w:tcPr>
          <w:p>
            <w:pPr>
              <w:pStyle w:val="DGTextstand-alone"/>
              <w:spacing w:before="0"/>
              <w:rPr>
                <w:color w:val="016794"/>
              </w:rPr>
            </w:pPr>
            <w:r>
              <w:rPr>
                <w:color w:val="016794"/>
              </w:rPr>
              <w:t>MPE</w:t>
            </w:r>
          </w:p>
          <w:p>
            <w:pPr>
              <w:pStyle w:val="DGTextstand-alone"/>
              <w:spacing w:before="0"/>
            </w:pPr>
            <w:r>
              <w:rPr>
                <w:color w:val="016794"/>
              </w:rPr>
              <w:t>FEAMP</w:t>
            </w:r>
            <w:r>
              <w:t xml:space="preserve"> </w:t>
            </w:r>
          </w:p>
        </w:tc>
        <w:tc>
          <w:tcPr>
            <w:tcW w:w="7976" w:type="dxa"/>
          </w:tcPr>
          <w:p>
            <w:pPr>
              <w:pStyle w:val="DGTextstand-alone"/>
              <w:spacing w:before="0"/>
            </w:pPr>
            <w:r>
              <w:t>Mandat de prêt extérieur</w:t>
            </w:r>
          </w:p>
          <w:p>
            <w:pPr>
              <w:pStyle w:val="DGTextstand-alone"/>
              <w:spacing w:before="0"/>
            </w:pPr>
            <w:r>
              <w:t>Fonds européen pour les affaires maritimes et la pêche</w:t>
            </w:r>
          </w:p>
        </w:tc>
      </w:tr>
      <w:tr>
        <w:tc>
          <w:tcPr>
            <w:tcW w:w="1878" w:type="dxa"/>
          </w:tcPr>
          <w:p>
            <w:pPr>
              <w:pStyle w:val="DGTextstand-alone"/>
              <w:spacing w:before="0"/>
            </w:pPr>
            <w:r>
              <w:rPr>
                <w:color w:val="016794"/>
              </w:rPr>
              <w:t>MPE</w:t>
            </w:r>
            <w:r>
              <w:t xml:space="preserve"> </w:t>
            </w:r>
          </w:p>
        </w:tc>
        <w:tc>
          <w:tcPr>
            <w:tcW w:w="7976" w:type="dxa"/>
          </w:tcPr>
          <w:p>
            <w:pPr>
              <w:pStyle w:val="DGTextstand-alone"/>
              <w:spacing w:before="0"/>
            </w:pPr>
            <w:r>
              <w:t>Membre du Parlement européen</w:t>
            </w:r>
          </w:p>
        </w:tc>
      </w:tr>
      <w:tr>
        <w:tc>
          <w:tcPr>
            <w:tcW w:w="1878" w:type="dxa"/>
          </w:tcPr>
          <w:p>
            <w:pPr>
              <w:pStyle w:val="DGTextstand-alone"/>
              <w:spacing w:before="0"/>
              <w:rPr>
                <w:rFonts w:cs="DejaVuSansCondensed-Bold"/>
                <w:bCs/>
              </w:rPr>
            </w:pPr>
            <w:r>
              <w:rPr>
                <w:color w:val="016794"/>
              </w:rPr>
              <w:t>MPME</w:t>
            </w:r>
          </w:p>
        </w:tc>
        <w:tc>
          <w:tcPr>
            <w:tcW w:w="7976" w:type="dxa"/>
          </w:tcPr>
          <w:p>
            <w:pPr>
              <w:pStyle w:val="DGTextstand-alone"/>
              <w:spacing w:before="0"/>
              <w:rPr>
                <w:rFonts w:cs="DejaVuSansCondensed-Bold"/>
                <w:bCs/>
              </w:rPr>
            </w:pPr>
            <w:r>
              <w:t>Micro, petites et moyennes entreprises</w:t>
            </w:r>
          </w:p>
        </w:tc>
      </w:tr>
      <w:tr>
        <w:tc>
          <w:tcPr>
            <w:tcW w:w="1878" w:type="dxa"/>
          </w:tcPr>
          <w:p>
            <w:pPr>
              <w:pStyle w:val="DGTextstand-alone"/>
              <w:spacing w:before="0"/>
              <w:rPr>
                <w:color w:val="016794"/>
              </w:rPr>
            </w:pPr>
            <w:r>
              <w:rPr>
                <w:color w:val="016794"/>
              </w:rPr>
              <w:t>NextGenerationEU</w:t>
            </w:r>
          </w:p>
        </w:tc>
        <w:tc>
          <w:tcPr>
            <w:tcW w:w="7976" w:type="dxa"/>
          </w:tcPr>
          <w:p>
            <w:pPr>
              <w:pStyle w:val="DGTextstand-alone"/>
              <w:spacing w:before="0"/>
              <w:rPr>
                <w:rFonts w:cs="DejaVuSansCondensed-Bold"/>
                <w:bCs/>
              </w:rPr>
            </w:pPr>
            <w:r>
              <w:t>NextGenerationEU</w:t>
            </w:r>
          </w:p>
        </w:tc>
      </w:tr>
      <w:tr>
        <w:tc>
          <w:tcPr>
            <w:tcW w:w="1878" w:type="dxa"/>
          </w:tcPr>
          <w:p>
            <w:pPr>
              <w:pStyle w:val="DGTextstand-alone"/>
              <w:spacing w:before="0"/>
            </w:pPr>
            <w:r>
              <w:rPr>
                <w:color w:val="016794"/>
              </w:rPr>
              <w:t>OD</w:t>
            </w:r>
            <w:r>
              <w:t xml:space="preserve"> </w:t>
            </w:r>
          </w:p>
        </w:tc>
        <w:tc>
          <w:tcPr>
            <w:tcW w:w="7976" w:type="dxa"/>
          </w:tcPr>
          <w:p>
            <w:pPr>
              <w:pStyle w:val="DGTextstand-alone"/>
              <w:spacing w:before="0"/>
            </w:pPr>
            <w:r>
              <w:t>Ordonnateurs délégués</w:t>
            </w:r>
          </w:p>
        </w:tc>
      </w:tr>
      <w:tr>
        <w:tc>
          <w:tcPr>
            <w:tcW w:w="1878" w:type="dxa"/>
          </w:tcPr>
          <w:p>
            <w:pPr>
              <w:pStyle w:val="DGTextstand-alone"/>
              <w:spacing w:before="0"/>
              <w:jc w:val="left"/>
              <w:rPr>
                <w:color w:val="016794"/>
              </w:rPr>
            </w:pPr>
            <w:r>
              <w:rPr>
                <w:color w:val="016794"/>
              </w:rPr>
              <w:lastRenderedPageBreak/>
              <w:t>PAC</w:t>
            </w:r>
          </w:p>
        </w:tc>
        <w:tc>
          <w:tcPr>
            <w:tcW w:w="7976" w:type="dxa"/>
          </w:tcPr>
          <w:p>
            <w:pPr>
              <w:pStyle w:val="DGTextstand-alone"/>
              <w:spacing w:before="0"/>
              <w:jc w:val="left"/>
              <w:rPr>
                <w:color w:val="016794"/>
              </w:rPr>
            </w:pPr>
            <w:r>
              <w:t>Politique agricole commune</w:t>
            </w:r>
          </w:p>
        </w:tc>
      </w:tr>
      <w:tr>
        <w:tc>
          <w:tcPr>
            <w:tcW w:w="1878" w:type="dxa"/>
          </w:tcPr>
          <w:p>
            <w:pPr>
              <w:pStyle w:val="DGTextstand-alone"/>
              <w:spacing w:before="0"/>
            </w:pPr>
            <w:r>
              <w:rPr>
                <w:color w:val="016794"/>
              </w:rPr>
              <w:t>PBI</w:t>
            </w:r>
            <w:r>
              <w:t xml:space="preserve"> </w:t>
            </w:r>
          </w:p>
        </w:tc>
        <w:tc>
          <w:tcPr>
            <w:tcW w:w="7976" w:type="dxa"/>
          </w:tcPr>
          <w:p>
            <w:pPr>
              <w:pStyle w:val="DGTextstand-alone"/>
              <w:spacing w:before="0"/>
            </w:pPr>
            <w:r>
              <w:t>Initiative d’emprunts obligataires pour le financement de projets</w:t>
            </w:r>
          </w:p>
        </w:tc>
      </w:tr>
      <w:tr>
        <w:tc>
          <w:tcPr>
            <w:tcW w:w="1878" w:type="dxa"/>
          </w:tcPr>
          <w:p>
            <w:pPr>
              <w:pStyle w:val="DGTextstand-alone"/>
              <w:spacing w:before="0"/>
              <w:jc w:val="left"/>
              <w:rPr>
                <w:color w:val="016794"/>
              </w:rPr>
            </w:pPr>
            <w:r>
              <w:rPr>
                <w:color w:val="016794"/>
              </w:rPr>
              <w:t>PCA</w:t>
            </w:r>
          </w:p>
        </w:tc>
        <w:tc>
          <w:tcPr>
            <w:tcW w:w="7976" w:type="dxa"/>
          </w:tcPr>
          <w:p>
            <w:pPr>
              <w:pStyle w:val="DGTextstand-alone"/>
              <w:spacing w:before="0"/>
              <w:jc w:val="left"/>
            </w:pPr>
            <w:r>
              <w:t>Pertes de crédit attendues</w:t>
            </w:r>
          </w:p>
        </w:tc>
      </w:tr>
      <w:tr>
        <w:tc>
          <w:tcPr>
            <w:tcW w:w="1878" w:type="dxa"/>
          </w:tcPr>
          <w:p>
            <w:pPr>
              <w:pStyle w:val="DGTextstand-alone"/>
              <w:spacing w:before="0"/>
              <w:rPr>
                <w:color w:val="016794"/>
              </w:rPr>
            </w:pPr>
            <w:r>
              <w:rPr>
                <w:color w:val="016794"/>
              </w:rPr>
              <w:t>PCD</w:t>
            </w:r>
          </w:p>
        </w:tc>
        <w:tc>
          <w:tcPr>
            <w:tcW w:w="7976" w:type="dxa"/>
          </w:tcPr>
          <w:p>
            <w:pPr>
              <w:pStyle w:val="DGTextstand-alone"/>
              <w:spacing w:before="0"/>
              <w:rPr>
                <w:rFonts w:cs="Calibri"/>
              </w:rPr>
            </w:pPr>
            <w:r>
              <w:t>Taux de perte en cas de défaut</w:t>
            </w:r>
          </w:p>
        </w:tc>
      </w:tr>
      <w:tr>
        <w:tc>
          <w:tcPr>
            <w:tcW w:w="1878" w:type="dxa"/>
          </w:tcPr>
          <w:p>
            <w:pPr>
              <w:pStyle w:val="DGTextstand-alone"/>
              <w:spacing w:before="0"/>
              <w:rPr>
                <w:color w:val="016794"/>
              </w:rPr>
            </w:pPr>
            <w:r>
              <w:rPr>
                <w:color w:val="016794"/>
              </w:rPr>
              <w:t>PD</w:t>
            </w:r>
          </w:p>
        </w:tc>
        <w:tc>
          <w:tcPr>
            <w:tcW w:w="7976" w:type="dxa"/>
          </w:tcPr>
          <w:p>
            <w:pPr>
              <w:pStyle w:val="DGTextstand-alone"/>
              <w:spacing w:before="0"/>
            </w:pPr>
            <w:r>
              <w:t>Probabilité de défaut</w:t>
            </w:r>
          </w:p>
        </w:tc>
      </w:tr>
      <w:tr>
        <w:tc>
          <w:tcPr>
            <w:tcW w:w="1878" w:type="dxa"/>
          </w:tcPr>
          <w:p>
            <w:pPr>
              <w:pStyle w:val="DGTextstand-alone"/>
              <w:spacing w:before="0"/>
            </w:pPr>
            <w:r>
              <w:rPr>
                <w:color w:val="016794"/>
              </w:rPr>
              <w:t>PE</w:t>
            </w:r>
            <w:r>
              <w:t xml:space="preserve"> </w:t>
            </w:r>
          </w:p>
        </w:tc>
        <w:tc>
          <w:tcPr>
            <w:tcW w:w="7976" w:type="dxa"/>
          </w:tcPr>
          <w:p>
            <w:pPr>
              <w:pStyle w:val="DGTextstand-alone"/>
              <w:spacing w:before="0"/>
            </w:pPr>
            <w:r>
              <w:t>Parlement européen</w:t>
            </w:r>
          </w:p>
        </w:tc>
      </w:tr>
      <w:tr>
        <w:tc>
          <w:tcPr>
            <w:tcW w:w="1878" w:type="dxa"/>
          </w:tcPr>
          <w:p>
            <w:pPr>
              <w:pStyle w:val="DGTextstand-alone"/>
              <w:spacing w:before="0"/>
              <w:rPr>
                <w:rStyle w:val="st1"/>
                <w:rFonts w:cs="Arial"/>
              </w:rPr>
            </w:pPr>
            <w:r>
              <w:rPr>
                <w:color w:val="016794"/>
              </w:rPr>
              <w:t>PEPS</w:t>
            </w:r>
          </w:p>
        </w:tc>
        <w:tc>
          <w:tcPr>
            <w:tcW w:w="7976" w:type="dxa"/>
          </w:tcPr>
          <w:p>
            <w:pPr>
              <w:pStyle w:val="DGTextstand-alone"/>
              <w:spacing w:before="0"/>
              <w:rPr>
                <w:rStyle w:val="st1"/>
                <w:rFonts w:cs="Arial"/>
              </w:rPr>
            </w:pPr>
            <w:r>
              <w:rPr>
                <w:rStyle w:val="st1"/>
              </w:rPr>
              <w:t>Premier entré, premier sorti</w:t>
            </w:r>
          </w:p>
        </w:tc>
      </w:tr>
      <w:tr>
        <w:tc>
          <w:tcPr>
            <w:tcW w:w="1878" w:type="dxa"/>
          </w:tcPr>
          <w:p>
            <w:pPr>
              <w:pStyle w:val="DGTextstand-alone"/>
              <w:spacing w:before="0"/>
            </w:pPr>
            <w:r>
              <w:rPr>
                <w:color w:val="016794"/>
              </w:rPr>
              <w:t>PF4EE</w:t>
            </w:r>
            <w:r>
              <w:t xml:space="preserve"> </w:t>
            </w:r>
          </w:p>
        </w:tc>
        <w:tc>
          <w:tcPr>
            <w:tcW w:w="7976" w:type="dxa"/>
          </w:tcPr>
          <w:p>
            <w:pPr>
              <w:pStyle w:val="DGTextstand-alone"/>
              <w:spacing w:before="0"/>
            </w:pPr>
            <w:r>
              <w:t>Instrument de financement privé pour l’efficacité énergétique</w:t>
            </w:r>
          </w:p>
        </w:tc>
      </w:tr>
      <w:tr>
        <w:tc>
          <w:tcPr>
            <w:tcW w:w="1878" w:type="dxa"/>
          </w:tcPr>
          <w:p>
            <w:pPr>
              <w:pStyle w:val="DGTextstand-alone"/>
              <w:spacing w:before="0"/>
              <w:rPr>
                <w:color w:val="016794"/>
              </w:rPr>
            </w:pPr>
            <w:r>
              <w:rPr>
                <w:color w:val="016794"/>
              </w:rPr>
              <w:t>PHNRC</w:t>
            </w:r>
          </w:p>
        </w:tc>
        <w:tc>
          <w:tcPr>
            <w:tcW w:w="7976" w:type="dxa"/>
          </w:tcPr>
          <w:p>
            <w:pPr>
              <w:pStyle w:val="DGTextstand-alone"/>
              <w:spacing w:before="0"/>
              <w:rPr>
                <w:iCs/>
              </w:rPr>
            </w:pPr>
            <w:r>
              <w:t>Politique de haut niveau en matière de risques et de conformité</w:t>
            </w:r>
          </w:p>
        </w:tc>
      </w:tr>
      <w:tr>
        <w:tc>
          <w:tcPr>
            <w:tcW w:w="1878" w:type="dxa"/>
          </w:tcPr>
          <w:p>
            <w:pPr>
              <w:pStyle w:val="DGTextstand-alone"/>
              <w:spacing w:before="0"/>
              <w:rPr>
                <w:b/>
              </w:rPr>
            </w:pPr>
            <w:r>
              <w:rPr>
                <w:color w:val="016794"/>
              </w:rPr>
              <w:t>PIB</w:t>
            </w:r>
          </w:p>
        </w:tc>
        <w:tc>
          <w:tcPr>
            <w:tcW w:w="7976" w:type="dxa"/>
          </w:tcPr>
          <w:p>
            <w:pPr>
              <w:pStyle w:val="DGTextstand-alone"/>
              <w:spacing w:before="0"/>
            </w:pPr>
            <w:r>
              <w:t>Produit intérieur brut</w:t>
            </w:r>
          </w:p>
        </w:tc>
      </w:tr>
      <w:tr>
        <w:tc>
          <w:tcPr>
            <w:tcW w:w="1878" w:type="dxa"/>
          </w:tcPr>
          <w:p>
            <w:pPr>
              <w:pStyle w:val="DGTextstand-alone"/>
              <w:spacing w:before="0"/>
              <w:jc w:val="left"/>
              <w:rPr>
                <w:color w:val="016794"/>
              </w:rPr>
            </w:pPr>
            <w:r>
              <w:rPr>
                <w:color w:val="016794"/>
              </w:rPr>
              <w:t>PIC</w:t>
            </w:r>
          </w:p>
        </w:tc>
        <w:tc>
          <w:tcPr>
            <w:tcW w:w="7976" w:type="dxa"/>
          </w:tcPr>
          <w:p>
            <w:pPr>
              <w:pStyle w:val="DGTextstand-alone"/>
              <w:spacing w:before="0"/>
              <w:jc w:val="left"/>
              <w:rPr>
                <w:color w:val="016794"/>
              </w:rPr>
            </w:pPr>
            <w:r>
              <w:t>Programme-cadre pour l’innovation et la compétitivité</w:t>
            </w:r>
          </w:p>
        </w:tc>
      </w:tr>
      <w:tr>
        <w:tc>
          <w:tcPr>
            <w:tcW w:w="1878" w:type="dxa"/>
          </w:tcPr>
          <w:p>
            <w:pPr>
              <w:pStyle w:val="DGTextstand-alone"/>
              <w:spacing w:before="0"/>
            </w:pPr>
            <w:r>
              <w:rPr>
                <w:color w:val="016794"/>
              </w:rPr>
              <w:t>PME</w:t>
            </w:r>
          </w:p>
        </w:tc>
        <w:tc>
          <w:tcPr>
            <w:tcW w:w="7976" w:type="dxa"/>
          </w:tcPr>
          <w:p>
            <w:pPr>
              <w:pStyle w:val="DGTextstand-alone"/>
              <w:spacing w:before="0"/>
            </w:pPr>
            <w:r>
              <w:rPr>
                <w:rStyle w:val="st1"/>
              </w:rPr>
              <w:t>Petite(s) et moyenne(s) entreprise(s)</w:t>
            </w:r>
          </w:p>
        </w:tc>
      </w:tr>
      <w:tr>
        <w:tc>
          <w:tcPr>
            <w:tcW w:w="1878" w:type="dxa"/>
          </w:tcPr>
          <w:p>
            <w:pPr>
              <w:pStyle w:val="DGTextstand-alone"/>
              <w:spacing w:before="0"/>
              <w:rPr>
                <w:color w:val="016794"/>
              </w:rPr>
            </w:pPr>
            <w:r>
              <w:rPr>
                <w:color w:val="016794"/>
              </w:rPr>
              <w:t>POCI</w:t>
            </w:r>
          </w:p>
          <w:p>
            <w:pPr>
              <w:pStyle w:val="DGTextstand-alone"/>
              <w:spacing w:before="0"/>
            </w:pPr>
            <w:r>
              <w:rPr>
                <w:color w:val="016794"/>
              </w:rPr>
              <w:t>PPP</w:t>
            </w:r>
            <w:r>
              <w:t xml:space="preserve"> </w:t>
            </w:r>
          </w:p>
        </w:tc>
        <w:tc>
          <w:tcPr>
            <w:tcW w:w="7976" w:type="dxa"/>
          </w:tcPr>
          <w:p>
            <w:pPr>
              <w:pStyle w:val="DGTextstand-alone"/>
              <w:spacing w:before="0"/>
            </w:pPr>
            <w:r>
              <w:t>Prêts dépréciés dès leur acquisition ou leur création</w:t>
            </w:r>
          </w:p>
          <w:p>
            <w:pPr>
              <w:pStyle w:val="DGTextstand-alone"/>
              <w:spacing w:before="0"/>
            </w:pPr>
            <w:r>
              <w:t>Partenariat public-privé</w:t>
            </w:r>
          </w:p>
        </w:tc>
      </w:tr>
      <w:tr>
        <w:tc>
          <w:tcPr>
            <w:tcW w:w="1878" w:type="dxa"/>
          </w:tcPr>
          <w:p>
            <w:pPr>
              <w:pStyle w:val="DGTextstand-alone"/>
              <w:spacing w:before="0"/>
            </w:pPr>
            <w:r>
              <w:rPr>
                <w:color w:val="016794"/>
              </w:rPr>
              <w:t>PSEO</w:t>
            </w:r>
            <w:r>
              <w:t xml:space="preserve"> </w:t>
            </w:r>
          </w:p>
        </w:tc>
        <w:tc>
          <w:tcPr>
            <w:tcW w:w="7976" w:type="dxa"/>
          </w:tcPr>
          <w:p>
            <w:pPr>
              <w:pStyle w:val="DGTextstand-alone"/>
              <w:spacing w:before="0"/>
            </w:pPr>
            <w:r>
              <w:t xml:space="preserve">Régime de pension des fonctionnaires européens </w:t>
            </w:r>
          </w:p>
        </w:tc>
      </w:tr>
      <w:tr>
        <w:tc>
          <w:tcPr>
            <w:tcW w:w="1878" w:type="dxa"/>
          </w:tcPr>
          <w:p>
            <w:pPr>
              <w:pStyle w:val="DGTextstand-alone"/>
              <w:spacing w:before="0"/>
              <w:jc w:val="left"/>
              <w:rPr>
                <w:color w:val="016794"/>
              </w:rPr>
            </w:pPr>
            <w:r>
              <w:rPr>
                <w:color w:val="016794"/>
              </w:rPr>
              <w:t>RAA</w:t>
            </w:r>
          </w:p>
        </w:tc>
        <w:tc>
          <w:tcPr>
            <w:tcW w:w="7976" w:type="dxa"/>
          </w:tcPr>
          <w:p>
            <w:pPr>
              <w:pStyle w:val="DGTextstand-alone"/>
              <w:spacing w:before="0"/>
              <w:jc w:val="left"/>
              <w:rPr>
                <w:color w:val="016794"/>
              </w:rPr>
            </w:pPr>
            <w:r>
              <w:t>Rapport annuel d’activités</w:t>
            </w:r>
          </w:p>
        </w:tc>
      </w:tr>
      <w:tr>
        <w:tc>
          <w:tcPr>
            <w:tcW w:w="1878" w:type="dxa"/>
          </w:tcPr>
          <w:p>
            <w:pPr>
              <w:pStyle w:val="DGTextstand-alone"/>
              <w:spacing w:before="0"/>
            </w:pPr>
            <w:r>
              <w:rPr>
                <w:color w:val="016794"/>
              </w:rPr>
              <w:t>RAL</w:t>
            </w:r>
          </w:p>
        </w:tc>
        <w:tc>
          <w:tcPr>
            <w:tcW w:w="7976" w:type="dxa"/>
          </w:tcPr>
          <w:p>
            <w:pPr>
              <w:pStyle w:val="DGTextstand-alone"/>
              <w:spacing w:before="0"/>
            </w:pPr>
            <w:r>
              <w:t>«Reste à liquider» (engagements restant à liquider)</w:t>
            </w:r>
          </w:p>
        </w:tc>
      </w:tr>
      <w:tr>
        <w:tc>
          <w:tcPr>
            <w:tcW w:w="1878" w:type="dxa"/>
          </w:tcPr>
          <w:p>
            <w:pPr>
              <w:pStyle w:val="DGTextstand-alone"/>
              <w:spacing w:before="0"/>
              <w:rPr>
                <w:color w:val="016794"/>
              </w:rPr>
            </w:pPr>
            <w:r>
              <w:rPr>
                <w:color w:val="016794"/>
              </w:rPr>
              <w:t>RCAM</w:t>
            </w:r>
          </w:p>
          <w:p>
            <w:pPr>
              <w:pStyle w:val="DGTextstand-alone"/>
              <w:spacing w:before="0"/>
              <w:rPr>
                <w:rFonts w:cs="Calibri"/>
              </w:rPr>
            </w:pPr>
            <w:r>
              <w:rPr>
                <w:color w:val="016794"/>
              </w:rPr>
              <w:t>EC</w:t>
            </w:r>
            <w:r>
              <w:t xml:space="preserve"> </w:t>
            </w:r>
          </w:p>
        </w:tc>
        <w:tc>
          <w:tcPr>
            <w:tcW w:w="7976" w:type="dxa"/>
          </w:tcPr>
          <w:p>
            <w:pPr>
              <w:pStyle w:val="DGTextstand-alone"/>
              <w:spacing w:before="0"/>
              <w:rPr>
                <w:rFonts w:cs="Calibri"/>
              </w:rPr>
            </w:pPr>
            <w:r>
              <w:t>Régime commun d’assurance maladie</w:t>
            </w:r>
          </w:p>
          <w:p>
            <w:pPr>
              <w:pStyle w:val="DGTextstand-alone"/>
              <w:spacing w:before="0"/>
              <w:rPr>
                <w:rFonts w:cs="Calibri"/>
              </w:rPr>
            </w:pPr>
            <w:r>
              <w:t>Entreprise commune</w:t>
            </w:r>
          </w:p>
        </w:tc>
      </w:tr>
      <w:tr>
        <w:tc>
          <w:tcPr>
            <w:tcW w:w="1878" w:type="dxa"/>
          </w:tcPr>
          <w:p>
            <w:pPr>
              <w:pStyle w:val="DGTextstand-alone"/>
              <w:spacing w:before="0"/>
            </w:pPr>
            <w:r>
              <w:rPr>
                <w:color w:val="016794"/>
              </w:rPr>
              <w:t>RDT</w:t>
            </w:r>
            <w:r>
              <w:t xml:space="preserve"> </w:t>
            </w:r>
          </w:p>
        </w:tc>
        <w:tc>
          <w:tcPr>
            <w:tcW w:w="7976" w:type="dxa"/>
          </w:tcPr>
          <w:p>
            <w:pPr>
              <w:pStyle w:val="DGTextstand-alone"/>
              <w:spacing w:before="0"/>
            </w:pPr>
            <w:r>
              <w:t>Recherche, développement technologique et démonstration</w:t>
            </w:r>
          </w:p>
        </w:tc>
      </w:tr>
      <w:tr>
        <w:tc>
          <w:tcPr>
            <w:tcW w:w="1878" w:type="dxa"/>
          </w:tcPr>
          <w:p>
            <w:pPr>
              <w:pStyle w:val="DGTextstand-alone"/>
              <w:spacing w:before="0"/>
            </w:pPr>
            <w:r>
              <w:rPr>
                <w:color w:val="016794"/>
              </w:rPr>
              <w:t>RF</w:t>
            </w:r>
            <w:r>
              <w:t xml:space="preserve"> </w:t>
            </w:r>
          </w:p>
        </w:tc>
        <w:tc>
          <w:tcPr>
            <w:tcW w:w="7976" w:type="dxa"/>
          </w:tcPr>
          <w:p>
            <w:pPr>
              <w:pStyle w:val="DGTextstand-alone"/>
              <w:spacing w:before="0"/>
            </w:pPr>
            <w:r>
              <w:t>Règlement financier de l’UE</w:t>
            </w:r>
          </w:p>
        </w:tc>
      </w:tr>
      <w:tr>
        <w:tc>
          <w:tcPr>
            <w:tcW w:w="1878" w:type="dxa"/>
          </w:tcPr>
          <w:p>
            <w:pPr>
              <w:pStyle w:val="DGTextstand-alone"/>
              <w:spacing w:before="0"/>
            </w:pPr>
            <w:r>
              <w:rPr>
                <w:color w:val="016794"/>
              </w:rPr>
              <w:t>RNB</w:t>
            </w:r>
            <w:r>
              <w:t xml:space="preserve"> </w:t>
            </w:r>
          </w:p>
        </w:tc>
        <w:tc>
          <w:tcPr>
            <w:tcW w:w="7976" w:type="dxa"/>
          </w:tcPr>
          <w:p>
            <w:pPr>
              <w:pStyle w:val="DGTextstand-alone"/>
              <w:spacing w:before="0"/>
            </w:pPr>
            <w:r>
              <w:t>Revenu national brut</w:t>
            </w:r>
          </w:p>
        </w:tc>
      </w:tr>
      <w:tr>
        <w:tc>
          <w:tcPr>
            <w:tcW w:w="1878" w:type="dxa"/>
          </w:tcPr>
          <w:p>
            <w:pPr>
              <w:pStyle w:val="DGTextstand-alone"/>
              <w:spacing w:before="0"/>
              <w:jc w:val="left"/>
              <w:rPr>
                <w:color w:val="016794"/>
              </w:rPr>
            </w:pPr>
            <w:r>
              <w:rPr>
                <w:color w:val="016794"/>
              </w:rPr>
              <w:t>RPDC</w:t>
            </w:r>
          </w:p>
        </w:tc>
        <w:tc>
          <w:tcPr>
            <w:tcW w:w="7976" w:type="dxa"/>
          </w:tcPr>
          <w:p>
            <w:pPr>
              <w:pStyle w:val="DGTextstand-alone"/>
              <w:spacing w:before="0"/>
              <w:jc w:val="left"/>
            </w:pPr>
            <w:r>
              <w:t>Règlement portant dispositions communes</w:t>
            </w:r>
          </w:p>
        </w:tc>
      </w:tr>
      <w:tr>
        <w:tc>
          <w:tcPr>
            <w:tcW w:w="1878" w:type="dxa"/>
          </w:tcPr>
          <w:p>
            <w:pPr>
              <w:pStyle w:val="DGTextstand-alone"/>
              <w:spacing w:before="0"/>
            </w:pPr>
            <w:r>
              <w:rPr>
                <w:color w:val="016794"/>
              </w:rPr>
              <w:t>RPT</w:t>
            </w:r>
            <w:r>
              <w:t xml:space="preserve"> </w:t>
            </w:r>
          </w:p>
        </w:tc>
        <w:tc>
          <w:tcPr>
            <w:tcW w:w="7976" w:type="dxa"/>
          </w:tcPr>
          <w:p>
            <w:pPr>
              <w:pStyle w:val="DGTextstand-alone"/>
              <w:spacing w:before="0"/>
            </w:pPr>
            <w:r>
              <w:t>Ressources propres traditionnelles</w:t>
            </w:r>
          </w:p>
        </w:tc>
      </w:tr>
      <w:tr>
        <w:tc>
          <w:tcPr>
            <w:tcW w:w="1878" w:type="dxa"/>
          </w:tcPr>
          <w:p>
            <w:pPr>
              <w:pStyle w:val="DGTextstand-alone"/>
              <w:spacing w:before="0"/>
            </w:pPr>
            <w:r>
              <w:rPr>
                <w:color w:val="016794"/>
              </w:rPr>
              <w:t>S&amp;P</w:t>
            </w:r>
            <w:r>
              <w:t xml:space="preserve"> </w:t>
            </w:r>
          </w:p>
        </w:tc>
        <w:tc>
          <w:tcPr>
            <w:tcW w:w="7976" w:type="dxa"/>
          </w:tcPr>
          <w:p>
            <w:pPr>
              <w:pStyle w:val="DGTextstand-alone"/>
              <w:spacing w:before="0"/>
              <w:rPr>
                <w:lang w:val="en-IE"/>
              </w:rPr>
            </w:pPr>
            <w:r>
              <w:rPr>
                <w:i/>
                <w:lang w:val="en-IE"/>
              </w:rPr>
              <w:t>Standard &amp; Poor's Financial Services LLC</w:t>
            </w:r>
          </w:p>
        </w:tc>
      </w:tr>
      <w:tr>
        <w:tc>
          <w:tcPr>
            <w:tcW w:w="1878" w:type="dxa"/>
          </w:tcPr>
          <w:p>
            <w:pPr>
              <w:pStyle w:val="DGTextstand-alone"/>
              <w:spacing w:before="0"/>
              <w:rPr>
                <w:color w:val="016794"/>
              </w:rPr>
            </w:pPr>
            <w:r>
              <w:rPr>
                <w:color w:val="016794"/>
              </w:rPr>
              <w:t>SAFE</w:t>
            </w:r>
            <w:r>
              <w:t xml:space="preserve"> </w:t>
            </w:r>
          </w:p>
        </w:tc>
        <w:tc>
          <w:tcPr>
            <w:tcW w:w="7976" w:type="dxa"/>
          </w:tcPr>
          <w:p>
            <w:pPr>
              <w:pStyle w:val="DGTextstand-alone"/>
              <w:spacing w:before="0"/>
              <w:rPr>
                <w:bCs/>
              </w:rPr>
            </w:pPr>
            <w:r>
              <w:t>Agir pour la sécurité de l’Europe</w:t>
            </w:r>
          </w:p>
        </w:tc>
      </w:tr>
      <w:tr>
        <w:tc>
          <w:tcPr>
            <w:tcW w:w="1878" w:type="dxa"/>
          </w:tcPr>
          <w:p>
            <w:pPr>
              <w:pStyle w:val="DGTextstand-alone"/>
              <w:spacing w:before="0"/>
            </w:pPr>
            <w:r>
              <w:rPr>
                <w:color w:val="016794"/>
              </w:rPr>
              <w:t>SANAD</w:t>
            </w:r>
            <w:r>
              <w:t xml:space="preserve"> </w:t>
            </w:r>
          </w:p>
        </w:tc>
        <w:tc>
          <w:tcPr>
            <w:tcW w:w="7976" w:type="dxa"/>
          </w:tcPr>
          <w:p>
            <w:pPr>
              <w:pStyle w:val="DGTextstand-alone"/>
              <w:spacing w:before="0"/>
            </w:pPr>
            <w:r>
              <w:t>Fonds MENA pour micro, petites et moyennes entreprises</w:t>
            </w:r>
          </w:p>
        </w:tc>
      </w:tr>
      <w:tr>
        <w:tc>
          <w:tcPr>
            <w:tcW w:w="1878" w:type="dxa"/>
          </w:tcPr>
          <w:p>
            <w:pPr>
              <w:pStyle w:val="DGTextstand-alone"/>
              <w:spacing w:before="0"/>
              <w:rPr>
                <w:iCs/>
              </w:rPr>
            </w:pPr>
            <w:r>
              <w:rPr>
                <w:color w:val="016794"/>
              </w:rPr>
              <w:t>SAPARD</w:t>
            </w:r>
            <w:r>
              <w:t xml:space="preserve"> </w:t>
            </w:r>
          </w:p>
        </w:tc>
        <w:tc>
          <w:tcPr>
            <w:tcW w:w="7976" w:type="dxa"/>
          </w:tcPr>
          <w:p>
            <w:pPr>
              <w:pStyle w:val="DGTextstand-alone"/>
              <w:spacing w:before="0"/>
            </w:pPr>
            <w:r>
              <w:t xml:space="preserve">Programme spécial d’adhésion pour l’agriculture et le développement rural </w:t>
            </w:r>
          </w:p>
        </w:tc>
      </w:tr>
      <w:tr>
        <w:tc>
          <w:tcPr>
            <w:tcW w:w="1878" w:type="dxa"/>
          </w:tcPr>
          <w:p>
            <w:pPr>
              <w:pStyle w:val="DGTextstand-alone"/>
              <w:spacing w:before="0"/>
              <w:jc w:val="left"/>
              <w:rPr>
                <w:color w:val="016794"/>
              </w:rPr>
            </w:pPr>
            <w:r>
              <w:rPr>
                <w:color w:val="016794"/>
              </w:rPr>
              <w:t>SEAE</w:t>
            </w:r>
          </w:p>
        </w:tc>
        <w:tc>
          <w:tcPr>
            <w:tcW w:w="7976" w:type="dxa"/>
          </w:tcPr>
          <w:p>
            <w:pPr>
              <w:pStyle w:val="DGTextstand-alone"/>
              <w:spacing w:before="0"/>
              <w:jc w:val="left"/>
            </w:pPr>
            <w:r>
              <w:t>Service européen pour l’action extérieure</w:t>
            </w:r>
          </w:p>
        </w:tc>
      </w:tr>
      <w:tr>
        <w:tc>
          <w:tcPr>
            <w:tcW w:w="1878" w:type="dxa"/>
          </w:tcPr>
          <w:p>
            <w:pPr>
              <w:pStyle w:val="DGTextstand-alone"/>
              <w:spacing w:before="0"/>
            </w:pPr>
            <w:r>
              <w:rPr>
                <w:color w:val="016794"/>
              </w:rPr>
              <w:t>SEMED</w:t>
            </w:r>
            <w:r>
              <w:t xml:space="preserve"> </w:t>
            </w:r>
          </w:p>
        </w:tc>
        <w:tc>
          <w:tcPr>
            <w:tcW w:w="7976" w:type="dxa"/>
          </w:tcPr>
          <w:p>
            <w:pPr>
              <w:pStyle w:val="DGTextstand-alone"/>
              <w:spacing w:before="0"/>
            </w:pPr>
            <w:r>
              <w:t>Programme d’inclusion financière pour les MPME des pays du sud et de l’est de la Méditerranée</w:t>
            </w:r>
          </w:p>
        </w:tc>
      </w:tr>
      <w:tr>
        <w:tc>
          <w:tcPr>
            <w:tcW w:w="1878" w:type="dxa"/>
          </w:tcPr>
          <w:p>
            <w:pPr>
              <w:pStyle w:val="DGTextstand-alone"/>
              <w:spacing w:before="0"/>
              <w:rPr>
                <w:color w:val="016794"/>
              </w:rPr>
            </w:pPr>
            <w:r>
              <w:rPr>
                <w:color w:val="016794"/>
              </w:rPr>
              <w:lastRenderedPageBreak/>
              <w:t>SEQE</w:t>
            </w:r>
          </w:p>
          <w:p>
            <w:pPr>
              <w:pStyle w:val="DGTextstand-alone"/>
              <w:spacing w:before="0"/>
            </w:pPr>
            <w:r>
              <w:rPr>
                <w:color w:val="016794"/>
              </w:rPr>
              <w:t>UE</w:t>
            </w:r>
            <w:r>
              <w:t xml:space="preserve"> </w:t>
            </w:r>
          </w:p>
        </w:tc>
        <w:tc>
          <w:tcPr>
            <w:tcW w:w="7976" w:type="dxa"/>
          </w:tcPr>
          <w:p>
            <w:pPr>
              <w:pStyle w:val="DGTextstand-alone"/>
              <w:spacing w:before="0"/>
            </w:pPr>
            <w:r>
              <w:t>Système d’échange de quotas d’émission de l’UE</w:t>
            </w:r>
          </w:p>
          <w:p>
            <w:pPr>
              <w:pStyle w:val="DGTextstand-alone"/>
              <w:spacing w:before="0"/>
            </w:pPr>
            <w:r>
              <w:t>Union européenne</w:t>
            </w:r>
          </w:p>
        </w:tc>
      </w:tr>
      <w:tr>
        <w:tc>
          <w:tcPr>
            <w:tcW w:w="1878" w:type="dxa"/>
          </w:tcPr>
          <w:p>
            <w:pPr>
              <w:pStyle w:val="DGTextstand-alone"/>
              <w:spacing w:before="0"/>
              <w:rPr>
                <w:iCs/>
              </w:rPr>
            </w:pPr>
            <w:r>
              <w:rPr>
                <w:color w:val="016794"/>
              </w:rPr>
              <w:t>SIUGI</w:t>
            </w:r>
            <w:r>
              <w:t xml:space="preserve"> </w:t>
            </w:r>
          </w:p>
        </w:tc>
        <w:tc>
          <w:tcPr>
            <w:tcW w:w="7976" w:type="dxa"/>
          </w:tcPr>
          <w:p>
            <w:pPr>
              <w:pStyle w:val="DGTextstand-alone"/>
              <w:spacing w:before="0"/>
              <w:rPr>
                <w:iCs/>
              </w:rPr>
            </w:pPr>
            <w:r>
              <w:t>Instrument de garantie non plafonnée dans le cadre de l’initiative PME</w:t>
            </w:r>
          </w:p>
        </w:tc>
      </w:tr>
      <w:tr>
        <w:tc>
          <w:tcPr>
            <w:tcW w:w="1878" w:type="dxa"/>
          </w:tcPr>
          <w:p>
            <w:pPr>
              <w:pStyle w:val="DGTextstand-alone"/>
              <w:spacing w:before="0"/>
            </w:pPr>
            <w:r>
              <w:rPr>
                <w:color w:val="016794"/>
              </w:rPr>
              <w:t>SMEW</w:t>
            </w:r>
            <w:r>
              <w:t xml:space="preserve"> </w:t>
            </w:r>
          </w:p>
        </w:tc>
        <w:tc>
          <w:tcPr>
            <w:tcW w:w="7976" w:type="dxa"/>
          </w:tcPr>
          <w:p>
            <w:pPr>
              <w:pStyle w:val="DGTextstand-alone"/>
              <w:spacing w:before="0"/>
            </w:pPr>
            <w:r>
              <w:t>Volet «PME» (volet «Petites et moyennes entreprises»)</w:t>
            </w:r>
          </w:p>
        </w:tc>
      </w:tr>
      <w:tr>
        <w:tc>
          <w:tcPr>
            <w:tcW w:w="1878" w:type="dxa"/>
          </w:tcPr>
          <w:p>
            <w:pPr>
              <w:pStyle w:val="DGTextstand-alone"/>
              <w:spacing w:before="0"/>
              <w:rPr>
                <w:color w:val="016794"/>
              </w:rPr>
            </w:pPr>
            <w:r>
              <w:rPr>
                <w:color w:val="016794"/>
              </w:rPr>
              <w:t>STEP</w:t>
            </w:r>
          </w:p>
          <w:p>
            <w:pPr>
              <w:pStyle w:val="DGTextstand-alone"/>
              <w:spacing w:before="0"/>
              <w:rPr>
                <w:color w:val="016794"/>
              </w:rPr>
            </w:pPr>
            <w:r>
              <w:rPr>
                <w:color w:val="016794"/>
              </w:rPr>
              <w:t>SURE</w:t>
            </w:r>
          </w:p>
        </w:tc>
        <w:tc>
          <w:tcPr>
            <w:tcW w:w="7976" w:type="dxa"/>
          </w:tcPr>
          <w:p>
            <w:pPr>
              <w:pStyle w:val="DGTextstand-alone"/>
              <w:spacing w:before="0"/>
            </w:pPr>
            <w:r>
              <w:t>Plateforme «Technologies stratégiques pour l’Europe»</w:t>
            </w:r>
          </w:p>
          <w:p>
            <w:pPr>
              <w:pStyle w:val="DGTextstand-alone"/>
              <w:spacing w:before="0"/>
            </w:pPr>
            <w:r>
              <w:t>Soutien à l’atténuation des risques de chômage en situation d’urgence</w:t>
            </w:r>
          </w:p>
        </w:tc>
      </w:tr>
      <w:tr>
        <w:tc>
          <w:tcPr>
            <w:tcW w:w="1878" w:type="dxa"/>
          </w:tcPr>
          <w:p>
            <w:pPr>
              <w:pStyle w:val="DGTextstand-alone"/>
              <w:spacing w:before="0"/>
            </w:pPr>
            <w:r>
              <w:rPr>
                <w:color w:val="016794"/>
              </w:rPr>
              <w:t>TFUE</w:t>
            </w:r>
            <w:r>
              <w:t xml:space="preserve"> </w:t>
            </w:r>
          </w:p>
        </w:tc>
        <w:tc>
          <w:tcPr>
            <w:tcW w:w="7976" w:type="dxa"/>
          </w:tcPr>
          <w:p>
            <w:pPr>
              <w:pStyle w:val="DGTextstand-alone"/>
              <w:spacing w:before="0"/>
            </w:pPr>
            <w:r>
              <w:t>Traité sur le fonctionnement de l’Union européenne</w:t>
            </w:r>
          </w:p>
        </w:tc>
      </w:tr>
      <w:tr>
        <w:tc>
          <w:tcPr>
            <w:tcW w:w="1878" w:type="dxa"/>
          </w:tcPr>
          <w:p>
            <w:pPr>
              <w:pStyle w:val="DGTextstand-alone"/>
              <w:spacing w:before="0"/>
              <w:rPr>
                <w:rFonts w:cs="Calibri"/>
              </w:rPr>
            </w:pPr>
            <w:r>
              <w:rPr>
                <w:color w:val="016794"/>
              </w:rPr>
              <w:t>TI</w:t>
            </w:r>
            <w:r>
              <w:t xml:space="preserve"> </w:t>
            </w:r>
          </w:p>
        </w:tc>
        <w:tc>
          <w:tcPr>
            <w:tcW w:w="7976" w:type="dxa"/>
          </w:tcPr>
          <w:p>
            <w:pPr>
              <w:pStyle w:val="DGTextstand-alone"/>
              <w:spacing w:before="0"/>
              <w:rPr>
                <w:rFonts w:cs="Calibri"/>
              </w:rPr>
            </w:pPr>
            <w:r>
              <w:t>Technologies de l’information</w:t>
            </w:r>
          </w:p>
        </w:tc>
      </w:tr>
      <w:tr>
        <w:tc>
          <w:tcPr>
            <w:tcW w:w="1878" w:type="dxa"/>
          </w:tcPr>
          <w:p>
            <w:pPr>
              <w:pStyle w:val="DGTextstand-alone"/>
              <w:spacing w:before="0"/>
            </w:pPr>
            <w:r>
              <w:rPr>
                <w:color w:val="016794"/>
              </w:rPr>
              <w:t>TVA</w:t>
            </w:r>
            <w:r>
              <w:t xml:space="preserve"> </w:t>
            </w:r>
          </w:p>
        </w:tc>
        <w:tc>
          <w:tcPr>
            <w:tcW w:w="7976" w:type="dxa"/>
          </w:tcPr>
          <w:p>
            <w:pPr>
              <w:pStyle w:val="DGTextstand-alone"/>
              <w:spacing w:before="0"/>
            </w:pPr>
            <w:r>
              <w:t>Taxe sur la valeur ajoutée</w:t>
            </w:r>
          </w:p>
        </w:tc>
      </w:tr>
      <w:tr>
        <w:tc>
          <w:tcPr>
            <w:tcW w:w="1878" w:type="dxa"/>
          </w:tcPr>
          <w:p>
            <w:pPr>
              <w:pStyle w:val="DGTextstand-alone"/>
              <w:spacing w:before="0"/>
            </w:pPr>
            <w:r>
              <w:rPr>
                <w:color w:val="016794"/>
              </w:rPr>
              <w:t>UEM</w:t>
            </w:r>
            <w:r>
              <w:t xml:space="preserve"> </w:t>
            </w:r>
          </w:p>
        </w:tc>
        <w:tc>
          <w:tcPr>
            <w:tcW w:w="7976" w:type="dxa"/>
          </w:tcPr>
          <w:p>
            <w:pPr>
              <w:pStyle w:val="DGTextstand-alone"/>
              <w:spacing w:before="0"/>
            </w:pPr>
            <w:r>
              <w:t>Union économique et monétaire</w:t>
            </w:r>
          </w:p>
        </w:tc>
      </w:tr>
    </w:tbl>
    <w:p>
      <w:pPr>
        <w:pStyle w:val="DGTextstand-alone"/>
        <w:spacing w:after="0"/>
      </w:pPr>
      <w:r>
        <w:tab/>
        <w:t xml:space="preserve"> </w:t>
      </w:r>
      <w:bookmarkEnd w:id="1"/>
      <w:bookmarkEnd w:id="359"/>
    </w:p>
    <w:sectPr>
      <w:headerReference w:type="default" r:id="rId193"/>
      <w:footerReference w:type="default" r:id="rId194"/>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EC Square Sans Pro">
    <w:altName w:val="Calibri"/>
    <w:charset w:val="00"/>
    <w:family w:val="swiss"/>
    <w:pitch w:val="variable"/>
    <w:sig w:usb0="20000287" w:usb1="00000001" w:usb2="00000000" w:usb3="00000000" w:csb0="0000019F" w:csb1="00000000"/>
  </w:font>
  <w:font w:name="DejaVuSansCondensed-Bold">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b/>
        <w:sz w:val="48"/>
      </w:rPr>
      <w:t>FR</w:t>
    </w:r>
    <w:r>
      <w:rPr>
        <w:rFonts w:ascii="Arial" w:hAnsi="Arial"/>
        <w:b/>
        <w:sz w:val="48"/>
      </w:rPr>
      <w:tab/>
    </w:r>
    <w:r>
      <w:rPr>
        <w:rFonts w:ascii="Arial" w:hAnsi="Arial"/>
        <w:b/>
        <w:sz w:val="48"/>
      </w:rPr>
      <w:tab/>
    </w:r>
    <w:r>
      <w:tab/>
    </w:r>
    <w:r>
      <w:rPr>
        <w:rFonts w:ascii="Arial" w:hAnsi="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17792" behindDoc="1" locked="0" layoutInCell="1" allowOverlap="1">
              <wp:simplePos x="0" y="0"/>
              <wp:positionH relativeFrom="page">
                <wp:align>center</wp:align>
              </wp:positionH>
              <wp:positionV relativeFrom="paragraph">
                <wp:posOffset>4445</wp:posOffset>
              </wp:positionV>
              <wp:extent cx="403200" cy="795600"/>
              <wp:effectExtent l="0" t="0" r="16510" b="24130"/>
              <wp:wrapNone/>
              <wp:docPr id="2"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http://schemas.openxmlformats.org/drawingml/2006/main">
          <w:pict>
            <v:rect id="Rectangle 3" style="position:absolute;margin-left:0;margin-top:.35pt;width:31.75pt;height:62.65pt;z-index:-25169868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w14:anchorId="527C2280">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43</w:t>
    </w:r>
    <w:r>
      <w:rPr>
        <w:rFonts w:ascii="Verdana" w:hAnsi="Verdana"/>
        <w:b/>
        <w:color w:val="FFFFFF"/>
        <w:sz w:val="18"/>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24960" behindDoc="1" locked="0" layoutInCell="1" allowOverlap="1">
              <wp:simplePos x="0" y="0"/>
              <wp:positionH relativeFrom="page">
                <wp:align>center</wp:align>
              </wp:positionH>
              <wp:positionV relativeFrom="paragraph">
                <wp:posOffset>4445</wp:posOffset>
              </wp:positionV>
              <wp:extent cx="403200" cy="795600"/>
              <wp:effectExtent l="0" t="0" r="16510" b="24130"/>
              <wp:wrapNone/>
              <wp:docPr id="827410777"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http://schemas.openxmlformats.org/drawingml/2006/main">
          <w:pict>
            <v:rect id="Rectangle 3" style="position:absolute;margin-left:0;margin-top:.35pt;width:31.75pt;height:62.65pt;z-index:-25169152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w14:anchorId="43562861">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43</w:t>
    </w:r>
    <w:r>
      <w:rPr>
        <w:rFonts w:ascii="Verdana" w:hAnsi="Verdana"/>
        <w:b/>
        <w:color w:val="FFFFFF"/>
        <w:sz w:val="18"/>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25984" behindDoc="1" locked="0" layoutInCell="1" allowOverlap="1">
              <wp:simplePos x="0" y="0"/>
              <wp:positionH relativeFrom="page">
                <wp:align>center</wp:align>
              </wp:positionH>
              <wp:positionV relativeFrom="paragraph">
                <wp:posOffset>4445</wp:posOffset>
              </wp:positionV>
              <wp:extent cx="403200" cy="795600"/>
              <wp:effectExtent l="0" t="0" r="16510" b="24130"/>
              <wp:wrapNone/>
              <wp:docPr id="987193141"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http://schemas.openxmlformats.org/drawingml/2006/main">
          <w:pict>
            <v:rect id="Rectangle 3" style="position:absolute;margin-left:0;margin-top:.35pt;width:31.75pt;height:62.65pt;z-index:-25169049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w14:anchorId="557DDEB8">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43</w:t>
    </w:r>
    <w:r>
      <w:rPr>
        <w:rFonts w:ascii="Verdana" w:hAnsi="Verdana"/>
        <w:b/>
        <w:color w:val="FFFFFF"/>
        <w:sz w:val="18"/>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27008" behindDoc="1" locked="0" layoutInCell="1" allowOverlap="1">
              <wp:simplePos x="0" y="0"/>
              <wp:positionH relativeFrom="page">
                <wp:align>center</wp:align>
              </wp:positionH>
              <wp:positionV relativeFrom="paragraph">
                <wp:posOffset>4445</wp:posOffset>
              </wp:positionV>
              <wp:extent cx="403200" cy="795600"/>
              <wp:effectExtent l="0" t="0" r="16510" b="24130"/>
              <wp:wrapNone/>
              <wp:docPr id="1312987095"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http://schemas.openxmlformats.org/drawingml/2006/main">
          <w:pict>
            <v:rect id="Rectangle 3" style="position:absolute;margin-left:0;margin-top:.35pt;width:31.75pt;height:62.65pt;z-index:-25168947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w14:anchorId="660FE549">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43</w:t>
    </w:r>
    <w:r>
      <w:rPr>
        <w:rFonts w:ascii="Verdana" w:hAnsi="Verdana"/>
        <w:b/>
        <w:color w:val="FFFFFF"/>
        <w:sz w:val="18"/>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28032" behindDoc="1" locked="0" layoutInCell="1" allowOverlap="1">
              <wp:simplePos x="0" y="0"/>
              <wp:positionH relativeFrom="page">
                <wp:align>center</wp:align>
              </wp:positionH>
              <wp:positionV relativeFrom="paragraph">
                <wp:posOffset>4445</wp:posOffset>
              </wp:positionV>
              <wp:extent cx="403200" cy="795600"/>
              <wp:effectExtent l="0" t="0" r="16510" b="24130"/>
              <wp:wrapNone/>
              <wp:docPr id="72362335"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http://schemas.openxmlformats.org/drawingml/2006/main">
          <w:pict>
            <v:rect id="Rectangle 3" style="position:absolute;margin-left:0;margin-top:.35pt;width:31.75pt;height:62.65pt;z-index:-25168844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w14:anchorId="112BCF87">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43</w:t>
    </w:r>
    <w:r>
      <w:rPr>
        <w:rFonts w:ascii="Verdana" w:hAnsi="Verdana"/>
        <w:b/>
        <w:color w:val="FFFFFF"/>
        <w:sz w:val="18"/>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29056" behindDoc="1" locked="0" layoutInCell="1" allowOverlap="1">
              <wp:simplePos x="0" y="0"/>
              <wp:positionH relativeFrom="page">
                <wp:align>center</wp:align>
              </wp:positionH>
              <wp:positionV relativeFrom="paragraph">
                <wp:posOffset>4445</wp:posOffset>
              </wp:positionV>
              <wp:extent cx="403200" cy="795600"/>
              <wp:effectExtent l="0" t="0" r="16510" b="24130"/>
              <wp:wrapNone/>
              <wp:docPr id="1383912918"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http://schemas.openxmlformats.org/drawingml/2006/main">
          <w:pict>
            <v:rect id="Rectangle 3" style="position:absolute;margin-left:0;margin-top:.35pt;width:31.75pt;height:62.65pt;z-index:-25168742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w14:anchorId="7968DEE9">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43</w:t>
    </w:r>
    <w:r>
      <w:rPr>
        <w:rFonts w:ascii="Verdana" w:hAnsi="Verdana"/>
        <w:b/>
        <w:color w:val="FFFFFF"/>
        <w:sz w:val="18"/>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30080" behindDoc="1" locked="0" layoutInCell="1" allowOverlap="1">
              <wp:simplePos x="0" y="0"/>
              <wp:positionH relativeFrom="page">
                <wp:align>center</wp:align>
              </wp:positionH>
              <wp:positionV relativeFrom="paragraph">
                <wp:posOffset>4445</wp:posOffset>
              </wp:positionV>
              <wp:extent cx="403200" cy="795600"/>
              <wp:effectExtent l="0" t="0" r="16510" b="24130"/>
              <wp:wrapNone/>
              <wp:docPr id="1508952510"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http://schemas.openxmlformats.org/drawingml/2006/main">
          <w:pict>
            <v:rect id="Rectangle 3" style="position:absolute;margin-left:0;margin-top:.35pt;width:31.75pt;height:62.65pt;z-index:-25168640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w14:anchorId="63DA4496">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43</w:t>
    </w:r>
    <w:r>
      <w:rPr>
        <w:rFonts w:ascii="Verdana" w:hAnsi="Verdana"/>
        <w:b/>
        <w:color w:val="FFFFFF"/>
        <w:sz w:val="18"/>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18816"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1"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http://schemas.openxmlformats.org/drawingml/2006/main">
          <w:pict>
            <v:rect id="Rectangle 3" style="position:absolute;margin-left:0;margin-top:6.5pt;width:31.75pt;height:62.65pt;z-index:-25169766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795DD220">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65</w:t>
    </w:r>
    <w:r>
      <w:rPr>
        <w:rFonts w:ascii="Verdana" w:hAnsi="Verdana"/>
        <w:b/>
        <w:color w:val="FFFFFF"/>
        <w:sz w:val="18"/>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31104"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2058542359"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http://schemas.openxmlformats.org/drawingml/2006/main">
          <w:pict>
            <v:rect id="Rectangle 3" style="position:absolute;margin-left:0;margin-top:6.5pt;width:31.75pt;height:62.65pt;z-index:-25168537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630AD92B">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65</w:t>
    </w:r>
    <w:r>
      <w:rPr>
        <w:rFonts w:ascii="Verdana" w:hAnsi="Verdana"/>
        <w:b/>
        <w:color w:val="FFFFFF"/>
        <w:sz w:val="18"/>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32128"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1711681723"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http://schemas.openxmlformats.org/drawingml/2006/main">
          <w:pict>
            <v:rect id="Rectangle 3" style="position:absolute;margin-left:0;margin-top:6.5pt;width:31.75pt;height:62.65pt;z-index:-25168435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678F8F83">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65</w:t>
    </w:r>
    <w:r>
      <w:rPr>
        <w:rFonts w:ascii="Verdana" w:hAnsi="Verdana"/>
        <w:b/>
        <w:color w:val="FFFFFF"/>
        <w:sz w:val="18"/>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33152"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1004738805"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http://schemas.openxmlformats.org/drawingml/2006/main">
          <w:pict>
            <v:rect id="Rectangle 3" style="position:absolute;margin-left:0;margin-top:6.5pt;width:31.75pt;height:62.65pt;z-index:-25168332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742830DA">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65</w:t>
    </w:r>
    <w:r>
      <w:rPr>
        <w:rFonts w:ascii="Verdana" w:hAnsi="Verdana"/>
        <w:b/>
        <w:color w:val="FFFFFF"/>
        <w:sz w:val="18"/>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34176"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2062417537"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http://schemas.openxmlformats.org/drawingml/2006/main">
          <w:pict>
            <v:rect id="Rectangle 3" style="position:absolute;margin-left:0;margin-top:6.5pt;width:31.75pt;height:62.65pt;z-index:-25168230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0C6742CB">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65</w:t>
    </w:r>
    <w:r>
      <w:rPr>
        <w:rFonts w:ascii="Verdana" w:hAnsi="Verdana"/>
        <w:b/>
        <w:color w:val="FFFFFF"/>
        <w:sz w:val="18"/>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35200"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374577134"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http://schemas.openxmlformats.org/drawingml/2006/main">
          <w:pict>
            <v:rect id="Rectangle 3" style="position:absolute;margin-left:0;margin-top:6.5pt;width:31.75pt;height:62.65pt;z-index:-25168128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0E10C956">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65</w:t>
    </w:r>
    <w:r>
      <w:rPr>
        <w:rFonts w:ascii="Verdana" w:hAnsi="Verdana"/>
        <w:b/>
        <w:color w:val="FFFFFF"/>
        <w:sz w:val="18"/>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19840"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1955551439"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http://schemas.openxmlformats.org/drawingml/2006/main">
          <w:pict>
            <v:rect id="Rectangle 3" style="position:absolute;margin-left:0;margin-top:6.5pt;width:31.75pt;height:62.65pt;z-index:-25169664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5DF5B935">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110</w:t>
    </w:r>
    <w:r>
      <w:rPr>
        <w:rFonts w:ascii="Verdana" w:hAnsi="Verdana"/>
        <w:b/>
        <w:color w:val="FFFFFF"/>
        <w:sz w:val="18"/>
      </w:rP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36224"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372907011"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http://schemas.openxmlformats.org/drawingml/2006/main">
          <w:pict>
            <v:rect id="Rectangle 3" style="position:absolute;margin-left:0;margin-top:6.5pt;width:31.75pt;height:62.65pt;z-index:-25168025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0D0E5EC0">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110</w:t>
    </w:r>
    <w:r>
      <w:rPr>
        <w:rFonts w:ascii="Verdana" w:hAnsi="Verdana"/>
        <w:b/>
        <w:color w:val="FFFFFF"/>
        <w:sz w:val="18"/>
      </w:rPr>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37248"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513535459"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http://schemas.openxmlformats.org/drawingml/2006/main">
          <w:pict>
            <v:rect id="Rectangle 3" style="position:absolute;margin-left:0;margin-top:6.5pt;width:31.75pt;height:62.65pt;z-index:-25167923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24217CBD">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110</w:t>
    </w:r>
    <w:r>
      <w:rPr>
        <w:rFonts w:ascii="Verdana" w:hAnsi="Verdana"/>
        <w:b/>
        <w:color w:val="FFFFFF"/>
        <w:sz w:val="18"/>
      </w:rPr>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38272"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408155045"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http://schemas.openxmlformats.org/drawingml/2006/main">
          <w:pict>
            <v:rect id="Rectangle 3" style="position:absolute;margin-left:0;margin-top:6.5pt;width:31.75pt;height:62.65pt;z-index:-25167820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78E01DCC">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110</w:t>
    </w:r>
    <w:r>
      <w:rPr>
        <w:rFonts w:ascii="Verdana" w:hAnsi="Verdana"/>
        <w:b/>
        <w:color w:val="FFFFFF"/>
        <w:sz w:val="18"/>
      </w:rP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39296"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869243878"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http://schemas.openxmlformats.org/drawingml/2006/main">
          <w:pict>
            <v:rect id="Rectangle 3" style="position:absolute;margin-left:0;margin-top:6.5pt;width:31.75pt;height:62.65pt;z-index:-25167718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324B9FD6">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110</w:t>
    </w:r>
    <w:r>
      <w:rPr>
        <w:rFonts w:ascii="Verdana" w:hAnsi="Verdana"/>
        <w:b/>
        <w:color w:val="FFFFFF"/>
        <w:sz w:val="18"/>
      </w:rPr>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40320"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660469974"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http://schemas.openxmlformats.org/drawingml/2006/main">
          <w:pict>
            <v:rect id="Rectangle 3" style="position:absolute;margin-left:0;margin-top:6.5pt;width:31.75pt;height:62.65pt;z-index:-25167616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368B6EDD">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110</w:t>
    </w:r>
    <w:r>
      <w:rPr>
        <w:rFonts w:ascii="Verdana" w:hAnsi="Verdana"/>
        <w:b/>
        <w:color w:val="FFFFFF"/>
        <w:sz w:val="18"/>
      </w:rPr>
      <w:fldChar w:fldCharType="end"/>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41344"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1248744127"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http://schemas.openxmlformats.org/drawingml/2006/main">
          <w:pict>
            <v:rect id="Rectangle 3" style="position:absolute;margin-left:0;margin-top:6.5pt;width:31.75pt;height:62.65pt;z-index:-25167513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114E3544">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110</w:t>
    </w:r>
    <w:r>
      <w:rPr>
        <w:rFonts w:ascii="Verdana" w:hAnsi="Verdana"/>
        <w:b/>
        <w:color w:val="FFFFFF"/>
        <w:sz w:val="18"/>
      </w:rP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42368"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1376955786"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http://schemas.openxmlformats.org/drawingml/2006/main">
          <w:pict>
            <v:rect id="Rectangle 3" style="position:absolute;margin-left:0;margin-top:6.5pt;width:31.75pt;height:62.65pt;z-index:-25167411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1215D745">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110</w:t>
    </w:r>
    <w:r>
      <w:rPr>
        <w:rFonts w:ascii="Verdana" w:hAnsi="Verdana"/>
        <w:b/>
        <w:color w:val="FFFFFF"/>
        <w:sz w:val="18"/>
      </w:rPr>
      <w:fldChar w:fldCharType="end"/>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43392"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1163764896"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http://schemas.openxmlformats.org/drawingml/2006/main">
          <w:pict>
            <v:rect id="Rectangle 3" style="position:absolute;margin-left:0;margin-top:6.5pt;width:31.75pt;height:62.65pt;z-index:-25167308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6F224608">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110</w:t>
    </w:r>
    <w:r>
      <w:rPr>
        <w:rFonts w:ascii="Verdana" w:hAnsi="Verdana"/>
        <w:b/>
        <w:color w:val="FFFFFF"/>
        <w:sz w:val="18"/>
      </w:rPr>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44416"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352085258"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http://schemas.openxmlformats.org/drawingml/2006/main">
          <w:pict>
            <v:rect id="Rectangle 3" style="position:absolute;margin-left:0;margin-top:6.5pt;width:31.75pt;height:62.65pt;z-index:-25167206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05E4CBAD">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110</w:t>
    </w:r>
    <w:r>
      <w:rPr>
        <w:rFonts w:ascii="Verdana" w:hAnsi="Verdana"/>
        <w:b/>
        <w:color w:val="FFFFFF"/>
        <w:sz w:val="18"/>
      </w:rPr>
      <w:fldChar w:fldCharType="end"/>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45440"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1256473366"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http://schemas.openxmlformats.org/drawingml/2006/main">
          <w:pict>
            <v:rect id="Rectangle 3" style="position:absolute;margin-left:0;margin-top:6.5pt;width:31.75pt;height:62.65pt;z-index:-25167104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3CF305E8">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110</w:t>
    </w:r>
    <w:r>
      <w:rPr>
        <w:rFonts w:ascii="Verdana" w:hAnsi="Verdana"/>
        <w:b/>
        <w:color w:val="FFFFFF"/>
        <w:sz w:val="18"/>
      </w:rPr>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46464"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550238154"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http://schemas.openxmlformats.org/drawingml/2006/main">
          <w:pict>
            <v:rect id="Rectangle 3" style="position:absolute;margin-left:0;margin-top:6.5pt;width:31.75pt;height:62.65pt;z-index:-25167001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6ACDB01C">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110</w:t>
    </w:r>
    <w:r>
      <w:rPr>
        <w:rFonts w:ascii="Verdana" w:hAnsi="Verdana"/>
        <w:b/>
        <w:color w:val="FFFFFF"/>
        <w:sz w:val="18"/>
      </w:rPr>
      <w:fldChar w:fldCharType="end"/>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47488"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1240922853"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http://schemas.openxmlformats.org/drawingml/2006/main">
          <w:pict>
            <v:rect id="Rectangle 3" style="position:absolute;margin-left:0;margin-top:6.5pt;width:31.75pt;height:62.65pt;z-index:-25166899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59670E20">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110</w:t>
    </w:r>
    <w:r>
      <w:rPr>
        <w:rFonts w:ascii="Verdana" w:hAnsi="Verdana"/>
        <w:b/>
        <w:color w:val="FFFFFF"/>
        <w:sz w:val="18"/>
      </w:rPr>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48512"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715387724"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http://schemas.openxmlformats.org/drawingml/2006/main">
          <w:pict>
            <v:rect id="Rectangle 3" style="position:absolute;margin-left:0;margin-top:6.5pt;width:31.75pt;height:62.65pt;z-index:-25166796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6091B9C2">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110</w:t>
    </w:r>
    <w:r>
      <w:rPr>
        <w:rFonts w:ascii="Verdana" w:hAnsi="Verdana"/>
        <w:b/>
        <w:color w:val="FFFFFF"/>
        <w:sz w:val="18"/>
      </w:rPr>
      <w:fldChar w:fldCharType="end"/>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49536"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2059108533"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http://schemas.openxmlformats.org/drawingml/2006/main">
          <w:pict>
            <v:rect id="Rectangle 3" style="position:absolute;margin-left:0;margin-top:6.5pt;width:31.75pt;height:62.65pt;z-index:-25166694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76B8C087">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110</w:t>
    </w:r>
    <w:r>
      <w:rPr>
        <w:rFonts w:ascii="Verdana" w:hAnsi="Verdana"/>
        <w:b/>
        <w:color w:val="FFFFFF"/>
        <w:sz w:val="18"/>
      </w:rPr>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50560"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1440008674"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http://schemas.openxmlformats.org/drawingml/2006/main">
          <w:pict>
            <v:rect id="Rectangle 3" style="position:absolute;margin-left:0;margin-top:6.5pt;width:31.75pt;height:62.65pt;z-index:-25166592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3E3AFE7C">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110</w:t>
    </w:r>
    <w:r>
      <w:rPr>
        <w:rFonts w:ascii="Verdana" w:hAnsi="Verdana"/>
        <w:b/>
        <w:color w:val="FFFFFF"/>
        <w:sz w:val="18"/>
      </w:rPr>
      <w:fldChar w:fldCharType="end"/>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51584"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754045793"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http://schemas.openxmlformats.org/drawingml/2006/main">
          <w:pict>
            <v:rect id="Rectangle 3" style="position:absolute;margin-left:0;margin-top:6.5pt;width:31.75pt;height:62.65pt;z-index:-25166489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55C05A54">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110</w:t>
    </w:r>
    <w:r>
      <w:rPr>
        <w:rFonts w:ascii="Verdana" w:hAnsi="Verdana"/>
        <w:b/>
        <w:color w:val="FFFFFF"/>
        <w:sz w:val="18"/>
      </w:rPr>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52608"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1172858997"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http://schemas.openxmlformats.org/drawingml/2006/main">
          <w:pict>
            <v:rect id="Rectangle 3" style="position:absolute;margin-left:0;margin-top:6.5pt;width:31.75pt;height:62.65pt;z-index:-25166387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61AA607D">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110</w:t>
    </w:r>
    <w:r>
      <w:rPr>
        <w:rFonts w:ascii="Verdana" w:hAnsi="Verdana"/>
        <w:b/>
        <w:color w:val="FFFFFF"/>
        <w:sz w:val="18"/>
      </w:rPr>
      <w:fldChar w:fldCharType="end"/>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53632"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820455187"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http://schemas.openxmlformats.org/drawingml/2006/main">
          <w:pict>
            <v:rect id="Rectangle 3" style="position:absolute;margin-left:0;margin-top:6.5pt;width:31.75pt;height:62.65pt;z-index:-25166284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7368091C">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110</w:t>
    </w:r>
    <w:r>
      <w:rPr>
        <w:rFonts w:ascii="Verdana" w:hAnsi="Verdana"/>
        <w:b/>
        <w:color w:val="FFFFFF"/>
        <w:sz w:val="18"/>
      </w:rPr>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54656"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259480816"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http://schemas.openxmlformats.org/drawingml/2006/main">
          <w:pict>
            <v:rect id="Rectangle 3" style="position:absolute;margin-left:0;margin-top:6.5pt;width:31.75pt;height:62.65pt;z-index:-25166182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5CFF624C">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110</w:t>
    </w:r>
    <w:r>
      <w:rPr>
        <w:rFonts w:ascii="Verdana" w:hAnsi="Verdana"/>
        <w:b/>
        <w:color w:val="FFFFFF"/>
        <w:sz w:val="18"/>
      </w:rPr>
      <w:fldChar w:fldCharType="end"/>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55680"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466372190"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http://schemas.openxmlformats.org/drawingml/2006/main">
          <w:pict>
            <v:rect id="Rectangle 3" style="position:absolute;margin-left:0;margin-top:6.5pt;width:31.75pt;height:62.65pt;z-index:-25166080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010581D0">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110</w:t>
    </w:r>
    <w:r>
      <w:rPr>
        <w:rFonts w:ascii="Verdana" w:hAnsi="Verdana"/>
        <w:b/>
        <w:color w:val="FFFFFF"/>
        <w:sz w:val="18"/>
      </w:rPr>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56704"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1795130966"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http://schemas.openxmlformats.org/drawingml/2006/main">
          <w:pict>
            <v:rect id="Rectangle 3" style="position:absolute;margin-left:0;margin-top:6.5pt;width:31.75pt;height:62.65pt;z-index:-25165977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70C373AE">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110</w:t>
    </w:r>
    <w:r>
      <w:rPr>
        <w:rFonts w:ascii="Verdana" w:hAnsi="Verdana"/>
        <w:b/>
        <w:color w:val="FFFFFF"/>
        <w:sz w:val="18"/>
      </w:rPr>
      <w:fldChar w:fldCharType="end"/>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57728"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2145939280"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http://schemas.openxmlformats.org/drawingml/2006/main">
          <w:pict>
            <v:rect id="Rectangle 3" style="position:absolute;margin-left:0;margin-top:6.5pt;width:31.75pt;height:62.65pt;z-index:-25165875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5D7A8F1B">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110</w:t>
    </w:r>
    <w:r>
      <w:rPr>
        <w:rFonts w:ascii="Verdana" w:hAnsi="Verdana"/>
        <w:b/>
        <w:color w:val="FFFFFF"/>
        <w:sz w:val="18"/>
      </w:rPr>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20864" behindDoc="1" locked="0" layoutInCell="1" allowOverlap="1">
              <wp:simplePos x="0" y="0"/>
              <wp:positionH relativeFrom="page">
                <wp:align>center</wp:align>
              </wp:positionH>
              <wp:positionV relativeFrom="paragraph">
                <wp:posOffset>4445</wp:posOffset>
              </wp:positionV>
              <wp:extent cx="403200" cy="795600"/>
              <wp:effectExtent l="0" t="0" r="16510" b="24130"/>
              <wp:wrapNone/>
              <wp:docPr id="1990930258"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http://schemas.openxmlformats.org/drawingml/2006/main">
          <w:pict>
            <v:rect id="Rectangle 3" style="position:absolute;margin-left:0;margin-top:.35pt;width:31.75pt;height:62.65pt;z-index:-25169561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w14:anchorId="619C7F71">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160</w:t>
    </w:r>
    <w:r>
      <w:rPr>
        <w:rFonts w:ascii="Verdana" w:hAnsi="Verdana"/>
        <w:b/>
        <w:color w:val="FFFFFF"/>
        <w:sz w:val="18"/>
      </w:rPr>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58752" behindDoc="1" locked="0" layoutInCell="1" allowOverlap="1">
              <wp:simplePos x="0" y="0"/>
              <wp:positionH relativeFrom="page">
                <wp:align>center</wp:align>
              </wp:positionH>
              <wp:positionV relativeFrom="paragraph">
                <wp:posOffset>4445</wp:posOffset>
              </wp:positionV>
              <wp:extent cx="403200" cy="795600"/>
              <wp:effectExtent l="0" t="0" r="16510" b="24130"/>
              <wp:wrapNone/>
              <wp:docPr id="1384512590"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http://schemas.openxmlformats.org/drawingml/2006/main">
          <w:pict>
            <v:rect id="Rectangle 3" style="position:absolute;margin-left:0;margin-top:.35pt;width:31.75pt;height:62.65pt;z-index:-25165772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w14:anchorId="3669FFD8">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160</w:t>
    </w:r>
    <w:r>
      <w:rPr>
        <w:rFonts w:ascii="Verdana" w:hAnsi="Verdana"/>
        <w:b/>
        <w:color w:val="FFFFFF"/>
        <w:sz w:val="18"/>
      </w:rPr>
      <w:fldChar w:fldCharType="end"/>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59776" behindDoc="1" locked="0" layoutInCell="1" allowOverlap="1">
              <wp:simplePos x="0" y="0"/>
              <wp:positionH relativeFrom="page">
                <wp:align>center</wp:align>
              </wp:positionH>
              <wp:positionV relativeFrom="paragraph">
                <wp:posOffset>4445</wp:posOffset>
              </wp:positionV>
              <wp:extent cx="403200" cy="795600"/>
              <wp:effectExtent l="0" t="0" r="16510" b="24130"/>
              <wp:wrapNone/>
              <wp:docPr id="1661073404"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http://schemas.openxmlformats.org/drawingml/2006/main">
          <w:pict>
            <v:rect id="Rectangle 3" style="position:absolute;margin-left:0;margin-top:.35pt;width:31.75pt;height:62.65pt;z-index:-25165670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w14:anchorId="2C196A24">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160</w:t>
    </w:r>
    <w:r>
      <w:rPr>
        <w:rFonts w:ascii="Verdana" w:hAnsi="Verdana"/>
        <w:b/>
        <w:color w:val="FFFFFF"/>
        <w:sz w:val="18"/>
      </w:rPr>
      <w:fldChar w:fldCharType="end"/>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60800" behindDoc="1" locked="0" layoutInCell="1" allowOverlap="1">
              <wp:simplePos x="0" y="0"/>
              <wp:positionH relativeFrom="page">
                <wp:align>center</wp:align>
              </wp:positionH>
              <wp:positionV relativeFrom="paragraph">
                <wp:posOffset>4445</wp:posOffset>
              </wp:positionV>
              <wp:extent cx="403200" cy="795600"/>
              <wp:effectExtent l="0" t="0" r="16510" b="24130"/>
              <wp:wrapNone/>
              <wp:docPr id="2137133760"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http://schemas.openxmlformats.org/drawingml/2006/main">
          <w:pict>
            <v:rect id="Rectangle 3" style="position:absolute;margin-left:0;margin-top:.35pt;width:31.75pt;height:62.65pt;z-index:-25165568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w14:anchorId="2C5E733A">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160</w:t>
    </w:r>
    <w:r>
      <w:rPr>
        <w:rFonts w:ascii="Verdana" w:hAnsi="Verdana"/>
        <w:b/>
        <w:color w:val="FFFFFF"/>
        <w:sz w:val="18"/>
      </w:rPr>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61824" behindDoc="1" locked="0" layoutInCell="1" allowOverlap="1">
              <wp:simplePos x="0" y="0"/>
              <wp:positionH relativeFrom="page">
                <wp:align>center</wp:align>
              </wp:positionH>
              <wp:positionV relativeFrom="paragraph">
                <wp:posOffset>4445</wp:posOffset>
              </wp:positionV>
              <wp:extent cx="403200" cy="795600"/>
              <wp:effectExtent l="0" t="0" r="16510" b="24130"/>
              <wp:wrapNone/>
              <wp:docPr id="1093999993"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http://schemas.openxmlformats.org/drawingml/2006/main">
          <w:pict>
            <v:rect id="Rectangle 3" style="position:absolute;margin-left:0;margin-top:.35pt;width:31.75pt;height:62.65pt;z-index:-25165465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w14:anchorId="723EA65B">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160</w:t>
    </w:r>
    <w:r>
      <w:rPr>
        <w:rFonts w:ascii="Verdana" w:hAnsi="Verdana"/>
        <w:b/>
        <w:color w:val="FFFFFF"/>
        <w:sz w:val="18"/>
      </w:rPr>
      <w:fldChar w:fldCharType="end"/>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62848" behindDoc="1" locked="0" layoutInCell="1" allowOverlap="1">
              <wp:simplePos x="0" y="0"/>
              <wp:positionH relativeFrom="page">
                <wp:align>center</wp:align>
              </wp:positionH>
              <wp:positionV relativeFrom="paragraph">
                <wp:posOffset>4445</wp:posOffset>
              </wp:positionV>
              <wp:extent cx="403200" cy="795600"/>
              <wp:effectExtent l="0" t="0" r="16510" b="24130"/>
              <wp:wrapNone/>
              <wp:docPr id="675907681"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http://schemas.openxmlformats.org/drawingml/2006/main">
          <w:pict>
            <v:rect id="Rectangle 3" style="position:absolute;margin-left:0;margin-top:.35pt;width:31.75pt;height:62.65pt;z-index:-25165363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w14:anchorId="4E1C77BA">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160</w:t>
    </w:r>
    <w:r>
      <w:rPr>
        <w:rFonts w:ascii="Verdana" w:hAnsi="Verdana"/>
        <w:b/>
        <w:color w:val="FFFFFF"/>
        <w:sz w:val="18"/>
      </w:rPr>
      <w:fldChar w:fldCharType="end"/>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63872" behindDoc="1" locked="0" layoutInCell="1" allowOverlap="1">
              <wp:simplePos x="0" y="0"/>
              <wp:positionH relativeFrom="page">
                <wp:align>center</wp:align>
              </wp:positionH>
              <wp:positionV relativeFrom="paragraph">
                <wp:posOffset>4445</wp:posOffset>
              </wp:positionV>
              <wp:extent cx="403200" cy="795600"/>
              <wp:effectExtent l="0" t="0" r="16510" b="24130"/>
              <wp:wrapNone/>
              <wp:docPr id="115520359"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http://schemas.openxmlformats.org/drawingml/2006/main">
          <w:pict>
            <v:rect id="Rectangle 3" style="position:absolute;margin-left:0;margin-top:.35pt;width:31.75pt;height:62.65pt;z-index:-25165260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w14:anchorId="074363DE">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160</w:t>
    </w:r>
    <w:r>
      <w:rPr>
        <w:rFonts w:ascii="Verdana" w:hAnsi="Verdana"/>
        <w:b/>
        <w:color w:val="FFFFFF"/>
        <w:sz w:val="18"/>
      </w:rPr>
      <w:fldChar w:fldCharType="end"/>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65920" behindDoc="1" locked="0" layoutInCell="1" allowOverlap="1">
              <wp:simplePos x="0" y="0"/>
              <wp:positionH relativeFrom="page">
                <wp:align>center</wp:align>
              </wp:positionH>
              <wp:positionV relativeFrom="paragraph">
                <wp:posOffset>4445</wp:posOffset>
              </wp:positionV>
              <wp:extent cx="403200" cy="795600"/>
              <wp:effectExtent l="0" t="0" r="16510" b="24130"/>
              <wp:wrapNone/>
              <wp:docPr id="998525204"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http://schemas.openxmlformats.org/drawingml/2006/main">
          <w:pict>
            <v:rect id="Rectangle 3" style="position:absolute;margin-left:0;margin-top:.35pt;width:31.75pt;height:62.65pt;z-index:-25165056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w14:anchorId="1D0B3D1C">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160</w:t>
    </w:r>
    <w:r>
      <w:rPr>
        <w:rFonts w:ascii="Verdana" w:hAnsi="Verdana"/>
        <w:b/>
        <w:color w:val="FFFFFF"/>
        <w:sz w:val="18"/>
      </w:rPr>
      <w:fldChar w:fldCharType="end"/>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67968" behindDoc="1" locked="0" layoutInCell="1" allowOverlap="1">
              <wp:simplePos x="0" y="0"/>
              <wp:positionH relativeFrom="page">
                <wp:align>center</wp:align>
              </wp:positionH>
              <wp:positionV relativeFrom="paragraph">
                <wp:posOffset>4445</wp:posOffset>
              </wp:positionV>
              <wp:extent cx="403200" cy="795600"/>
              <wp:effectExtent l="0" t="0" r="16510" b="24130"/>
              <wp:wrapNone/>
              <wp:docPr id="534631532"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http://schemas.openxmlformats.org/drawingml/2006/main">
          <w:pict>
            <v:rect id="Rectangle 3" style="position:absolute;margin-left:0;margin-top:.35pt;width:31.75pt;height:62.65pt;z-index:-25164851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w14:anchorId="298510BF">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160</w:t>
    </w:r>
    <w:r>
      <w:rPr>
        <w:rFonts w:ascii="Verdana" w:hAnsi="Verdana"/>
        <w:b/>
        <w:color w:val="FFFFFF"/>
        <w:sz w:val="18"/>
      </w:rPr>
      <w:fldChar w:fldCharType="end"/>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70016" behindDoc="1" locked="0" layoutInCell="1" allowOverlap="1">
              <wp:simplePos x="0" y="0"/>
              <wp:positionH relativeFrom="page">
                <wp:align>center</wp:align>
              </wp:positionH>
              <wp:positionV relativeFrom="paragraph">
                <wp:posOffset>4445</wp:posOffset>
              </wp:positionV>
              <wp:extent cx="403200" cy="795600"/>
              <wp:effectExtent l="0" t="0" r="16510" b="24130"/>
              <wp:wrapNone/>
              <wp:docPr id="1064208113"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http://schemas.openxmlformats.org/drawingml/2006/main">
          <w:pict>
            <v:rect id="Rectangle 3" style="position:absolute;margin-left:0;margin-top:.35pt;width:31.75pt;height:62.65pt;z-index:-25164646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w14:anchorId="676252A2">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160</w:t>
    </w:r>
    <w:r>
      <w:rPr>
        <w:rFonts w:ascii="Verdana" w:hAnsi="Verdana"/>
        <w:b/>
        <w:color w:val="FFFFFF"/>
        <w:sz w:val="18"/>
      </w:rPr>
      <w:fldChar w:fldCharType="end"/>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72064" behindDoc="1" locked="0" layoutInCell="1" allowOverlap="1">
              <wp:simplePos x="0" y="0"/>
              <wp:positionH relativeFrom="page">
                <wp:align>center</wp:align>
              </wp:positionH>
              <wp:positionV relativeFrom="paragraph">
                <wp:posOffset>4445</wp:posOffset>
              </wp:positionV>
              <wp:extent cx="403200" cy="795600"/>
              <wp:effectExtent l="0" t="0" r="16510" b="24130"/>
              <wp:wrapNone/>
              <wp:docPr id="1623095817"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http://schemas.openxmlformats.org/drawingml/2006/main">
          <w:pict>
            <v:rect id="Rectangle 3" style="position:absolute;margin-left:0;margin-top:.35pt;width:31.75pt;height:62.65pt;z-index:-25164441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w14:anchorId="16D99B9B">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160</w:t>
    </w:r>
    <w:r>
      <w:rPr>
        <w:rFonts w:ascii="Verdana" w:hAnsi="Verdana"/>
        <w:b/>
        <w:color w:val="FFFFFF"/>
        <w:sz w:val="18"/>
      </w:rPr>
      <w:fldChar w:fldCharType="end"/>
    </w: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74112" behindDoc="1" locked="0" layoutInCell="1" allowOverlap="1">
              <wp:simplePos x="0" y="0"/>
              <wp:positionH relativeFrom="page">
                <wp:align>center</wp:align>
              </wp:positionH>
              <wp:positionV relativeFrom="paragraph">
                <wp:posOffset>4445</wp:posOffset>
              </wp:positionV>
              <wp:extent cx="403200" cy="795600"/>
              <wp:effectExtent l="0" t="0" r="16510" b="24130"/>
              <wp:wrapNone/>
              <wp:docPr id="118188055"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http://schemas.openxmlformats.org/drawingml/2006/main">
          <w:pict>
            <v:rect id="Rectangle 3" style="position:absolute;margin-left:0;margin-top:.35pt;width:31.75pt;height:62.65pt;z-index:-25164236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w14:anchorId="449C9132">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160</w:t>
    </w:r>
    <w:r>
      <w:rPr>
        <w:rFonts w:ascii="Verdana" w:hAnsi="Verdana"/>
        <w:b/>
        <w:color w:val="FFFFFF"/>
        <w:sz w:val="18"/>
      </w:rPr>
      <w:fldChar w:fldCharType="end"/>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76160" behindDoc="1" locked="0" layoutInCell="1" allowOverlap="1">
              <wp:simplePos x="0" y="0"/>
              <wp:positionH relativeFrom="page">
                <wp:align>center</wp:align>
              </wp:positionH>
              <wp:positionV relativeFrom="paragraph">
                <wp:posOffset>4445</wp:posOffset>
              </wp:positionV>
              <wp:extent cx="403200" cy="795600"/>
              <wp:effectExtent l="0" t="0" r="16510" b="24130"/>
              <wp:wrapNone/>
              <wp:docPr id="1086400445"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http://schemas.openxmlformats.org/drawingml/2006/main">
          <w:pict>
            <v:rect id="Rectangle 3" style="position:absolute;margin-left:0;margin-top:.35pt;width:31.75pt;height:62.65pt;z-index:-25164032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w14:anchorId="73D9E803">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160</w:t>
    </w:r>
    <w:r>
      <w:rPr>
        <w:rFonts w:ascii="Verdana" w:hAnsi="Verdana"/>
        <w:b/>
        <w:color w:val="FFFFFF"/>
        <w:sz w:val="18"/>
      </w:rPr>
      <w:fldChar w:fldCharType="end"/>
    </w: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22912"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14906870"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http://schemas.openxmlformats.org/drawingml/2006/main">
          <w:pict>
            <v:rect id="Rectangle 3" style="position:absolute;margin-left:0;margin-top:6.5pt;width:31.75pt;height:62.65pt;z-index:-25169356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6447EDE7">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206</w:t>
    </w:r>
    <w:r>
      <w:rPr>
        <w:rFonts w:ascii="Verdana" w:hAnsi="Verdana"/>
        <w:b/>
        <w:color w:val="FFFFFF"/>
        <w:sz w:val="18"/>
      </w:rPr>
      <w:fldChar w:fldCharType="end"/>
    </w: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78208"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1464850426"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http://schemas.openxmlformats.org/drawingml/2006/main">
          <w:pict>
            <v:rect id="Rectangle 3" style="position:absolute;margin-left:0;margin-top:6.5pt;width:31.75pt;height:62.65pt;z-index:-25163827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3D1E9788">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206</w:t>
    </w:r>
    <w:r>
      <w:rPr>
        <w:rFonts w:ascii="Verdana" w:hAnsi="Verdana"/>
        <w:b/>
        <w:color w:val="FFFFFF"/>
        <w:sz w:val="18"/>
      </w:rPr>
      <w:fldChar w:fldCharType="end"/>
    </w: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80256"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489357152"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http://schemas.openxmlformats.org/drawingml/2006/main">
          <w:pict>
            <v:rect id="Rectangle 3" style="position:absolute;margin-left:0;margin-top:6.5pt;width:31.75pt;height:62.65pt;z-index:-25163622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0E1FE745">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206</w:t>
    </w:r>
    <w:r>
      <w:rPr>
        <w:rFonts w:ascii="Verdana" w:hAnsi="Verdana"/>
        <w:b/>
        <w:color w:val="FFFFFF"/>
        <w:sz w:val="18"/>
      </w:rPr>
      <w:fldChar w:fldCharType="end"/>
    </w: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82304"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1840191939"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http://schemas.openxmlformats.org/drawingml/2006/main">
          <w:pict>
            <v:rect id="Rectangle 3" style="position:absolute;margin-left:0;margin-top:6.5pt;width:31.75pt;height:62.65pt;z-index:-25163417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098BE183">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206</w:t>
    </w:r>
    <w:r>
      <w:rPr>
        <w:rFonts w:ascii="Verdana" w:hAnsi="Verdana"/>
        <w:b/>
        <w:color w:val="FFFFFF"/>
        <w:sz w:val="18"/>
      </w:rPr>
      <w:fldChar w:fldCharType="end"/>
    </w: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84352"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328343550"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http://schemas.openxmlformats.org/drawingml/2006/main">
          <w:pict>
            <v:rect id="Rectangle 3" style="position:absolute;margin-left:0;margin-top:6.5pt;width:31.75pt;height:62.65pt;z-index:-25163212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66873635">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206</w:t>
    </w:r>
    <w:r>
      <w:rPr>
        <w:rFonts w:ascii="Verdana" w:hAnsi="Verdana"/>
        <w:b/>
        <w:color w:val="FFFFFF"/>
        <w:sz w:val="18"/>
      </w:rPr>
      <w:fldChar w:fldCharType="end"/>
    </w: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86400"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1969132459"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http://schemas.openxmlformats.org/drawingml/2006/main">
          <w:pict>
            <v:rect id="Rectangle 3" style="position:absolute;margin-left:0;margin-top:6.5pt;width:31.75pt;height:62.65pt;z-index:-25163008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10C89C58">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206</w:t>
    </w:r>
    <w:r>
      <w:rPr>
        <w:rFonts w:ascii="Verdana" w:hAnsi="Verdana"/>
        <w:b/>
        <w:color w:val="FFFFFF"/>
        <w:sz w:val="18"/>
      </w:rPr>
      <w:fldChar w:fldCharType="end"/>
    </w: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88448"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923858321"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http://schemas.openxmlformats.org/drawingml/2006/main">
          <w:pict>
            <v:rect id="Rectangle 3" style="position:absolute;margin-left:0;margin-top:6.5pt;width:31.75pt;height:62.65pt;z-index:-25162803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291F9977">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206</w:t>
    </w:r>
    <w:r>
      <w:rPr>
        <w:rFonts w:ascii="Verdana" w:hAnsi="Verdana"/>
        <w:b/>
        <w:color w:val="FFFFFF"/>
        <w:sz w:val="18"/>
      </w:rPr>
      <w:fldChar w:fldCharType="end"/>
    </w: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90496"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439935331"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http://schemas.openxmlformats.org/drawingml/2006/main">
          <w:pict>
            <v:rect id="Rectangle 3" style="position:absolute;margin-left:0;margin-top:6.5pt;width:31.75pt;height:62.65pt;z-index:-25162598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430E9555">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206</w:t>
    </w:r>
    <w:r>
      <w:rPr>
        <w:rFonts w:ascii="Verdana" w:hAnsi="Verdana"/>
        <w:b/>
        <w:color w:val="FFFFFF"/>
        <w:sz w:val="18"/>
      </w:rPr>
      <w:fldChar w:fldCharType="end"/>
    </w: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92544"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1207301972"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http://schemas.openxmlformats.org/drawingml/2006/main">
          <w:pict>
            <v:rect id="Rectangle 3" style="position:absolute;margin-left:0;margin-top:6.5pt;width:31.75pt;height:62.65pt;z-index:-25162393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6D40273B">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206</w:t>
    </w:r>
    <w:r>
      <w:rPr>
        <w:rFonts w:ascii="Verdana" w:hAnsi="Verdana"/>
        <w:b/>
        <w:color w:val="FFFFFF"/>
        <w:sz w:val="18"/>
      </w:rPr>
      <w:fldChar w:fldCharType="end"/>
    </w: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94592"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898800174"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http://schemas.openxmlformats.org/drawingml/2006/main">
          <w:pict>
            <v:rect id="Rectangle 3" style="position:absolute;margin-left:0;margin-top:6.5pt;width:31.75pt;height:62.65pt;z-index:-25162188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7EDB40E4">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206</w:t>
    </w:r>
    <w:r>
      <w:rPr>
        <w:rFonts w:ascii="Verdana" w:hAnsi="Verdana"/>
        <w:b/>
        <w:color w:val="FFFFFF"/>
        <w:sz w:val="18"/>
      </w:rPr>
      <w:fldChar w:fldCharType="end"/>
    </w: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96640"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1082267885"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http://schemas.openxmlformats.org/drawingml/2006/main">
          <w:pict>
            <v:rect id="Rectangle 3" style="position:absolute;margin-left:0;margin-top:6.5pt;width:31.75pt;height:62.65pt;z-index:-25161984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12BEA363">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206</w:t>
    </w:r>
    <w:r>
      <w:rPr>
        <w:rFonts w:ascii="Verdana" w:hAnsi="Verdana"/>
        <w:b/>
        <w:color w:val="FFFFFF"/>
        <w:sz w:val="18"/>
      </w:rPr>
      <w:fldChar w:fldCharType="end"/>
    </w: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23936" behindDoc="1" locked="0" layoutInCell="1" allowOverlap="1">
              <wp:simplePos x="0" y="0"/>
              <wp:positionH relativeFrom="page">
                <wp:align>center</wp:align>
              </wp:positionH>
              <wp:positionV relativeFrom="paragraph">
                <wp:posOffset>4445</wp:posOffset>
              </wp:positionV>
              <wp:extent cx="403200" cy="795600"/>
              <wp:effectExtent l="0" t="0" r="16510" b="24130"/>
              <wp:wrapNone/>
              <wp:docPr id="700578400"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http://schemas.openxmlformats.org/drawingml/2006/main">
          <w:pict>
            <v:rect id="Rectangle 3" style="position:absolute;margin-left:0;margin-top:.35pt;width:31.75pt;height:62.65pt;z-index:-25169254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w14:anchorId="3685BA90">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218</w:t>
    </w:r>
    <w:r>
      <w:rPr>
        <w:rFonts w:ascii="Verdana" w:hAnsi="Verdana"/>
        <w:b/>
        <w:color w:val="FFFFFF"/>
        <w:sz w:val="18"/>
      </w:rPr>
      <w:fldChar w:fldCharType="end"/>
    </w: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97664" behindDoc="1" locked="0" layoutInCell="1" allowOverlap="1">
              <wp:simplePos x="0" y="0"/>
              <wp:positionH relativeFrom="page">
                <wp:align>center</wp:align>
              </wp:positionH>
              <wp:positionV relativeFrom="paragraph">
                <wp:posOffset>4445</wp:posOffset>
              </wp:positionV>
              <wp:extent cx="403200" cy="795600"/>
              <wp:effectExtent l="0" t="0" r="16510" b="24130"/>
              <wp:wrapNone/>
              <wp:docPr id="1949541425"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http://schemas.openxmlformats.org/drawingml/2006/main">
          <w:pict>
            <v:rect id="Rectangle 3" style="position:absolute;margin-left:0;margin-top:.35pt;width:31.75pt;height:62.65pt;z-index:-25161881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w14:anchorId="4FD93450">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218</w:t>
    </w:r>
    <w:r>
      <w:rPr>
        <w:rFonts w:ascii="Verdana" w:hAnsi="Verdana"/>
        <w:b/>
        <w:color w:val="FFFFFF"/>
        <w:sz w:val="18"/>
      </w:rPr>
      <w:fldChar w:fldCharType="end"/>
    </w: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774981" behindDoc="1" locked="0" layoutInCell="1" allowOverlap="1">
              <wp:simplePos x="0" y="0"/>
              <wp:positionH relativeFrom="page">
                <wp:align>center</wp:align>
              </wp:positionH>
              <wp:positionV relativeFrom="paragraph">
                <wp:posOffset>4445</wp:posOffset>
              </wp:positionV>
              <wp:extent cx="403200" cy="795600"/>
              <wp:effectExtent l="0" t="0" r="16510" b="24130"/>
              <wp:wrapNone/>
              <wp:docPr id="420451484"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http://schemas.openxmlformats.org/drawingml/2006/main">
          <w:pict>
            <v:rect id="Rectangle 3" style="position:absolute;margin-left:0;margin-top:.35pt;width:31.75pt;height:62.65pt;z-index:-251541499;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w14:anchorId="4972D1E1">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218</w:t>
    </w:r>
    <w:r>
      <w:rPr>
        <w:rFonts w:ascii="Verdana" w:hAnsi="Verdana"/>
        <w:b/>
        <w:color w:val="FFFFFF"/>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 w:id="1">
    <w:p>
      <w:pPr>
        <w:pStyle w:val="FootnoteText"/>
        <w:jc w:val="both"/>
      </w:pPr>
      <w:r>
        <w:rPr>
          <w:rStyle w:val="FootnoteReference"/>
        </w:rPr>
        <w:footnoteRef/>
      </w:r>
      <w:r>
        <w:tab/>
        <w:t>Les principaux éléments concernés par la révision sont les suivants: 50 milliards d’EUR en faveur de la facilité pour l’Ukraine, 1,5 milliard d’EUR destiné au Fonds européen de la défense, et 9,6 milliards d’EUR pour les Balkans occidentaux, le voisinage méridional et au-delà, ainsi qu’un renforcement de l’instrument de flexibilité jusqu’à 2 milliards d’EUR et de la réserve d’aide d’urgence jusqu’à 1,5 milliard d’EUR pour faire face à de nouveaux besoins potentiels.</w:t>
      </w:r>
    </w:p>
  </w:footnote>
  <w:footnote w:id="2">
    <w:p>
      <w:pPr>
        <w:pStyle w:val="FootnoteText"/>
        <w:jc w:val="both"/>
      </w:pPr>
      <w:r>
        <w:rPr>
          <w:rStyle w:val="FootnoteReference"/>
        </w:rPr>
        <w:footnoteRef/>
      </w:r>
      <w:r>
        <w:tab/>
        <w:t>Prêt de soutien à l’Ukraine dans le cadre du plan global de la Commission visant à fournir un soutien financier de 90 milliards d’EUR à l’Ukraine pour 2026 et 2027.</w:t>
      </w:r>
    </w:p>
  </w:footnote>
  <w:footnote w:id="3">
    <w:p>
      <w:pPr>
        <w:pStyle w:val="FootnoteText"/>
      </w:pPr>
      <w:r>
        <w:rPr>
          <w:rStyle w:val="FootnoteReference"/>
        </w:rPr>
        <w:footnoteRef/>
      </w:r>
      <w:r>
        <w:tab/>
        <w:t>Règlement (UE, Euratom) 2024/2509 du Parlement européen et du Conseil du 23 septembre 2024 relatif aux règles financières applicables au budget général de l’Union (refonte) (JO L, 2024/2509, 26.9.2024).</w:t>
      </w:r>
    </w:p>
  </w:footnote>
  <w:footnote w:id="4">
    <w:p>
      <w:pPr>
        <w:pStyle w:val="FootnoteText"/>
        <w:jc w:val="both"/>
      </w:pPr>
      <w:r>
        <w:rPr>
          <w:rStyle w:val="FootnoteReference"/>
        </w:rPr>
        <w:footnoteRef/>
      </w:r>
      <w:r>
        <w:tab/>
        <w:t>À l’exception de certaines garanties fournies au titre des programmes d’instruments financiers des CFP précédents, qui ont été intégralement financées ou provisionnées sur le budget de l’UE.</w:t>
      </w:r>
    </w:p>
  </w:footnote>
  <w:footnote w:id="5">
    <w:p>
      <w:pPr>
        <w:pStyle w:val="FootnoteText"/>
        <w:spacing w:after="120"/>
        <w:jc w:val="both"/>
      </w:pPr>
      <w:r>
        <w:rPr>
          <w:rStyle w:val="FootnoteReference"/>
        </w:rPr>
        <w:footnoteRef/>
      </w:r>
      <w:r>
        <w:tab/>
        <w:t>Voir le «rapport de la Commission au Parlement européen et au Conseil sur les instruments financiers, les garanties budgétaires, l’assistance financière et les passifs éventuels», publié chaque année par la Commission.</w:t>
      </w:r>
    </w:p>
  </w:footnote>
  <w:footnote w:id="6">
    <w:p>
      <w:pPr>
        <w:pStyle w:val="FootnoteText"/>
      </w:pPr>
      <w:r>
        <w:rPr>
          <w:rStyle w:val="FootnoteReference"/>
        </w:rPr>
        <w:footnoteRef/>
      </w:r>
      <w:r>
        <w:rPr>
          <w:rStyle w:val="FootnoteReference"/>
        </w:rPr>
        <w:t xml:space="preserve"> </w:t>
      </w:r>
      <w:r>
        <w:tab/>
        <w:t>Décision d’exécution (UE) 2022/9701 de la Commission.</w:t>
      </w:r>
    </w:p>
  </w:footnote>
  <w:footnote w:id="7">
    <w:p>
      <w:pPr>
        <w:pStyle w:val="FootnoteText"/>
        <w:jc w:val="both"/>
      </w:pPr>
      <w:r>
        <w:rPr>
          <w:rStyle w:val="FootnoteReference"/>
        </w:rPr>
        <w:footnoteRef/>
      </w:r>
      <w:r>
        <w:rPr>
          <w:rStyle w:val="FootnoteReference"/>
        </w:rPr>
        <w:t xml:space="preserve"> </w:t>
      </w:r>
      <w:r>
        <w:tab/>
        <w:t>Règlement (UE, Euratom) 2022/2434 du Parlement européen et du Conseil du 6 décembre 2022 modifiant le règlement (UE, Euratom) 2018/1046 en ce qui concerne l’établissement d’une stratégie de financement diversifiée en tant que méthode d’emprunt générale (JO L 319 du 13.12.2022, p. 1).</w:t>
      </w:r>
    </w:p>
  </w:footnote>
  <w:footnote w:id="8">
    <w:p>
      <w:pPr>
        <w:pStyle w:val="FootnoteText"/>
        <w:spacing w:after="120"/>
        <w:jc w:val="both"/>
      </w:pPr>
      <w:r>
        <w:rPr>
          <w:rStyle w:val="FootnoteReference"/>
        </w:rPr>
        <w:footnoteRef/>
      </w:r>
      <w:r>
        <w:tab/>
        <w:t xml:space="preserve">Commission européenne, direction générale du budget, Green bonds – Impact and allocation report – NGEU report 2023, Office des publications de l’Union européenne, 2023, </w:t>
      </w:r>
      <w:hyperlink r:id="rId1" w:tgtFrame="_blank" w:history="1">
        <w:r>
          <w:t>https://data.europa.eu/doi/10.2761/302803</w:t>
        </w:r>
      </w:hyperlink>
      <w:r>
        <w:t>.</w:t>
      </w:r>
    </w:p>
  </w:footnote>
  <w:footnote w:id="9">
    <w:p>
      <w:pPr>
        <w:pStyle w:val="FootnoteText"/>
        <w:jc w:val="both"/>
      </w:pPr>
      <w:r>
        <w:rPr>
          <w:rStyle w:val="Emphasis"/>
          <w:rFonts w:cs="Arial"/>
          <w:i w:val="0"/>
          <w:vertAlign w:val="superscript"/>
        </w:rPr>
        <w:footnoteRef/>
      </w:r>
      <w:r>
        <w:rPr>
          <w:vertAlign w:val="superscript"/>
        </w:rPr>
        <w:t xml:space="preserve"> </w:t>
      </w:r>
      <w:r>
        <w:rPr>
          <w:vertAlign w:val="superscript"/>
        </w:rPr>
        <w:tab/>
      </w:r>
      <w:r>
        <w:rPr>
          <w:rStyle w:val="Emphasis"/>
          <w:i w:val="0"/>
        </w:rPr>
        <w:t>Décision (UE) 2022/313 du Parlement européen et du Conseil accordant une assistance d’urgence à l’Ukraine d’un montant de 1,2 milliard d’EUR; décision (UE) 2022/1201 du Parlement européen et du Conseil accordant une assistance exceptionnelle à l’Ukraine d’un montant de 1 milliard d’EUR; décision (UE) 2022/1628 du Parlement européen et du Conseil accordant une assistance exceptionnelle à l’Ukraine d’un montant de 5 milliards d’EUR.</w:t>
      </w:r>
    </w:p>
  </w:footnote>
  <w:footnote w:id="10">
    <w:p>
      <w:pPr>
        <w:pStyle w:val="FootnoteText"/>
        <w:jc w:val="both"/>
      </w:pPr>
      <w:r>
        <w:rPr>
          <w:rStyle w:val="FootnoteReference"/>
        </w:rPr>
        <w:footnoteRef/>
      </w:r>
      <w:r>
        <w:tab/>
        <w:t>Règlement (UE) 2022/2463 du Parlement européen et du Conseil du 14 décembre 2022 établissant un instrument de soutien à l’Ukraine pour 2023 (instrument d’assistance macrofinancière +) (JO L 322 du 16.12.2022, p. 1).</w:t>
      </w:r>
    </w:p>
  </w:footnote>
  <w:footnote w:id="11">
    <w:p>
      <w:pPr>
        <w:pStyle w:val="FootnoteText"/>
        <w:jc w:val="both"/>
      </w:pPr>
      <w:r>
        <w:rPr>
          <w:rStyle w:val="FootnoteReference"/>
        </w:rPr>
        <w:footnoteRef/>
      </w:r>
      <w:r>
        <w:tab/>
        <w:t>Règlement (UE) 2024/2773 du Parlement européen et du Conseil du 24 octobre 2024 établissant le mécanisme de coopération pour les prêts à l’Ukraine et accordant une assistance macrofinancière exceptionnelle à l’Ukraine (JO L, 2024/2773, 28.10.2024).</w:t>
      </w:r>
    </w:p>
  </w:footnote>
  <w:footnote w:id="12">
    <w:p>
      <w:pPr>
        <w:pStyle w:val="FootnoteText"/>
        <w:spacing w:after="120"/>
        <w:jc w:val="both"/>
      </w:pPr>
      <w:r>
        <w:rPr>
          <w:rStyle w:val="FootnoteReference"/>
        </w:rPr>
        <w:footnoteRef/>
      </w:r>
      <w:r>
        <w:tab/>
      </w:r>
      <w:r>
        <w:rPr>
          <w:rStyle w:val="Emphasis"/>
          <w:i w:val="0"/>
        </w:rPr>
        <w:t>Règlement (UE) 2024/792 du Parlement européen et du Conseil du 29 février 2024 établissant la facilité pour l’Ukraine (JO L, 2024/792, 29.2.2024).</w:t>
      </w:r>
    </w:p>
  </w:footnote>
  <w:footnote w:id="13">
    <w:p>
      <w:pPr>
        <w:pStyle w:val="FootnoteText"/>
        <w:jc w:val="both"/>
      </w:pPr>
      <w:r>
        <w:rPr>
          <w:rStyle w:val="FootnoteReference"/>
        </w:rPr>
        <w:footnoteRef/>
      </w:r>
      <w:r>
        <w:tab/>
        <w:t>Règlement (UE) 2024/1449 du Parlement européen et du Conseil du 14 mai 2024 établissant une facilité pour les réformes et la croissance en faveur des Balkans occidentaux (JO L, 2024/1449, 24.5.2024).</w:t>
      </w:r>
    </w:p>
  </w:footnote>
  <w:footnote w:id="14">
    <w:p>
      <w:pPr>
        <w:pStyle w:val="FootnoteText"/>
        <w:jc w:val="both"/>
      </w:pPr>
      <w:r>
        <w:rPr>
          <w:rStyle w:val="FootnoteReference"/>
        </w:rPr>
        <w:footnoteRef/>
      </w:r>
      <w:r>
        <w:tab/>
        <w:t>Règlement (UE) 2025/535 du Parlement européen et du Conseil du 18 mars 2025 établissant une facilité pour les réformes et la croissance en faveur de la République de Moldavie (JO L, 2025/535, 21.3.2025).</w:t>
      </w:r>
    </w:p>
  </w:footnote>
  <w:footnote w:id="15">
    <w:p>
      <w:pPr>
        <w:pStyle w:val="FootnoteText"/>
        <w:jc w:val="both"/>
      </w:pPr>
      <w:r>
        <w:rPr>
          <w:rStyle w:val="FootnoteReference"/>
        </w:rPr>
        <w:footnoteRef/>
      </w:r>
      <w:r>
        <w:tab/>
        <w:t>Règlement (UE) 2025/1106 du Parlement européen et du Conseil du 27 mai 2025 établissant l’instrument «Agir pour la sécurité de l’Europe par le renforcement de l’industrie européenne de la défense» («instrument SAFE») (JO L, 2025/1106, 28.5.2025).</w:t>
      </w:r>
    </w:p>
  </w:footnote>
  <w:footnote w:id="16">
    <w:p>
      <w:pPr>
        <w:pStyle w:val="FootnoteText"/>
        <w:spacing w:after="120"/>
        <w:jc w:val="both"/>
      </w:pPr>
      <w:r>
        <w:rPr>
          <w:rStyle w:val="FootnoteReference"/>
        </w:rPr>
        <w:footnoteRef/>
      </w:r>
      <w:r>
        <w:tab/>
        <w:t>Règlement (UE) 2026/467 du Parlement européen et du Conseil du 24 février 2026 mettant en œuvre une coopération renforcée concernant l’établissement du prêt de soutien à l’Ukraine pour 2026 et 2027 (JO L, 2026/467, 26.2.2026).</w:t>
      </w:r>
    </w:p>
  </w:footnote>
  <w:footnote w:id="17">
    <w:p>
      <w:pPr>
        <w:pStyle w:val="FootnoteText"/>
        <w:jc w:val="both"/>
      </w:pPr>
      <w:r>
        <w:rPr>
          <w:rStyle w:val="FootnoteReference"/>
          <w:szCs w:val="16"/>
        </w:rPr>
        <w:footnoteRef/>
      </w:r>
      <w:r>
        <w:tab/>
        <w:t>En vertu du principe de subsidiarité, l’Union intervient seulement si, et dans la mesure où, les objectifs de l’action envisagée ne peuvent pas être atteints de manière suffisante par les États membres, mais peuvent l’être mieux, en raison des dimensions ou des effets de l’action envisagée, au niveau de l’Union. En vertu du principe de proportionnalité, le contenu et la forme de l’action de l’Union n’excèdent pas ce qui est nécessaire pour atteindre les objectifs des traités (voir article 5 du TUE).</w:t>
      </w:r>
    </w:p>
  </w:footnote>
  <w:footnote w:id="18">
    <w:p>
      <w:pPr>
        <w:pStyle w:val="FootnoteText"/>
        <w:spacing w:after="120"/>
        <w:jc w:val="both"/>
      </w:pPr>
      <w:r>
        <w:rPr>
          <w:rStyle w:val="FootnoteReference"/>
        </w:rPr>
        <w:footnoteRef/>
      </w:r>
      <w:r>
        <w:tab/>
        <w:t>Le 1</w:t>
      </w:r>
      <w:r>
        <w:rPr>
          <w:vertAlign w:val="superscript"/>
        </w:rPr>
        <w:t>er</w:t>
      </w:r>
      <w:r>
        <w:t> février 2024, le Conseil européen a approuvé une révision à mi-parcours des plafonds du CFP 2021-2027, conformément à la proposition COM(2023) 336 de la Commission.</w:t>
      </w:r>
    </w:p>
  </w:footnote>
  <w:footnote w:id="19">
    <w:p>
      <w:pPr>
        <w:pStyle w:val="Footnote"/>
        <w:spacing w:after="120"/>
      </w:pPr>
      <w:r>
        <w:rPr>
          <w:rStyle w:val="FootnoteReference"/>
          <w:szCs w:val="18"/>
        </w:rPr>
        <w:footnoteRef/>
      </w:r>
      <w:r>
        <w:tab/>
        <w:t>Règlement (UE, Euratom) 2024/2509 du Parlement européen et du Conseil du 23 septembre 2024 relatif aux règles financières applicables au budget général de l’Union (refonte) (JO L, 2024/2509, 26.9.2024).</w:t>
      </w:r>
    </w:p>
  </w:footnote>
  <w:footnote w:id="20">
    <w:p>
      <w:pPr>
        <w:pStyle w:val="FootnoteText"/>
        <w:jc w:val="both"/>
      </w:pPr>
      <w:r>
        <w:rPr>
          <w:rStyle w:val="FootnoteReference"/>
          <w:szCs w:val="16"/>
        </w:rPr>
        <w:footnoteRef/>
      </w:r>
      <w:r>
        <w:tab/>
        <w:t>Voir l’article 317 TFUE.</w:t>
      </w:r>
    </w:p>
  </w:footnote>
  <w:footnote w:id="21">
    <w:p>
      <w:pPr>
        <w:pStyle w:val="FootnoteText"/>
      </w:pPr>
      <w:r>
        <w:rPr>
          <w:rStyle w:val="FootnoteReference"/>
        </w:rPr>
        <w:footnoteRef/>
      </w:r>
      <w:r>
        <w:tab/>
        <w:t>C(2020) 4240 du 24.6.2020.</w:t>
      </w:r>
    </w:p>
  </w:footnote>
  <w:footnote w:id="22">
    <w:p>
      <w:pPr>
        <w:pStyle w:val="FootnoteText"/>
        <w:jc w:val="both"/>
      </w:pPr>
      <w:r>
        <w:rPr>
          <w:rStyle w:val="FootnoteReference"/>
          <w:szCs w:val="16"/>
        </w:rPr>
        <w:footnoteRef/>
      </w:r>
      <w:r>
        <w:tab/>
        <w:t>Par conséquent, le terme «Commission européenne» est utilisé pour désigner tant l’institution (le collège), formée par les membres de la Commission, que son administration gérée par les directeurs généraux de ses départements (ainsi que les dirigeants d’autres structures administratives comme les services, les offices et les agences exécutives).</w:t>
      </w:r>
    </w:p>
  </w:footnote>
  <w:footnote w:id="23">
    <w:p>
      <w:pPr>
        <w:pStyle w:val="FootnoteText"/>
        <w:spacing w:after="120"/>
        <w:jc w:val="both"/>
      </w:pPr>
      <w:r>
        <w:rPr>
          <w:rStyle w:val="FootnoteReference"/>
          <w:szCs w:val="16"/>
        </w:rPr>
        <w:footnoteRef/>
      </w:r>
      <w:r>
        <w:tab/>
        <w:t>Depuis le milieu de l’année 2019 (à la suite de la révision de l’article 12 des règles internes), la gestion du Fonds européen de développement (FED) est codéléguée entre cinq entités [INTPA (DEVCO), ECHO, EAC, EACEA et JRC].</w:t>
      </w:r>
    </w:p>
  </w:footnote>
  <w:footnote w:id="24">
    <w:p>
      <w:pPr>
        <w:pStyle w:val="FootnoteText"/>
        <w:spacing w:after="120"/>
        <w:jc w:val="both"/>
      </w:pPr>
      <w:r>
        <w:rPr>
          <w:rStyle w:val="FootnoteReference"/>
        </w:rPr>
        <w:footnoteRef/>
      </w:r>
      <w:r>
        <w:tab/>
      </w:r>
      <w:hyperlink r:id="rId2" w:history="1">
        <w:r>
          <w:rPr>
            <w:rStyle w:val="Hyperlink"/>
            <w:color w:val="auto"/>
            <w:u w:val="none"/>
          </w:rPr>
          <w:t>https://ec.europa.eu/info/publications/integrated-financial-and-accountability-reporting_fr</w:t>
        </w:r>
      </w:hyperlink>
      <w:r>
        <w:t>.</w:t>
      </w:r>
    </w:p>
  </w:footnote>
  <w:footnote w:id="25">
    <w:p>
      <w:pPr>
        <w:pStyle w:val="FootnoteText"/>
        <w:jc w:val="both"/>
      </w:pPr>
      <w:r>
        <w:rPr>
          <w:rStyle w:val="FootnoteReference"/>
        </w:rPr>
        <w:footnoteRef/>
      </w:r>
      <w:r>
        <w:tab/>
        <w:t xml:space="preserve">Le règlement financier (article 253) impose à la Commission de communiquer au Parlement européen et au Conseil un ensemble intégré de rapports financiers et de rapports sur la responsabilité, qui constituent une contribution essentielle à la «procédure de décharge» annuelle, par laquelle le Parlement européen et le Conseil demandent à la Commission de rendre compte de la manière dont elle gère le budget de l’UE. Cet ensemble intégré de rapports se compose de cinq rapports sur l’exécution, la performance, les résultats, la gestion et la protection du budget de l’UE. </w:t>
      </w:r>
      <w:hyperlink r:id="rId3" w:history="1">
        <w:r>
          <w:rPr>
            <w:rStyle w:val="Hyperlink"/>
          </w:rPr>
          <w:t>L’ensemble intégré de rapports financiers et de rapports sur la responsabilité sur le site Europa</w:t>
        </w:r>
      </w:hyperlink>
    </w:p>
  </w:footnote>
  <w:footnote w:id="26">
    <w:p>
      <w:pPr>
        <w:pStyle w:val="FootnoteText"/>
        <w:ind w:hanging="142"/>
      </w:pPr>
      <w:r>
        <w:rPr>
          <w:rStyle w:val="FootnoteReference"/>
        </w:rPr>
        <w:footnoteRef/>
      </w:r>
      <w:r>
        <w:tab/>
        <w:t>Des écarts peuvent sembler exister entre certaines données financières des tableaux figurant ci-dessous lorsqu’elles sont additionnées car les chiffres sont arrondis au million d’euros.</w:t>
      </w:r>
    </w:p>
  </w:footnote>
  <w:footnote w:id="27">
    <w:p>
      <w:pPr>
        <w:pStyle w:val="Text6pNormalLeft"/>
        <w:tabs>
          <w:tab w:val="left" w:pos="170"/>
        </w:tabs>
        <w:spacing w:after="120"/>
        <w:ind w:left="170" w:hanging="170"/>
        <w:jc w:val="both"/>
        <w:rPr>
          <w:sz w:val="16"/>
          <w:szCs w:val="16"/>
        </w:rPr>
      </w:pPr>
      <w:r>
        <w:rPr>
          <w:rStyle w:val="FootnoteReference"/>
          <w:szCs w:val="16"/>
        </w:rPr>
        <w:footnoteRef/>
      </w:r>
      <w:r>
        <w:rPr>
          <w:sz w:val="16"/>
        </w:rPr>
        <w:tab/>
        <w:t>Le régime de pensions des fonctionnaires et autres agents de l’Union européenne est un fonds théorique (virtuel) comportant des prestations définies, dans lequel les membres du personnel versent des contributions servant à financer leurs futures pensions. Bien qu’il n’existe pas réellement de fonds d’investissement, le montant qui aurait été réuni par un fonds de ce type est considéré comme ayant été investi dans des obligations à long terme des États membres et ce montant est pris en compte dans la charge des pensions inscrite dans les comptes annuels de l’Union européenne. Les États membres garantissent conjointement le paiement des prestations en vertu de l’article 83 du statut et de l’article 4, paragraphe 3, du traité sur l’Union européenne [voir COM(2018) 829 pour une description détaillée du régime].</w:t>
      </w:r>
    </w:p>
  </w:footnote>
  <w:footnote w:id="28">
    <w:p>
      <w:pPr>
        <w:pStyle w:val="FootnoteText"/>
        <w:jc w:val="both"/>
      </w:pPr>
      <w:r>
        <w:rPr>
          <w:rStyle w:val="FootnoteReference"/>
        </w:rPr>
        <w:footnoteRef/>
      </w:r>
      <w:r>
        <w:tab/>
        <w:t>Règlement (UE) 2024/2773 du Parlement européen et du Conseil du 24 octobre 2024 établissant le mécanisme de coopération pour les prêts à l’Ukraine et accordant une assistance macrofinancière exceptionnelle à l’Ukraine (JO L, 2024/2773, 28.10.2024).</w:t>
      </w:r>
    </w:p>
  </w:footnote>
  <w:footnote w:id="29">
    <w:p>
      <w:pPr>
        <w:pStyle w:val="FootnoteText"/>
        <w:jc w:val="both"/>
      </w:pPr>
      <w:r>
        <w:rPr>
          <w:rStyle w:val="FootnoteReference"/>
        </w:rPr>
        <w:footnoteRef/>
      </w:r>
      <w:r>
        <w:tab/>
        <w:t>Règlement (UE) 2024/792 du Parlement européen et du Conseil du 29 février 2024 établissant la facilité pour l’Ukraine (JO L, 2024/792, 29.2.2024), ci-après dénommé «règlement établissant la facilité pour l’Ukraine»</w:t>
      </w:r>
      <w:bookmarkStart w:id="106" w:name="_Hlk225112969"/>
      <w:bookmarkEnd w:id="106"/>
      <w:r>
        <w:t>.</w:t>
      </w:r>
    </w:p>
  </w:footnote>
  <w:footnote w:id="30">
    <w:p>
      <w:pPr>
        <w:pStyle w:val="FootnoteText"/>
        <w:jc w:val="both"/>
      </w:pPr>
      <w:r>
        <w:rPr>
          <w:rStyle w:val="FootnoteReference"/>
        </w:rPr>
        <w:footnoteRef/>
      </w:r>
      <w:r>
        <w:tab/>
        <w:t>Règlement (UE) 2024/1449 du Parlement européen et du Conseil du 14 mai 2024 établissant une facilité pour les réformes et la croissance en faveur des Balkans occidentaux (JO L, 2024/1449, 24.5.2024).</w:t>
      </w:r>
    </w:p>
  </w:footnote>
  <w:footnote w:id="31">
    <w:p>
      <w:pPr>
        <w:pStyle w:val="FootnoteText"/>
        <w:jc w:val="both"/>
      </w:pPr>
      <w:r>
        <w:rPr>
          <w:rStyle w:val="FootnoteReference"/>
        </w:rPr>
        <w:footnoteRef/>
      </w:r>
      <w:r>
        <w:tab/>
        <w:t>Règlement (UE) 2025/535 du Parlement européen et du Conseil du 18 mars 2025 établissant une facilité pour les réformes et la croissance en faveur de la République de Moldavie (JO L, 2025/535, 21.3.2025).</w:t>
      </w:r>
    </w:p>
  </w:footnote>
  <w:footnote w:id="32">
    <w:p>
      <w:pPr>
        <w:pStyle w:val="FootnoteText"/>
        <w:jc w:val="both"/>
      </w:pPr>
      <w:r>
        <w:rPr>
          <w:rStyle w:val="FootnoteReference"/>
        </w:rPr>
        <w:footnoteRef/>
      </w:r>
      <w:r>
        <w:tab/>
        <w:t>Règlement (UE) nº 1316/2013 du Parlement européen et du Conseil du 11 décembre 2013 établissant le mécanisme pour l’interconnexion en Europe, modifiant le règlement (UE) nº 913/2010 et abrogeant les règlements (CE) nº 680/2007 et (CE) nº 67/2010 (Texte présentant de l’intérêt pour l’EEE) (JO L 348 du 20.12.2013, p. 129).</w:t>
      </w:r>
    </w:p>
  </w:footnote>
  <w:footnote w:id="33">
    <w:p>
      <w:pPr>
        <w:pStyle w:val="FootnoteText"/>
        <w:jc w:val="both"/>
      </w:pPr>
      <w:r>
        <w:rPr>
          <w:rStyle w:val="FootnoteReference"/>
        </w:rPr>
        <w:footnoteRef/>
      </w:r>
      <w:r>
        <w:tab/>
        <w:t>Règlement (UE) nº 1303/2013 du Parlement européen et du Conseil du 17 décembre 2013 portant dispositions communes relatives au Fonds européen de développement régional, au Fonds social européen, au Fonds de cohésion, au Fonds européen agricole pour le développement rural et au Fonds européen pour les affaires maritimes et la pêche, portant dispositions générales applicables au Fonds européen de développement régional, au Fonds social européen, au Fonds de cohésion et au Fonds européen pour les affaires maritimes et la pêche, et abrogeant le règlement (CE) nº 1083/2006 du Conseil (JO L 347 du 20.12.2013, p. 320).</w:t>
      </w:r>
    </w:p>
  </w:footnote>
  <w:footnote w:id="34">
    <w:p>
      <w:pPr>
        <w:pStyle w:val="FootnoteText"/>
        <w:jc w:val="both"/>
      </w:pPr>
      <w:r>
        <w:rPr>
          <w:rStyle w:val="FootnoteReference"/>
        </w:rPr>
        <w:footnoteRef/>
      </w:r>
      <w:r>
        <w:tab/>
        <w:t>Règlement (UE) 2021/1060 du Parlement européen et du Conseil du 24 juin 2021 portant dispositions communes relatives au Fonds européen de développement régional, au Fonds social européen plus, au Fonds de cohésion, au Fonds pour une transition juste et au Fonds européen pour les affaires maritimes, la pêche et l’aquaculture, et établissant les règles financières applicables à ces Fonds et au Fonds «Asile, migration et intégration», au Fonds pour la sécurité intérieure et à l’instrument de soutien financier à la gestion des frontières et à la politique des visas (JO L 231 du 30.6.2021, p. 159).</w:t>
      </w:r>
    </w:p>
  </w:footnote>
  <w:footnote w:id="35">
    <w:p>
      <w:pPr>
        <w:pStyle w:val="FootnoteText"/>
        <w:jc w:val="both"/>
      </w:pPr>
      <w:r>
        <w:rPr>
          <w:rStyle w:val="FootnoteReference"/>
        </w:rPr>
        <w:footnoteRef/>
      </w:r>
      <w:r>
        <w:tab/>
        <w:t>Décision (UE, Euratom) 2020/2053 du Conseil du 14 décembre 2020 relative au système des ressources propres de l’Union européenne et abrogeant la décision 2014/335/UE, Euratom (JO L 424 du 15.12.2020, p. 1).</w:t>
      </w:r>
    </w:p>
  </w:footnote>
  <w:footnote w:id="36">
    <w:p>
      <w:pPr>
        <w:pStyle w:val="FootnoteText"/>
        <w:spacing w:after="120"/>
        <w:jc w:val="both"/>
      </w:pPr>
      <w:r>
        <w:rPr>
          <w:rStyle w:val="FootnoteReference"/>
        </w:rPr>
        <w:footnoteRef/>
      </w:r>
      <w:r>
        <w:tab/>
        <w:t>Décision (UE) 2018/412 du Parlement européen et du Conseil du 14 mars 2018 modifiant la décision nº 466/2014/UE accordant une garantie de l’Union européenne à la Banque européenne d’investissement en cas de pertes résultant d’opérations de financement en faveur de projets menés hors de l’Union (JO L 76 du 19.3.2018, p. 30).</w:t>
      </w:r>
    </w:p>
  </w:footnote>
  <w:footnote w:id="37">
    <w:p>
      <w:pPr>
        <w:pStyle w:val="FootnoteText"/>
        <w:jc w:val="both"/>
      </w:pPr>
      <w:r>
        <w:rPr>
          <w:rStyle w:val="FootnoteReference"/>
        </w:rPr>
        <w:footnoteRef/>
      </w:r>
      <w:r>
        <w:tab/>
        <w:t>Règlement (UE) 2017/1601 du Parlement européen et du Conseil du 26 septembre 2017 instituant le Fonds européen pour le développement durable (FEDD), la garantie FEDD et le fonds de garantie FEDD (JO L 249 du 27.9.2017).</w:t>
      </w:r>
    </w:p>
  </w:footnote>
  <w:footnote w:id="38">
    <w:p>
      <w:pPr>
        <w:pStyle w:val="FootnoteText"/>
        <w:spacing w:after="120"/>
        <w:jc w:val="both"/>
      </w:pPr>
      <w:r>
        <w:rPr>
          <w:rStyle w:val="FootnoteReference"/>
        </w:rPr>
        <w:footnoteRef/>
      </w:r>
      <w:r>
        <w:tab/>
        <w:t>Règlement (UE) 2021/947 du Parlement européen et du Conseil du 9 juin 2021 établissant l’instrument de voisinage, de coopération au développement et de coopération internationale — Europe dans le monde, modifiant et abrogeant la décision nº 466/2014/UE du Parlement européen et du Conseil et abrogeant le règlement (UE) 2017/1601 du Parlement européen et du Conseil et le règlement (CE, Euratom) nº 480/2009 du Conseil (JO L 209 du 14.6.2021, p. 1).</w:t>
      </w:r>
    </w:p>
  </w:footnote>
  <w:footnote w:id="39">
    <w:p>
      <w:pPr>
        <w:pStyle w:val="FootnoteText"/>
        <w:jc w:val="both"/>
      </w:pPr>
      <w:r>
        <w:rPr>
          <w:rStyle w:val="FootnoteReference"/>
          <w:szCs w:val="16"/>
        </w:rPr>
        <w:footnoteRef/>
      </w:r>
      <w:r>
        <w:tab/>
        <w:t>Règlement (UE) 2021/1153 du Parlement européen et du Conseil du 7 juillet 2021 établissant le mécanisme pour l’interconnexion en Europe et abrogeant les règlements (UE) nº 1316/2013 et (UE) nº 283/2014 (JO L 249 du 14.7.2021, p. 38).</w:t>
      </w:r>
    </w:p>
  </w:footnote>
  <w:footnote w:id="40">
    <w:p>
      <w:pPr>
        <w:pStyle w:val="FootnoteText"/>
        <w:jc w:val="both"/>
        <w:rPr>
          <w:szCs w:val="16"/>
        </w:rPr>
      </w:pPr>
      <w:r>
        <w:rPr>
          <w:rStyle w:val="FootnoteReference"/>
          <w:szCs w:val="16"/>
        </w:rPr>
        <w:footnoteRef/>
      </w:r>
      <w:r>
        <w:tab/>
        <w:t>Directive (UE) 2023/959 du Parlement européen et du Conseil du 10 mai 2023 modifiant la directive 2003/87/CE établissant un système d’échange de quotas d’émission de gaz à effet de serre dans l’Union et la décision (UE) 2015/1814 concernant la création et le fonctionnement d’une réserve de stabilité du marché pour le système d’échange de quotas d’émission de gaz à effet de serre de l’Union (JO L 130 du 16.5.2023, p. 134).</w:t>
      </w:r>
    </w:p>
  </w:footnote>
  <w:footnote w:id="41">
    <w:p>
      <w:pPr>
        <w:pStyle w:val="FootnoteText"/>
        <w:jc w:val="both"/>
      </w:pPr>
      <w:r>
        <w:rPr>
          <w:rStyle w:val="FootnoteReference"/>
          <w:szCs w:val="16"/>
        </w:rPr>
        <w:footnoteRef/>
      </w:r>
      <w:r>
        <w:tab/>
        <w:t>Règlement (UE) 2021/696 du Parlement européen et du Conseil du 28 avril 2021 établissant le programme spatial de l’Union et l’Agence de l’Union européenne pour le programme spatial et abrogeant les règlements (UE) nº 912/2010, (UE) nº 1285/2013 et (UE) nº 377/2014 et la décision nº 541/2014/UE (JO L 170 du 12.5.2021, p. 69).</w:t>
      </w:r>
    </w:p>
  </w:footnote>
  <w:footnote w:id="42">
    <w:p>
      <w:pPr>
        <w:pStyle w:val="FootnoteText"/>
        <w:spacing w:after="120"/>
        <w:jc w:val="both"/>
      </w:pPr>
      <w:r>
        <w:rPr>
          <w:rStyle w:val="FootnoteReference"/>
          <w:szCs w:val="16"/>
        </w:rPr>
        <w:footnoteRef/>
      </w:r>
      <w:r>
        <w:tab/>
        <w:t>Règlement (UE) 2024/792 du Parlement européen et du Conseil du 29 février 2024 établissant la facilité pour l’Ukraine (JO L, 2024/792, 29.2.2024).</w:t>
      </w:r>
    </w:p>
  </w:footnote>
  <w:footnote w:id="43">
    <w:p>
      <w:pPr>
        <w:pStyle w:val="FootnoteText"/>
        <w:jc w:val="both"/>
        <w:rPr>
          <w:szCs w:val="16"/>
        </w:rPr>
      </w:pPr>
      <w:r>
        <w:rPr>
          <w:rStyle w:val="FootnoteReference"/>
          <w:szCs w:val="16"/>
        </w:rPr>
        <w:footnoteRef/>
      </w:r>
      <w:r>
        <w:tab/>
        <w:t>Règlement (UE) 2021/695 du Parlement européen et du Conseil du 28 avril 2021 portant établissement du programme-cadre pour la recherche et l’innovation «Horizon Europe» et définissant ses règles de participation et de diffusion, et abrogeant les règlements (UE) nº 1290/2013 et (UE) nº 1291/2013 (JO L 170 du 12.5.2021, p. 1).</w:t>
      </w:r>
    </w:p>
  </w:footnote>
  <w:footnote w:id="44">
    <w:p>
      <w:pPr>
        <w:pStyle w:val="FootnoteText"/>
        <w:jc w:val="both"/>
        <w:rPr>
          <w:szCs w:val="16"/>
        </w:rPr>
      </w:pPr>
      <w:r>
        <w:rPr>
          <w:rStyle w:val="FootnoteReference"/>
          <w:szCs w:val="16"/>
        </w:rPr>
        <w:footnoteRef/>
      </w:r>
      <w:r>
        <w:tab/>
        <w:t>Règlement (UE) 2023/588 du Parlement européen et du Conseil du 15 mars 2023 établissant le programme de l’Union pour une connectivité sécurisée pour la période 2023-2027 (JO L 179 du 17.3.2023, p. 1).</w:t>
      </w:r>
    </w:p>
  </w:footnote>
  <w:footnote w:id="45">
    <w:p>
      <w:pPr>
        <w:pStyle w:val="FootnoteText"/>
        <w:jc w:val="both"/>
        <w:rPr>
          <w:szCs w:val="16"/>
        </w:rPr>
      </w:pPr>
      <w:r>
        <w:rPr>
          <w:rStyle w:val="FootnoteReference"/>
          <w:szCs w:val="16"/>
        </w:rPr>
        <w:footnoteRef/>
      </w:r>
      <w:r>
        <w:tab/>
        <w:t>Décision nº 1313/2013/UE du Parlement européen et du Conseil du 17 décembre 2013 relative au mécanisme de protection civile de l’Union (JO L 347 du 20.12.2013, p. 924).</w:t>
      </w:r>
    </w:p>
  </w:footnote>
  <w:footnote w:id="46">
    <w:p>
      <w:pPr>
        <w:pStyle w:val="FootnoteText"/>
        <w:spacing w:after="120"/>
        <w:jc w:val="both"/>
        <w:rPr>
          <w:szCs w:val="16"/>
        </w:rPr>
      </w:pPr>
      <w:r>
        <w:rPr>
          <w:rStyle w:val="FootnoteReference"/>
          <w:szCs w:val="16"/>
        </w:rPr>
        <w:footnoteRef/>
      </w:r>
      <w:r>
        <w:tab/>
        <w:t>Règlement (UE) 2021/241 du Parlement européen et du Conseil du 12 février 2021 établissant la facilité pour la reprise et la résilience (JO L 57 du 18.2.2021, p. 17).</w:t>
      </w:r>
    </w:p>
  </w:footnote>
  <w:footnote w:id="47">
    <w:p>
      <w:pPr>
        <w:pStyle w:val="FootnoteText"/>
        <w:spacing w:after="120"/>
        <w:jc w:val="both"/>
      </w:pPr>
      <w:r>
        <w:rPr>
          <w:rStyle w:val="FootnoteReference"/>
          <w:szCs w:val="16"/>
        </w:rPr>
        <w:footnoteRef/>
      </w:r>
      <w:r>
        <w:tab/>
        <w:t>Règlement (Euratom) 2021/765 du Conseil du 10 mai 2021 établissant le programme de recherche et de formation de la Communauté européenne de l’énergie atomique pour la période 2021-2025 complétant le programme-cadre pour la recherche et l’innovation «Horizon Europe» et abrogeant le règlement (Euratom) 2018/1563 (JO L 167I du 12.5.2021, p. 81).</w:t>
      </w:r>
    </w:p>
  </w:footnote>
  <w:footnote w:id="48">
    <w:p>
      <w:pPr>
        <w:pStyle w:val="FootnoteText"/>
        <w:spacing w:after="120"/>
        <w:jc w:val="both"/>
      </w:pPr>
      <w:r>
        <w:rPr>
          <w:rStyle w:val="FootnoteReference"/>
          <w:szCs w:val="16"/>
        </w:rPr>
        <w:footnoteRef/>
      </w:r>
      <w:r>
        <w:tab/>
        <w:t>Règlement (UE) 2018/1718 du Parlement européen et du Conseil du 14 novembre 2018 modifiant le règlement (CE) nº 726/2004 en ce qui concerne la fixation du siège de l’Agence européenne des médicaments (JO L 291 du 16.11.2018, p. 3).</w:t>
      </w:r>
    </w:p>
  </w:footnote>
  <w:footnote w:id="49">
    <w:p>
      <w:pPr>
        <w:pStyle w:val="FootnoteText"/>
        <w:jc w:val="both"/>
        <w:rPr>
          <w:szCs w:val="16"/>
        </w:rPr>
      </w:pPr>
      <w:r>
        <w:rPr>
          <w:szCs w:val="16"/>
        </w:rPr>
        <w:footnoteRef/>
      </w:r>
      <w:r>
        <w:tab/>
        <w:t>Dans la présente note, le terme «programmes d’instruments financiers» fait référence aux «instruments financiers» tels que définis à l’article 2, point 30), du règlement financier.</w:t>
      </w:r>
    </w:p>
  </w:footnote>
  <w:footnote w:id="50">
    <w:p>
      <w:pPr>
        <w:pStyle w:val="FootnoteText"/>
        <w:jc w:val="both"/>
      </w:pPr>
      <w:r>
        <w:rPr>
          <w:rStyle w:val="FootnoteReference"/>
        </w:rPr>
        <w:footnoteRef/>
      </w:r>
      <w:r>
        <w:tab/>
        <w:t xml:space="preserve">Décision (UE, Euratom) 2025/369 de la Commission du 21 février 2025 définissant le rôle du directeur des risques qui assure la surveillance des risques financiers découlant des opérations financières de l’Union (JO L, 2025/369, 25.2.2025). </w:t>
      </w:r>
    </w:p>
  </w:footnote>
  <w:footnote w:id="51">
    <w:p>
      <w:pPr>
        <w:pStyle w:val="FootnoteText"/>
        <w:jc w:val="both"/>
      </w:pPr>
      <w:r>
        <w:rPr>
          <w:rStyle w:val="FootnoteReference"/>
          <w:szCs w:val="16"/>
        </w:rPr>
        <w:footnoteRef/>
      </w:r>
      <w:r>
        <w:rPr>
          <w:sz w:val="12"/>
        </w:rPr>
        <w:tab/>
      </w:r>
      <w:r>
        <w:t>Règlement (UE, Euratom) nº 609/2014 du Conseil du 26 mai 2014 relatif aux modalités et à la procédure de mise à disposition des ressources propres traditionnelles, de la ressource propre fondée sur la TVA et de la ressource propre fondée sur le RNB et aux mesures visant à faire face aux besoins de trésorerie (refonte) (JO L 168 du 7.6.2014, p. 39).</w:t>
      </w:r>
    </w:p>
  </w:footnote>
  <w:footnote w:id="52">
    <w:p>
      <w:pPr>
        <w:pStyle w:val="FootnoteText"/>
        <w:spacing w:after="120"/>
        <w:jc w:val="both"/>
        <w:rPr>
          <w:szCs w:val="16"/>
        </w:rPr>
      </w:pPr>
      <w:r>
        <w:rPr>
          <w:rStyle w:val="FootnoteReference"/>
          <w:szCs w:val="16"/>
        </w:rPr>
        <w:footnoteRef/>
      </w:r>
      <w:r>
        <w:tab/>
        <w:t>Règlement (UE, Euratom) 2016/804 du Conseil du 17 mai 2016 modifiant le règlement (UE, Euratom) nº 609/2014 relatif aux modalités et à la procédure de mise à disposition des ressources propres traditionnelles, de la ressource propre fondée sur la TVA et de la ressource propre fondée sur le RNB et aux mesures visant à faire face aux besoins de trésorerie (JO L 132 du 21.5.2016, p. 85).</w:t>
      </w:r>
    </w:p>
  </w:footnote>
  <w:footnote w:id="53">
    <w:p>
      <w:pPr>
        <w:pStyle w:val="FootnoteText"/>
        <w:spacing w:after="120"/>
        <w:jc w:val="both"/>
        <w:rPr>
          <w:szCs w:val="16"/>
        </w:rPr>
      </w:pPr>
      <w:r>
        <w:rPr>
          <w:rStyle w:val="FootnoteReference"/>
          <w:szCs w:val="16"/>
        </w:rPr>
        <w:footnoteRef/>
      </w:r>
      <w:r>
        <w:tab/>
        <w:t xml:space="preserve">Règlement (UE, Euratom) 2022/615 du Conseil du 5 avril 2022 modifiant le règlement (UE, Euratom) nº 609/2014 afin de renforcer la prévisibilité pour les États membres et de clarifier les procédures de résolution des contentieux lors de la mise à disposition des ressources propres traditionnelles, de la ressource propre fondée sur la TVA et de la ressource propre fondée sur le RNB (JO L 115 du 13.4.2022, p. 51). </w:t>
      </w:r>
    </w:p>
  </w:footnote>
  <w:footnote w:id="54">
    <w:p>
      <w:pPr>
        <w:pStyle w:val="FootnoteText"/>
        <w:spacing w:after="120"/>
        <w:jc w:val="both"/>
        <w:rPr>
          <w:sz w:val="14"/>
          <w:szCs w:val="14"/>
        </w:rPr>
      </w:pPr>
      <w:r>
        <w:rPr>
          <w:rStyle w:val="FootnoteReference"/>
          <w:sz w:val="14"/>
          <w:szCs w:val="14"/>
        </w:rPr>
        <w:footnoteRef/>
      </w:r>
      <w:r>
        <w:rPr>
          <w:sz w:val="14"/>
        </w:rPr>
        <w:tab/>
        <w:t xml:space="preserve">Décision de la Commission du 25 mars 2020 sur les lignes directrices pour la gestion des actifs du fonds commun de provisionnement (2020/C 131/03) (JO C 131 du 22.4.2020, p. 3). </w:t>
      </w:r>
    </w:p>
  </w:footnote>
  <w:footnote w:id="55">
    <w:p>
      <w:pPr>
        <w:pStyle w:val="FootnoteText"/>
        <w:rPr>
          <w:szCs w:val="16"/>
        </w:rPr>
      </w:pPr>
      <w:r>
        <w:rPr>
          <w:rStyle w:val="FootnoteReference"/>
        </w:rPr>
        <w:footnoteRef/>
      </w:r>
      <w:r>
        <w:tab/>
        <w:t>Règlement (UE, Euratom) 2020/2093 du Conseil du 17 décembre 2020 fixant le cadre financier pluriannuel pour les années 2021 à 2027 (JO L 433I du 22.12.2020, p. 11).</w:t>
      </w:r>
    </w:p>
  </w:footnote>
  <w:footnote w:id="56">
    <w:p>
      <w:pPr>
        <w:pStyle w:val="FootnoteText"/>
        <w:jc w:val="both"/>
      </w:pPr>
      <w:r>
        <w:rPr>
          <w:rStyle w:val="FootnoteReference"/>
        </w:rPr>
        <w:footnoteRef/>
      </w:r>
      <w:r>
        <w:tab/>
        <w:t>Ajustement technique du cadre financier pour 2026 conformément à l’article 4 du règlement (UE, Euratom) 2021/365 du Conseil fixant le cadre financier pluriannuel pour les années 2021 à 2027 [COM(2025) 800 final du 4.6.2025].</w:t>
      </w:r>
    </w:p>
  </w:footnote>
  <w:footnote w:id="57">
    <w:p>
      <w:pPr>
        <w:pStyle w:val="FootnoteText"/>
        <w:jc w:val="both"/>
      </w:pPr>
      <w:r>
        <w:rPr>
          <w:rStyle w:val="FootnoteReference"/>
        </w:rPr>
        <w:footnoteRef/>
      </w:r>
      <w:r>
        <w:tab/>
        <w:t>Modifié en dernier lieu par le règlement (UE, Euratom) 2024/765 du Conseil du 29 février 2024 (</w:t>
      </w:r>
      <w:hyperlink r:id="rId4" w:history="1">
        <w:r>
          <w:rPr>
            <w:rStyle w:val="Hyperlink"/>
          </w:rPr>
          <w:t>JO L, 2024/765, 29.2.2024, p.1</w:t>
        </w:r>
      </w:hyperlink>
      <w:r>
        <w:t>).</w:t>
      </w:r>
    </w:p>
  </w:footnote>
  <w:footnote w:id="58">
    <w:p>
      <w:pPr>
        <w:pStyle w:val="FootnoteText"/>
      </w:pPr>
      <w:r>
        <w:rPr>
          <w:rStyle w:val="FootnoteReference"/>
        </w:rPr>
        <w:footnoteRef/>
      </w:r>
      <w:r>
        <w:tab/>
        <w:t>BA 1/2024 (JO L, 2024/1430, 5.6.2024).</w:t>
      </w:r>
    </w:p>
  </w:footnote>
  <w:footnote w:id="59">
    <w:p>
      <w:pPr>
        <w:pStyle w:val="FootnoteText"/>
        <w:spacing w:after="120"/>
      </w:pPr>
      <w:r>
        <w:rPr>
          <w:rStyle w:val="FootnoteReference"/>
        </w:rPr>
        <w:footnoteRef/>
      </w:r>
      <w:r>
        <w:tab/>
        <w:t>Règlement (UE) 2020/2094 du Conseil du 14 décembre 2020 établissant un instrument de l’Union européenne pour la relance en vue de soutenir la reprise à la suite de la crise liée à la COVID-19.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Comptes annuels 2025 de l’Union européenne</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Comptes annuels 2025 de l’Union européenne</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Comptes annuels 2025 de l’Union européenne</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Comptes annuels 2025 de l’Union européenne</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Comptes annuels 2025 de l’Union européenne</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Comptes annuels 2025 de l’Union européenne</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Comptes annuels 2025 de l’Union européenne</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Comptes annuels 2025 de l’Union européenne</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Comptes annuels 2025 de l’Union européenne</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Comptes annuels 2025 de l’Union européenne</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Comptes annuels 2025 de l’Union européenne</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Comptes annuels 2025 de l’Union européenne</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Comptes annuels 2025 de l’Union européenne</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Comptes annuels 2025 de l’Union européenne</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Comptes annuels 2025 de l’Union européenne</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Comptes annuels 2025 de l’Union européenne</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Comptes annuels 2025 de l’Union européenne</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Comptes annuels 2025 de l’Union européenne</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Comptes annuels 2025 de l’Union européenne</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Comptes annuels 2025 de l’Union européenne</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Comptes annuels 2025 de l’Union européenne</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Comptes annuels 2025 de l’Union européenne</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Comptes annuels 2025 de l’Union européenne</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Comptes annuels 2025 de l’Union européenne</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Comptes annuels 2025 de l’Union européenne</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Comptes annuels 2025 de l’Union européenne</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Comptes annuels 2025 de l’Union européenne</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Comptes annuels 2025 de l’Union européenne</w: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Comptes annuels 2025 de l’Union européenne</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Comptes annuels 2025 de l’Union européenne</w: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Comptes annuels 2025 de l’Union européenne</w: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Comptes annuels 2025 de l’Union européenne</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Comptes annuels 2025 de l’Union européenne</w: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Comptes annuels 2025 de l’Union européenne</w: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Comptes annuels 2025 de l’Union européenne</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Comptes annuels 2025 de l’Union européenne</w: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Comptes annuels 2025 de l’Union européenne</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Comptes annuels 2025 de l’Union européenne</w: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Comptes annuels 2025 de l’Union européenne</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Comptes annuels 2025 de l’Union européenne</w: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Comptes annuels 2025 de l’Union européenne</w: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Comptes annuels 2025 de l’Union européenne</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Comptes annuels 2025 de l’Union européenne</w: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Comptes annuels 2025 de l’Union européenne</w:t>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Comptes annuels 2025 de l’Union européenne</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Comptes annuels 2025 de l’Union européenne</w:t>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Comptes annuels 2025 de l’Union européenne</w:t>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Comptes annuels 2025 de l’Union européenne</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Comptes annuels 2025 de l’Union européenne</w:t>
    </w: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Comptes annuels 2025 de l’Union européenne</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Comptes annuels 2025 de l’Union européenne</w:t>
    </w: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Comptes annuels 2025 de l’Union européenne</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Comptes annuels 2025 de l’Union européenne</w:t>
    </w: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Comptes annuels 2025 de l’Union européenne</w:t>
    </w: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Comptes annuels 2025 de l’Union européenne</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Comptes annuels 2025 de l’Union européenne</w:t>
    </w: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Comptes annuels 2025 de l’Union européenne</w:t>
    </w: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Comptes annuels 2025 de l’Union européenne</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Comptes annuels 2025 de l’Union européenne</w:t>
    </w: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Comptes annuels 2025 de l’Union européenne</w:t>
    </w: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Comptes annuels 2025 de l’Union européenne</w:t>
    </w: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Comptes annuels 2025 de l’Union européenne</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Comptes annuels 2025 de l’Union européenne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5B9A8520"/>
    <w:lvl w:ilvl="0">
      <w:start w:val="1"/>
      <w:numFmt w:val="decimal"/>
      <w:pStyle w:val="HEADER1Part3"/>
      <w:lvlText w:val="%1."/>
      <w:lvlJc w:val="left"/>
      <w:pPr>
        <w:ind w:left="907" w:hanging="907"/>
      </w:pPr>
      <w:rPr>
        <w:rFonts w:cs="Times New Roman" w:hint="default"/>
        <w:i w:val="0"/>
        <w:iCs w:val="0"/>
        <w:caps w:val="0"/>
        <w:smallCaps w:val="0"/>
        <w:strike w:val="0"/>
        <w:dstrike w:val="0"/>
        <w:noProof w:val="0"/>
        <w:vanish w:val="0"/>
        <w:color w:val="016794"/>
        <w:spacing w:val="0"/>
        <w:position w:val="0"/>
        <w:u w:val="none"/>
        <w:effect w:val="none"/>
        <w:vertAlign w:val="baseline"/>
        <w:specVanish w:val="0"/>
      </w:rPr>
    </w:lvl>
    <w:lvl w:ilvl="1">
      <w:start w:val="1"/>
      <w:numFmt w:val="decimal"/>
      <w:pStyle w:val="HEADER2Part3"/>
      <w:lvlText w:val="%1.%2."/>
      <w:lvlJc w:val="left"/>
      <w:pPr>
        <w:ind w:left="907" w:hanging="907"/>
      </w:pPr>
      <w:rPr>
        <w:rFonts w:cs="Times New Roman" w:hint="default"/>
        <w:i w:val="0"/>
        <w:iCs w:val="0"/>
        <w:caps w:val="0"/>
        <w:smallCaps w:val="0"/>
        <w:strike w:val="0"/>
        <w:dstrike w:val="0"/>
        <w:noProof w:val="0"/>
        <w:vanish w:val="0"/>
        <w:color w:val="016794"/>
        <w:spacing w:val="0"/>
        <w:position w:val="0"/>
        <w:u w:val="none"/>
        <w:effect w:val="none"/>
        <w:vertAlign w:val="baseline"/>
        <w:specVanish w:val="0"/>
      </w:rPr>
    </w:lvl>
    <w:lvl w:ilvl="2">
      <w:start w:val="1"/>
      <w:numFmt w:val="decimal"/>
      <w:pStyle w:val="HEADER3Part3"/>
      <w:lvlText w:val="%1.%2.%3."/>
      <w:lvlJc w:val="left"/>
      <w:pPr>
        <w:ind w:left="907" w:hanging="907"/>
      </w:pPr>
      <w:rPr>
        <w:rFonts w:cs="Times New Roman" w:hint="default"/>
        <w:i w:val="0"/>
        <w:iCs w:val="0"/>
        <w:caps w:val="0"/>
        <w:smallCaps w:val="0"/>
        <w:strike w:val="0"/>
        <w:dstrike w:val="0"/>
        <w:noProof w:val="0"/>
        <w:vanish w:val="0"/>
        <w:color w:val="016794"/>
        <w:spacing w:val="0"/>
        <w:position w:val="0"/>
        <w:u w:val="none"/>
        <w:effect w:val="none"/>
        <w:vertAlign w:val="baseline"/>
        <w:specVanish w:val="0"/>
      </w:rPr>
    </w:lvl>
    <w:lvl w:ilvl="3">
      <w:start w:val="1"/>
      <w:numFmt w:val="decimal"/>
      <w:lvlText w:val="%1.%2.%3.%4."/>
      <w:lvlJc w:val="left"/>
      <w:pPr>
        <w:ind w:left="907" w:hanging="907"/>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il"/>
        <w:shd w:val="clear" w:color="000000" w:fill="000000"/>
        <w:vertAlign w:val="baseline"/>
        <w:lang w:val="x-none" w:eastAsia="x-none" w:bidi="x-none"/>
        <w:specVanish w:val="0"/>
      </w:rPr>
    </w:lvl>
    <w:lvl w:ilvl="4">
      <w:start w:val="1"/>
      <w:numFmt w:val="lowerLetter"/>
      <w:lvlText w:val="(%5)"/>
      <w:lvlJc w:val="left"/>
      <w:pPr>
        <w:ind w:left="907" w:hanging="907"/>
      </w:pPr>
      <w:rPr>
        <w:rFonts w:hint="default"/>
      </w:rPr>
    </w:lvl>
    <w:lvl w:ilvl="5">
      <w:start w:val="1"/>
      <w:numFmt w:val="lowerRoman"/>
      <w:lvlText w:val="(%6)"/>
      <w:lvlJc w:val="left"/>
      <w:pPr>
        <w:ind w:left="907" w:hanging="907"/>
      </w:pPr>
      <w:rPr>
        <w:rFonts w:hint="default"/>
      </w:rPr>
    </w:lvl>
    <w:lvl w:ilvl="6">
      <w:start w:val="1"/>
      <w:numFmt w:val="decimal"/>
      <w:lvlText w:val="%7."/>
      <w:lvlJc w:val="left"/>
      <w:pPr>
        <w:ind w:left="907" w:hanging="907"/>
      </w:pPr>
      <w:rPr>
        <w:rFonts w:hint="default"/>
      </w:rPr>
    </w:lvl>
    <w:lvl w:ilvl="7">
      <w:start w:val="1"/>
      <w:numFmt w:val="lowerLetter"/>
      <w:lvlText w:val="%8."/>
      <w:lvlJc w:val="left"/>
      <w:pPr>
        <w:ind w:left="907" w:hanging="907"/>
      </w:pPr>
      <w:rPr>
        <w:rFonts w:hint="default"/>
      </w:rPr>
    </w:lvl>
    <w:lvl w:ilvl="8">
      <w:start w:val="1"/>
      <w:numFmt w:val="lowerRoman"/>
      <w:lvlText w:val="%9."/>
      <w:lvlJc w:val="left"/>
      <w:pPr>
        <w:ind w:left="907" w:hanging="907"/>
      </w:pPr>
      <w:rPr>
        <w:rFonts w:hint="default"/>
      </w:rPr>
    </w:lvl>
  </w:abstractNum>
  <w:abstractNum w:abstractNumId="1" w15:restartNumberingAfterBreak="0">
    <w:nsid w:val="00000002"/>
    <w:multiLevelType w:val="hybridMultilevel"/>
    <w:tmpl w:val="675ED66A"/>
    <w:lvl w:ilvl="0" w:tplc="B81EF8DE">
      <w:start w:val="1"/>
      <w:numFmt w:val="lowerLetter"/>
      <w:pStyle w:val="Textstand-alonenumberingLetters"/>
      <w:lvlText w:val="%1)"/>
      <w:lvlJc w:val="left"/>
      <w:pPr>
        <w:ind w:left="720" w:hanging="360"/>
      </w:pPr>
      <w:rPr>
        <w:rFonts w:hint="default"/>
      </w:rPr>
    </w:lvl>
    <w:lvl w:ilvl="1" w:tplc="299A743E" w:tentative="1">
      <w:start w:val="1"/>
      <w:numFmt w:val="lowerLetter"/>
      <w:lvlText w:val="%2."/>
      <w:lvlJc w:val="left"/>
      <w:pPr>
        <w:ind w:left="1440" w:hanging="360"/>
      </w:pPr>
    </w:lvl>
    <w:lvl w:ilvl="2" w:tplc="EC98477E" w:tentative="1">
      <w:start w:val="1"/>
      <w:numFmt w:val="lowerRoman"/>
      <w:lvlText w:val="%3."/>
      <w:lvlJc w:val="right"/>
      <w:pPr>
        <w:ind w:left="2160" w:hanging="180"/>
      </w:pPr>
    </w:lvl>
    <w:lvl w:ilvl="3" w:tplc="3CB09634" w:tentative="1">
      <w:start w:val="1"/>
      <w:numFmt w:val="decimal"/>
      <w:lvlText w:val="%4."/>
      <w:lvlJc w:val="left"/>
      <w:pPr>
        <w:ind w:left="2880" w:hanging="360"/>
      </w:pPr>
    </w:lvl>
    <w:lvl w:ilvl="4" w:tplc="B0A4FEBC" w:tentative="1">
      <w:start w:val="1"/>
      <w:numFmt w:val="lowerLetter"/>
      <w:lvlText w:val="%5."/>
      <w:lvlJc w:val="left"/>
      <w:pPr>
        <w:ind w:left="3600" w:hanging="360"/>
      </w:pPr>
    </w:lvl>
    <w:lvl w:ilvl="5" w:tplc="10AABEBE" w:tentative="1">
      <w:start w:val="1"/>
      <w:numFmt w:val="lowerRoman"/>
      <w:lvlText w:val="%6."/>
      <w:lvlJc w:val="right"/>
      <w:pPr>
        <w:ind w:left="4320" w:hanging="180"/>
      </w:pPr>
    </w:lvl>
    <w:lvl w:ilvl="6" w:tplc="F3A4A3FC" w:tentative="1">
      <w:start w:val="1"/>
      <w:numFmt w:val="decimal"/>
      <w:lvlText w:val="%7."/>
      <w:lvlJc w:val="left"/>
      <w:pPr>
        <w:ind w:left="5040" w:hanging="360"/>
      </w:pPr>
    </w:lvl>
    <w:lvl w:ilvl="7" w:tplc="6AEC4882" w:tentative="1">
      <w:start w:val="1"/>
      <w:numFmt w:val="lowerLetter"/>
      <w:lvlText w:val="%8."/>
      <w:lvlJc w:val="left"/>
      <w:pPr>
        <w:ind w:left="5760" w:hanging="360"/>
      </w:pPr>
    </w:lvl>
    <w:lvl w:ilvl="8" w:tplc="14B2548A" w:tentative="1">
      <w:start w:val="1"/>
      <w:numFmt w:val="lowerRoman"/>
      <w:lvlText w:val="%9."/>
      <w:lvlJc w:val="right"/>
      <w:pPr>
        <w:ind w:left="6480" w:hanging="180"/>
      </w:pPr>
    </w:lvl>
  </w:abstractNum>
  <w:abstractNum w:abstractNumId="2" w15:restartNumberingAfterBreak="0">
    <w:nsid w:val="00000004"/>
    <w:multiLevelType w:val="hybridMultilevel"/>
    <w:tmpl w:val="7CB6E1C4"/>
    <w:lvl w:ilvl="0" w:tplc="042EBCFA">
      <w:start w:val="1"/>
      <w:numFmt w:val="decimal"/>
      <w:pStyle w:val="DGTextstand-alonenumbering"/>
      <w:lvlText w:val="(%1)"/>
      <w:lvlJc w:val="left"/>
      <w:pPr>
        <w:ind w:left="720" w:hanging="360"/>
      </w:pPr>
      <w:rPr>
        <w:rFonts w:hint="default"/>
      </w:rPr>
    </w:lvl>
    <w:lvl w:ilvl="1" w:tplc="393286D8" w:tentative="1">
      <w:start w:val="1"/>
      <w:numFmt w:val="lowerLetter"/>
      <w:lvlText w:val="%2."/>
      <w:lvlJc w:val="left"/>
      <w:pPr>
        <w:ind w:left="1440" w:hanging="360"/>
      </w:pPr>
    </w:lvl>
    <w:lvl w:ilvl="2" w:tplc="B778EF0A" w:tentative="1">
      <w:start w:val="1"/>
      <w:numFmt w:val="lowerRoman"/>
      <w:lvlText w:val="%3."/>
      <w:lvlJc w:val="right"/>
      <w:pPr>
        <w:ind w:left="2160" w:hanging="180"/>
      </w:pPr>
    </w:lvl>
    <w:lvl w:ilvl="3" w:tplc="E30E46FA" w:tentative="1">
      <w:start w:val="1"/>
      <w:numFmt w:val="decimal"/>
      <w:lvlText w:val="%4."/>
      <w:lvlJc w:val="left"/>
      <w:pPr>
        <w:ind w:left="2880" w:hanging="360"/>
      </w:pPr>
    </w:lvl>
    <w:lvl w:ilvl="4" w:tplc="36723340" w:tentative="1">
      <w:start w:val="1"/>
      <w:numFmt w:val="lowerLetter"/>
      <w:lvlText w:val="%5."/>
      <w:lvlJc w:val="left"/>
      <w:pPr>
        <w:ind w:left="3600" w:hanging="360"/>
      </w:pPr>
    </w:lvl>
    <w:lvl w:ilvl="5" w:tplc="8F9E4690" w:tentative="1">
      <w:start w:val="1"/>
      <w:numFmt w:val="lowerRoman"/>
      <w:lvlText w:val="%6."/>
      <w:lvlJc w:val="right"/>
      <w:pPr>
        <w:ind w:left="4320" w:hanging="180"/>
      </w:pPr>
    </w:lvl>
    <w:lvl w:ilvl="6" w:tplc="80A257F8" w:tentative="1">
      <w:start w:val="1"/>
      <w:numFmt w:val="decimal"/>
      <w:lvlText w:val="%7."/>
      <w:lvlJc w:val="left"/>
      <w:pPr>
        <w:ind w:left="5040" w:hanging="360"/>
      </w:pPr>
    </w:lvl>
    <w:lvl w:ilvl="7" w:tplc="1ED8A7DC" w:tentative="1">
      <w:start w:val="1"/>
      <w:numFmt w:val="lowerLetter"/>
      <w:lvlText w:val="%8."/>
      <w:lvlJc w:val="left"/>
      <w:pPr>
        <w:ind w:left="5760" w:hanging="360"/>
      </w:pPr>
    </w:lvl>
    <w:lvl w:ilvl="8" w:tplc="55DE8898" w:tentative="1">
      <w:start w:val="1"/>
      <w:numFmt w:val="lowerRoman"/>
      <w:lvlText w:val="%9."/>
      <w:lvlJc w:val="right"/>
      <w:pPr>
        <w:ind w:left="6480" w:hanging="180"/>
      </w:pPr>
    </w:lvl>
  </w:abstractNum>
  <w:abstractNum w:abstractNumId="3" w15:restartNumberingAfterBreak="0">
    <w:nsid w:val="00000006"/>
    <w:multiLevelType w:val="hybridMultilevel"/>
    <w:tmpl w:val="42FC2B20"/>
    <w:lvl w:ilvl="0" w:tplc="062AE226">
      <w:start w:val="1"/>
      <w:numFmt w:val="lowerRoman"/>
      <w:pStyle w:val="TextSubtitlenumberingRCItalic"/>
      <w:lvlText w:val="(%1)"/>
      <w:lvlJc w:val="left"/>
      <w:pPr>
        <w:ind w:left="720" w:hanging="360"/>
      </w:pPr>
      <w:rPr>
        <w:rFonts w:hint="default"/>
      </w:rPr>
    </w:lvl>
    <w:lvl w:ilvl="1" w:tplc="6EF8968C">
      <w:start w:val="1"/>
      <w:numFmt w:val="lowerLetter"/>
      <w:lvlText w:val="%2."/>
      <w:lvlJc w:val="left"/>
      <w:pPr>
        <w:ind w:left="1440" w:hanging="360"/>
      </w:pPr>
    </w:lvl>
    <w:lvl w:ilvl="2" w:tplc="F0F6D1BE" w:tentative="1">
      <w:start w:val="1"/>
      <w:numFmt w:val="lowerRoman"/>
      <w:lvlText w:val="%3."/>
      <w:lvlJc w:val="right"/>
      <w:pPr>
        <w:ind w:left="2160" w:hanging="180"/>
      </w:pPr>
    </w:lvl>
    <w:lvl w:ilvl="3" w:tplc="1540846A" w:tentative="1">
      <w:start w:val="1"/>
      <w:numFmt w:val="decimal"/>
      <w:lvlText w:val="%4."/>
      <w:lvlJc w:val="left"/>
      <w:pPr>
        <w:ind w:left="2880" w:hanging="360"/>
      </w:pPr>
    </w:lvl>
    <w:lvl w:ilvl="4" w:tplc="6F32455A" w:tentative="1">
      <w:start w:val="1"/>
      <w:numFmt w:val="lowerLetter"/>
      <w:lvlText w:val="%5."/>
      <w:lvlJc w:val="left"/>
      <w:pPr>
        <w:ind w:left="3600" w:hanging="360"/>
      </w:pPr>
    </w:lvl>
    <w:lvl w:ilvl="5" w:tplc="F438AAE6" w:tentative="1">
      <w:start w:val="1"/>
      <w:numFmt w:val="lowerRoman"/>
      <w:lvlText w:val="%6."/>
      <w:lvlJc w:val="right"/>
      <w:pPr>
        <w:ind w:left="4320" w:hanging="180"/>
      </w:pPr>
    </w:lvl>
    <w:lvl w:ilvl="6" w:tplc="B8DAF892" w:tentative="1">
      <w:start w:val="1"/>
      <w:numFmt w:val="decimal"/>
      <w:lvlText w:val="%7."/>
      <w:lvlJc w:val="left"/>
      <w:pPr>
        <w:ind w:left="5040" w:hanging="360"/>
      </w:pPr>
    </w:lvl>
    <w:lvl w:ilvl="7" w:tplc="95E288DC" w:tentative="1">
      <w:start w:val="1"/>
      <w:numFmt w:val="lowerLetter"/>
      <w:lvlText w:val="%8."/>
      <w:lvlJc w:val="left"/>
      <w:pPr>
        <w:ind w:left="5760" w:hanging="360"/>
      </w:pPr>
    </w:lvl>
    <w:lvl w:ilvl="8" w:tplc="DC5A0448" w:tentative="1">
      <w:start w:val="1"/>
      <w:numFmt w:val="lowerRoman"/>
      <w:lvlText w:val="%9."/>
      <w:lvlJc w:val="right"/>
      <w:pPr>
        <w:ind w:left="6480" w:hanging="180"/>
      </w:pPr>
    </w:lvl>
  </w:abstractNum>
  <w:abstractNum w:abstractNumId="4" w15:restartNumberingAfterBreak="0">
    <w:nsid w:val="00000007"/>
    <w:multiLevelType w:val="hybridMultilevel"/>
    <w:tmpl w:val="5DD0517A"/>
    <w:lvl w:ilvl="0" w:tplc="142C2A88">
      <w:start w:val="1"/>
      <w:numFmt w:val="lowerRoman"/>
      <w:pStyle w:val="TextstandalonenumberingRCJustified"/>
      <w:lvlText w:val="(%1)"/>
      <w:lvlJc w:val="left"/>
      <w:pPr>
        <w:tabs>
          <w:tab w:val="num" w:pos="0"/>
        </w:tabs>
        <w:ind w:left="1077"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highlight w:val="none"/>
        <w:u w:val="none"/>
        <w:effect w:val="none"/>
        <w:vertAlign w:val="baseline"/>
        <w:rtl w:val="0"/>
        <w:cs w:val="0"/>
        <w:specVanish w:val="0"/>
      </w:rPr>
    </w:lvl>
    <w:lvl w:ilvl="1" w:tplc="22C2F518" w:tentative="1">
      <w:start w:val="1"/>
      <w:numFmt w:val="lowerLetter"/>
      <w:lvlText w:val="%2."/>
      <w:lvlJc w:val="left"/>
      <w:pPr>
        <w:ind w:left="1797" w:hanging="360"/>
      </w:pPr>
    </w:lvl>
    <w:lvl w:ilvl="2" w:tplc="2BD639B8" w:tentative="1">
      <w:start w:val="1"/>
      <w:numFmt w:val="lowerRoman"/>
      <w:lvlText w:val="%3."/>
      <w:lvlJc w:val="right"/>
      <w:pPr>
        <w:ind w:left="2517" w:hanging="180"/>
      </w:pPr>
    </w:lvl>
    <w:lvl w:ilvl="3" w:tplc="D26C1738" w:tentative="1">
      <w:start w:val="1"/>
      <w:numFmt w:val="decimal"/>
      <w:lvlText w:val="%4."/>
      <w:lvlJc w:val="left"/>
      <w:pPr>
        <w:ind w:left="3237" w:hanging="360"/>
      </w:pPr>
    </w:lvl>
    <w:lvl w:ilvl="4" w:tplc="2C308F64" w:tentative="1">
      <w:start w:val="1"/>
      <w:numFmt w:val="lowerLetter"/>
      <w:lvlText w:val="%5."/>
      <w:lvlJc w:val="left"/>
      <w:pPr>
        <w:ind w:left="3957" w:hanging="360"/>
      </w:pPr>
    </w:lvl>
    <w:lvl w:ilvl="5" w:tplc="6E7A978C" w:tentative="1">
      <w:start w:val="1"/>
      <w:numFmt w:val="lowerRoman"/>
      <w:lvlText w:val="%6."/>
      <w:lvlJc w:val="right"/>
      <w:pPr>
        <w:ind w:left="4677" w:hanging="180"/>
      </w:pPr>
    </w:lvl>
    <w:lvl w:ilvl="6" w:tplc="5058D5EC" w:tentative="1">
      <w:start w:val="1"/>
      <w:numFmt w:val="decimal"/>
      <w:lvlText w:val="%7."/>
      <w:lvlJc w:val="left"/>
      <w:pPr>
        <w:ind w:left="5397" w:hanging="360"/>
      </w:pPr>
    </w:lvl>
    <w:lvl w:ilvl="7" w:tplc="76D44882" w:tentative="1">
      <w:start w:val="1"/>
      <w:numFmt w:val="lowerLetter"/>
      <w:lvlText w:val="%8."/>
      <w:lvlJc w:val="left"/>
      <w:pPr>
        <w:ind w:left="6117" w:hanging="360"/>
      </w:pPr>
    </w:lvl>
    <w:lvl w:ilvl="8" w:tplc="1E1C6728" w:tentative="1">
      <w:start w:val="1"/>
      <w:numFmt w:val="lowerRoman"/>
      <w:lvlText w:val="%9."/>
      <w:lvlJc w:val="right"/>
      <w:pPr>
        <w:ind w:left="6837" w:hanging="180"/>
      </w:pPr>
    </w:lvl>
  </w:abstractNum>
  <w:abstractNum w:abstractNumId="5" w15:restartNumberingAfterBreak="0">
    <w:nsid w:val="00000008"/>
    <w:multiLevelType w:val="multilevel"/>
    <w:tmpl w:val="9EC0C04E"/>
    <w:lvl w:ilvl="0">
      <w:start w:val="1"/>
      <w:numFmt w:val="lowerLetter"/>
      <w:pStyle w:val="TextSubtitleItalicnumberinglettera"/>
      <w:lvlText w:val="(%1)"/>
      <w:lvlJc w:val="left"/>
      <w:pPr>
        <w:ind w:left="0" w:firstLine="0"/>
      </w:pPr>
      <w:rPr>
        <w:rFonts w:ascii="Verdana" w:hAnsi="Verdana" w:hint="default"/>
        <w:b w:val="0"/>
        <w:i w:val="0"/>
        <w:iCs w:val="0"/>
        <w:caps w:val="0"/>
        <w:smallCaps w:val="0"/>
        <w:strike w:val="0"/>
        <w:dstrike w:val="0"/>
        <w:noProof w:val="0"/>
        <w:vanish w:val="0"/>
        <w:color w:val="auto"/>
        <w:spacing w:val="0"/>
        <w:position w:val="0"/>
        <w:sz w:val="18"/>
        <w:u w:val="none"/>
        <w:effect w:val="none"/>
        <w:vertAlign w:val="baseline"/>
        <w:specVanish w:val="0"/>
      </w:rPr>
    </w:lvl>
    <w:lvl w:ilvl="1">
      <w:start w:val="1"/>
      <w:numFmt w:val="decimal"/>
      <w:lvlText w:val="%1.%2"/>
      <w:lvlJc w:val="left"/>
      <w:pPr>
        <w:ind w:left="1440" w:hanging="1440"/>
      </w:pPr>
      <w:rPr>
        <w:rFonts w:cs="Times New Roman" w:hint="default"/>
        <w:i w:val="0"/>
        <w:iCs w:val="0"/>
        <w:caps w:val="0"/>
        <w:smallCaps w:val="0"/>
        <w:strike w:val="0"/>
        <w:dstrike w:val="0"/>
        <w:noProof w:val="0"/>
        <w:vanish w:val="0"/>
        <w:color w:val="016794"/>
        <w:spacing w:val="0"/>
        <w:position w:val="0"/>
        <w:u w:val="none"/>
        <w:effect w:val="none"/>
        <w:vertAlign w:val="baseline"/>
        <w:specVanish w:val="0"/>
      </w:rPr>
    </w:lvl>
    <w:lvl w:ilvl="2">
      <w:start w:val="1"/>
      <w:numFmt w:val="decimal"/>
      <w:lvlText w:val="%1.%2.%3."/>
      <w:lvlJc w:val="left"/>
      <w:pPr>
        <w:ind w:left="992" w:hanging="992"/>
      </w:pPr>
      <w:rPr>
        <w:rFonts w:cs="Times New Roman" w:hint="default"/>
        <w:b w:val="0"/>
        <w:bCs w:val="0"/>
        <w:i w:val="0"/>
        <w:iCs w:val="0"/>
        <w:caps w:val="0"/>
        <w:smallCaps w:val="0"/>
        <w:strike w:val="0"/>
        <w:dstrike w:val="0"/>
        <w:vanish w:val="0"/>
        <w:spacing w:val="0"/>
        <w:kern w:val="0"/>
        <w:position w:val="0"/>
        <w:u w:val="none"/>
        <w:effect w:val="none"/>
        <w:vertAlign w:val="baseline"/>
        <w:specVanish w:val="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02757792"/>
    <w:multiLevelType w:val="multilevel"/>
    <w:tmpl w:val="B89498CE"/>
    <w:lvl w:ilvl="0">
      <w:start w:val="1"/>
      <w:numFmt w:val="decimal"/>
      <w:pStyle w:val="HEADER1Part1"/>
      <w:isLgl/>
      <w:lvlText w:val="%1."/>
      <w:lvlJc w:val="left"/>
      <w:pPr>
        <w:ind w:left="907" w:hanging="907"/>
      </w:pPr>
      <w:rPr>
        <w:rFonts w:hint="default"/>
        <w:b/>
        <w:i w:val="0"/>
        <w:color w:val="016794"/>
        <w:sz w:val="32"/>
        <w:szCs w:val="28"/>
      </w:rPr>
    </w:lvl>
    <w:lvl w:ilvl="1">
      <w:start w:val="1"/>
      <w:numFmt w:val="decimal"/>
      <w:pStyle w:val="HEADER2Part1"/>
      <w:isLgl/>
      <w:lvlText w:val="%1.%2."/>
      <w:lvlJc w:val="left"/>
      <w:pPr>
        <w:ind w:left="907" w:hanging="907"/>
      </w:pPr>
      <w:rPr>
        <w:rFonts w:hint="default"/>
      </w:rPr>
    </w:lvl>
    <w:lvl w:ilvl="2">
      <w:start w:val="1"/>
      <w:numFmt w:val="decimal"/>
      <w:pStyle w:val="HEADER3Part1"/>
      <w:isLgl/>
      <w:lvlText w:val="%1.%2.%3."/>
      <w:lvlJc w:val="left"/>
      <w:pPr>
        <w:ind w:left="907" w:hanging="907"/>
      </w:pPr>
      <w:rPr>
        <w:rFonts w:hint="default"/>
      </w:rPr>
    </w:lvl>
    <w:lvl w:ilvl="3">
      <w:start w:val="1"/>
      <w:numFmt w:val="decimal"/>
      <w:pStyle w:val="HEADER4Part1"/>
      <w:isLgl/>
      <w:lvlText w:val="%1.%2.%3.%4."/>
      <w:lvlJc w:val="left"/>
      <w:pPr>
        <w:ind w:left="907" w:hanging="90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098A3198"/>
    <w:multiLevelType w:val="hybridMultilevel"/>
    <w:tmpl w:val="A99C3C74"/>
    <w:lvl w:ilvl="0" w:tplc="6E621FE0">
      <w:start w:val="1"/>
      <w:numFmt w:val="decimal"/>
      <w:pStyle w:val="HEADER4Part3"/>
      <w:lvlText w:val="%1.1.1.1"/>
      <w:lvlJc w:val="left"/>
      <w:pPr>
        <w:ind w:left="720" w:hanging="360"/>
      </w:pPr>
      <w:rPr>
        <w:rFonts w:ascii="Verdana" w:hAnsi="Verdana" w:hint="default"/>
        <w:sz w:val="18"/>
        <w:szCs w:val="18"/>
      </w:rPr>
    </w:lvl>
    <w:lvl w:ilvl="1" w:tplc="1512CA08" w:tentative="1">
      <w:start w:val="1"/>
      <w:numFmt w:val="lowerLetter"/>
      <w:lvlText w:val="%2."/>
      <w:lvlJc w:val="left"/>
      <w:pPr>
        <w:ind w:left="1440" w:hanging="360"/>
      </w:pPr>
    </w:lvl>
    <w:lvl w:ilvl="2" w:tplc="0B6C9EAA" w:tentative="1">
      <w:start w:val="1"/>
      <w:numFmt w:val="lowerRoman"/>
      <w:lvlText w:val="%3."/>
      <w:lvlJc w:val="right"/>
      <w:pPr>
        <w:ind w:left="2160" w:hanging="180"/>
      </w:pPr>
    </w:lvl>
    <w:lvl w:ilvl="3" w:tplc="7CFC5348">
      <w:start w:val="1"/>
      <w:numFmt w:val="decimal"/>
      <w:lvlText w:val="%4."/>
      <w:lvlJc w:val="left"/>
      <w:pPr>
        <w:ind w:left="2880" w:hanging="360"/>
      </w:pPr>
    </w:lvl>
    <w:lvl w:ilvl="4" w:tplc="425C22C6" w:tentative="1">
      <w:start w:val="1"/>
      <w:numFmt w:val="lowerLetter"/>
      <w:lvlText w:val="%5."/>
      <w:lvlJc w:val="left"/>
      <w:pPr>
        <w:ind w:left="3600" w:hanging="360"/>
      </w:pPr>
    </w:lvl>
    <w:lvl w:ilvl="5" w:tplc="68B09F78" w:tentative="1">
      <w:start w:val="1"/>
      <w:numFmt w:val="lowerRoman"/>
      <w:lvlText w:val="%6."/>
      <w:lvlJc w:val="right"/>
      <w:pPr>
        <w:ind w:left="4320" w:hanging="180"/>
      </w:pPr>
    </w:lvl>
    <w:lvl w:ilvl="6" w:tplc="65FAB296" w:tentative="1">
      <w:start w:val="1"/>
      <w:numFmt w:val="decimal"/>
      <w:lvlText w:val="%7."/>
      <w:lvlJc w:val="left"/>
      <w:pPr>
        <w:ind w:left="5040" w:hanging="360"/>
      </w:pPr>
    </w:lvl>
    <w:lvl w:ilvl="7" w:tplc="D9424778" w:tentative="1">
      <w:start w:val="1"/>
      <w:numFmt w:val="lowerLetter"/>
      <w:lvlText w:val="%8."/>
      <w:lvlJc w:val="left"/>
      <w:pPr>
        <w:ind w:left="5760" w:hanging="360"/>
      </w:pPr>
    </w:lvl>
    <w:lvl w:ilvl="8" w:tplc="316E9374" w:tentative="1">
      <w:start w:val="1"/>
      <w:numFmt w:val="lowerRoman"/>
      <w:lvlText w:val="%9."/>
      <w:lvlJc w:val="right"/>
      <w:pPr>
        <w:ind w:left="6480" w:hanging="180"/>
      </w:pPr>
    </w:lvl>
  </w:abstractNum>
  <w:abstractNum w:abstractNumId="8" w15:restartNumberingAfterBreak="0">
    <w:nsid w:val="0F3F1D52"/>
    <w:multiLevelType w:val="multilevel"/>
    <w:tmpl w:val="455EB66A"/>
    <w:lvl w:ilvl="0">
      <w:start w:val="1"/>
      <w:numFmt w:val="decimal"/>
      <w:pStyle w:val="HEADER1NOTES"/>
      <w:lvlText w:val="%1."/>
      <w:lvlJc w:val="left"/>
      <w:pPr>
        <w:ind w:left="907" w:hanging="907"/>
      </w:pPr>
      <w:rPr>
        <w:rFonts w:hint="default"/>
      </w:rPr>
    </w:lvl>
    <w:lvl w:ilvl="1">
      <w:start w:val="1"/>
      <w:numFmt w:val="decimal"/>
      <w:pStyle w:val="HEADER2NOTES"/>
      <w:lvlText w:val="%1.%2."/>
      <w:lvlJc w:val="left"/>
      <w:pPr>
        <w:ind w:left="907" w:hanging="907"/>
      </w:pPr>
      <w:rPr>
        <w:rFonts w:hint="default"/>
      </w:rPr>
    </w:lvl>
    <w:lvl w:ilvl="2">
      <w:start w:val="1"/>
      <w:numFmt w:val="decimal"/>
      <w:pStyle w:val="HEADER3NOTES"/>
      <w:lvlText w:val="%1.%2.%3."/>
      <w:lvlJc w:val="left"/>
      <w:pPr>
        <w:ind w:left="907" w:hanging="907"/>
      </w:pPr>
      <w:rPr>
        <w:rFonts w:hint="default"/>
      </w:rPr>
    </w:lvl>
    <w:lvl w:ilvl="3">
      <w:start w:val="1"/>
      <w:numFmt w:val="decimal"/>
      <w:pStyle w:val="HEADER4NOTES"/>
      <w:lvlText w:val="%1.%2.%3.%4."/>
      <w:lvlJc w:val="left"/>
      <w:pPr>
        <w:ind w:left="907" w:hanging="907"/>
      </w:pPr>
      <w:rPr>
        <w:rFonts w:hint="default"/>
      </w:rPr>
    </w:lvl>
    <w:lvl w:ilvl="4">
      <w:start w:val="1"/>
      <w:numFmt w:val="lowerLetter"/>
      <w:lvlText w:val="%5."/>
      <w:lvlJc w:val="left"/>
      <w:pPr>
        <w:ind w:left="3666" w:hanging="360"/>
      </w:pPr>
      <w:rPr>
        <w:rFonts w:hint="default"/>
      </w:rPr>
    </w:lvl>
    <w:lvl w:ilvl="5">
      <w:start w:val="1"/>
      <w:numFmt w:val="lowerRoman"/>
      <w:lvlText w:val="%6."/>
      <w:lvlJc w:val="right"/>
      <w:pPr>
        <w:ind w:left="4386" w:hanging="180"/>
      </w:pPr>
      <w:rPr>
        <w:rFonts w:hint="default"/>
      </w:rPr>
    </w:lvl>
    <w:lvl w:ilvl="6">
      <w:start w:val="1"/>
      <w:numFmt w:val="decimal"/>
      <w:lvlText w:val="%7."/>
      <w:lvlJc w:val="left"/>
      <w:pPr>
        <w:ind w:left="5106" w:hanging="360"/>
      </w:pPr>
      <w:rPr>
        <w:rFonts w:hint="default"/>
      </w:rPr>
    </w:lvl>
    <w:lvl w:ilvl="7">
      <w:start w:val="1"/>
      <w:numFmt w:val="lowerLetter"/>
      <w:lvlText w:val="%8."/>
      <w:lvlJc w:val="left"/>
      <w:pPr>
        <w:ind w:left="5826" w:hanging="360"/>
      </w:pPr>
      <w:rPr>
        <w:rFonts w:hint="default"/>
      </w:rPr>
    </w:lvl>
    <w:lvl w:ilvl="8">
      <w:start w:val="1"/>
      <w:numFmt w:val="lowerRoman"/>
      <w:lvlText w:val="%9."/>
      <w:lvlJc w:val="right"/>
      <w:pPr>
        <w:ind w:left="6546" w:hanging="180"/>
      </w:pPr>
      <w:rPr>
        <w:rFonts w:hint="default"/>
      </w:rPr>
    </w:lvl>
  </w:abstractNum>
  <w:abstractNum w:abstractNumId="9" w15:restartNumberingAfterBreak="0">
    <w:nsid w:val="10FF3492"/>
    <w:multiLevelType w:val="multilevel"/>
    <w:tmpl w:val="42180D94"/>
    <w:lvl w:ilvl="0">
      <w:start w:val="1"/>
      <w:numFmt w:val="decimal"/>
      <w:pStyle w:val="HEADER1PartBUDG"/>
      <w:lvlText w:val="%1."/>
      <w:lvlJc w:val="left"/>
      <w:pPr>
        <w:ind w:left="907" w:hanging="907"/>
      </w:pPr>
      <w:rPr>
        <w:rFonts w:cs="Times New Roman"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1">
      <w:start w:val="1"/>
      <w:numFmt w:val="decimal"/>
      <w:pStyle w:val="HEADER2PartBUDG"/>
      <w:lvlText w:val="%1.%2."/>
      <w:lvlJc w:val="left"/>
      <w:pPr>
        <w:ind w:left="907" w:hanging="907"/>
      </w:pPr>
      <w:rPr>
        <w:rFonts w:hint="default"/>
      </w:rPr>
    </w:lvl>
    <w:lvl w:ilvl="2">
      <w:start w:val="1"/>
      <w:numFmt w:val="decimal"/>
      <w:pStyle w:val="HEADER3PartBUGD"/>
      <w:lvlText w:val="%1.%2.%3."/>
      <w:lvlJc w:val="left"/>
      <w:pPr>
        <w:ind w:left="907" w:hanging="907"/>
      </w:pPr>
      <w:rPr>
        <w:rFonts w:hint="default"/>
      </w:rPr>
    </w:lvl>
    <w:lvl w:ilvl="3">
      <w:start w:val="1"/>
      <w:numFmt w:val="decimal"/>
      <w:pStyle w:val="HEADER4PartBUDG"/>
      <w:lvlText w:val="%1.%2.%3.%4."/>
      <w:lvlJc w:val="left"/>
      <w:pPr>
        <w:ind w:left="907" w:hanging="90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il"/>
        <w:shd w:val="clear" w:color="000000" w:fill="000000"/>
        <w:vertAlign w:val="baseli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lowerLetter"/>
      <w:lvlText w:val="%5."/>
      <w:lvlJc w:val="left"/>
      <w:pPr>
        <w:ind w:left="907" w:hanging="907"/>
      </w:pPr>
      <w:rPr>
        <w:rFonts w:hint="default"/>
      </w:rPr>
    </w:lvl>
    <w:lvl w:ilvl="5">
      <w:start w:val="1"/>
      <w:numFmt w:val="lowerRoman"/>
      <w:lvlText w:val="%6."/>
      <w:lvlJc w:val="right"/>
      <w:pPr>
        <w:ind w:left="907" w:hanging="907"/>
      </w:pPr>
      <w:rPr>
        <w:rFonts w:hint="default"/>
      </w:rPr>
    </w:lvl>
    <w:lvl w:ilvl="6">
      <w:start w:val="1"/>
      <w:numFmt w:val="decimal"/>
      <w:lvlText w:val="%7."/>
      <w:lvlJc w:val="left"/>
      <w:pPr>
        <w:ind w:left="907" w:hanging="907"/>
      </w:pPr>
      <w:rPr>
        <w:rFonts w:hint="default"/>
      </w:rPr>
    </w:lvl>
    <w:lvl w:ilvl="7">
      <w:start w:val="1"/>
      <w:numFmt w:val="lowerLetter"/>
      <w:lvlText w:val="%8."/>
      <w:lvlJc w:val="left"/>
      <w:pPr>
        <w:ind w:left="907" w:hanging="907"/>
      </w:pPr>
      <w:rPr>
        <w:rFonts w:hint="default"/>
      </w:rPr>
    </w:lvl>
    <w:lvl w:ilvl="8">
      <w:start w:val="1"/>
      <w:numFmt w:val="lowerRoman"/>
      <w:lvlText w:val="%9."/>
      <w:lvlJc w:val="right"/>
      <w:pPr>
        <w:ind w:left="907" w:hanging="907"/>
      </w:pPr>
      <w:rPr>
        <w:rFonts w:hint="default"/>
      </w:rPr>
    </w:lvl>
  </w:abstractNum>
  <w:abstractNum w:abstractNumId="10" w15:restartNumberingAfterBreak="0">
    <w:nsid w:val="128F19D0"/>
    <w:multiLevelType w:val="hybridMultilevel"/>
    <w:tmpl w:val="D02E176A"/>
    <w:lvl w:ilvl="0" w:tplc="1F5A09CA">
      <w:start w:val="1"/>
      <w:numFmt w:val="decimal"/>
      <w:lvlText w:val="(%1)"/>
      <w:lvlJc w:val="left"/>
      <w:pPr>
        <w:ind w:left="720" w:hanging="360"/>
      </w:pPr>
      <w:rPr>
        <w:rFonts w:hint="default"/>
      </w:rPr>
    </w:lvl>
    <w:lvl w:ilvl="1" w:tplc="E0B047D8" w:tentative="1">
      <w:start w:val="1"/>
      <w:numFmt w:val="lowerLetter"/>
      <w:lvlText w:val="%2."/>
      <w:lvlJc w:val="left"/>
      <w:pPr>
        <w:ind w:left="1440" w:hanging="360"/>
      </w:pPr>
    </w:lvl>
    <w:lvl w:ilvl="2" w:tplc="A062530A" w:tentative="1">
      <w:start w:val="1"/>
      <w:numFmt w:val="lowerRoman"/>
      <w:lvlText w:val="%3."/>
      <w:lvlJc w:val="right"/>
      <w:pPr>
        <w:ind w:left="2160" w:hanging="180"/>
      </w:pPr>
    </w:lvl>
    <w:lvl w:ilvl="3" w:tplc="3DDA3E1E" w:tentative="1">
      <w:start w:val="1"/>
      <w:numFmt w:val="decimal"/>
      <w:lvlText w:val="%4."/>
      <w:lvlJc w:val="left"/>
      <w:pPr>
        <w:ind w:left="2880" w:hanging="360"/>
      </w:pPr>
    </w:lvl>
    <w:lvl w:ilvl="4" w:tplc="68FAA8D4" w:tentative="1">
      <w:start w:val="1"/>
      <w:numFmt w:val="lowerLetter"/>
      <w:lvlText w:val="%5."/>
      <w:lvlJc w:val="left"/>
      <w:pPr>
        <w:ind w:left="3600" w:hanging="360"/>
      </w:pPr>
    </w:lvl>
    <w:lvl w:ilvl="5" w:tplc="39CC8FFE" w:tentative="1">
      <w:start w:val="1"/>
      <w:numFmt w:val="lowerRoman"/>
      <w:lvlText w:val="%6."/>
      <w:lvlJc w:val="right"/>
      <w:pPr>
        <w:ind w:left="4320" w:hanging="180"/>
      </w:pPr>
    </w:lvl>
    <w:lvl w:ilvl="6" w:tplc="A88A34AE" w:tentative="1">
      <w:start w:val="1"/>
      <w:numFmt w:val="decimal"/>
      <w:lvlText w:val="%7."/>
      <w:lvlJc w:val="left"/>
      <w:pPr>
        <w:ind w:left="5040" w:hanging="360"/>
      </w:pPr>
    </w:lvl>
    <w:lvl w:ilvl="7" w:tplc="7D8A75C6" w:tentative="1">
      <w:start w:val="1"/>
      <w:numFmt w:val="lowerLetter"/>
      <w:lvlText w:val="%8."/>
      <w:lvlJc w:val="left"/>
      <w:pPr>
        <w:ind w:left="5760" w:hanging="360"/>
      </w:pPr>
    </w:lvl>
    <w:lvl w:ilvl="8" w:tplc="D2A4899E" w:tentative="1">
      <w:start w:val="1"/>
      <w:numFmt w:val="lowerRoman"/>
      <w:lvlText w:val="%9."/>
      <w:lvlJc w:val="right"/>
      <w:pPr>
        <w:ind w:left="6480" w:hanging="180"/>
      </w:pPr>
    </w:lvl>
  </w:abstractNum>
  <w:abstractNum w:abstractNumId="11" w15:restartNumberingAfterBreak="0">
    <w:nsid w:val="139B624F"/>
    <w:multiLevelType w:val="hybridMultilevel"/>
    <w:tmpl w:val="72FED782"/>
    <w:lvl w:ilvl="0" w:tplc="C9147F40">
      <w:numFmt w:val="bullet"/>
      <w:lvlText w:val="–"/>
      <w:lvlJc w:val="left"/>
      <w:pPr>
        <w:ind w:left="720" w:hanging="360"/>
      </w:pPr>
      <w:rPr>
        <w:rFonts w:ascii="Verdana" w:eastAsia="Calibri" w:hAnsi="Verdana" w:cs="Times New Roman" w:hint="default"/>
        <w:b w:val="0"/>
        <w:bCs w:val="0"/>
        <w:i w:val="0"/>
        <w:iCs w:val="0"/>
        <w:caps w:val="0"/>
        <w:smallCaps w:val="0"/>
        <w:strike w:val="0"/>
        <w:dstrike w:val="0"/>
        <w:noProof w:val="0"/>
        <w:vanish w:val="0"/>
        <w:color w:val="auto"/>
        <w:spacing w:val="0"/>
        <w:w w:val="100"/>
        <w:kern w:val="0"/>
        <w:position w:val="0"/>
        <w:sz w:val="20"/>
        <w:szCs w:val="20"/>
        <w:highlight w:val="none"/>
        <w:u w:val="none"/>
        <w:effect w:val="none"/>
        <w:bdr w:val="nil"/>
        <w:shd w:val="clear" w:color="auto" w:fill="auto"/>
        <w:rtl w:val="0"/>
        <w:cs w:val="0"/>
      </w:rPr>
    </w:lvl>
    <w:lvl w:ilvl="1" w:tplc="246A3D2C" w:tentative="1">
      <w:start w:val="1"/>
      <w:numFmt w:val="bullet"/>
      <w:lvlText w:val="o"/>
      <w:lvlJc w:val="left"/>
      <w:pPr>
        <w:ind w:left="1440" w:hanging="360"/>
      </w:pPr>
      <w:rPr>
        <w:rFonts w:ascii="Courier New" w:hAnsi="Courier New" w:cs="Courier New" w:hint="default"/>
      </w:rPr>
    </w:lvl>
    <w:lvl w:ilvl="2" w:tplc="53B6F350" w:tentative="1">
      <w:start w:val="1"/>
      <w:numFmt w:val="bullet"/>
      <w:lvlText w:val=""/>
      <w:lvlJc w:val="left"/>
      <w:pPr>
        <w:ind w:left="2160" w:hanging="360"/>
      </w:pPr>
      <w:rPr>
        <w:rFonts w:ascii="Wingdings" w:hAnsi="Wingdings" w:hint="default"/>
      </w:rPr>
    </w:lvl>
    <w:lvl w:ilvl="3" w:tplc="D332AE32" w:tentative="1">
      <w:start w:val="1"/>
      <w:numFmt w:val="bullet"/>
      <w:lvlText w:val=""/>
      <w:lvlJc w:val="left"/>
      <w:pPr>
        <w:ind w:left="2880" w:hanging="360"/>
      </w:pPr>
      <w:rPr>
        <w:rFonts w:ascii="Symbol" w:hAnsi="Symbol" w:hint="default"/>
      </w:rPr>
    </w:lvl>
    <w:lvl w:ilvl="4" w:tplc="280493A8" w:tentative="1">
      <w:start w:val="1"/>
      <w:numFmt w:val="bullet"/>
      <w:lvlText w:val="o"/>
      <w:lvlJc w:val="left"/>
      <w:pPr>
        <w:ind w:left="3600" w:hanging="360"/>
      </w:pPr>
      <w:rPr>
        <w:rFonts w:ascii="Courier New" w:hAnsi="Courier New" w:cs="Courier New" w:hint="default"/>
      </w:rPr>
    </w:lvl>
    <w:lvl w:ilvl="5" w:tplc="F99A1C1A" w:tentative="1">
      <w:start w:val="1"/>
      <w:numFmt w:val="bullet"/>
      <w:lvlText w:val=""/>
      <w:lvlJc w:val="left"/>
      <w:pPr>
        <w:ind w:left="4320" w:hanging="360"/>
      </w:pPr>
      <w:rPr>
        <w:rFonts w:ascii="Wingdings" w:hAnsi="Wingdings" w:hint="default"/>
      </w:rPr>
    </w:lvl>
    <w:lvl w:ilvl="6" w:tplc="80D8872E" w:tentative="1">
      <w:start w:val="1"/>
      <w:numFmt w:val="bullet"/>
      <w:lvlText w:val=""/>
      <w:lvlJc w:val="left"/>
      <w:pPr>
        <w:ind w:left="5040" w:hanging="360"/>
      </w:pPr>
      <w:rPr>
        <w:rFonts w:ascii="Symbol" w:hAnsi="Symbol" w:hint="default"/>
      </w:rPr>
    </w:lvl>
    <w:lvl w:ilvl="7" w:tplc="52B0A352" w:tentative="1">
      <w:start w:val="1"/>
      <w:numFmt w:val="bullet"/>
      <w:lvlText w:val="o"/>
      <w:lvlJc w:val="left"/>
      <w:pPr>
        <w:ind w:left="5760" w:hanging="360"/>
      </w:pPr>
      <w:rPr>
        <w:rFonts w:ascii="Courier New" w:hAnsi="Courier New" w:cs="Courier New" w:hint="default"/>
      </w:rPr>
    </w:lvl>
    <w:lvl w:ilvl="8" w:tplc="EF0E91A0" w:tentative="1">
      <w:start w:val="1"/>
      <w:numFmt w:val="bullet"/>
      <w:lvlText w:val=""/>
      <w:lvlJc w:val="left"/>
      <w:pPr>
        <w:ind w:left="6480" w:hanging="360"/>
      </w:pPr>
      <w:rPr>
        <w:rFonts w:ascii="Wingdings" w:hAnsi="Wingdings" w:hint="default"/>
      </w:rPr>
    </w:lvl>
  </w:abstractNum>
  <w:abstractNum w:abstractNumId="12" w15:restartNumberingAfterBreak="0">
    <w:nsid w:val="199F1DAA"/>
    <w:multiLevelType w:val="hybridMultilevel"/>
    <w:tmpl w:val="1248AB5A"/>
    <w:lvl w:ilvl="0" w:tplc="4D644832">
      <w:start w:val="1"/>
      <w:numFmt w:val="decimal"/>
      <w:pStyle w:val="Textstand-alonenumberingJustified"/>
      <w:lvlText w:val="(%1)"/>
      <w:lvlJc w:val="left"/>
      <w:pPr>
        <w:ind w:left="720" w:hanging="360"/>
      </w:pPr>
      <w:rPr>
        <w:rFonts w:ascii="Verdana" w:hAnsi="Verdana" w:hint="default"/>
        <w:b w:val="0"/>
        <w:i w:val="0"/>
        <w:sz w:val="18"/>
      </w:rPr>
    </w:lvl>
    <w:lvl w:ilvl="1" w:tplc="1A3A6AC2" w:tentative="1">
      <w:start w:val="1"/>
      <w:numFmt w:val="lowerLetter"/>
      <w:lvlText w:val="%2."/>
      <w:lvlJc w:val="left"/>
      <w:pPr>
        <w:ind w:left="1440" w:hanging="360"/>
      </w:pPr>
    </w:lvl>
    <w:lvl w:ilvl="2" w:tplc="F87AF588" w:tentative="1">
      <w:start w:val="1"/>
      <w:numFmt w:val="lowerRoman"/>
      <w:lvlText w:val="%3."/>
      <w:lvlJc w:val="right"/>
      <w:pPr>
        <w:ind w:left="2160" w:hanging="180"/>
      </w:pPr>
    </w:lvl>
    <w:lvl w:ilvl="3" w:tplc="F8743B54" w:tentative="1">
      <w:start w:val="1"/>
      <w:numFmt w:val="decimal"/>
      <w:lvlText w:val="%4."/>
      <w:lvlJc w:val="left"/>
      <w:pPr>
        <w:ind w:left="2880" w:hanging="360"/>
      </w:pPr>
    </w:lvl>
    <w:lvl w:ilvl="4" w:tplc="8B14FBC8" w:tentative="1">
      <w:start w:val="1"/>
      <w:numFmt w:val="lowerLetter"/>
      <w:lvlText w:val="%5."/>
      <w:lvlJc w:val="left"/>
      <w:pPr>
        <w:ind w:left="3600" w:hanging="360"/>
      </w:pPr>
    </w:lvl>
    <w:lvl w:ilvl="5" w:tplc="C9C4E5DC" w:tentative="1">
      <w:start w:val="1"/>
      <w:numFmt w:val="lowerRoman"/>
      <w:lvlText w:val="%6."/>
      <w:lvlJc w:val="right"/>
      <w:pPr>
        <w:ind w:left="4320" w:hanging="180"/>
      </w:pPr>
    </w:lvl>
    <w:lvl w:ilvl="6" w:tplc="C114A366" w:tentative="1">
      <w:start w:val="1"/>
      <w:numFmt w:val="decimal"/>
      <w:lvlText w:val="%7."/>
      <w:lvlJc w:val="left"/>
      <w:pPr>
        <w:ind w:left="5040" w:hanging="360"/>
      </w:pPr>
    </w:lvl>
    <w:lvl w:ilvl="7" w:tplc="120A8E2A" w:tentative="1">
      <w:start w:val="1"/>
      <w:numFmt w:val="lowerLetter"/>
      <w:lvlText w:val="%8."/>
      <w:lvlJc w:val="left"/>
      <w:pPr>
        <w:ind w:left="5760" w:hanging="360"/>
      </w:pPr>
    </w:lvl>
    <w:lvl w:ilvl="8" w:tplc="8DB26366" w:tentative="1">
      <w:start w:val="1"/>
      <w:numFmt w:val="lowerRoman"/>
      <w:lvlText w:val="%9."/>
      <w:lvlJc w:val="right"/>
      <w:pPr>
        <w:ind w:left="6480" w:hanging="180"/>
      </w:pPr>
    </w:lvl>
  </w:abstractNum>
  <w:abstractNum w:abstractNumId="13" w15:restartNumberingAfterBreak="0">
    <w:nsid w:val="1A9468B3"/>
    <w:multiLevelType w:val="hybridMultilevel"/>
    <w:tmpl w:val="8CF8B0D2"/>
    <w:lvl w:ilvl="0" w:tplc="1809000F">
      <w:start w:val="1"/>
      <w:numFmt w:val="decimal"/>
      <w:lvlText w:val="%1."/>
      <w:lvlJc w:val="left"/>
      <w:pPr>
        <w:ind w:left="1627" w:hanging="360"/>
      </w:pPr>
    </w:lvl>
    <w:lvl w:ilvl="1" w:tplc="18090019" w:tentative="1">
      <w:start w:val="1"/>
      <w:numFmt w:val="lowerLetter"/>
      <w:lvlText w:val="%2."/>
      <w:lvlJc w:val="left"/>
      <w:pPr>
        <w:ind w:left="2347" w:hanging="360"/>
      </w:pPr>
    </w:lvl>
    <w:lvl w:ilvl="2" w:tplc="1809001B" w:tentative="1">
      <w:start w:val="1"/>
      <w:numFmt w:val="lowerRoman"/>
      <w:lvlText w:val="%3."/>
      <w:lvlJc w:val="right"/>
      <w:pPr>
        <w:ind w:left="3067" w:hanging="180"/>
      </w:pPr>
    </w:lvl>
    <w:lvl w:ilvl="3" w:tplc="1809000F" w:tentative="1">
      <w:start w:val="1"/>
      <w:numFmt w:val="decimal"/>
      <w:lvlText w:val="%4."/>
      <w:lvlJc w:val="left"/>
      <w:pPr>
        <w:ind w:left="3787" w:hanging="360"/>
      </w:pPr>
    </w:lvl>
    <w:lvl w:ilvl="4" w:tplc="18090019" w:tentative="1">
      <w:start w:val="1"/>
      <w:numFmt w:val="lowerLetter"/>
      <w:lvlText w:val="%5."/>
      <w:lvlJc w:val="left"/>
      <w:pPr>
        <w:ind w:left="4507" w:hanging="360"/>
      </w:pPr>
    </w:lvl>
    <w:lvl w:ilvl="5" w:tplc="1809001B" w:tentative="1">
      <w:start w:val="1"/>
      <w:numFmt w:val="lowerRoman"/>
      <w:lvlText w:val="%6."/>
      <w:lvlJc w:val="right"/>
      <w:pPr>
        <w:ind w:left="5227" w:hanging="180"/>
      </w:pPr>
    </w:lvl>
    <w:lvl w:ilvl="6" w:tplc="1809000F" w:tentative="1">
      <w:start w:val="1"/>
      <w:numFmt w:val="decimal"/>
      <w:lvlText w:val="%7."/>
      <w:lvlJc w:val="left"/>
      <w:pPr>
        <w:ind w:left="5947" w:hanging="360"/>
      </w:pPr>
    </w:lvl>
    <w:lvl w:ilvl="7" w:tplc="18090019" w:tentative="1">
      <w:start w:val="1"/>
      <w:numFmt w:val="lowerLetter"/>
      <w:lvlText w:val="%8."/>
      <w:lvlJc w:val="left"/>
      <w:pPr>
        <w:ind w:left="6667" w:hanging="360"/>
      </w:pPr>
    </w:lvl>
    <w:lvl w:ilvl="8" w:tplc="1809001B" w:tentative="1">
      <w:start w:val="1"/>
      <w:numFmt w:val="lowerRoman"/>
      <w:lvlText w:val="%9."/>
      <w:lvlJc w:val="right"/>
      <w:pPr>
        <w:ind w:left="7387" w:hanging="180"/>
      </w:pPr>
    </w:lvl>
  </w:abstractNum>
  <w:abstractNum w:abstractNumId="14" w15:restartNumberingAfterBreak="0">
    <w:nsid w:val="1CB74CA2"/>
    <w:multiLevelType w:val="hybridMultilevel"/>
    <w:tmpl w:val="6472D074"/>
    <w:lvl w:ilvl="0" w:tplc="D6BA1F5C">
      <w:numFmt w:val="bullet"/>
      <w:lvlText w:val="–"/>
      <w:lvlJc w:val="left"/>
      <w:pPr>
        <w:ind w:left="720" w:hanging="360"/>
      </w:pPr>
      <w:rPr>
        <w:rFonts w:ascii="Verdana" w:eastAsia="Calibri" w:hAnsi="Verdana" w:cs="Times New Roman" w:hint="default"/>
        <w:b w:val="0"/>
        <w:bCs w:val="0"/>
        <w:i w:val="0"/>
        <w:iCs w:val="0"/>
        <w:caps w:val="0"/>
        <w:smallCaps w:val="0"/>
        <w:strike w:val="0"/>
        <w:dstrike w:val="0"/>
        <w:noProof w:val="0"/>
        <w:vanish w:val="0"/>
        <w:color w:val="auto"/>
        <w:spacing w:val="0"/>
        <w:w w:val="100"/>
        <w:kern w:val="0"/>
        <w:position w:val="0"/>
        <w:sz w:val="20"/>
        <w:szCs w:val="20"/>
        <w:highlight w:val="none"/>
        <w:u w:val="none"/>
        <w:effect w:val="none"/>
        <w:bdr w:val="nil"/>
        <w:shd w:val="clear" w:color="auto" w:fill="auto"/>
        <w:rtl w:val="0"/>
        <w:cs w:val="0"/>
      </w:rPr>
    </w:lvl>
    <w:lvl w:ilvl="1" w:tplc="7F6E25A4" w:tentative="1">
      <w:start w:val="1"/>
      <w:numFmt w:val="bullet"/>
      <w:lvlText w:val="o"/>
      <w:lvlJc w:val="left"/>
      <w:pPr>
        <w:ind w:left="1440" w:hanging="360"/>
      </w:pPr>
      <w:rPr>
        <w:rFonts w:ascii="Courier New" w:hAnsi="Courier New" w:cs="Courier New" w:hint="default"/>
      </w:rPr>
    </w:lvl>
    <w:lvl w:ilvl="2" w:tplc="6FAA4662" w:tentative="1">
      <w:start w:val="1"/>
      <w:numFmt w:val="bullet"/>
      <w:lvlText w:val=""/>
      <w:lvlJc w:val="left"/>
      <w:pPr>
        <w:ind w:left="2160" w:hanging="360"/>
      </w:pPr>
      <w:rPr>
        <w:rFonts w:ascii="Wingdings" w:hAnsi="Wingdings" w:hint="default"/>
      </w:rPr>
    </w:lvl>
    <w:lvl w:ilvl="3" w:tplc="98407228" w:tentative="1">
      <w:start w:val="1"/>
      <w:numFmt w:val="bullet"/>
      <w:lvlText w:val=""/>
      <w:lvlJc w:val="left"/>
      <w:pPr>
        <w:ind w:left="2880" w:hanging="360"/>
      </w:pPr>
      <w:rPr>
        <w:rFonts w:ascii="Symbol" w:hAnsi="Symbol" w:hint="default"/>
      </w:rPr>
    </w:lvl>
    <w:lvl w:ilvl="4" w:tplc="C776AD36" w:tentative="1">
      <w:start w:val="1"/>
      <w:numFmt w:val="bullet"/>
      <w:lvlText w:val="o"/>
      <w:lvlJc w:val="left"/>
      <w:pPr>
        <w:ind w:left="3600" w:hanging="360"/>
      </w:pPr>
      <w:rPr>
        <w:rFonts w:ascii="Courier New" w:hAnsi="Courier New" w:cs="Courier New" w:hint="default"/>
      </w:rPr>
    </w:lvl>
    <w:lvl w:ilvl="5" w:tplc="5FCA269C" w:tentative="1">
      <w:start w:val="1"/>
      <w:numFmt w:val="bullet"/>
      <w:lvlText w:val=""/>
      <w:lvlJc w:val="left"/>
      <w:pPr>
        <w:ind w:left="4320" w:hanging="360"/>
      </w:pPr>
      <w:rPr>
        <w:rFonts w:ascii="Wingdings" w:hAnsi="Wingdings" w:hint="default"/>
      </w:rPr>
    </w:lvl>
    <w:lvl w:ilvl="6" w:tplc="B66CF1BC" w:tentative="1">
      <w:start w:val="1"/>
      <w:numFmt w:val="bullet"/>
      <w:lvlText w:val=""/>
      <w:lvlJc w:val="left"/>
      <w:pPr>
        <w:ind w:left="5040" w:hanging="360"/>
      </w:pPr>
      <w:rPr>
        <w:rFonts w:ascii="Symbol" w:hAnsi="Symbol" w:hint="default"/>
      </w:rPr>
    </w:lvl>
    <w:lvl w:ilvl="7" w:tplc="4F780DE2" w:tentative="1">
      <w:start w:val="1"/>
      <w:numFmt w:val="bullet"/>
      <w:lvlText w:val="o"/>
      <w:lvlJc w:val="left"/>
      <w:pPr>
        <w:ind w:left="5760" w:hanging="360"/>
      </w:pPr>
      <w:rPr>
        <w:rFonts w:ascii="Courier New" w:hAnsi="Courier New" w:cs="Courier New" w:hint="default"/>
      </w:rPr>
    </w:lvl>
    <w:lvl w:ilvl="8" w:tplc="E9C00288" w:tentative="1">
      <w:start w:val="1"/>
      <w:numFmt w:val="bullet"/>
      <w:lvlText w:val=""/>
      <w:lvlJc w:val="left"/>
      <w:pPr>
        <w:ind w:left="6480" w:hanging="360"/>
      </w:pPr>
      <w:rPr>
        <w:rFonts w:ascii="Wingdings" w:hAnsi="Wingdings" w:hint="default"/>
      </w:rPr>
    </w:lvl>
  </w:abstractNum>
  <w:abstractNum w:abstractNumId="15" w15:restartNumberingAfterBreak="0">
    <w:nsid w:val="26025F09"/>
    <w:multiLevelType w:val="hybridMultilevel"/>
    <w:tmpl w:val="4BA45C34"/>
    <w:lvl w:ilvl="0" w:tplc="F65CEF92">
      <w:start w:val="1"/>
      <w:numFmt w:val="lowerLetter"/>
      <w:lvlText w:val="%1)"/>
      <w:lvlJc w:val="left"/>
      <w:pPr>
        <w:ind w:left="720" w:hanging="360"/>
      </w:pPr>
      <w:rPr>
        <w:rFonts w:hint="default"/>
      </w:rPr>
    </w:lvl>
    <w:lvl w:ilvl="1" w:tplc="3BC8EC02" w:tentative="1">
      <w:start w:val="1"/>
      <w:numFmt w:val="lowerLetter"/>
      <w:lvlText w:val="%2."/>
      <w:lvlJc w:val="left"/>
      <w:pPr>
        <w:ind w:left="1440" w:hanging="360"/>
      </w:pPr>
    </w:lvl>
    <w:lvl w:ilvl="2" w:tplc="C1600AE6" w:tentative="1">
      <w:start w:val="1"/>
      <w:numFmt w:val="lowerRoman"/>
      <w:lvlText w:val="%3."/>
      <w:lvlJc w:val="right"/>
      <w:pPr>
        <w:ind w:left="2160" w:hanging="180"/>
      </w:pPr>
    </w:lvl>
    <w:lvl w:ilvl="3" w:tplc="98404B36" w:tentative="1">
      <w:start w:val="1"/>
      <w:numFmt w:val="decimal"/>
      <w:lvlText w:val="%4."/>
      <w:lvlJc w:val="left"/>
      <w:pPr>
        <w:ind w:left="2880" w:hanging="360"/>
      </w:pPr>
    </w:lvl>
    <w:lvl w:ilvl="4" w:tplc="EA22E312" w:tentative="1">
      <w:start w:val="1"/>
      <w:numFmt w:val="lowerLetter"/>
      <w:lvlText w:val="%5."/>
      <w:lvlJc w:val="left"/>
      <w:pPr>
        <w:ind w:left="3600" w:hanging="360"/>
      </w:pPr>
    </w:lvl>
    <w:lvl w:ilvl="5" w:tplc="CFEAE064" w:tentative="1">
      <w:start w:val="1"/>
      <w:numFmt w:val="lowerRoman"/>
      <w:lvlText w:val="%6."/>
      <w:lvlJc w:val="right"/>
      <w:pPr>
        <w:ind w:left="4320" w:hanging="180"/>
      </w:pPr>
    </w:lvl>
    <w:lvl w:ilvl="6" w:tplc="08142F70" w:tentative="1">
      <w:start w:val="1"/>
      <w:numFmt w:val="decimal"/>
      <w:lvlText w:val="%7."/>
      <w:lvlJc w:val="left"/>
      <w:pPr>
        <w:ind w:left="5040" w:hanging="360"/>
      </w:pPr>
    </w:lvl>
    <w:lvl w:ilvl="7" w:tplc="63C042C8" w:tentative="1">
      <w:start w:val="1"/>
      <w:numFmt w:val="lowerLetter"/>
      <w:lvlText w:val="%8."/>
      <w:lvlJc w:val="left"/>
      <w:pPr>
        <w:ind w:left="5760" w:hanging="360"/>
      </w:pPr>
    </w:lvl>
    <w:lvl w:ilvl="8" w:tplc="50DEEEAA" w:tentative="1">
      <w:start w:val="1"/>
      <w:numFmt w:val="lowerRoman"/>
      <w:lvlText w:val="%9."/>
      <w:lvlJc w:val="right"/>
      <w:pPr>
        <w:ind w:left="6480" w:hanging="180"/>
      </w:pPr>
    </w:lvl>
  </w:abstractNum>
  <w:abstractNum w:abstractNumId="16" w15:restartNumberingAfterBreak="0">
    <w:nsid w:val="263169F2"/>
    <w:multiLevelType w:val="multilevel"/>
    <w:tmpl w:val="2BC217C8"/>
    <w:lvl w:ilvl="0">
      <w:start w:val="1"/>
      <w:numFmt w:val="decimal"/>
      <w:pStyle w:val="HEADER1Part2"/>
      <w:lvlText w:val="%1."/>
      <w:lvlJc w:val="left"/>
      <w:pPr>
        <w:ind w:left="907" w:hanging="907"/>
      </w:pPr>
      <w:rPr>
        <w:rFonts w:hint="default"/>
      </w:rPr>
    </w:lvl>
    <w:lvl w:ilvl="1">
      <w:start w:val="1"/>
      <w:numFmt w:val="decimal"/>
      <w:pStyle w:val="HEADER2Part2"/>
      <w:lvlText w:val="%1.%2."/>
      <w:lvlJc w:val="left"/>
      <w:pPr>
        <w:ind w:left="907" w:hanging="907"/>
      </w:pPr>
      <w:rPr>
        <w:rFonts w:hint="default"/>
      </w:rPr>
    </w:lvl>
    <w:lvl w:ilvl="2">
      <w:start w:val="1"/>
      <w:numFmt w:val="decimal"/>
      <w:pStyle w:val="HEADER3Part2"/>
      <w:lvlText w:val="%1.%2.%3."/>
      <w:lvlJc w:val="left"/>
      <w:pPr>
        <w:ind w:left="907" w:hanging="907"/>
      </w:pPr>
      <w:rPr>
        <w:rFonts w:hint="default"/>
      </w:rPr>
    </w:lvl>
    <w:lvl w:ilvl="3">
      <w:start w:val="1"/>
      <w:numFmt w:val="decimal"/>
      <w:pStyle w:val="HEADER4Part2"/>
      <w:lvlText w:val="%1.%2.%3.%4."/>
      <w:lvlJc w:val="left"/>
      <w:pPr>
        <w:ind w:left="907" w:hanging="907"/>
      </w:pPr>
      <w:rPr>
        <w:rFonts w:hint="default"/>
      </w:rPr>
    </w:lvl>
    <w:lvl w:ilvl="4">
      <w:start w:val="1"/>
      <w:numFmt w:val="lowerLetter"/>
      <w:lvlText w:val="%5."/>
      <w:lvlJc w:val="left"/>
      <w:pPr>
        <w:ind w:left="3666" w:hanging="360"/>
      </w:pPr>
      <w:rPr>
        <w:rFonts w:hint="default"/>
      </w:rPr>
    </w:lvl>
    <w:lvl w:ilvl="5">
      <w:start w:val="1"/>
      <w:numFmt w:val="lowerRoman"/>
      <w:lvlText w:val="%6."/>
      <w:lvlJc w:val="right"/>
      <w:pPr>
        <w:ind w:left="4386" w:hanging="180"/>
      </w:pPr>
      <w:rPr>
        <w:rFonts w:hint="default"/>
      </w:rPr>
    </w:lvl>
    <w:lvl w:ilvl="6">
      <w:start w:val="1"/>
      <w:numFmt w:val="decimal"/>
      <w:lvlText w:val="%7."/>
      <w:lvlJc w:val="left"/>
      <w:pPr>
        <w:ind w:left="5106" w:hanging="360"/>
      </w:pPr>
      <w:rPr>
        <w:rFonts w:hint="default"/>
      </w:rPr>
    </w:lvl>
    <w:lvl w:ilvl="7">
      <w:start w:val="1"/>
      <w:numFmt w:val="lowerLetter"/>
      <w:lvlText w:val="%8."/>
      <w:lvlJc w:val="left"/>
      <w:pPr>
        <w:ind w:left="5826" w:hanging="360"/>
      </w:pPr>
      <w:rPr>
        <w:rFonts w:hint="default"/>
      </w:rPr>
    </w:lvl>
    <w:lvl w:ilvl="8">
      <w:start w:val="1"/>
      <w:numFmt w:val="lowerRoman"/>
      <w:lvlText w:val="%9."/>
      <w:lvlJc w:val="right"/>
      <w:pPr>
        <w:ind w:left="6546" w:hanging="180"/>
      </w:pPr>
      <w:rPr>
        <w:rFonts w:hint="default"/>
      </w:rPr>
    </w:lvl>
  </w:abstractNum>
  <w:abstractNum w:abstractNumId="17" w15:restartNumberingAfterBreak="0">
    <w:nsid w:val="2C66070E"/>
    <w:multiLevelType w:val="hybridMultilevel"/>
    <w:tmpl w:val="DC5E9C52"/>
    <w:lvl w:ilvl="0" w:tplc="5492CE8A">
      <w:start w:val="1"/>
      <w:numFmt w:val="bullet"/>
      <w:lvlText w:val="—"/>
      <w:lvlJc w:val="left"/>
      <w:pPr>
        <w:ind w:left="720" w:hanging="360"/>
      </w:pPr>
      <w:rPr>
        <w:rFonts w:ascii="Times New Roman" w:hAnsi="Times New Roman" w:cs="Times New Roman" w:hint="default"/>
      </w:rPr>
    </w:lvl>
    <w:lvl w:ilvl="1" w:tplc="14EA94AE" w:tentative="1">
      <w:start w:val="1"/>
      <w:numFmt w:val="bullet"/>
      <w:lvlText w:val="o"/>
      <w:lvlJc w:val="left"/>
      <w:pPr>
        <w:ind w:left="1440" w:hanging="360"/>
      </w:pPr>
      <w:rPr>
        <w:rFonts w:ascii="Courier New" w:hAnsi="Courier New" w:cs="Courier New" w:hint="default"/>
      </w:rPr>
    </w:lvl>
    <w:lvl w:ilvl="2" w:tplc="4860EC4E" w:tentative="1">
      <w:start w:val="1"/>
      <w:numFmt w:val="bullet"/>
      <w:lvlText w:val=""/>
      <w:lvlJc w:val="left"/>
      <w:pPr>
        <w:ind w:left="2160" w:hanging="360"/>
      </w:pPr>
      <w:rPr>
        <w:rFonts w:ascii="Wingdings" w:hAnsi="Wingdings" w:hint="default"/>
      </w:rPr>
    </w:lvl>
    <w:lvl w:ilvl="3" w:tplc="31666AFC" w:tentative="1">
      <w:start w:val="1"/>
      <w:numFmt w:val="bullet"/>
      <w:lvlText w:val=""/>
      <w:lvlJc w:val="left"/>
      <w:pPr>
        <w:ind w:left="2880" w:hanging="360"/>
      </w:pPr>
      <w:rPr>
        <w:rFonts w:ascii="Symbol" w:hAnsi="Symbol" w:hint="default"/>
      </w:rPr>
    </w:lvl>
    <w:lvl w:ilvl="4" w:tplc="9CBC6218" w:tentative="1">
      <w:start w:val="1"/>
      <w:numFmt w:val="bullet"/>
      <w:lvlText w:val="o"/>
      <w:lvlJc w:val="left"/>
      <w:pPr>
        <w:ind w:left="3600" w:hanging="360"/>
      </w:pPr>
      <w:rPr>
        <w:rFonts w:ascii="Courier New" w:hAnsi="Courier New" w:cs="Courier New" w:hint="default"/>
      </w:rPr>
    </w:lvl>
    <w:lvl w:ilvl="5" w:tplc="A37EBE80" w:tentative="1">
      <w:start w:val="1"/>
      <w:numFmt w:val="bullet"/>
      <w:lvlText w:val=""/>
      <w:lvlJc w:val="left"/>
      <w:pPr>
        <w:ind w:left="4320" w:hanging="360"/>
      </w:pPr>
      <w:rPr>
        <w:rFonts w:ascii="Wingdings" w:hAnsi="Wingdings" w:hint="default"/>
      </w:rPr>
    </w:lvl>
    <w:lvl w:ilvl="6" w:tplc="CAA47320" w:tentative="1">
      <w:start w:val="1"/>
      <w:numFmt w:val="bullet"/>
      <w:lvlText w:val=""/>
      <w:lvlJc w:val="left"/>
      <w:pPr>
        <w:ind w:left="5040" w:hanging="360"/>
      </w:pPr>
      <w:rPr>
        <w:rFonts w:ascii="Symbol" w:hAnsi="Symbol" w:hint="default"/>
      </w:rPr>
    </w:lvl>
    <w:lvl w:ilvl="7" w:tplc="ECCAC370" w:tentative="1">
      <w:start w:val="1"/>
      <w:numFmt w:val="bullet"/>
      <w:lvlText w:val="o"/>
      <w:lvlJc w:val="left"/>
      <w:pPr>
        <w:ind w:left="5760" w:hanging="360"/>
      </w:pPr>
      <w:rPr>
        <w:rFonts w:ascii="Courier New" w:hAnsi="Courier New" w:cs="Courier New" w:hint="default"/>
      </w:rPr>
    </w:lvl>
    <w:lvl w:ilvl="8" w:tplc="2DA22EB4" w:tentative="1">
      <w:start w:val="1"/>
      <w:numFmt w:val="bullet"/>
      <w:lvlText w:val=""/>
      <w:lvlJc w:val="left"/>
      <w:pPr>
        <w:ind w:left="6480" w:hanging="360"/>
      </w:pPr>
      <w:rPr>
        <w:rFonts w:ascii="Wingdings" w:hAnsi="Wingdings" w:hint="default"/>
      </w:rPr>
    </w:lvl>
  </w:abstractNum>
  <w:abstractNum w:abstractNumId="18" w15:restartNumberingAfterBreak="0">
    <w:nsid w:val="2DF123A2"/>
    <w:multiLevelType w:val="multilevel"/>
    <w:tmpl w:val="B2223A56"/>
    <w:lvl w:ilvl="0">
      <w:start w:val="1"/>
      <w:numFmt w:val="decimal"/>
      <w:pStyle w:val="HEADER1Part4"/>
      <w:lvlText w:val="%1."/>
      <w:lvlJc w:val="left"/>
      <w:pPr>
        <w:tabs>
          <w:tab w:val="num" w:pos="907"/>
        </w:tabs>
        <w:ind w:left="907" w:hanging="907"/>
      </w:pPr>
      <w:rPr>
        <w:rFonts w:hint="default"/>
      </w:rPr>
    </w:lvl>
    <w:lvl w:ilvl="1">
      <w:start w:val="1"/>
      <w:numFmt w:val="decimal"/>
      <w:pStyle w:val="HEADER2Part4"/>
      <w:lvlText w:val="%1.%2."/>
      <w:lvlJc w:val="left"/>
      <w:pPr>
        <w:tabs>
          <w:tab w:val="num" w:pos="907"/>
        </w:tabs>
        <w:ind w:left="907" w:hanging="907"/>
      </w:pPr>
      <w:rPr>
        <w:rFonts w:hint="default"/>
      </w:rPr>
    </w:lvl>
    <w:lvl w:ilvl="2">
      <w:start w:val="1"/>
      <w:numFmt w:val="decimal"/>
      <w:pStyle w:val="HEADER3Part4"/>
      <w:lvlText w:val="%1.%2.%3."/>
      <w:lvlJc w:val="left"/>
      <w:pPr>
        <w:tabs>
          <w:tab w:val="num" w:pos="907"/>
        </w:tabs>
        <w:ind w:left="907" w:hanging="907"/>
      </w:pPr>
      <w:rPr>
        <w:rFonts w:hint="default"/>
      </w:rPr>
    </w:lvl>
    <w:lvl w:ilvl="3">
      <w:start w:val="1"/>
      <w:numFmt w:val="decimal"/>
      <w:lvlText w:val="%4."/>
      <w:lvlJc w:val="left"/>
      <w:pPr>
        <w:tabs>
          <w:tab w:val="num" w:pos="907"/>
        </w:tabs>
        <w:ind w:left="907" w:hanging="907"/>
      </w:pPr>
      <w:rPr>
        <w:rFonts w:hint="default"/>
      </w:rPr>
    </w:lvl>
    <w:lvl w:ilvl="4">
      <w:start w:val="1"/>
      <w:numFmt w:val="lowerLetter"/>
      <w:lvlText w:val="%5."/>
      <w:lvlJc w:val="left"/>
      <w:pPr>
        <w:tabs>
          <w:tab w:val="num" w:pos="907"/>
        </w:tabs>
        <w:ind w:left="907" w:hanging="907"/>
      </w:pPr>
      <w:rPr>
        <w:rFonts w:hint="default"/>
      </w:rPr>
    </w:lvl>
    <w:lvl w:ilvl="5">
      <w:start w:val="1"/>
      <w:numFmt w:val="lowerRoman"/>
      <w:lvlText w:val="%6."/>
      <w:lvlJc w:val="right"/>
      <w:pPr>
        <w:tabs>
          <w:tab w:val="num" w:pos="907"/>
        </w:tabs>
        <w:ind w:left="907" w:hanging="907"/>
      </w:pPr>
      <w:rPr>
        <w:rFonts w:hint="default"/>
      </w:rPr>
    </w:lvl>
    <w:lvl w:ilvl="6">
      <w:start w:val="1"/>
      <w:numFmt w:val="decimal"/>
      <w:lvlText w:val="%7."/>
      <w:lvlJc w:val="left"/>
      <w:pPr>
        <w:tabs>
          <w:tab w:val="num" w:pos="907"/>
        </w:tabs>
        <w:ind w:left="907" w:hanging="907"/>
      </w:pPr>
      <w:rPr>
        <w:rFonts w:hint="default"/>
      </w:rPr>
    </w:lvl>
    <w:lvl w:ilvl="7">
      <w:start w:val="1"/>
      <w:numFmt w:val="lowerLetter"/>
      <w:lvlText w:val="%8."/>
      <w:lvlJc w:val="left"/>
      <w:pPr>
        <w:tabs>
          <w:tab w:val="num" w:pos="907"/>
        </w:tabs>
        <w:ind w:left="907" w:hanging="907"/>
      </w:pPr>
      <w:rPr>
        <w:rFonts w:hint="default"/>
      </w:rPr>
    </w:lvl>
    <w:lvl w:ilvl="8">
      <w:start w:val="1"/>
      <w:numFmt w:val="lowerRoman"/>
      <w:lvlText w:val="%9."/>
      <w:lvlJc w:val="right"/>
      <w:pPr>
        <w:tabs>
          <w:tab w:val="num" w:pos="907"/>
        </w:tabs>
        <w:ind w:left="907" w:hanging="907"/>
      </w:pPr>
      <w:rPr>
        <w:rFonts w:hint="default"/>
      </w:rPr>
    </w:lvl>
  </w:abstractNum>
  <w:abstractNum w:abstractNumId="19" w15:restartNumberingAfterBreak="0">
    <w:nsid w:val="31D31BBD"/>
    <w:multiLevelType w:val="hybridMultilevel"/>
    <w:tmpl w:val="AB545582"/>
    <w:lvl w:ilvl="0" w:tplc="9CAE42B6">
      <w:start w:val="1"/>
      <w:numFmt w:val="bullet"/>
      <w:pStyle w:val="Textstand-alonebulletpointJustified"/>
      <w:lvlText w:val=""/>
      <w:lvlJc w:val="left"/>
      <w:pPr>
        <w:ind w:left="1080" w:hanging="360"/>
      </w:pPr>
      <w:rPr>
        <w:rFonts w:ascii="Verdana" w:hAnsi="Verdana" w:hint="default"/>
      </w:rPr>
    </w:lvl>
    <w:lvl w:ilvl="1" w:tplc="C97627B2" w:tentative="1">
      <w:start w:val="1"/>
      <w:numFmt w:val="bullet"/>
      <w:lvlText w:val="o"/>
      <w:lvlJc w:val="left"/>
      <w:pPr>
        <w:ind w:left="1800" w:hanging="360"/>
      </w:pPr>
      <w:rPr>
        <w:rFonts w:ascii="Courier New" w:hAnsi="Courier New" w:cs="Courier New" w:hint="default"/>
      </w:rPr>
    </w:lvl>
    <w:lvl w:ilvl="2" w:tplc="50707086" w:tentative="1">
      <w:start w:val="1"/>
      <w:numFmt w:val="bullet"/>
      <w:lvlText w:val=""/>
      <w:lvlJc w:val="left"/>
      <w:pPr>
        <w:ind w:left="2520" w:hanging="360"/>
      </w:pPr>
      <w:rPr>
        <w:rFonts w:ascii="Wingdings" w:hAnsi="Wingdings" w:hint="default"/>
      </w:rPr>
    </w:lvl>
    <w:lvl w:ilvl="3" w:tplc="2C48131C" w:tentative="1">
      <w:start w:val="1"/>
      <w:numFmt w:val="bullet"/>
      <w:lvlText w:val=""/>
      <w:lvlJc w:val="left"/>
      <w:pPr>
        <w:ind w:left="3240" w:hanging="360"/>
      </w:pPr>
      <w:rPr>
        <w:rFonts w:ascii="Symbol" w:hAnsi="Symbol" w:hint="default"/>
      </w:rPr>
    </w:lvl>
    <w:lvl w:ilvl="4" w:tplc="8DFA528C" w:tentative="1">
      <w:start w:val="1"/>
      <w:numFmt w:val="bullet"/>
      <w:lvlText w:val="o"/>
      <w:lvlJc w:val="left"/>
      <w:pPr>
        <w:ind w:left="3960" w:hanging="360"/>
      </w:pPr>
      <w:rPr>
        <w:rFonts w:ascii="Courier New" w:hAnsi="Courier New" w:cs="Courier New" w:hint="default"/>
      </w:rPr>
    </w:lvl>
    <w:lvl w:ilvl="5" w:tplc="311C6796" w:tentative="1">
      <w:start w:val="1"/>
      <w:numFmt w:val="bullet"/>
      <w:lvlText w:val=""/>
      <w:lvlJc w:val="left"/>
      <w:pPr>
        <w:ind w:left="4680" w:hanging="360"/>
      </w:pPr>
      <w:rPr>
        <w:rFonts w:ascii="Wingdings" w:hAnsi="Wingdings" w:hint="default"/>
      </w:rPr>
    </w:lvl>
    <w:lvl w:ilvl="6" w:tplc="53C8B0F8" w:tentative="1">
      <w:start w:val="1"/>
      <w:numFmt w:val="bullet"/>
      <w:lvlText w:val=""/>
      <w:lvlJc w:val="left"/>
      <w:pPr>
        <w:ind w:left="5400" w:hanging="360"/>
      </w:pPr>
      <w:rPr>
        <w:rFonts w:ascii="Symbol" w:hAnsi="Symbol" w:hint="default"/>
      </w:rPr>
    </w:lvl>
    <w:lvl w:ilvl="7" w:tplc="A2DE8EE0" w:tentative="1">
      <w:start w:val="1"/>
      <w:numFmt w:val="bullet"/>
      <w:lvlText w:val="o"/>
      <w:lvlJc w:val="left"/>
      <w:pPr>
        <w:ind w:left="6120" w:hanging="360"/>
      </w:pPr>
      <w:rPr>
        <w:rFonts w:ascii="Courier New" w:hAnsi="Courier New" w:cs="Courier New" w:hint="default"/>
      </w:rPr>
    </w:lvl>
    <w:lvl w:ilvl="8" w:tplc="CC8A702E" w:tentative="1">
      <w:start w:val="1"/>
      <w:numFmt w:val="bullet"/>
      <w:lvlText w:val=""/>
      <w:lvlJc w:val="left"/>
      <w:pPr>
        <w:ind w:left="6840" w:hanging="360"/>
      </w:pPr>
      <w:rPr>
        <w:rFonts w:ascii="Wingdings" w:hAnsi="Wingdings" w:hint="default"/>
      </w:rPr>
    </w:lvl>
  </w:abstractNum>
  <w:abstractNum w:abstractNumId="20" w15:restartNumberingAfterBreak="0">
    <w:nsid w:val="32D42B03"/>
    <w:multiLevelType w:val="hybridMultilevel"/>
    <w:tmpl w:val="87765D70"/>
    <w:lvl w:ilvl="0" w:tplc="F0B01DAA">
      <w:start w:val="1"/>
      <w:numFmt w:val="decimal"/>
      <w:lvlText w:val="%1)"/>
      <w:lvlJc w:val="left"/>
      <w:pPr>
        <w:ind w:left="720" w:hanging="360"/>
      </w:pPr>
    </w:lvl>
    <w:lvl w:ilvl="1" w:tplc="5F5E2DDE" w:tentative="1">
      <w:start w:val="1"/>
      <w:numFmt w:val="lowerLetter"/>
      <w:lvlText w:val="%2."/>
      <w:lvlJc w:val="left"/>
      <w:pPr>
        <w:ind w:left="1440" w:hanging="360"/>
      </w:pPr>
    </w:lvl>
    <w:lvl w:ilvl="2" w:tplc="116464F2" w:tentative="1">
      <w:start w:val="1"/>
      <w:numFmt w:val="lowerRoman"/>
      <w:lvlText w:val="%3."/>
      <w:lvlJc w:val="right"/>
      <w:pPr>
        <w:ind w:left="2160" w:hanging="180"/>
      </w:pPr>
    </w:lvl>
    <w:lvl w:ilvl="3" w:tplc="11F672D8" w:tentative="1">
      <w:start w:val="1"/>
      <w:numFmt w:val="decimal"/>
      <w:lvlText w:val="%4."/>
      <w:lvlJc w:val="left"/>
      <w:pPr>
        <w:ind w:left="2880" w:hanging="360"/>
      </w:pPr>
    </w:lvl>
    <w:lvl w:ilvl="4" w:tplc="37FAF2FE" w:tentative="1">
      <w:start w:val="1"/>
      <w:numFmt w:val="lowerLetter"/>
      <w:lvlText w:val="%5."/>
      <w:lvlJc w:val="left"/>
      <w:pPr>
        <w:ind w:left="3600" w:hanging="360"/>
      </w:pPr>
    </w:lvl>
    <w:lvl w:ilvl="5" w:tplc="94E80274" w:tentative="1">
      <w:start w:val="1"/>
      <w:numFmt w:val="lowerRoman"/>
      <w:lvlText w:val="%6."/>
      <w:lvlJc w:val="right"/>
      <w:pPr>
        <w:ind w:left="4320" w:hanging="180"/>
      </w:pPr>
    </w:lvl>
    <w:lvl w:ilvl="6" w:tplc="89CA8E6E" w:tentative="1">
      <w:start w:val="1"/>
      <w:numFmt w:val="decimal"/>
      <w:lvlText w:val="%7."/>
      <w:lvlJc w:val="left"/>
      <w:pPr>
        <w:ind w:left="5040" w:hanging="360"/>
      </w:pPr>
    </w:lvl>
    <w:lvl w:ilvl="7" w:tplc="8DB25BE4" w:tentative="1">
      <w:start w:val="1"/>
      <w:numFmt w:val="lowerLetter"/>
      <w:lvlText w:val="%8."/>
      <w:lvlJc w:val="left"/>
      <w:pPr>
        <w:ind w:left="5760" w:hanging="360"/>
      </w:pPr>
    </w:lvl>
    <w:lvl w:ilvl="8" w:tplc="B2FAB794" w:tentative="1">
      <w:start w:val="1"/>
      <w:numFmt w:val="lowerRoman"/>
      <w:lvlText w:val="%9."/>
      <w:lvlJc w:val="right"/>
      <w:pPr>
        <w:ind w:left="6480" w:hanging="180"/>
      </w:pPr>
    </w:lvl>
  </w:abstractNum>
  <w:abstractNum w:abstractNumId="21" w15:restartNumberingAfterBreak="0">
    <w:nsid w:val="4B74719E"/>
    <w:multiLevelType w:val="hybridMultilevel"/>
    <w:tmpl w:val="F10A96E4"/>
    <w:lvl w:ilvl="0" w:tplc="8FDED830">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2" w15:restartNumberingAfterBreak="0">
    <w:nsid w:val="5D530BC2"/>
    <w:multiLevelType w:val="hybridMultilevel"/>
    <w:tmpl w:val="16785826"/>
    <w:lvl w:ilvl="0" w:tplc="77A6B6FE">
      <w:start w:val="1"/>
      <w:numFmt w:val="bullet"/>
      <w:lvlText w:val=""/>
      <w:lvlJc w:val="left"/>
      <w:pPr>
        <w:ind w:left="720" w:hanging="360"/>
      </w:pPr>
      <w:rPr>
        <w:rFonts w:ascii="Symbol" w:hAnsi="Symbol" w:hint="default"/>
      </w:rPr>
    </w:lvl>
    <w:lvl w:ilvl="1" w:tplc="BC4A1A78" w:tentative="1">
      <w:start w:val="1"/>
      <w:numFmt w:val="bullet"/>
      <w:lvlText w:val="o"/>
      <w:lvlJc w:val="left"/>
      <w:pPr>
        <w:ind w:left="1440" w:hanging="360"/>
      </w:pPr>
      <w:rPr>
        <w:rFonts w:ascii="Courier New" w:hAnsi="Courier New" w:cs="Courier New" w:hint="default"/>
      </w:rPr>
    </w:lvl>
    <w:lvl w:ilvl="2" w:tplc="B3041970" w:tentative="1">
      <w:start w:val="1"/>
      <w:numFmt w:val="bullet"/>
      <w:lvlText w:val=""/>
      <w:lvlJc w:val="left"/>
      <w:pPr>
        <w:ind w:left="2160" w:hanging="360"/>
      </w:pPr>
      <w:rPr>
        <w:rFonts w:ascii="Wingdings" w:hAnsi="Wingdings" w:hint="default"/>
      </w:rPr>
    </w:lvl>
    <w:lvl w:ilvl="3" w:tplc="2B4C7900" w:tentative="1">
      <w:start w:val="1"/>
      <w:numFmt w:val="bullet"/>
      <w:lvlText w:val=""/>
      <w:lvlJc w:val="left"/>
      <w:pPr>
        <w:ind w:left="2880" w:hanging="360"/>
      </w:pPr>
      <w:rPr>
        <w:rFonts w:ascii="Symbol" w:hAnsi="Symbol" w:hint="default"/>
      </w:rPr>
    </w:lvl>
    <w:lvl w:ilvl="4" w:tplc="8CA8883A" w:tentative="1">
      <w:start w:val="1"/>
      <w:numFmt w:val="bullet"/>
      <w:lvlText w:val="o"/>
      <w:lvlJc w:val="left"/>
      <w:pPr>
        <w:ind w:left="3600" w:hanging="360"/>
      </w:pPr>
      <w:rPr>
        <w:rFonts w:ascii="Courier New" w:hAnsi="Courier New" w:cs="Courier New" w:hint="default"/>
      </w:rPr>
    </w:lvl>
    <w:lvl w:ilvl="5" w:tplc="8F9CE9BE" w:tentative="1">
      <w:start w:val="1"/>
      <w:numFmt w:val="bullet"/>
      <w:lvlText w:val=""/>
      <w:lvlJc w:val="left"/>
      <w:pPr>
        <w:ind w:left="4320" w:hanging="360"/>
      </w:pPr>
      <w:rPr>
        <w:rFonts w:ascii="Wingdings" w:hAnsi="Wingdings" w:hint="default"/>
      </w:rPr>
    </w:lvl>
    <w:lvl w:ilvl="6" w:tplc="CC88025A" w:tentative="1">
      <w:start w:val="1"/>
      <w:numFmt w:val="bullet"/>
      <w:lvlText w:val=""/>
      <w:lvlJc w:val="left"/>
      <w:pPr>
        <w:ind w:left="5040" w:hanging="360"/>
      </w:pPr>
      <w:rPr>
        <w:rFonts w:ascii="Symbol" w:hAnsi="Symbol" w:hint="default"/>
      </w:rPr>
    </w:lvl>
    <w:lvl w:ilvl="7" w:tplc="A088ED88" w:tentative="1">
      <w:start w:val="1"/>
      <w:numFmt w:val="bullet"/>
      <w:lvlText w:val="o"/>
      <w:lvlJc w:val="left"/>
      <w:pPr>
        <w:ind w:left="5760" w:hanging="360"/>
      </w:pPr>
      <w:rPr>
        <w:rFonts w:ascii="Courier New" w:hAnsi="Courier New" w:cs="Courier New" w:hint="default"/>
      </w:rPr>
    </w:lvl>
    <w:lvl w:ilvl="8" w:tplc="222A08E0" w:tentative="1">
      <w:start w:val="1"/>
      <w:numFmt w:val="bullet"/>
      <w:lvlText w:val=""/>
      <w:lvlJc w:val="left"/>
      <w:pPr>
        <w:ind w:left="6480" w:hanging="360"/>
      </w:pPr>
      <w:rPr>
        <w:rFonts w:ascii="Wingdings" w:hAnsi="Wingdings" w:hint="default"/>
      </w:rPr>
    </w:lvl>
  </w:abstractNum>
  <w:abstractNum w:abstractNumId="23" w15:restartNumberingAfterBreak="0">
    <w:nsid w:val="5EA07653"/>
    <w:multiLevelType w:val="hybridMultilevel"/>
    <w:tmpl w:val="549C48F2"/>
    <w:lvl w:ilvl="0" w:tplc="102232EE">
      <w:start w:val="1"/>
      <w:numFmt w:val="bullet"/>
      <w:pStyle w:val="Textstand-aloneBulletpoint"/>
      <w:lvlText w:val="-"/>
      <w:lvlJc w:val="left"/>
      <w:pPr>
        <w:ind w:left="1080" w:hanging="360"/>
      </w:pPr>
      <w:rPr>
        <w:rFonts w:ascii="Verdana" w:hAnsi="Verdana" w:hint="default"/>
      </w:rPr>
    </w:lvl>
    <w:lvl w:ilvl="1" w:tplc="2DFA2AEE" w:tentative="1">
      <w:start w:val="1"/>
      <w:numFmt w:val="bullet"/>
      <w:lvlText w:val="o"/>
      <w:lvlJc w:val="left"/>
      <w:pPr>
        <w:ind w:left="1800" w:hanging="360"/>
      </w:pPr>
      <w:rPr>
        <w:rFonts w:ascii="Courier New" w:hAnsi="Courier New" w:cs="Courier New" w:hint="default"/>
      </w:rPr>
    </w:lvl>
    <w:lvl w:ilvl="2" w:tplc="6CDCC25E" w:tentative="1">
      <w:start w:val="1"/>
      <w:numFmt w:val="bullet"/>
      <w:lvlText w:val=""/>
      <w:lvlJc w:val="left"/>
      <w:pPr>
        <w:ind w:left="2520" w:hanging="360"/>
      </w:pPr>
      <w:rPr>
        <w:rFonts w:ascii="Wingdings" w:hAnsi="Wingdings" w:hint="default"/>
      </w:rPr>
    </w:lvl>
    <w:lvl w:ilvl="3" w:tplc="28D4C392" w:tentative="1">
      <w:start w:val="1"/>
      <w:numFmt w:val="bullet"/>
      <w:lvlText w:val=""/>
      <w:lvlJc w:val="left"/>
      <w:pPr>
        <w:ind w:left="3240" w:hanging="360"/>
      </w:pPr>
      <w:rPr>
        <w:rFonts w:ascii="Symbol" w:hAnsi="Symbol" w:hint="default"/>
      </w:rPr>
    </w:lvl>
    <w:lvl w:ilvl="4" w:tplc="48961B18" w:tentative="1">
      <w:start w:val="1"/>
      <w:numFmt w:val="bullet"/>
      <w:lvlText w:val="o"/>
      <w:lvlJc w:val="left"/>
      <w:pPr>
        <w:ind w:left="3960" w:hanging="360"/>
      </w:pPr>
      <w:rPr>
        <w:rFonts w:ascii="Courier New" w:hAnsi="Courier New" w:cs="Courier New" w:hint="default"/>
      </w:rPr>
    </w:lvl>
    <w:lvl w:ilvl="5" w:tplc="CF3A8024" w:tentative="1">
      <w:start w:val="1"/>
      <w:numFmt w:val="bullet"/>
      <w:lvlText w:val=""/>
      <w:lvlJc w:val="left"/>
      <w:pPr>
        <w:ind w:left="4680" w:hanging="360"/>
      </w:pPr>
      <w:rPr>
        <w:rFonts w:ascii="Wingdings" w:hAnsi="Wingdings" w:hint="default"/>
      </w:rPr>
    </w:lvl>
    <w:lvl w:ilvl="6" w:tplc="7B0AB2A4" w:tentative="1">
      <w:start w:val="1"/>
      <w:numFmt w:val="bullet"/>
      <w:lvlText w:val=""/>
      <w:lvlJc w:val="left"/>
      <w:pPr>
        <w:ind w:left="5400" w:hanging="360"/>
      </w:pPr>
      <w:rPr>
        <w:rFonts w:ascii="Symbol" w:hAnsi="Symbol" w:hint="default"/>
      </w:rPr>
    </w:lvl>
    <w:lvl w:ilvl="7" w:tplc="AEF47BA2" w:tentative="1">
      <w:start w:val="1"/>
      <w:numFmt w:val="bullet"/>
      <w:lvlText w:val="o"/>
      <w:lvlJc w:val="left"/>
      <w:pPr>
        <w:ind w:left="6120" w:hanging="360"/>
      </w:pPr>
      <w:rPr>
        <w:rFonts w:ascii="Courier New" w:hAnsi="Courier New" w:cs="Courier New" w:hint="default"/>
      </w:rPr>
    </w:lvl>
    <w:lvl w:ilvl="8" w:tplc="8C60A14E" w:tentative="1">
      <w:start w:val="1"/>
      <w:numFmt w:val="bullet"/>
      <w:lvlText w:val=""/>
      <w:lvlJc w:val="left"/>
      <w:pPr>
        <w:ind w:left="6840" w:hanging="360"/>
      </w:pPr>
      <w:rPr>
        <w:rFonts w:ascii="Wingdings" w:hAnsi="Wingdings" w:hint="default"/>
      </w:rPr>
    </w:lvl>
  </w:abstractNum>
  <w:abstractNum w:abstractNumId="24" w15:restartNumberingAfterBreak="0">
    <w:nsid w:val="6BD64ED0"/>
    <w:multiLevelType w:val="hybridMultilevel"/>
    <w:tmpl w:val="FA1EE082"/>
    <w:lvl w:ilvl="0" w:tplc="8B42F202">
      <w:numFmt w:val="bullet"/>
      <w:pStyle w:val="DGTextstand-alonedashesjustified"/>
      <w:lvlText w:val="—"/>
      <w:lvlJc w:val="left"/>
      <w:pPr>
        <w:ind w:left="720" w:hanging="360"/>
      </w:pPr>
      <w:rPr>
        <w:rFonts w:ascii="Times New Roman" w:eastAsiaTheme="minorHAnsi" w:hAnsi="Times New Roman" w:cs="Times New Roman" w:hint="default"/>
      </w:rPr>
    </w:lvl>
    <w:lvl w:ilvl="1" w:tplc="BC78F5DE" w:tentative="1">
      <w:start w:val="1"/>
      <w:numFmt w:val="bullet"/>
      <w:lvlText w:val="o"/>
      <w:lvlJc w:val="left"/>
      <w:pPr>
        <w:ind w:left="1440" w:hanging="360"/>
      </w:pPr>
      <w:rPr>
        <w:rFonts w:ascii="Courier New" w:hAnsi="Courier New" w:cs="Courier New" w:hint="default"/>
      </w:rPr>
    </w:lvl>
    <w:lvl w:ilvl="2" w:tplc="EDEAC2A8" w:tentative="1">
      <w:start w:val="1"/>
      <w:numFmt w:val="bullet"/>
      <w:lvlText w:val=""/>
      <w:lvlJc w:val="left"/>
      <w:pPr>
        <w:ind w:left="2160" w:hanging="360"/>
      </w:pPr>
      <w:rPr>
        <w:rFonts w:ascii="Wingdings" w:hAnsi="Wingdings" w:hint="default"/>
      </w:rPr>
    </w:lvl>
    <w:lvl w:ilvl="3" w:tplc="543049E6" w:tentative="1">
      <w:start w:val="1"/>
      <w:numFmt w:val="bullet"/>
      <w:lvlText w:val=""/>
      <w:lvlJc w:val="left"/>
      <w:pPr>
        <w:ind w:left="2880" w:hanging="360"/>
      </w:pPr>
      <w:rPr>
        <w:rFonts w:ascii="Symbol" w:hAnsi="Symbol" w:hint="default"/>
      </w:rPr>
    </w:lvl>
    <w:lvl w:ilvl="4" w:tplc="5CA82CD8" w:tentative="1">
      <w:start w:val="1"/>
      <w:numFmt w:val="bullet"/>
      <w:lvlText w:val="o"/>
      <w:lvlJc w:val="left"/>
      <w:pPr>
        <w:ind w:left="3600" w:hanging="360"/>
      </w:pPr>
      <w:rPr>
        <w:rFonts w:ascii="Courier New" w:hAnsi="Courier New" w:cs="Courier New" w:hint="default"/>
      </w:rPr>
    </w:lvl>
    <w:lvl w:ilvl="5" w:tplc="CE3C92F8" w:tentative="1">
      <w:start w:val="1"/>
      <w:numFmt w:val="bullet"/>
      <w:lvlText w:val=""/>
      <w:lvlJc w:val="left"/>
      <w:pPr>
        <w:ind w:left="4320" w:hanging="360"/>
      </w:pPr>
      <w:rPr>
        <w:rFonts w:ascii="Wingdings" w:hAnsi="Wingdings" w:hint="default"/>
      </w:rPr>
    </w:lvl>
    <w:lvl w:ilvl="6" w:tplc="C9F43E80" w:tentative="1">
      <w:start w:val="1"/>
      <w:numFmt w:val="bullet"/>
      <w:lvlText w:val=""/>
      <w:lvlJc w:val="left"/>
      <w:pPr>
        <w:ind w:left="5040" w:hanging="360"/>
      </w:pPr>
      <w:rPr>
        <w:rFonts w:ascii="Symbol" w:hAnsi="Symbol" w:hint="default"/>
      </w:rPr>
    </w:lvl>
    <w:lvl w:ilvl="7" w:tplc="FE4AFE5C" w:tentative="1">
      <w:start w:val="1"/>
      <w:numFmt w:val="bullet"/>
      <w:lvlText w:val="o"/>
      <w:lvlJc w:val="left"/>
      <w:pPr>
        <w:ind w:left="5760" w:hanging="360"/>
      </w:pPr>
      <w:rPr>
        <w:rFonts w:ascii="Courier New" w:hAnsi="Courier New" w:cs="Courier New" w:hint="default"/>
      </w:rPr>
    </w:lvl>
    <w:lvl w:ilvl="8" w:tplc="A0BE4A62" w:tentative="1">
      <w:start w:val="1"/>
      <w:numFmt w:val="bullet"/>
      <w:lvlText w:val=""/>
      <w:lvlJc w:val="left"/>
      <w:pPr>
        <w:ind w:left="6480" w:hanging="360"/>
      </w:pPr>
      <w:rPr>
        <w:rFonts w:ascii="Wingdings" w:hAnsi="Wingdings" w:hint="default"/>
      </w:rPr>
    </w:lvl>
  </w:abstractNum>
  <w:abstractNum w:abstractNumId="25" w15:restartNumberingAfterBreak="0">
    <w:nsid w:val="6F351A53"/>
    <w:multiLevelType w:val="hybridMultilevel"/>
    <w:tmpl w:val="A22E4046"/>
    <w:lvl w:ilvl="0" w:tplc="D61A6140">
      <w:start w:val="1"/>
      <w:numFmt w:val="lowerRoman"/>
      <w:pStyle w:val="Textstand-alonenumberingRCIndentJustified"/>
      <w:lvlText w:val="(%1)"/>
      <w:lvlJc w:val="left"/>
      <w:pPr>
        <w:ind w:left="720" w:hanging="360"/>
      </w:pPr>
      <w:rPr>
        <w:rFonts w:hint="default"/>
      </w:rPr>
    </w:lvl>
    <w:lvl w:ilvl="1" w:tplc="6E120B3C" w:tentative="1">
      <w:start w:val="1"/>
      <w:numFmt w:val="lowerLetter"/>
      <w:lvlText w:val="%2."/>
      <w:lvlJc w:val="left"/>
      <w:pPr>
        <w:ind w:left="1440" w:hanging="360"/>
      </w:pPr>
    </w:lvl>
    <w:lvl w:ilvl="2" w:tplc="467ED7A2" w:tentative="1">
      <w:start w:val="1"/>
      <w:numFmt w:val="lowerRoman"/>
      <w:lvlText w:val="%3."/>
      <w:lvlJc w:val="right"/>
      <w:pPr>
        <w:ind w:left="2160" w:hanging="180"/>
      </w:pPr>
    </w:lvl>
    <w:lvl w:ilvl="3" w:tplc="E2EE480E" w:tentative="1">
      <w:start w:val="1"/>
      <w:numFmt w:val="decimal"/>
      <w:lvlText w:val="%4."/>
      <w:lvlJc w:val="left"/>
      <w:pPr>
        <w:ind w:left="2880" w:hanging="360"/>
      </w:pPr>
    </w:lvl>
    <w:lvl w:ilvl="4" w:tplc="D686814A" w:tentative="1">
      <w:start w:val="1"/>
      <w:numFmt w:val="lowerLetter"/>
      <w:lvlText w:val="%5."/>
      <w:lvlJc w:val="left"/>
      <w:pPr>
        <w:ind w:left="3600" w:hanging="360"/>
      </w:pPr>
    </w:lvl>
    <w:lvl w:ilvl="5" w:tplc="90187BE0" w:tentative="1">
      <w:start w:val="1"/>
      <w:numFmt w:val="lowerRoman"/>
      <w:lvlText w:val="%6."/>
      <w:lvlJc w:val="right"/>
      <w:pPr>
        <w:ind w:left="4320" w:hanging="180"/>
      </w:pPr>
    </w:lvl>
    <w:lvl w:ilvl="6" w:tplc="D730E10C" w:tentative="1">
      <w:start w:val="1"/>
      <w:numFmt w:val="decimal"/>
      <w:lvlText w:val="%7."/>
      <w:lvlJc w:val="left"/>
      <w:pPr>
        <w:ind w:left="5040" w:hanging="360"/>
      </w:pPr>
    </w:lvl>
    <w:lvl w:ilvl="7" w:tplc="3D5658A8" w:tentative="1">
      <w:start w:val="1"/>
      <w:numFmt w:val="lowerLetter"/>
      <w:lvlText w:val="%8."/>
      <w:lvlJc w:val="left"/>
      <w:pPr>
        <w:ind w:left="5760" w:hanging="360"/>
      </w:pPr>
    </w:lvl>
    <w:lvl w:ilvl="8" w:tplc="9E3AA63A" w:tentative="1">
      <w:start w:val="1"/>
      <w:numFmt w:val="lowerRoman"/>
      <w:lvlText w:val="%9."/>
      <w:lvlJc w:val="right"/>
      <w:pPr>
        <w:ind w:left="6480" w:hanging="180"/>
      </w:pPr>
    </w:lvl>
  </w:abstractNum>
  <w:abstractNum w:abstractNumId="26" w15:restartNumberingAfterBreak="0">
    <w:nsid w:val="6F351A55"/>
    <w:multiLevelType w:val="hybridMultilevel"/>
    <w:tmpl w:val="1B526418"/>
    <w:lvl w:ilvl="0" w:tplc="EA28825E">
      <w:numFmt w:val="bullet"/>
      <w:lvlText w:val="–"/>
      <w:lvlJc w:val="left"/>
      <w:pPr>
        <w:tabs>
          <w:tab w:val="num" w:pos="0"/>
        </w:tabs>
        <w:ind w:left="720" w:hanging="360"/>
      </w:pPr>
      <w:rPr>
        <w:rFonts w:ascii="Verdana" w:eastAsia="Calibri" w:hAnsi="Verdana" w:cs="Times New Roman" w:hint="default"/>
        <w:b w:val="0"/>
        <w:bCs w:val="0"/>
        <w:i w:val="0"/>
        <w:iCs w:val="0"/>
        <w:caps w:val="0"/>
        <w:smallCaps w:val="0"/>
        <w:strike w:val="0"/>
        <w:dstrike w:val="0"/>
        <w:noProof w:val="0"/>
        <w:vanish w:val="0"/>
        <w:color w:val="auto"/>
        <w:spacing w:val="0"/>
        <w:w w:val="100"/>
        <w:kern w:val="0"/>
        <w:position w:val="0"/>
        <w:sz w:val="20"/>
        <w:szCs w:val="20"/>
        <w:highlight w:val="none"/>
        <w:u w:val="none"/>
        <w:effect w:val="none"/>
        <w:bdr w:val="nil"/>
        <w:shd w:val="clear" w:color="auto" w:fill="auto"/>
        <w:rtl w:val="0"/>
        <w:cs w:val="0"/>
      </w:rPr>
    </w:lvl>
    <w:lvl w:ilvl="1" w:tplc="ED4AEBF8">
      <w:start w:val="1"/>
      <w:numFmt w:val="bullet"/>
      <w:lvlText w:val="o"/>
      <w:lvlJc w:val="left"/>
      <w:pPr>
        <w:ind w:left="1440" w:hanging="360"/>
      </w:pPr>
      <w:rPr>
        <w:rFonts w:ascii="Courier New" w:hAnsi="Courier New" w:cs="Courier New" w:hint="default"/>
      </w:rPr>
    </w:lvl>
    <w:lvl w:ilvl="2" w:tplc="1AFCC048" w:tentative="1">
      <w:start w:val="1"/>
      <w:numFmt w:val="bullet"/>
      <w:lvlText w:val=""/>
      <w:lvlJc w:val="left"/>
      <w:pPr>
        <w:ind w:left="2160" w:hanging="360"/>
      </w:pPr>
      <w:rPr>
        <w:rFonts w:ascii="Wingdings" w:hAnsi="Wingdings" w:hint="default"/>
      </w:rPr>
    </w:lvl>
    <w:lvl w:ilvl="3" w:tplc="3296F430" w:tentative="1">
      <w:start w:val="1"/>
      <w:numFmt w:val="bullet"/>
      <w:lvlText w:val=""/>
      <w:lvlJc w:val="left"/>
      <w:pPr>
        <w:ind w:left="2880" w:hanging="360"/>
      </w:pPr>
      <w:rPr>
        <w:rFonts w:ascii="Symbol" w:hAnsi="Symbol" w:hint="default"/>
      </w:rPr>
    </w:lvl>
    <w:lvl w:ilvl="4" w:tplc="7A8476D8" w:tentative="1">
      <w:start w:val="1"/>
      <w:numFmt w:val="bullet"/>
      <w:lvlText w:val="o"/>
      <w:lvlJc w:val="left"/>
      <w:pPr>
        <w:ind w:left="3600" w:hanging="360"/>
      </w:pPr>
      <w:rPr>
        <w:rFonts w:ascii="Courier New" w:hAnsi="Courier New" w:cs="Courier New" w:hint="default"/>
      </w:rPr>
    </w:lvl>
    <w:lvl w:ilvl="5" w:tplc="DA44F5E2" w:tentative="1">
      <w:start w:val="1"/>
      <w:numFmt w:val="bullet"/>
      <w:lvlText w:val=""/>
      <w:lvlJc w:val="left"/>
      <w:pPr>
        <w:ind w:left="4320" w:hanging="360"/>
      </w:pPr>
      <w:rPr>
        <w:rFonts w:ascii="Wingdings" w:hAnsi="Wingdings" w:hint="default"/>
      </w:rPr>
    </w:lvl>
    <w:lvl w:ilvl="6" w:tplc="88E64F5E" w:tentative="1">
      <w:start w:val="1"/>
      <w:numFmt w:val="bullet"/>
      <w:lvlText w:val=""/>
      <w:lvlJc w:val="left"/>
      <w:pPr>
        <w:ind w:left="5040" w:hanging="360"/>
      </w:pPr>
      <w:rPr>
        <w:rFonts w:ascii="Symbol" w:hAnsi="Symbol" w:hint="default"/>
      </w:rPr>
    </w:lvl>
    <w:lvl w:ilvl="7" w:tplc="3CA4C034" w:tentative="1">
      <w:start w:val="1"/>
      <w:numFmt w:val="bullet"/>
      <w:lvlText w:val="o"/>
      <w:lvlJc w:val="left"/>
      <w:pPr>
        <w:ind w:left="5760" w:hanging="360"/>
      </w:pPr>
      <w:rPr>
        <w:rFonts w:ascii="Courier New" w:hAnsi="Courier New" w:cs="Courier New" w:hint="default"/>
      </w:rPr>
    </w:lvl>
    <w:lvl w:ilvl="8" w:tplc="4056B1FE" w:tentative="1">
      <w:start w:val="1"/>
      <w:numFmt w:val="bullet"/>
      <w:lvlText w:val=""/>
      <w:lvlJc w:val="left"/>
      <w:pPr>
        <w:ind w:left="6480" w:hanging="360"/>
      </w:pPr>
      <w:rPr>
        <w:rFonts w:ascii="Wingdings" w:hAnsi="Wingdings" w:hint="default"/>
      </w:rPr>
    </w:lvl>
  </w:abstractNum>
  <w:abstractNum w:abstractNumId="27" w15:restartNumberingAfterBreak="0">
    <w:nsid w:val="7BA70C96"/>
    <w:multiLevelType w:val="hybridMultilevel"/>
    <w:tmpl w:val="2D52107C"/>
    <w:lvl w:ilvl="0" w:tplc="0CF20E8C">
      <w:start w:val="1"/>
      <w:numFmt w:val="lowerLetter"/>
      <w:lvlText w:val="(%1)"/>
      <w:lvlJc w:val="left"/>
      <w:pPr>
        <w:ind w:left="720" w:hanging="360"/>
      </w:pPr>
      <w:rPr>
        <w:rFonts w:hint="default"/>
      </w:rPr>
    </w:lvl>
    <w:lvl w:ilvl="1" w:tplc="7A9A0C2A" w:tentative="1">
      <w:start w:val="1"/>
      <w:numFmt w:val="lowerLetter"/>
      <w:lvlText w:val="%2."/>
      <w:lvlJc w:val="left"/>
      <w:pPr>
        <w:ind w:left="1440" w:hanging="360"/>
      </w:pPr>
    </w:lvl>
    <w:lvl w:ilvl="2" w:tplc="262CD7D2" w:tentative="1">
      <w:start w:val="1"/>
      <w:numFmt w:val="lowerRoman"/>
      <w:lvlText w:val="%3."/>
      <w:lvlJc w:val="right"/>
      <w:pPr>
        <w:ind w:left="2160" w:hanging="180"/>
      </w:pPr>
    </w:lvl>
    <w:lvl w:ilvl="3" w:tplc="325099F2" w:tentative="1">
      <w:start w:val="1"/>
      <w:numFmt w:val="decimal"/>
      <w:lvlText w:val="%4."/>
      <w:lvlJc w:val="left"/>
      <w:pPr>
        <w:ind w:left="2880" w:hanging="360"/>
      </w:pPr>
    </w:lvl>
    <w:lvl w:ilvl="4" w:tplc="6F36FD2C" w:tentative="1">
      <w:start w:val="1"/>
      <w:numFmt w:val="lowerLetter"/>
      <w:lvlText w:val="%5."/>
      <w:lvlJc w:val="left"/>
      <w:pPr>
        <w:ind w:left="3600" w:hanging="360"/>
      </w:pPr>
    </w:lvl>
    <w:lvl w:ilvl="5" w:tplc="4ECE92EC" w:tentative="1">
      <w:start w:val="1"/>
      <w:numFmt w:val="lowerRoman"/>
      <w:lvlText w:val="%6."/>
      <w:lvlJc w:val="right"/>
      <w:pPr>
        <w:ind w:left="4320" w:hanging="180"/>
      </w:pPr>
    </w:lvl>
    <w:lvl w:ilvl="6" w:tplc="FE70A82E" w:tentative="1">
      <w:start w:val="1"/>
      <w:numFmt w:val="decimal"/>
      <w:lvlText w:val="%7."/>
      <w:lvlJc w:val="left"/>
      <w:pPr>
        <w:ind w:left="5040" w:hanging="360"/>
      </w:pPr>
    </w:lvl>
    <w:lvl w:ilvl="7" w:tplc="9B3E1F88" w:tentative="1">
      <w:start w:val="1"/>
      <w:numFmt w:val="lowerLetter"/>
      <w:lvlText w:val="%8."/>
      <w:lvlJc w:val="left"/>
      <w:pPr>
        <w:ind w:left="5760" w:hanging="360"/>
      </w:pPr>
    </w:lvl>
    <w:lvl w:ilvl="8" w:tplc="F528C804" w:tentative="1">
      <w:start w:val="1"/>
      <w:numFmt w:val="lowerRoman"/>
      <w:lvlText w:val="%9."/>
      <w:lvlJc w:val="right"/>
      <w:pPr>
        <w:ind w:left="6480" w:hanging="180"/>
      </w:pPr>
    </w:lvl>
  </w:abstractNum>
  <w:abstractNum w:abstractNumId="28" w15:restartNumberingAfterBreak="0">
    <w:nsid w:val="7C342F4E"/>
    <w:multiLevelType w:val="multilevel"/>
    <w:tmpl w:val="E46A7BD8"/>
    <w:lvl w:ilvl="0">
      <w:start w:val="1"/>
      <w:numFmt w:val="decimal"/>
      <w:lvlText w:val="%1."/>
      <w:lvlJc w:val="left"/>
      <w:pPr>
        <w:ind w:left="720" w:hanging="360"/>
      </w:pPr>
      <w:rPr>
        <w:rFonts w:hint="default"/>
      </w:rPr>
    </w:lvl>
    <w:lvl w:ilvl="1">
      <w:start w:val="1"/>
      <w:numFmt w:val="lowerLetter"/>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9" w15:restartNumberingAfterBreak="0">
    <w:nsid w:val="7CB502AB"/>
    <w:multiLevelType w:val="hybridMultilevel"/>
    <w:tmpl w:val="87C2ABB0"/>
    <w:lvl w:ilvl="0" w:tplc="8FDED830">
      <w:start w:val="1"/>
      <w:numFmt w:val="bullet"/>
      <w:lvlText w:val=""/>
      <w:lvlJc w:val="left"/>
      <w:pPr>
        <w:ind w:left="720" w:hanging="360"/>
      </w:pPr>
      <w:rPr>
        <w:rFonts w:ascii="Symbol" w:hAnsi="Symbol" w:hint="default"/>
      </w:rPr>
    </w:lvl>
    <w:lvl w:ilvl="1" w:tplc="4AE471EE" w:tentative="1">
      <w:start w:val="1"/>
      <w:numFmt w:val="bullet"/>
      <w:lvlText w:val="o"/>
      <w:lvlJc w:val="left"/>
      <w:pPr>
        <w:ind w:left="1440" w:hanging="360"/>
      </w:pPr>
      <w:rPr>
        <w:rFonts w:ascii="Courier New" w:hAnsi="Courier New" w:cs="Courier New" w:hint="default"/>
      </w:rPr>
    </w:lvl>
    <w:lvl w:ilvl="2" w:tplc="461AD8CE" w:tentative="1">
      <w:start w:val="1"/>
      <w:numFmt w:val="bullet"/>
      <w:lvlText w:val=""/>
      <w:lvlJc w:val="left"/>
      <w:pPr>
        <w:ind w:left="2160" w:hanging="360"/>
      </w:pPr>
      <w:rPr>
        <w:rFonts w:ascii="Wingdings" w:hAnsi="Wingdings" w:hint="default"/>
      </w:rPr>
    </w:lvl>
    <w:lvl w:ilvl="3" w:tplc="133057C4" w:tentative="1">
      <w:start w:val="1"/>
      <w:numFmt w:val="bullet"/>
      <w:lvlText w:val=""/>
      <w:lvlJc w:val="left"/>
      <w:pPr>
        <w:ind w:left="2880" w:hanging="360"/>
      </w:pPr>
      <w:rPr>
        <w:rFonts w:ascii="Symbol" w:hAnsi="Symbol" w:hint="default"/>
      </w:rPr>
    </w:lvl>
    <w:lvl w:ilvl="4" w:tplc="923EFE66" w:tentative="1">
      <w:start w:val="1"/>
      <w:numFmt w:val="bullet"/>
      <w:lvlText w:val="o"/>
      <w:lvlJc w:val="left"/>
      <w:pPr>
        <w:ind w:left="3600" w:hanging="360"/>
      </w:pPr>
      <w:rPr>
        <w:rFonts w:ascii="Courier New" w:hAnsi="Courier New" w:cs="Courier New" w:hint="default"/>
      </w:rPr>
    </w:lvl>
    <w:lvl w:ilvl="5" w:tplc="162E405E" w:tentative="1">
      <w:start w:val="1"/>
      <w:numFmt w:val="bullet"/>
      <w:lvlText w:val=""/>
      <w:lvlJc w:val="left"/>
      <w:pPr>
        <w:ind w:left="4320" w:hanging="360"/>
      </w:pPr>
      <w:rPr>
        <w:rFonts w:ascii="Wingdings" w:hAnsi="Wingdings" w:hint="default"/>
      </w:rPr>
    </w:lvl>
    <w:lvl w:ilvl="6" w:tplc="A34E874A" w:tentative="1">
      <w:start w:val="1"/>
      <w:numFmt w:val="bullet"/>
      <w:lvlText w:val=""/>
      <w:lvlJc w:val="left"/>
      <w:pPr>
        <w:ind w:left="5040" w:hanging="360"/>
      </w:pPr>
      <w:rPr>
        <w:rFonts w:ascii="Symbol" w:hAnsi="Symbol" w:hint="default"/>
      </w:rPr>
    </w:lvl>
    <w:lvl w:ilvl="7" w:tplc="C6CAD1CA" w:tentative="1">
      <w:start w:val="1"/>
      <w:numFmt w:val="bullet"/>
      <w:lvlText w:val="o"/>
      <w:lvlJc w:val="left"/>
      <w:pPr>
        <w:ind w:left="5760" w:hanging="360"/>
      </w:pPr>
      <w:rPr>
        <w:rFonts w:ascii="Courier New" w:hAnsi="Courier New" w:cs="Courier New" w:hint="default"/>
      </w:rPr>
    </w:lvl>
    <w:lvl w:ilvl="8" w:tplc="A9AEF206" w:tentative="1">
      <w:start w:val="1"/>
      <w:numFmt w:val="bullet"/>
      <w:lvlText w:val=""/>
      <w:lvlJc w:val="left"/>
      <w:pPr>
        <w:ind w:left="6480" w:hanging="360"/>
      </w:pPr>
      <w:rPr>
        <w:rFonts w:ascii="Wingdings" w:hAnsi="Wingdings" w:hint="default"/>
      </w:rPr>
    </w:lvl>
  </w:abstractNum>
  <w:abstractNum w:abstractNumId="30" w15:restartNumberingAfterBreak="0">
    <w:nsid w:val="7EA83E33"/>
    <w:multiLevelType w:val="multilevel"/>
    <w:tmpl w:val="89FAD50C"/>
    <w:lvl w:ilvl="0">
      <w:start w:val="3"/>
      <w:numFmt w:val="decimal"/>
      <w:lvlText w:val="%1."/>
      <w:lvlJc w:val="left"/>
      <w:pPr>
        <w:tabs>
          <w:tab w:val="num" w:pos="720"/>
        </w:tabs>
        <w:ind w:left="720" w:hanging="360"/>
      </w:pPr>
    </w:lvl>
    <w:lvl w:ilvl="1">
      <w:start w:val="378"/>
      <w:numFmt w:val="bullet"/>
      <w:lvlText w:val="*"/>
      <w:lvlJc w:val="left"/>
      <w:pPr>
        <w:ind w:left="1440" w:hanging="360"/>
      </w:pPr>
      <w:rPr>
        <w:rFonts w:ascii="Verdana" w:eastAsia="Times New Roman" w:hAnsi="Verdana" w:cs="Times New Roman" w:hint="default"/>
        <w:vertAlign w:val="superscrip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
  </w:num>
  <w:num w:numId="3">
    <w:abstractNumId w:val="5"/>
  </w:num>
  <w:num w:numId="4">
    <w:abstractNumId w:val="6"/>
  </w:num>
  <w:num w:numId="5">
    <w:abstractNumId w:val="0"/>
  </w:num>
  <w:num w:numId="6">
    <w:abstractNumId w:val="12"/>
  </w:num>
  <w:num w:numId="7">
    <w:abstractNumId w:val="19"/>
  </w:num>
  <w:num w:numId="8">
    <w:abstractNumId w:val="4"/>
  </w:num>
  <w:num w:numId="9">
    <w:abstractNumId w:val="23"/>
  </w:num>
  <w:num w:numId="10">
    <w:abstractNumId w:val="16"/>
  </w:num>
  <w:num w:numId="11">
    <w:abstractNumId w:val="25"/>
  </w:num>
  <w:num w:numId="12">
    <w:abstractNumId w:val="2"/>
  </w:num>
  <w:num w:numId="13">
    <w:abstractNumId w:val="7"/>
  </w:num>
  <w:num w:numId="14">
    <w:abstractNumId w:val="8"/>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 w:numId="17">
    <w:abstractNumId w:val="24"/>
  </w:num>
  <w:num w:numId="18">
    <w:abstractNumId w:val="18"/>
  </w:num>
  <w:num w:numId="19">
    <w:abstractNumId w:val="29"/>
  </w:num>
  <w:num w:numId="20">
    <w:abstractNumId w:val="15"/>
  </w:num>
  <w:num w:numId="21">
    <w:abstractNumId w:val="22"/>
  </w:num>
  <w:num w:numId="22">
    <w:abstractNumId w:val="17"/>
  </w:num>
  <w:num w:numId="23">
    <w:abstractNumId w:val="27"/>
  </w:num>
  <w:num w:numId="24">
    <w:abstractNumId w:val="30"/>
  </w:num>
  <w:num w:numId="25">
    <w:abstractNumId w:val="28"/>
  </w:num>
  <w:num w:numId="26">
    <w:abstractNumId w:val="20"/>
  </w:num>
  <w:num w:numId="27">
    <w:abstractNumId w:val="26"/>
  </w:num>
  <w:num w:numId="28">
    <w:abstractNumId w:val="10"/>
  </w:num>
  <w:num w:numId="29">
    <w:abstractNumId w:val="14"/>
  </w:num>
  <w:num w:numId="30">
    <w:abstractNumId w:val="11"/>
  </w:num>
  <w:num w:numId="31">
    <w:abstractNumId w:val="13"/>
  </w:num>
  <w:num w:numId="32">
    <w:abstractNumId w:val="21"/>
  </w:num>
  <w:num w:numId="33">
    <w:abstractNumId w:val="24"/>
  </w:num>
  <w:num w:numId="34">
    <w:abstractNumId w:val="24"/>
  </w:num>
  <w:num w:numId="35">
    <w:abstractNumId w:val="2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907"/>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IP_META_DOC_TBL00001" w:val="&lt;OBJECT&gt;&lt;META&gt;&lt;ID&gt;&lt;/ID&gt;&lt;NAME&gt;DOC_TBL00001&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60&lt;/FLCID&gt;&lt;RELATION&gt;&lt;/RELATION&gt;&lt;LINKED&gt;&lt;/LINKED&gt;&lt;SVALUE&gt;&lt;/SVALUE&gt;&lt;INFO&gt;&lt;/INFO&gt;&lt;/META&gt;&lt;UPDATE&gt;&lt;DATE&gt;10.1.10.2&lt;/DATE&gt;&lt;DYNAMIZEDBY&gt;mileuma&lt;/DYNAMIZEDBY&gt;&lt;DYNAMIZEDON&gt;02/08/2019 11:51:04&lt;/DYNAMIZEDON&gt;&lt;LASTUPDATEDBY&gt;lamagvi&lt;/LASTUPDATEDBY&gt;&lt;LASTUPDATEDON&gt;6/15/2026 3:27:53 PM&lt;/LASTUPDATEDON&gt;&lt;UTC&gt;1&lt;/UTC&gt;&lt;/UPDATE&gt;&lt;QUERIES bbk=&quot;36743&quot; bbkdesc=&quot;2025 Annual Accounts/EU Annual Accounts/DC - Balance Sheet&quot; datapro=&quot;BIP_BS&quot; tdatapro=&quot;BIP_BS&quot; author=&quot;&quot; modtime=&quot;6/15/2026 3:26:49 PM&quot; moduser=&quot;lamagvi&quot; rolluptime=&quot;&quot; syuser=&quot;lamagvi&quot; syuzeit=&quot;6/15/2026 3:26:49 PM&quot; root=&quot;/BBOOK/DATAPROVIDER[./META/PROPS/ID='BIP_BS']/DATA&quot; colcount=&quot;4&quot; rowcount=&quot;37&quot; url=&quot;&quot; dynamizeds=&quot;DM Production&quot; dynamizedstype=&quot;9&quot; refreshds=&quot;&quot; viewtype=&quot;1&quot;&gt;&lt;QUERY reftype=&quot;ABS&quot; elmntsel=&quot;TABLE&quot; bbk=&quot;36743&quot; bbkdesc=&quot;2025 Annual Accounts/EU Annual Accounts/DC - Balance Sheet&quot; datapro=&quot;BIP_BS&quot; infos=&quot;&quot; iscomment=&quot;0&quot;&gt;&lt;SELECT&gt;/BBOOK/DATAPROVIDER[./META/PROPS/ID='BIP_BS']/DATA/ROW&lt;/SELECT&gt;&lt;FILTERS&gt;&lt;FILTER&gt;&lt;/FILTER&gt;&lt;/FILTERS&gt;&lt;/QUERY&gt;&lt;/QUERIES&gt;&lt;/OBJECT&gt;"/>
    <w:docVar w:name="BIP_META_DOC_TBL00002" w:val="&lt;OBJECT&gt;&lt;META&gt;&lt;ID&gt;&lt;/ID&gt;&lt;NAME&gt;DOC_TBL00002&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bournai&lt;/DYNAMIZEDBY&gt;&lt;DYNAMIZEDON&gt;29-Mar-21 7:33:00 AM&lt;/DYNAMIZEDON&gt;&lt;LASTUPDATEDBY&gt;lamagvi&lt;/LASTUPDATEDBY&gt;&lt;LASTUPDATEDON&gt;6/15/2026 3:31:09 PM&lt;/LASTUPDATEDON&gt;&lt;UTC&gt;1&lt;/UTC&gt;&lt;/UPDATE&gt;&lt;QUERIES bbk=&quot;36757&quot; bbkdesc=&quot;2025 Annual Accounts/EU Annual Accounts/DC - Statement of Financial Performance&quot; datapro=&quot;BIP_SOFP&quot; tdatapro=&quot;BIP_SOFP&quot; author=&quot;&quot; modtime=&quot;3/26/2021 7:03:39 PM&quot; moduser=&quot;bournai&quot; rolluptime=&quot;&quot; syuser=&quot;bournai&quot; syuzeit=&quot;3/26/2021 7:03:39 PM&quot; root=&quot;/DATA&quot; colcount=&quot;4&quot; rowcount=&quot;35&quot; url=&quot;&quot; dynamizeds=&quot;DM Production&quot; dynamizedstype=&quot;9&quot; refreshds=&quot;&quot; viewtype=&quot;1&quot;&gt;&lt;QUERY reftype=&quot;ABS&quot; elmntsel=&quot;TABLE&quot; bbk=&quot;36757&quot; bbkdesc=&quot;2025 Annual Accounts/EU Annual Accounts/DC - Statement of Financial Performance&quot; datapro=&quot;BIP_SOFP&quot; infos=&quot;&quot; iscomment=&quot;0&quot;&gt;&lt;SELECT&gt;/BBOOK/DATAPROVIDER[./META/PROPS/ID='BIP_SOFP']/DATA/ROW&lt;/SELECT&gt;&lt;FILTERS&gt;&lt;FILTER&gt;&lt;/FILTER&gt;&lt;/FILTERS&gt;&lt;/QUERY&gt;&lt;/QUERIES&gt;&lt;/OBJECT&gt;"/>
    <w:docVar w:name="BIP_META_DOC_TBL00003" w:val="&lt;OBJECT&gt;&lt;META&gt;&lt;ID&gt;&lt;/ID&gt;&lt;NAME&gt;DOC_TBL00003&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bournai&lt;/DYNAMIZEDBY&gt;&lt;DYNAMIZEDON&gt;29-Mar-21 7:47:59 AM&lt;/DYNAMIZEDON&gt;&lt;LASTUPDATEDBY&gt;lamagvi&lt;/LASTUPDATEDBY&gt;&lt;LASTUPDATEDON&gt;6/15/2026 3:27:54 PM&lt;/LASTUPDATEDON&gt;&lt;UTC&gt;1&lt;/UTC&gt;&lt;/UPDATE&gt;&lt;QUERIES bbk=&quot;36758&quot; bbkdesc=&quot;2025 Annual Accounts/EU Annual Accounts/DC - Cashflow statement&quot; datapro=&quot;BIP_CF&quot; tdatapro=&quot;BIP_CF&quot; author=&quot;&quot; modtime=&quot;6/15/2026 3:26:51 PM&quot; moduser=&quot;lamagvi&quot; rolluptime=&quot;&quot; syuser=&quot;lamagvi&quot; syuzeit=&quot;6/15/2026 3:26:51 PM&quot; root=&quot;/BBOOK/DATAPROVIDER[./META/PROPS/ID='BIP_CF']/DATA&quot; colcount=&quot;3&quot; rowcount=&quot;30&quot; url=&quot;&quot; dynamizeds=&quot;DM Production&quot; dynamizedstype=&quot;9&quot; refreshds=&quot;&quot; viewtype=&quot;1&quot;&gt;&lt;QUERY reftype=&quot;ABS&quot; elmntsel=&quot;TABLE&quot; bbk=&quot;36758&quot; bbkdesc=&quot;2025 Annual Accounts/EU Annual Accounts/DC - Cashflow statement&quot; datapro=&quot;BIP_CF&quot; infos=&quot;&quot; iscomment=&quot;0&quot;&gt;&lt;SELECT&gt;/BBOOK/DATAPROVIDER[./META/PROPS/ID='BIP_CF']/DATA/ROW&lt;/SELECT&gt;&lt;FILTERS&gt;&lt;FILTER&gt;&lt;/FILTER&gt;&lt;/FILTERS&gt;&lt;/QUERY&gt;&lt;/QUERIES&gt;&lt;/OBJECT&gt;"/>
    <w:docVar w:name="BIP_META_DOC_TBL00004" w:val="&lt;OBJECT&gt;&lt;META&gt;&lt;ID&gt;&lt;/ID&gt;&lt;NAME&gt;DOC_TBL00004&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02/08/2019 12:24:25&lt;/DYNAMIZEDON&gt;&lt;LASTUPDATEDBY&gt;lamagvi&lt;/LASTUPDATEDBY&gt;&lt;LASTUPDATEDON&gt;6/15/2026 3:31:08 PM&lt;/LASTUPDATEDON&gt;&lt;UTC&gt;1&lt;/UTC&gt;&lt;/UPDATE&gt;&lt;QUERIES bbk=&quot;36734&quot; bbkdesc=&quot;2025 Annual Accounts/EU Annual Accounts/DC - Statement of changes in net assets EU&quot; datapro=&quot;BIP_SCNA&quot; tdatapro=&quot;BIP_SCNA&quot; author=&quot;&quot; modtime=&quot;6/15/2026 3:27:02 PM&quot; moduser=&quot;lamagvi&quot; rolluptime=&quot;&quot; syuser=&quot;lamagvi&quot; syuzeit=&quot;6/15/2026 3:27:02 PM&quot; root=&quot;/BBOOK/DATAPROVIDER[./META/PROPS/ID='BIP_SCNA']/DATA&quot; colcount=&quot;4&quot; rowcount=&quot;13&quot; url=&quot;&quot; dynamizeds=&quot;DM Production&quot; dynamizedstype=&quot;9&quot; refreshds=&quot;&quot; viewtype=&quot;1&quot;&gt;&lt;QUERY reftype=&quot;ABS&quot; elmntsel=&quot;TABLE&quot; bbk=&quot;36734&quot; bbkdesc=&quot;2025 Annual Accounts/EU Annual Accounts/DC - Statement of changes in net assets EU&quot; datapro=&quot;BIP_SCNA&quot; infos=&quot;&quot; iscomment=&quot;0&quot;&gt;&lt;SELECT&gt;/BBOOK/DATAPROVIDER[./META/PROPS/ID='BIP_SCNA']/DATA/ROW&lt;/SELECT&gt;&lt;FILTERS&gt;&lt;FILTER&gt;&lt;/FILTER&gt;&lt;/FILTERS&gt;&lt;/QUERY&gt;&lt;/QUERIES&gt;&lt;/OBJECT&gt;"/>
    <w:docVar w:name="BIP_META_DOC_TBL00005" w:val="&lt;OBJECT&gt;&lt;META&gt;&lt;ID&gt;&lt;/ID&gt;&lt;NAME&gt;DOC_TBL00005&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7/30/2019 11:27:04 AM&lt;/DYNAMIZEDON&gt;&lt;LASTUPDATEDBY&gt;lamagvi&lt;/LASTUPDATEDBY&gt;&lt;LASTUPDATEDON&gt;6/15/2026 3:31:07 PM&lt;/LASTUPDATEDON&gt;&lt;UTC&gt;1&lt;/UTC&gt;&lt;/UPDATE&gt;&lt;QUERIES bbk=&quot;36718&quot; bbkdesc=&quot;2025 Annual Accounts/EU Annual Accounts/DC - Currency table and Deprec. Rates&quot; datapro=&quot;BIP_CURR&quot; tdatapro=&quot;BIP_CURR&quot; author=&quot;&quot; modtime=&quot;6/15/2026 3:26:54 PM&quot; moduser=&quot;lamagvi&quot; rolluptime=&quot;&quot; syuser=&quot;lamagvi&quot; syuzeit=&quot;6/15/2026 3:26:54 PM&quot; root=&quot;/BBOOK/DATAPROVIDER[./META/PROPS/ID='BIP_CURR']/DATA&quot; colcount=&quot;6&quot; rowcount=&quot;7&quot; url=&quot;&quot; dynamizeds=&quot;DM Production&quot; dynamizedstype=&quot;9&quot; refreshds=&quot;&quot; viewtype=&quot;1&quot;&gt;&lt;QUERY reftype=&quot;ABS&quot; elmntsel=&quot;TABLE&quot; bbk=&quot;36718&quot; bbkdesc=&quot;2025 Annual Accounts/EU Annual Accounts/DC - Currency table and Deprec. Rates&quot; datapro=&quot;BIP_CURR&quot; infos=&quot;&quot; iscomment=&quot;0&quot;&gt;&lt;SELECT&gt;/BBOOK/DATAPROVIDER[./META/PROPS/ID='BIP_CURR']/DATA/ROW&lt;/SELECT&gt;&lt;FILTERS&gt;&lt;FILTER&gt;&lt;/FILTER&gt;&lt;/FILTERS&gt;&lt;/QUERY&gt;&lt;/QUERIES&gt;&lt;/OBJECT&gt;"/>
    <w:docVar w:name="BIP_META_DOC_TBL00006" w:val="&lt;OBJECT&gt;&lt;META&gt;&lt;ID&gt;&lt;/ID&gt;&lt;NAME&gt;DOC_TBL00006&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ruberla&lt;/DYNAMIZEDBY&gt;&lt;DYNAMIZEDON&gt;24-01-2020 12:26:20&lt;/DYNAMIZEDON&gt;&lt;LASTUPDATEDBY&gt;lamagvi&lt;/LASTUPDATEDBY&gt;&lt;LASTUPDATEDON&gt;6/15/2026 3:31:07 PM&lt;/LASTUPDATEDON&gt;&lt;UTC&gt;1&lt;/UTC&gt;&lt;/UPDATE&gt;&lt;QUERIES bbk=&quot;36718&quot; bbkdesc=&quot;2025 Annual Accounts/EU Annual Accounts/DC - Currency table and Deprec. Rates&quot; datapro=&quot;BIP_DR&quot; tdatapro=&quot;BIP_DR&quot; author=&quot;&quot; modtime=&quot;6/15/2026 3:26:54 PM&quot; moduser=&quot;lamagvi&quot; rolluptime=&quot;&quot; syuser=&quot;lamagvi&quot; syuzeit=&quot;6/15/2026 3:26:54 PM&quot; root=&quot;/BBOOK/DATAPROVIDER[./META/PROPS/ID='BIP_DR']/DATA&quot; colcount=&quot;2&quot; rowcount=&quot;7&quot; url=&quot;&quot; dynamizeds=&quot;DM Production&quot; dynamizedstype=&quot;9&quot; refreshds=&quot;&quot; viewtype=&quot;1&quot;&gt;&lt;QUERY reftype=&quot;ABS&quot; elmntsel=&quot;TABLE&quot; bbk=&quot;36718&quot; bbkdesc=&quot;2025 Annual Accounts/EU Annual Accounts/DC - Currency table and Deprec. Rates&quot; datapro=&quot;BIP_DR&quot; infos=&quot;&quot; iscomment=&quot;0&quot;&gt;&lt;SELECT&gt;/BBOOK/DATAPROVIDER[./META/PROPS/ID='BIP_DR']/DATA/ROW&lt;/SELECT&gt;&lt;FILTERS&gt;&lt;FILTER&gt;&lt;/FILTER&gt;&lt;/FILTERS&gt;&lt;/QUERY&gt;&lt;/QUERIES&gt;&lt;/OBJECT&gt;"/>
    <w:docVar w:name="BIP_META_DOC_TBL00007" w:val="&lt;OBJECT&gt;&lt;META&gt;&lt;ID&gt;&lt;/ID&gt;&lt;NAME&gt;DOC_TBL00007&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nistocr&lt;/DYNAMIZEDBY&gt;&lt;DYNAMIZEDON&gt;25/10/2024 07:43:45&lt;/DYNAMIZEDON&gt;&lt;LASTUPDATEDBY&gt;lamagvi&lt;/LASTUPDATEDBY&gt;&lt;LASTUPDATEDON&gt;6/15/2026 3:30:58 PM&lt;/LASTUPDATEDON&gt;&lt;UTC&gt;1&lt;/UTC&gt;&lt;/UPDATE&gt;&lt;QUERIES bbk=&quot;36735&quot; bbkdesc=&quot;2025 Annual Accounts/EU Annual Accounts/DC - Intangible assets and PPE&quot; datapro=&quot;BIP_INFA&quot; tdatapro=&quot;BIP_INFA&quot; author=&quot;&quot; modtime=&quot;6/15/2026 3:27:00 PM&quot; moduser=&quot;lamagvi&quot; rolluptime=&quot;&quot; syuser=&quot;lamagvi&quot; syuzeit=&quot;6/15/2026 3:27:00 PM&quot; root=&quot;/BBOOK/DATAPROVIDER[./META/PROPS/ID='BIP_INFA']/DATA&quot; colcount=&quot;2&quot; rowcount=&quot;18&quot; url=&quot;&quot; dynamizeds=&quot;DM Production&quot; dynamizedstype=&quot;9&quot; refreshds=&quot;&quot; viewtype=&quot;1&quot;&gt;&lt;QUERY reftype=&quot;ABS&quot; elmntsel=&quot;TABLE&quot; bbk=&quot;36735&quot; bbkdesc=&quot;2025 Annual Accounts/EU Annual Accounts/DC - Intangible assets and PPE&quot; datapro=&quot;BIP_INFA&quot; infos=&quot;&quot; iscomment=&quot;0&quot;&gt;&lt;SELECT&gt;/BBOOK/DATAPROVIDER[./META/PROPS/ID='BIP_INFA']/DATA/ROW&lt;/SELECT&gt;&lt;FILTERS&gt;&lt;FILTER&gt;&lt;/FILTER&gt;&lt;/FILTERS&gt;&lt;/QUERY&gt;&lt;/QUERIES&gt;&lt;/OBJECT&gt;"/>
    <w:docVar w:name="BIP_META_DOC_TBL00008" w:val="&lt;OBJECT&gt;&lt;META&gt;&lt;ID&gt;&lt;/ID&gt;&lt;NAME&gt;DOC_TBL00008&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10.2&lt;/DATE&gt;&lt;DYNAMIZEDBY&gt;preutan&lt;/DYNAMIZEDBY&gt;&lt;DYNAMIZEDON&gt;27-04-2021 13:40:27&lt;/DYNAMIZEDON&gt;&lt;LASTUPDATEDBY&gt;lamagvi&lt;/LASTUPDATEDBY&gt;&lt;LASTUPDATEDON&gt;6/15/2026 3:31:03 PM&lt;/LASTUPDATEDON&gt;&lt;UTC&gt;1&lt;/UTC&gt;&lt;/UPDATE&gt;&lt;QUERIES bbk=&quot;36735&quot; bbkdesc=&quot;2025 Annual Accounts/EU Annual Accounts/DC - Intangible assets and PPE&quot; datapro=&quot;BIP_EUPPE&quot; tdatapro=&quot;BIP_EUPPE&quot; author=&quot;&quot; modtime=&quot;6/15/2026 3:27:00 PM&quot; moduser=&quot;lamagvi&quot; rolluptime=&quot;&quot; syuser=&quot;lamagvi&quot; syuzeit=&quot;6/15/2026 3:27:00 PM&quot; root=&quot;/BBOOK/DATAPROVIDER[./META/PROPS/ID='BIP_EUPPE']/DATA&quot; colcount=&quot;10&quot; rowcount=&quot;18&quot; url=&quot;&quot; dynamizeds=&quot;DM Production&quot; dynamizedstype=&quot;9&quot; refreshds=&quot;&quot; viewtype=&quot;1&quot;&gt;&lt;QUERY reftype=&quot;ABS&quot; elmntsel=&quot;TABLE&quot; bbk=&quot;36735&quot; bbkdesc=&quot;2025 Annual Accounts/EU Annual Accounts/DC - Intangible assets and PPE&quot; datapro=&quot;BIP_EUPPE&quot; infos=&quot;&quot; iscomment=&quot;0&quot;&gt;&lt;SELECT&gt;/BBOOK/DATAPROVIDER[./META/PROPS/ID='BIP_EUPPE']/DATA/ROW&lt;/SELECT&gt;&lt;FILTERS&gt;&lt;FILTER&gt;&lt;/FILTER&gt;&lt;/FILTERS&gt;&lt;/QUERY&gt;&lt;/QUERIES&gt;&lt;/OBJECT&gt;"/>
    <w:docVar w:name="BIP_META_DOC_TBL00009" w:val="&lt;OBJECT&gt;&lt;META&gt;&lt;ID&gt;&lt;/ID&gt;&lt;NAME&gt;DOC_TBL00009&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mileuma&lt;/DYNAMIZEDBY&gt;&lt;DYNAMIZEDON&gt;02/08/2019 12:30:11&lt;/DYNAMIZEDON&gt;&lt;LASTUPDATEDBY&gt;lamagvi&lt;/LASTUPDATEDBY&gt;&lt;LASTUPDATEDON&gt;6/15/2026 3:30:59 PM&lt;/LASTUPDATEDON&gt;&lt;UTC&gt;1&lt;/UTC&gt;&lt;/UPDATE&gt;&lt;QUERIES bbk=&quot;36650&quot; bbkdesc=&quot;2025 Annual Accounts/EC Annual Accounts/DC - Investments accounted for using the equity method new&quot; datapro=&quot;BIP_PARTASS1&quot; tdatapro=&quot;BIP_PARTASS1&quot; author=&quot;&quot; modtime=&quot;6/15/2026 3:06:55 PM&quot; moduser=&quot;lamagvi&quot; rolluptime=&quot;&quot; syuser=&quot;lamagvi&quot; syuzeit=&quot;6/15/2026 3:06:55 PM&quot; root=&quot;/BBOOK/DATAPROVIDER[./META/PROPS/ID='BIP_PARTASS1']/DATA&quot; colcount=&quot;2&quot; rowcount=&quot;8&quot; url=&quot;&quot; dynamizeds=&quot;DM Production&quot; dynamizedstype=&quot;9&quot; refreshds=&quot;&quot; viewtype=&quot;1&quot;&gt;&lt;QUERY reftype=&quot;ABS&quot; elmntsel=&quot;TABLE&quot; bbk=&quot;36650&quot; bbkdesc=&quot;2025 Annual Accounts/EC Annual Accounts/DC - Investments accounted for using the equity method new&quot; datapro=&quot;BIP_PARTASS1&quot; infos=&quot;&quot; iscomment=&quot;0&quot;&gt;&lt;SELECT&gt;/BBOOK/DATAPROVIDER[./META/PROPS/ID='BIP_PARTASS1']/DATA/ROW&lt;/SELECT&gt;&lt;FILTERS&gt;&lt;FILTER&gt;&lt;/FILTER&gt;&lt;/FILTERS&gt;&lt;/QUERY&gt;&lt;/QUERIES&gt;&lt;/OBJECT&gt;"/>
    <w:docVar w:name="BIP_META_DOC_TBL00010" w:val="&lt;OBJECT&gt;&lt;META&gt;&lt;ID&gt;&lt;/ID&gt;&lt;NAME&gt;DOC_TBL00010&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60&lt;/FLCID&gt;&lt;RELATION&gt;&lt;/RELATION&gt;&lt;LINKED&gt;&lt;/LINKED&gt;&lt;SVALUE&gt;&lt;/SVALUE&gt;&lt;INFO&gt;&lt;/INFO&gt;&lt;/META&gt;&lt;UPDATE&gt;&lt;DATE&gt;10.1.10.2&lt;/DATE&gt;&lt;DYNAMIZEDBY&gt;mileuma&lt;/DYNAMIZEDBY&gt;&lt;DYNAMIZEDON&gt;02/08/2019 12:34:01&lt;/DYNAMIZEDON&gt;&lt;LASTUPDATEDBY&gt;lamagvi&lt;/LASTUPDATEDBY&gt;&lt;LASTUPDATEDON&gt;6/15/2026 3:30:59 PM&lt;/LASTUPDATEDON&gt;&lt;UTC&gt;1&lt;/UTC&gt;&lt;/UPDATE&gt;&lt;QUERIES bbk=&quot;36650&quot; bbkdesc=&quot;2025 Annual Accounts/EC Annual Accounts/DC - Investments accounted for using the equity method new&quot; datapro=&quot;BIP_PARTASS2&quot; tdatapro=&quot;BIP_PARTASS2&quot; author=&quot;&quot; modtime=&quot;6/15/2026 3:06:55 PM&quot; moduser=&quot;lamagvi&quot; rolluptime=&quot;&quot; syuser=&quot;lamagvi&quot; syuzeit=&quot;6/15/2026 3:06:55 PM&quot; root=&quot;/BBOOK/DATAPROVIDER[./META/PROPS/ID='BIP_PARTASS2']/DATA&quot; colcount=&quot;3&quot; rowcount=&quot;6&quot; url=&quot;&quot; dynamizeds=&quot;DM Production&quot; dynamizedstype=&quot;9&quot; refreshds=&quot;&quot; viewtype=&quot;1&quot;&gt;&lt;QUERY reftype=&quot;ABS&quot; elmntsel=&quot;TABLE&quot; bbk=&quot;36650&quot; bbkdesc=&quot;2025 Annual Accounts/EC Annual Accounts/DC - Investments accounted for using the equity method new&quot; datapro=&quot;BIP_PARTASS2&quot; infos=&quot;&quot; iscomment=&quot;0&quot;&gt;&lt;SELECT&gt;/BBOOK/DATAPROVIDER[./META/PROPS/ID='BIP_PARTASS2']/DATA/ROW&lt;/SELECT&gt;&lt;FILTERS&gt;&lt;FILTER&gt;&lt;/FILTER&gt;&lt;/FILTERS&gt;&lt;/QUERY&gt;&lt;/QUERIES&gt;&lt;/OBJECT&gt;"/>
    <w:docVar w:name="BIP_META_DOC_TBL00011" w:val="&lt;OBJECT&gt;&lt;META&gt;&lt;ID&gt;&lt;/ID&gt;&lt;NAME&gt;DOC_TBL00011&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60&lt;/FLCID&gt;&lt;RELATION&gt;&lt;/RELATION&gt;&lt;LINKED&gt;&lt;/LINKED&gt;&lt;SVALUE&gt;&lt;/SVALUE&gt;&lt;INFO&gt;&lt;/INFO&gt;&lt;/META&gt;&lt;UPDATE&gt;&lt;DATE&gt;10.1.10.2&lt;/DATE&gt;&lt;DYNAMIZEDBY&gt;mileuma&lt;/DYNAMIZEDBY&gt;&lt;DYNAMIZEDON&gt;02/08/2019 12:39:55&lt;/DYNAMIZEDON&gt;&lt;LASTUPDATEDBY&gt;lamagvi&lt;/LASTUPDATEDBY&gt;&lt;LASTUPDATEDON&gt;6/15/2026 3:30:59 PM&lt;/LASTUPDATEDON&gt;&lt;UTC&gt;1&lt;/UTC&gt;&lt;/UPDATE&gt;&lt;QUERIES bbk=&quot;36650&quot; bbkdesc=&quot;2025 Annual Accounts/EC Annual Accounts/DC - Investments accounted for using the equity method new&quot; datapro=&quot;BIP_EIF2&quot; tdatapro=&quot;BIP_EIF2&quot; author=&quot;&quot; modtime=&quot;6/15/2026 3:06:55 PM&quot; moduser=&quot;lamagvi&quot; rolluptime=&quot;&quot; syuser=&quot;lamagvi&quot; syuzeit=&quot;6/15/2026 3:06:55 PM&quot; root=&quot;/BBOOK/DATAPROVIDER[./META/PROPS/ID='BIP_EIF2']/DATA&quot; colcount=&quot;3&quot; rowcount=&quot;5&quot; url=&quot;&quot; dynamizeds=&quot;DM Production&quot; dynamizedstype=&quot;9&quot; refreshds=&quot;&quot; viewtype=&quot;1&quot;&gt;&lt;QUERY reftype=&quot;ABS&quot; elmntsel=&quot;TABLE&quot; bbk=&quot;36650&quot; bbkdesc=&quot;2025 Annual Accounts/EC Annual Accounts/DC - Investments accounted for using the equity method new&quot; datapro=&quot;BIP_EIF2&quot; infos=&quot;&quot; iscomment=&quot;0&quot;&gt;&lt;SELECT&gt;/BBOOK/DATAPROVIDER[./META/PROPS/ID='BIP_EIF2']/DATA/ROW&lt;/SELECT&gt;&lt;FILTERS&gt;&lt;FILTER&gt;&lt;/FILTER&gt;&lt;/FILTERS&gt;&lt;/QUERY&gt;&lt;/QUERIES&gt;&lt;/OBJECT&gt;"/>
    <w:docVar w:name="BIP_META_DOC_TBL00012" w:val="&lt;OBJECT&gt;&lt;META&gt;&lt;ID&gt;&lt;/ID&gt;&lt;NAME&gt;DOC_TBL00012&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60&lt;/FLCID&gt;&lt;RELATION&gt;&lt;/RELATION&gt;&lt;LINKED&gt;&lt;/LINKED&gt;&lt;SVALUE&gt;&lt;/SVALUE&gt;&lt;INFO&gt;&lt;/INFO&gt;&lt;/META&gt;&lt;UPDATE&gt;&lt;DATE&gt;10.1.10.2&lt;/DATE&gt;&lt;DYNAMIZEDBY&gt;mileuma&lt;/DYNAMIZEDBY&gt;&lt;DYNAMIZEDON&gt;02/08/2019 12:40:56&lt;/DYNAMIZEDON&gt;&lt;LASTUPDATEDBY&gt;lamagvi&lt;/LASTUPDATEDBY&gt;&lt;LASTUPDATEDON&gt;6/15/2026 3:30:59 PM&lt;/LASTUPDATEDON&gt;&lt;UTC&gt;1&lt;/UTC&gt;&lt;/UPDATE&gt;&lt;QUERIES bbk=&quot;36650&quot; bbkdesc=&quot;2025 Annual Accounts/EC Annual Accounts/DC - Investments accounted for using the equity method new&quot; datapro=&quot;BIP_EIF1&quot; tdatapro=&quot;BIP_EIF1&quot; author=&quot;&quot; modtime=&quot;6/15/2026 3:06:55 PM&quot; moduser=&quot;lamagvi&quot; rolluptime=&quot;&quot; syuser=&quot;lamagvi&quot; syuzeit=&quot;6/15/2026 3:06:55 PM&quot; root=&quot;/BBOOK/DATAPROVIDER[./META/PROPS/ID='BIP_EIF1']/DATA&quot; colcount=&quot;3&quot; rowcount=&quot;5&quot; url=&quot;&quot; dynamizeds=&quot;DM Production&quot; dynamizedstype=&quot;9&quot; refreshds=&quot;&quot; viewtype=&quot;1&quot;&gt;&lt;QUERY reftype=&quot;ABS&quot; elmntsel=&quot;TABLE&quot; bbk=&quot;36650&quot; bbkdesc=&quot;2025 Annual Accounts/EC Annual Accounts/DC - Investments accounted for using the equity method new&quot; datapro=&quot;BIP_EIF1&quot; infos=&quot;&quot; iscomment=&quot;0&quot;&gt;&lt;SELECT&gt;/BBOOK/DATAPROVIDER[./META/PROPS/ID='BIP_EIF1']/DATA/ROW&lt;/SELECT&gt;&lt;FILTERS&gt;&lt;FILTER&gt;&lt;/FILTER&gt;&lt;/FILTERS&gt;&lt;/QUERY&gt;&lt;/QUERIES&gt;&lt;/OBJECT&gt;"/>
    <w:docVar w:name="BIP_META_DOC_TBL00013" w:val="&lt;OBJECT&gt;&lt;META&gt;&lt;ID&gt;&lt;/ID&gt;&lt;NAME&gt;DOC_TBL00013&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airamgo&lt;/DYNAMIZEDBY&gt;&lt;DYNAMIZEDON&gt;19/03/2025 08:41:17&lt;/DYNAMIZEDON&gt;&lt;LASTUPDATEDBY&gt;lamagvi&lt;/LASTUPDATEDBY&gt;&lt;LASTUPDATEDON&gt;6/15/2026 3:30:52 PM&lt;/LASTUPDATEDON&gt;&lt;UTC&gt;1&lt;/UTC&gt;&lt;/UPDATE&gt;&lt;QUERIES bbk=&quot;36764&quot; bbkdesc=&quot;2025 Annual Accounts/EU Annual Accounts/DC - Financial assets&quot; datapro=&quot;BIP_FAFVNONDBT&quot; tdatapro=&quot;BIP_FAFVNONDBT&quot; author=&quot;&quot; modtime=&quot;6/15/2026 3:26:58 PM&quot; moduser=&quot;lamagvi&quot; rolluptime=&quot;&quot; syuser=&quot;lamagvi&quot; syuzeit=&quot;6/15/2026 3:26:58 PM&quot; root=&quot;/BBOOK/DATAPROVIDER[./META/PROPS/ID='BIP_FAFVNONDBT']/DATA&quot; colcount=&quot;4&quot; rowcount=&quot;9&quot; url=&quot;&quot; dynamizeds=&quot;DM Production&quot; dynamizedstype=&quot;9&quot; refreshds=&quot;&quot; viewtype=&quot;1&quot;&gt;&lt;QUERY reftype=&quot;ABS&quot; elmntsel=&quot;TABLE&quot; bbk=&quot;36764&quot; bbkdesc=&quot;2025 Annual Accounts/EU Annual Accounts/DC - Financial assets&quot; datapro=&quot;BIP_FAFVNONDBT&quot; infos=&quot;&quot; iscomment=&quot;0&quot;&gt;&lt;SELECT&gt;/BBOOK/DATAPROVIDER[./META/PROPS/ID='BIP_FAFVNONDBT']/DATA/ROW&lt;/SELECT&gt;&lt;FILTERS&gt;&lt;FILTER&gt;&lt;/FILTER&gt;&lt;/FILTERS&gt;&lt;/QUERY&gt;&lt;/QUERIES&gt;&lt;/OBJECT&gt;"/>
    <w:docVar w:name="BIP_META_DOC_TBL00014" w:val="&lt;OBJECT&gt;&lt;META&gt;&lt;ID&gt;&lt;/ID&gt;&lt;NAME&gt;DOC_TBL00014&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airamgo&lt;/DYNAMIZEDBY&gt;&lt;DYNAMIZEDON&gt;19/03/2025 08:43:14&lt;/DYNAMIZEDON&gt;&lt;LASTUPDATEDBY&gt;lamagvi&lt;/LASTUPDATEDBY&gt;&lt;LASTUPDATEDON&gt;6/15/2026 3:30:52 PM&lt;/LASTUPDATEDON&gt;&lt;UTC&gt;1&lt;/UTC&gt;&lt;/UPDATE&gt;&lt;QUERIES bbk=&quot;36764&quot; bbkdesc=&quot;2025 Annual Accounts/EU Annual Accounts/DC - Financial assets&quot; datapro=&quot;BIP_FAFVSDND&quot; tdatapro=&quot;BIP_FAFVSDND&quot; author=&quot;&quot; modtime=&quot;6/15/2026 3:26:58 PM&quot; moduser=&quot;lamagvi&quot; rolluptime=&quot;&quot; syuser=&quot;lamagvi&quot; syuzeit=&quot;6/15/2026 3:26:58 PM&quot; root=&quot;/BBOOK/DATAPROVIDER[./META/PROPS/ID='BIP_FAFVSDND']/DATA&quot; colcount=&quot;3&quot; rowcount=&quot;18&quot; url=&quot;&quot; dynamizeds=&quot;DM Production&quot; dynamizedstype=&quot;9&quot; refreshds=&quot;&quot; viewtype=&quot;1&quot;&gt;&lt;QUERY reftype=&quot;ABS&quot; elmntsel=&quot;TABLE&quot; bbk=&quot;36764&quot; bbkdesc=&quot;2025 Annual Accounts/EU Annual Accounts/DC - Financial assets&quot; datapro=&quot;BIP_FAFVSDND&quot; infos=&quot;&quot; iscomment=&quot;0&quot;&gt;&lt;SELECT&gt;/BBOOK/DATAPROVIDER[./META/PROPS/ID='BIP_FAFVSDND']/DATA/ROW&lt;/SELECT&gt;&lt;FILTERS&gt;&lt;FILTER&gt;&lt;/FILTER&gt;&lt;/FILTERS&gt;&lt;/QUERY&gt;&lt;/QUERIES&gt;&lt;/OBJECT&gt;"/>
    <w:docVar w:name="BIP_META_DOC_TBL00015" w:val="&lt;OBJECT&gt;&lt;META&gt;&lt;ID&gt;&lt;/ID&gt;&lt;NAME&gt;DOC_TBL00015&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airamgo&lt;/DYNAMIZEDBY&gt;&lt;DYNAMIZEDON&gt;19/03/2025 08:51:22&lt;/DYNAMIZEDON&gt;&lt;LASTUPDATEDBY&gt;lamagvi&lt;/LASTUPDATEDBY&gt;&lt;LASTUPDATEDON&gt;6/15/2026 3:30:52 PM&lt;/LASTUPDATEDON&gt;&lt;UTC&gt;1&lt;/UTC&gt;&lt;/UPDATE&gt;&lt;QUERIES bbk=&quot;36764&quot; bbkdesc=&quot;2025 Annual Accounts/EU Annual Accounts/DC - Financial assets&quot; datapro=&quot;BIP_FVH&quot; tdatapro=&quot;BIP_FVH&quot; author=&quot;&quot; modtime=&quot;6/15/2026 3:26:58 PM&quot; moduser=&quot;lamagvi&quot; rolluptime=&quot;&quot; syuser=&quot;lamagvi&quot; syuzeit=&quot;6/15/2026 3:26:58 PM&quot; root=&quot;/BBOOK/DATAPROVIDER[./META/PROPS/ID='BIP_FVH']/DATA&quot; colcount=&quot;3&quot; rowcount=&quot;6&quot; url=&quot;&quot; dynamizeds=&quot;DM Production&quot; dynamizedstype=&quot;9&quot; refreshds=&quot;&quot; viewtype=&quot;1&quot;&gt;&lt;QUERY reftype=&quot;ABS&quot; elmntsel=&quot;TABLE&quot; bbk=&quot;36764&quot; bbkdesc=&quot;2025 Annual Accounts/EU Annual Accounts/DC - Financial assets&quot; datapro=&quot;BIP_FVH&quot; infos=&quot;&quot; iscomment=&quot;0&quot;&gt;&lt;SELECT&gt;/BBOOK/DATAPROVIDER[./META/PROPS/ID='BIP_FVH']/DATA/ROW&lt;/SELECT&gt;&lt;FILTERS&gt;&lt;FILTER&gt;&lt;/FILTER&gt;&lt;/FILTERS&gt;&lt;/QUERY&gt;&lt;/QUERIES&gt;&lt;/OBJECT&gt;"/>
    <w:docVar w:name="BIP_META_DOC_TBL00016" w:val="&lt;OBJECT&gt;&lt;META&gt;&lt;ID&gt;&lt;/ID&gt;&lt;NAME&gt;DOC_TBL00016&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airamgo&lt;/DYNAMIZEDBY&gt;&lt;DYNAMIZEDON&gt;19/03/2025 08:56:17&lt;/DYNAMIZEDON&gt;&lt;LASTUPDATEDBY&gt;lamagvi&lt;/LASTUPDATEDBY&gt;&lt;LASTUPDATEDON&gt;6/15/2026 3:30:52 PM&lt;/LASTUPDATEDON&gt;&lt;UTC&gt;1&lt;/UTC&gt;&lt;/UPDATE&gt;&lt;QUERIES bbk=&quot;36627&quot; bbkdesc=&quot;2025 Annual Accounts/EC Annual Accounts/DC - Financial assets&quot; datapro=&quot;BIP_RECONONDFA&quot; tdatapro=&quot;BIP_RECONONDFA&quot; author=&quot;&quot; modtime=&quot;6/15/2026 3:06:54 PM&quot; moduser=&quot;lamagvi&quot; rolluptime=&quot;&quot; syuser=&quot;lamagvi&quot; syuzeit=&quot;6/15/2026 3:06:54 PM&quot; root=&quot;/BBOOK/DATAPROVIDER[./META/PROPS/ID='BIP_RECONONDFA']/DATA&quot; colcount=&quot;2&quot; rowcount=&quot;11&quot; url=&quot;&quot; dynamizeds=&quot;DM Production&quot; dynamizedstype=&quot;9&quot; refreshds=&quot;&quot; viewtype=&quot;1&quot;&gt;&lt;QUERY reftype=&quot;ABS&quot; elmntsel=&quot;TABLE&quot; bbk=&quot;36627&quot; bbkdesc=&quot;2025 Annual Accounts/EC Annual Accounts/DC - Financial assets&quot; datapro=&quot;BIP_RECONONDFA&quot; infos=&quot;&quot; iscomment=&quot;0&quot;&gt;&lt;SELECT&gt;/BBOOK/DATAPROVIDER[./META/PROPS/ID='BIP_RECONONDFA']/DATA/ROW&lt;/SELECT&gt;&lt;FILTERS&gt;&lt;FILTER&gt;&lt;/FILTER&gt;&lt;/FILTERS&gt;&lt;/QUERY&gt;&lt;/QUERIES&gt;&lt;/OBJECT&gt;"/>
    <w:docVar w:name="BIP_META_DOC_TBL00017" w:val="&lt;OBJECT&gt;&lt;META&gt;&lt;ID&gt;&lt;/ID&gt;&lt;NAME&gt;DOC_TBL00017&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airamgo&lt;/DYNAMIZEDBY&gt;&lt;DYNAMIZEDON&gt;19/03/2025 08:58:07&lt;/DYNAMIZEDON&gt;&lt;LASTUPDATEDBY&gt;lamagvi&lt;/LASTUPDATEDBY&gt;&lt;LASTUPDATEDON&gt;6/15/2026 3:30:52 PM&lt;/LASTUPDATEDON&gt;&lt;UTC&gt;1&lt;/UTC&gt;&lt;/UPDATE&gt;&lt;QUERIES bbk=&quot;36627&quot; bbkdesc=&quot;2025 Annual Accounts/EC Annual Accounts/DC - Financial assets&quot; datapro=&quot;BIP_FAFVDBT&quot; tdatapro=&quot;BIP_FAFVDBT&quot; author=&quot;&quot; modtime=&quot;6/15/2026 3:06:54 PM&quot; moduser=&quot;lamagvi&quot; rolluptime=&quot;&quot; syuser=&quot;lamagvi&quot; syuzeit=&quot;6/15/2026 3:06:54 PM&quot; root=&quot;/BBOOK/DATAPROVIDER[./META/PROPS/ID='BIP_FAFVDBT']/DATA&quot; colcount=&quot;7&quot; rowcount=&quot;8&quot; url=&quot;&quot; dynamizeds=&quot;DM Production&quot; dynamizedstype=&quot;9&quot; refreshds=&quot;&quot; viewtype=&quot;1&quot;&gt;&lt;QUERY reftype=&quot;ABS&quot; elmntsel=&quot;TABLE&quot; bbk=&quot;36627&quot; bbkdesc=&quot;2025 Annual Accounts/EC Annual Accounts/DC - Financial assets&quot; datapro=&quot;BIP_FAFVDBT&quot; infos=&quot;&quot; iscomment=&quot;0&quot;&gt;&lt;SELECT&gt;/BBOOK/DATAPROVIDER[./META/PROPS/ID='BIP_FAFVDBT']/DATA/ROW&lt;/SELECT&gt;&lt;FILTERS&gt;&lt;FILTER&gt;&lt;/FILTER&gt;&lt;/FILTERS&gt;&lt;/QUERY&gt;&lt;/QUERIES&gt;&lt;/OBJECT&gt;"/>
    <w:docVar w:name="BIP_META_DOC_TBL00018" w:val="&lt;OBJECT&gt;&lt;META&gt;&lt;ID&gt;&lt;/ID&gt;&lt;NAME&gt;DOC_TBL00018&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airamgo&lt;/DYNAMIZEDBY&gt;&lt;DYNAMIZEDON&gt;19/03/2025 09:00:06&lt;/DYNAMIZEDON&gt;&lt;LASTUPDATEDBY&gt;lamagvi&lt;/LASTUPDATEDBY&gt;&lt;LASTUPDATEDON&gt;6/15/2026 3:30:52 PM&lt;/LASTUPDATEDON&gt;&lt;UTC&gt;1&lt;/UTC&gt;&lt;/UPDATE&gt;&lt;QUERIES bbk=&quot;36627&quot; bbkdesc=&quot;2025 Annual Accounts/EC Annual Accounts/DC - Financial assets&quot; datapro=&quot;BIP_FVHDFAL&quot; tdatapro=&quot;BIP_FVHDFAL&quot; author=&quot;&quot; modtime=&quot;6/15/2026 3:06:54 PM&quot; moduser=&quot;lamagvi&quot; rolluptime=&quot;&quot; syuser=&quot;lamagvi&quot; syuzeit=&quot;6/15/2026 3:06:54 PM&quot; root=&quot;/BBOOK/DATAPROVIDER[./META/PROPS/ID='BIP_FVHDFAL']/DATA&quot; colcount=&quot;5&quot; rowcount=&quot;7&quot; url=&quot;&quot; dynamizeds=&quot;DM Production&quot; dynamizedstype=&quot;9&quot; refreshds=&quot;&quot; viewtype=&quot;1&quot;&gt;&lt;QUERY reftype=&quot;ABS&quot; elmntsel=&quot;TABLE&quot; bbk=&quot;36627&quot; bbkdesc=&quot;2025 Annual Accounts/EC Annual Accounts/DC - Financial assets&quot; datapro=&quot;BIP_FVHDFAL&quot; infos=&quot;&quot; iscomment=&quot;0&quot;&gt;&lt;SELECT&gt;/BBOOK/DATAPROVIDER[./META/PROPS/ID='BIP_FVHDFAL']/DATA/ROW&lt;/SELECT&gt;&lt;FILTERS&gt;&lt;FILTER&gt;&lt;/FILTER&gt;&lt;/FILTERS&gt;&lt;/QUERY&gt;&lt;/QUERIES&gt;&lt;/OBJECT&gt;"/>
    <w:docVar w:name="BIP_META_DOC_TBL00019" w:val="&lt;OBJECT&gt;&lt;META&gt;&lt;ID&gt;&lt;/ID&gt;&lt;NAME&gt;DOC_TBL00019&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mileuma&lt;/DYNAMIZEDBY&gt;&lt;DYNAMIZEDON&gt;02/08/2019 12:56:44&lt;/DYNAMIZEDON&gt;&lt;LASTUPDATEDBY&gt;lamagvi&lt;/LASTUPDATEDBY&gt;&lt;LASTUPDATEDON&gt;6/15/2026 3:30:52 PM&lt;/LASTUPDATEDON&gt;&lt;UTC&gt;1&lt;/UTC&gt;&lt;/UPDATE&gt;&lt;QUERIES bbk=&quot;36764&quot; bbkdesc=&quot;2025 Annual Accounts/EU Annual Accounts/DC - Financial assets&quot; datapro=&quot;BIP_FINA&quot; tdatapro=&quot;BIP_FINA&quot; author=&quot;&quot; modtime=&quot;6/15/2026 3:26:58 PM&quot; moduser=&quot;lamagvi&quot; rolluptime=&quot;&quot; syuser=&quot;lamagvi&quot; syuzeit=&quot;6/15/2026 3:26:58 PM&quot; root=&quot;/BBOOK/DATAPROVIDER[./META/PROPS/ID='BIP_FINA']/DATA&quot; colcount=&quot;4&quot; rowcount=&quot;11&quot; url=&quot;&quot; dynamizeds=&quot;DM Production&quot; dynamizedstype=&quot;9&quot; refreshds=&quot;&quot; viewtype=&quot;1&quot;&gt;&lt;QUERY reftype=&quot;ABS&quot; elmntsel=&quot;TABLE&quot; bbk=&quot;36764&quot; bbkdesc=&quot;2025 Annual Accounts/EU Annual Accounts/DC - Financial assets&quot; datapro=&quot;BIP_FINA&quot; infos=&quot;&quot; iscomment=&quot;0&quot;&gt;&lt;SELECT&gt;/BBOOK/DATAPROVIDER[./META/PROPS/ID='BIP_FINA']/DATA/ROW&lt;/SELECT&gt;&lt;FILTERS&gt;&lt;FILTER&gt;&lt;/FILTER&gt;&lt;/FILTERS&gt;&lt;/QUERY&gt;&lt;/QUERIES&gt;&lt;/OBJECT&gt;"/>
    <w:docVar w:name="BIP_META_DOC_TBL00020" w:val="&lt;OBJECT&gt;&lt;META&gt;&lt;ID&gt;&lt;/ID&gt;&lt;NAME&gt;DOC_TBL00020&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nistocr&lt;/DYNAMIZEDBY&gt;&lt;DYNAMIZEDON&gt;06/12/2021 09:37:46&lt;/DYNAMIZEDON&gt;&lt;LASTUPDATEDBY&gt;lamagvi&lt;/LASTUPDATEDBY&gt;&lt;LASTUPDATEDON&gt;6/15/2026 3:30:52 PM&lt;/LASTUPDATEDON&gt;&lt;UTC&gt;1&lt;/UTC&gt;&lt;/UPDATE&gt;&lt;QUERIES bbk=&quot;36764&quot; bbkdesc=&quot;2025 Annual Accounts/EU Annual Accounts/DC - Financial assets&quot; datapro=&quot;BIP_LO&quot; tdatapro=&quot;BIP_LO&quot; author=&quot;&quot; modtime=&quot;6/15/2026 3:26:58 PM&quot; moduser=&quot;lamagvi&quot; rolluptime=&quot;&quot; syuser=&quot;lamagvi&quot; syuzeit=&quot;6/15/2026 3:26:58 PM&quot; root=&quot;/BBOOK/DATAPROVIDER[./META/PROPS/ID='BIP_LO']/DATA&quot; colcount=&quot;4&quot; rowcount=&quot;7&quot; url=&quot;&quot; dynamizeds=&quot;DM Production&quot; dynamizedstype=&quot;9&quot; refreshds=&quot;&quot; viewtype=&quot;1&quot;&gt;&lt;QUERY reftype=&quot;ABS&quot; elmntsel=&quot;TABLE&quot; bbk=&quot;36764&quot; bbkdesc=&quot;2025 Annual Accounts/EU Annual Accounts/DC - Financial assets&quot; datapro=&quot;BIP_LO&quot; infos=&quot;&quot; iscomment=&quot;0&quot;&gt;&lt;SELECT&gt;/BBOOK/DATAPROVIDER[./META/PROPS/ID='BIP_LO']/DATA/ROW&lt;/SELECT&gt;&lt;FILTERS&gt;&lt;FILTER&gt;&lt;/FILTER&gt;&lt;/FILTERS&gt;&lt;/QUERY&gt;&lt;/QUERIES&gt;&lt;/OBJECT&gt;"/>
    <w:docVar w:name="BIP_META_DOC_TBL00021" w:val="&lt;OBJECT&gt;&lt;META&gt;&lt;ID&gt;&lt;/ID&gt;&lt;NAME&gt;DOC_TBL00021&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airamgo&lt;/DYNAMIZEDBY&gt;&lt;DYNAMIZEDON&gt;2/5/2025 2:39:31 PM&lt;/DYNAMIZEDON&gt;&lt;LASTUPDATEDBY&gt;lamagvi&lt;/LASTUPDATEDBY&gt;&lt;LASTUPDATEDON&gt;6/15/2026 3:30:52 PM&lt;/LASTUPDATEDON&gt;&lt;UTC&gt;1&lt;/UTC&gt;&lt;/UPDATE&gt;&lt;QUERIES bbk=&quot;36627&quot; bbkdesc=&quot;2025 Annual Accounts/EC Annual Accounts/DC - Financial assets&quot; datapro=&quot;BIP_LNGEU&quot; tdatapro=&quot;BIP_LNGEU&quot; author=&quot;&quot; modtime=&quot;6/15/2026 3:06:54 PM&quot; moduser=&quot;lamagvi&quot; rolluptime=&quot;&quot; syuser=&quot;lamagvi&quot; syuzeit=&quot;6/15/2026 3:06:54 PM&quot; root=&quot;/BBOOK/DATAPROVIDER[./META/PROPS/ID='BIP_LNGEU']/DATA&quot; colcount=&quot;3&quot; rowcount=&quot;7&quot; url=&quot;&quot; dynamizeds=&quot;DM Production&quot; dynamizedstype=&quot;9&quot; refreshds=&quot;&quot; viewtype=&quot;1&quot;&gt;&lt;QUERY reftype=&quot;ABS&quot; elmntsel=&quot;TABLE&quot; bbk=&quot;36627&quot; bbkdesc=&quot;2025 Annual Accounts/EC Annual Accounts/DC - Financial assets&quot; datapro=&quot;BIP_LNGEU&quot; infos=&quot;&quot; iscomment=&quot;0&quot;&gt;&lt;SELECT&gt;/BBOOK/DATAPROVIDER[./META/PROPS/ID='BIP_LNGEU']/DATA/ROW&lt;/SELECT&gt;&lt;FILTERS&gt;&lt;FILTER&gt;&lt;/FILTER&gt;&lt;/FILTERS&gt;&lt;/QUERY&gt;&lt;/QUERIES&gt;&lt;/OBJECT&gt;"/>
    <w:docVar w:name="BIP_META_DOC_TBL00022" w:val="&lt;OBJECT&gt;&lt;META&gt;&lt;ID&gt;&lt;/ID&gt;&lt;NAME&gt;DOC_TBL00022&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airamgo&lt;/DYNAMIZEDBY&gt;&lt;DYNAMIZEDON&gt;05/02/2025 11:33:47&lt;/DYNAMIZEDON&gt;&lt;LASTUPDATEDBY&gt;lamagvi&lt;/LASTUPDATEDBY&gt;&lt;LASTUPDATEDON&gt;6/15/2026 3:30:52 PM&lt;/LASTUPDATEDON&gt;&lt;UTC&gt;1&lt;/UTC&gt;&lt;/UPDATE&gt;&lt;QUERIES bbk=&quot;36627&quot; bbkdesc=&quot;2025 Annual Accounts/EC Annual Accounts/DC - Financial assets&quot; datapro=&quot;BIP_LMS&quot; tdatapro=&quot;BIP_LMS&quot; author=&quot;&quot; modtime=&quot;6/15/2026 3:06:54 PM&quot; moduser=&quot;lamagvi&quot; rolluptime=&quot;&quot; syuser=&quot;lamagvi&quot; syuzeit=&quot;6/15/2026 3:06:54 PM&quot; root=&quot;/BBOOK/DATAPROVIDER[./META/PROPS/ID='BIP_LMS']/DATA&quot; colcount=&quot;6&quot; rowcount=&quot;9&quot; url=&quot;&quot; dynamizeds=&quot;DM Production&quot; dynamizedstype=&quot;9&quot; refreshds=&quot;&quot; viewtype=&quot;1&quot;&gt;&lt;QUERY reftype=&quot;ABS&quot; elmntsel=&quot;TABLE&quot; bbk=&quot;36627&quot; bbkdesc=&quot;2025 Annual Accounts/EC Annual Accounts/DC - Financial assets&quot; datapro=&quot;BIP_LMS&quot; infos=&quot;&quot; iscomment=&quot;0&quot;&gt;&lt;SELECT&gt;/BBOOK/DATAPROVIDER[./META/PROPS/ID='BIP_LMS']/DATA/ROW&lt;/SELECT&gt;&lt;FILTERS&gt;&lt;FILTER&gt;&lt;/FILTER&gt;&lt;/FILTERS&gt;&lt;/QUERY&gt;&lt;/QUERIES&gt;&lt;/OBJECT&gt;"/>
    <w:docVar w:name="BIP_META_DOC_TBL00023" w:val="&lt;OBJECT&gt;&lt;META&gt;&lt;ID&gt;&lt;/ID&gt;&lt;NAME&gt;DOC_TBL00023&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airamgo&lt;/DYNAMIZEDBY&gt;&lt;DYNAMIZEDON&gt;05/02/2025 11:37:40&lt;/DYNAMIZEDON&gt;&lt;LASTUPDATEDBY&gt;lamagvi&lt;/LASTUPDATEDBY&gt;&lt;LASTUPDATEDON&gt;6/15/2026 3:30:52 PM&lt;/LASTUPDATEDON&gt;&lt;UTC&gt;1&lt;/UTC&gt;&lt;/UPDATE&gt;&lt;QUERIES bbk=&quot;36627&quot; bbkdesc=&quot;2025 Annual Accounts/EC Annual Accounts/DC - Financial assets&quot; datapro=&quot;BIP_LTC&quot; tdatapro=&quot;BIP_LTC&quot; author=&quot;&quot; modtime=&quot;6/15/2026 3:06:54 PM&quot; moduser=&quot;lamagvi&quot; rolluptime=&quot;&quot; syuser=&quot;lamagvi&quot; syuzeit=&quot;6/15/2026 3:06:54 PM&quot; root=&quot;/BBOOK/DATAPROVIDER[./META/PROPS/ID='BIP_LTC']/DATA&quot; colcount=&quot;7&quot; rowcount=&quot;10&quot; url=&quot;&quot; dynamizeds=&quot;DM Production&quot; dynamizedstype=&quot;9&quot; refreshds=&quot;&quot; viewtype=&quot;1&quot;&gt;&lt;QUERY reftype=&quot;ABS&quot; elmntsel=&quot;TABLE&quot; bbk=&quot;36627&quot; bbkdesc=&quot;2025 Annual Accounts/EC Annual Accounts/DC - Financial assets&quot; datapro=&quot;BIP_LTC&quot; infos=&quot;&quot; iscomment=&quot;0&quot;&gt;&lt;SELECT&gt;/BBOOK/DATAPROVIDER[./META/PROPS/ID='BIP_LTC']/DATA/ROW&lt;/SELECT&gt;&lt;FILTERS&gt;&lt;FILTER&gt;&lt;/FILTER&gt;&lt;/FILTERS&gt;&lt;/QUERY&gt;&lt;/QUERIES&gt;&lt;/OBJECT&gt;"/>
    <w:docVar w:name="BIP_META_DOC_TBL00024" w:val="&lt;OBJECT&gt;&lt;META&gt;&lt;ID&gt;&lt;/ID&gt;&lt;NAME&gt;DOC_TBL00024&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airamgo&lt;/DYNAMIZEDBY&gt;&lt;DYNAMIZEDON&gt;19/03/2025 08:33:14&lt;/DYNAMIZEDON&gt;&lt;LASTUPDATEDBY&gt;lamagvi&lt;/LASTUPDATEDBY&gt;&lt;LASTUPDATEDON&gt;6/15/2026 3:30:52 PM&lt;/LASTUPDATEDON&gt;&lt;UTC&gt;1&lt;/UTC&gt;&lt;/UPDATE&gt;&lt;QUERIES bbk=&quot;36764&quot; bbkdesc=&quot;2025 Annual Accounts/EU Annual Accounts/DC - Financial assets&quot; datapro=&quot;BIP_FAFVTSD&quot; tdatapro=&quot;BIP_FAFVTSD&quot; author=&quot;&quot; modtime=&quot;6/15/2026 3:26:58 PM&quot; moduser=&quot;lamagvi&quot; rolluptime=&quot;&quot; syuser=&quot;lamagvi&quot; syuzeit=&quot;6/15/2026 3:26:58 PM&quot; root=&quot;/BBOOK/DATAPROVIDER[./META/PROPS/ID='BIP_FAFVTSD']/DATA&quot; colcount=&quot;4&quot; rowcount=&quot;7&quot; url=&quot;&quot; dynamizeds=&quot;DM Production&quot; dynamizedstype=&quot;9&quot; refreshds=&quot;&quot; viewtype=&quot;1&quot;&gt;&lt;QUERY reftype=&quot;ABS&quot; elmntsel=&quot;TABLE&quot; bbk=&quot;36764&quot; bbkdesc=&quot;2025 Annual Accounts/EU Annual Accounts/DC - Financial assets&quot; datapro=&quot;BIP_FAFVTSD&quot; infos=&quot;&quot; iscomment=&quot;0&quot;&gt;&lt;SELECT&gt;/BBOOK/DATAPROVIDER[./META/PROPS/ID='BIP_FAFVTSD']/DATA/ROW&lt;/SELECT&gt;&lt;FILTERS&gt;&lt;FILTER&gt;&lt;/FILTER&gt;&lt;/FILTERS&gt;&lt;/QUERY&gt;&lt;/QUERIES&gt;&lt;/OBJECT&gt;"/>
    <w:docVar w:name="BIP_META_DOC_TBL00025" w:val="&lt;OBJECT&gt;&lt;META&gt;&lt;ID&gt;&lt;/ID&gt;&lt;NAME&gt;DOC_TBL00025&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airamgo&lt;/DYNAMIZEDBY&gt;&lt;DYNAMIZEDON&gt;3/22/2023 8:21:11 AM&lt;/DYNAMIZEDON&gt;&lt;LASTUPDATEDBY&gt;lamagvi&lt;/LASTUPDATEDBY&gt;&lt;LASTUPDATEDON&gt;6/15/2026 3:30:52 PM&lt;/LASTUPDATEDON&gt;&lt;UTC&gt;1&lt;/UTC&gt;&lt;/UPDATE&gt;&lt;QUERIES bbk=&quot;36627&quot; bbkdesc=&quot;2025 Annual Accounts/EC Annual Accounts/DC - Financial assets&quot; datapro=&quot;BIP_RECODER&quot; tdatapro=&quot;BIP_RECODER&quot; author=&quot;&quot; modtime=&quot;6/15/2026 3:06:54 PM&quot; moduser=&quot;lamagvi&quot; rolluptime=&quot;&quot; syuser=&quot;lamagvi&quot; syuzeit=&quot;6/15/2026 3:06:54 PM&quot; root=&quot;/BBOOK/DATAPROVIDER[./META/PROPS/ID='BIP_RECODER']/DATA&quot; colcount=&quot;2&quot; rowcount=&quot;11&quot; url=&quot;&quot; dynamizeds=&quot;DM Production&quot; dynamizedstype=&quot;9&quot; refreshds=&quot;&quot; viewtype=&quot;1&quot;&gt;&lt;QUERY reftype=&quot;ABS&quot; elmntsel=&quot;TABLE&quot; bbk=&quot;36627&quot; bbkdesc=&quot;2025 Annual Accounts/EC Annual Accounts/DC - Financial assets&quot; datapro=&quot;BIP_RECODER&quot; infos=&quot;&quot; iscomment=&quot;0&quot;&gt;&lt;SELECT&gt;/BBOOK/DATAPROVIDER[./META/PROPS/ID='BIP_RECODER']/DATA/ROW&lt;/SELECT&gt;&lt;FILTERS&gt;&lt;FILTER&gt;&lt;/FILTER&gt;&lt;/FILTERS&gt;&lt;/QUERY&gt;&lt;/QUERIES&gt;&lt;/OBJECT&gt;"/>
    <w:docVar w:name="BIP_META_DOC_TBL00026" w:val="&lt;OBJECT&gt;&lt;META&gt;&lt;ID&gt;&lt;/ID&gt;&lt;NAME&gt;DOC_TBL00026&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10.2&lt;/DATE&gt;&lt;DYNAMIZEDBY&gt;mileuma&lt;/DYNAMIZEDBY&gt;&lt;DYNAMIZEDON&gt;05/08/2019 09:13:00&lt;/DYNAMIZEDON&gt;&lt;LASTUPDATEDBY&gt;lamagvi&lt;/LASTUPDATEDBY&gt;&lt;LASTUPDATEDON&gt;6/15/2026 3:31:03 PM&lt;/LASTUPDATEDON&gt;&lt;UTC&gt;1&lt;/UTC&gt;&lt;/UPDATE&gt;&lt;QUERIES bbk=&quot;36765&quot; bbkdesc=&quot;2025 Annual Accounts/EU Annual Accounts/DC - Pre-financing&quot; datapro=&quot;BIP_PF&quot; tdatapro=&quot;BIP_PF&quot; author=&quot;&quot; modtime=&quot;6/15/2026 3:27:59 PM&quot; moduser=&quot;lamagvi&quot; rolluptime=&quot;&quot; syuser=&quot;lamagvi&quot; syuzeit=&quot;6/15/2026 3:27:59 PM&quot; root=&quot;/BBOOK/DATAPROVIDER[./META/PROPS/ID='BIP_PF']/DATA&quot; colcount=&quot;4&quot; rowcount=&quot;12&quot; url=&quot;&quot; dynamizeds=&quot;DM Production&quot; dynamizedstype=&quot;9&quot; refreshds=&quot;&quot; viewtype=&quot;1&quot;&gt;&lt;QUERY reftype=&quot;ABS&quot; elmntsel=&quot;TABLE&quot; bbk=&quot;36765&quot; bbkdesc=&quot;2025 Annual Accounts/EU Annual Accounts/DC - Pre-financing&quot; datapro=&quot;BIP_PF&quot; infos=&quot;&quot; iscomment=&quot;0&quot;&gt;&lt;SELECT&gt;/BBOOK/DATAPROVIDER[./META/PROPS/ID='BIP_PF']/DATA/ROW&lt;/SELECT&gt;&lt;FILTERS&gt;&lt;FILTER&gt;&lt;/FILTER&gt;&lt;/FILTERS&gt;&lt;/QUERY&gt;&lt;/QUERIES&gt;&lt;/OBJECT&gt;"/>
    <w:docVar w:name="BIP_META_DOC_TBL00027" w:val="&lt;OBJECT&gt;&lt;META&gt;&lt;ID&gt;&lt;/ID&gt;&lt;NAME&gt;DOC_TBL00027&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10.2&lt;/DATE&gt;&lt;DYNAMIZEDBY&gt;nistocr&lt;/DYNAMIZEDBY&gt;&lt;DYNAMIZEDON&gt;13/03/2026 19:20:56&lt;/DYNAMIZEDON&gt;&lt;LASTUPDATEDBY&gt;lamagvi&lt;/LASTUPDATEDBY&gt;&lt;LASTUPDATEDON&gt;6/15/2026 3:31:03 PM&lt;/LASTUPDATEDON&gt;&lt;UTC&gt;1&lt;/UTC&gt;&lt;/UPDATE&gt;&lt;QUERIES bbk=&quot;36765&quot; bbkdesc=&quot;2025 Annual Accounts/EU Annual Accounts/DC - Pre-financing&quot; datapro=&quot;BIP_PFD&quot; tdatapro=&quot;BIP_PFD&quot; author=&quot;&quot; modtime=&quot;6/15/2026 3:27:59 PM&quot; moduser=&quot;lamagvi&quot; rolluptime=&quot;&quot; syuser=&quot;lamagvi&quot; syuzeit=&quot;6/15/2026 3:27:59 PM&quot; root=&quot;/BBOOK/DATAPROVIDER[./META/PROPS/ID='BIP_PFD']/DATA&quot; colcount=&quot;4&quot; rowcount=&quot;14&quot; url=&quot;&quot; dynamizeds=&quot;DM Production&quot; dynamizedstype=&quot;9&quot; refreshds=&quot;&quot; viewtype=&quot;1&quot;&gt;&lt;QUERY reftype=&quot;ABS&quot; elmntsel=&quot;TABLE&quot; bbk=&quot;36765&quot; bbkdesc=&quot;2025 Annual Accounts/EU Annual Accounts/DC - Pre-financing&quot; datapro=&quot;BIP_PFD&quot; infos=&quot;&quot; iscomment=&quot;0&quot;&gt;&lt;SELECT&gt;/BBOOK/DATAPROVIDER[./META/PROPS/ID='BIP_PFD']/DATA/ROW&lt;/SELECT&gt;&lt;FILTERS&gt;&lt;FILTER&gt;&lt;/FILTER&gt;&lt;/FILTERS&gt;&lt;/QUERY&gt;&lt;/QUERIES&gt;&lt;/OBJECT&gt;"/>
    <w:docVar w:name="BIP_META_DOC_TBL00028" w:val="&lt;OBJECT&gt;&lt;META&gt;&lt;ID&gt;&lt;/ID&gt;&lt;NAME&gt;DOC_TBL00028&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10.2&lt;/DATE&gt;&lt;DYNAMIZEDBY&gt;nistocr&lt;/DYNAMIZEDBY&gt;&lt;DYNAMIZEDON&gt;13/03/2026 19:25:05&lt;/DYNAMIZEDON&gt;&lt;LASTUPDATEDBY&gt;lamagvi&lt;/LASTUPDATEDBY&gt;&lt;LASTUPDATEDON&gt;6/15/2026 3:31:03 PM&lt;/LASTUPDATEDON&gt;&lt;UTC&gt;1&lt;/UTC&gt;&lt;/UPDATE&gt;&lt;QUERIES bbk=&quot;36765&quot; bbkdesc=&quot;2025 Annual Accounts/EU Annual Accounts/DC - Pre-financing&quot; datapro=&quot;BIP_PFDOLD&quot; tdatapro=&quot;BIP_PFDOLD&quot; author=&quot;&quot; modtime=&quot;6/15/2026 3:27:59 PM&quot; moduser=&quot;lamagvi&quot; rolluptime=&quot;&quot; syuser=&quot;lamagvi&quot; syuzeit=&quot;6/15/2026 3:27:59 PM&quot; root=&quot;/BBOOK/DATAPROVIDER[./META/PROPS/ID='BIP_PFDOLD']/DATA&quot; colcount=&quot;4&quot; rowcount=&quot;25&quot; url=&quot;&quot; dynamizeds=&quot;DM Production&quot; dynamizedstype=&quot;9&quot; refreshds=&quot;&quot; viewtype=&quot;1&quot;&gt;&lt;QUERY reftype=&quot;ABS&quot; elmntsel=&quot;TABLE&quot; bbk=&quot;36765&quot; bbkdesc=&quot;2025 Annual Accounts/EU Annual Accounts/DC - Pre-financing&quot; datapro=&quot;BIP_PFDOLD&quot; infos=&quot;&quot; iscomment=&quot;0&quot;&gt;&lt;SELECT&gt;/BBOOK/DATAPROVIDER[./META/PROPS/ID='BIP_PFDOLD']/DATA/ROW&lt;/SELECT&gt;&lt;FILTERS&gt;&lt;FILTER&gt;&lt;/FILTER&gt;&lt;/FILTERS&gt;&lt;/QUERY&gt;&lt;/QUERIES&gt;&lt;/OBJECT&gt;"/>
    <w:docVar w:name="BIP_META_DOC_TBL00029" w:val="&lt;OBJECT&gt;&lt;META&gt;&lt;ID&gt;&lt;/ID&gt;&lt;NAME&gt;DOC_TBL00029&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10.2&lt;/DATE&gt;&lt;DYNAMIZEDBY&gt;mileuma&lt;/DYNAMIZEDBY&gt;&lt;DYNAMIZEDON&gt;05/08/2019 09:20:58&lt;/DYNAMIZEDON&gt;&lt;LASTUPDATEDBY&gt;lamagvi&lt;/LASTUPDATEDBY&gt;&lt;LASTUPDATEDON&gt;6/15/2026 3:31:03 PM&lt;/LASTUPDATEDON&gt;&lt;UTC&gt;1&lt;/UTC&gt;&lt;/UPDATE&gt;&lt;QUERIES bbk=&quot;36629&quot; bbkdesc=&quot;2025 Annual Accounts/EC Annual Accounts/DC - Pre-financing&quot; datapro=&quot;BIP_FEIAS&quot; tdatapro=&quot;BIP_FEIAS&quot; author=&quot;&quot; modtime=&quot;6/15/2026 3:06:55 PM&quot; moduser=&quot;lamagvi&quot; rolluptime=&quot;&quot; syuser=&quot;lamagvi&quot; syuzeit=&quot;6/15/2026 3:06:55 PM&quot; root=&quot;/BBOOK/DATAPROVIDER[./META/PROPS/ID='BIP_FEIAS']/DATA&quot; colcount=&quot;3&quot; rowcount=&quot;7&quot; url=&quot;&quot; dynamizeds=&quot;DM Production&quot; dynamizedstype=&quot;9&quot; refreshds=&quot;&quot; viewtype=&quot;1&quot;&gt;&lt;QUERY reftype=&quot;ABS&quot; elmntsel=&quot;TABLE&quot; bbk=&quot;36629&quot; bbkdesc=&quot;2025 Annual Accounts/EC Annual Accounts/DC - Pre-financing&quot; datapro=&quot;BIP_FEIAS&quot; infos=&quot;&quot; iscomment=&quot;0&quot;&gt;&lt;SELECT&gt;/BBOOK/DATAPROVIDER[./META/PROPS/ID='BIP_FEIAS']/DATA/ROW&lt;/SELECT&gt;&lt;FILTERS&gt;&lt;FILTER&gt;&lt;/FILTER&gt;&lt;/FILTERS&gt;&lt;/QUERY&gt;&lt;/QUERIES&gt;&lt;/OBJECT&gt;"/>
    <w:docVar w:name="BIP_META_DOC_TBL00030" w:val="&lt;OBJECT&gt;&lt;META&gt;&lt;ID&gt;&lt;/ID&gt;&lt;NAME&gt;DOC_TBL00030&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nistocr&lt;/DYNAMIZEDBY&gt;&lt;DYNAMIZEDON&gt;25/10/2024 07:53:57&lt;/DYNAMIZEDON&gt;&lt;LASTUPDATEDBY&gt;lamagvi&lt;/LASTUPDATEDBY&gt;&lt;LASTUPDATEDON&gt;6/15/2026 3:30:51 PM&lt;/LASTUPDATEDON&gt;&lt;UTC&gt;1&lt;/UTC&gt;&lt;/UPDATE&gt;&lt;QUERIES bbk=&quot;36745&quot; bbkdesc=&quot;2025 Annual Accounts/EU Annual Accounts/DC - Exchange receivables and Non-exchange recoverables&quot; datapro=&quot;BIP_ERNER&quot; tdatapro=&quot;BIP_ERNER&quot; author=&quot;&quot; modtime=&quot;6/15/2026 3:26:56 PM&quot; moduser=&quot;lamagvi&quot; rolluptime=&quot;&quot; syuser=&quot;lamagvi&quot; syuzeit=&quot;6/15/2026 3:26:56 PM&quot; root=&quot;/BBOOK/DATAPROVIDER[./META/PROPS/ID='BIP_ERNER']/DATA&quot; colcount=&quot;4&quot; rowcount=&quot;11&quot; url=&quot;&quot; dynamizeds=&quot;DM Production&quot; dynamizedstype=&quot;9&quot; refreshds=&quot;&quot; viewtype=&quot;1&quot;&gt;&lt;QUERY reftype=&quot;ABS&quot; elmntsel=&quot;TABLE&quot; bbk=&quot;36745&quot; bbkdesc=&quot;2025 Annual Accounts/EU Annual Accounts/DC - Exchange receivables and Non-exchange recoverables&quot; datapro=&quot;BIP_ERNER&quot; infos=&quot;&quot; iscomment=&quot;0&quot;&gt;&lt;SELECT&gt;/BBOOK/DATAPROVIDER[./META/PROPS/ID='BIP_ERNER']/DATA/ROW&lt;/SELECT&gt;&lt;FILTERS&gt;&lt;FILTER&gt;&lt;/FILTER&gt;&lt;/FILTERS&gt;&lt;/QUERY&gt;&lt;/QUERIES&gt;&lt;/OBJECT&gt;"/>
    <w:docVar w:name="BIP_META_DOC_TBL00031" w:val="&lt;OBJECT&gt;&lt;META&gt;&lt;ID&gt;&lt;/ID&gt;&lt;NAME&gt;DOC_TBL00031&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nistocr&lt;/DYNAMIZEDBY&gt;&lt;DYNAMIZEDON&gt;25/10/2024 07:59:06&lt;/DYNAMIZEDON&gt;&lt;LASTUPDATEDBY&gt;lamagvi&lt;/LASTUPDATEDBY&gt;&lt;LASTUPDATEDON&gt;6/15/2026 3:30:51 PM&lt;/LASTUPDATEDON&gt;&lt;UTC&gt;1&lt;/UTC&gt;&lt;/UPDATE&gt;&lt;QUERIES bbk=&quot;36745&quot; bbkdesc=&quot;2025 Annual Accounts/EU Annual Accounts/DC - Exchange receivables and Non-exchange recoverables&quot; datapro=&quot;BIP_RNET&quot; tdatapro=&quot;BIP_RNET&quot; author=&quot;&quot; modtime=&quot;6/15/2026 3:26:56 PM&quot; moduser=&quot;lamagvi&quot; rolluptime=&quot;&quot; syuser=&quot;lamagvi&quot; syuzeit=&quot;6/15/2026 3:26:56 PM&quot; root=&quot;/BBOOK/DATAPROVIDER[./META/PROPS/ID='BIP_RNET']/DATA&quot; colcount=&quot;4&quot; rowcount=&quot;16&quot; url=&quot;&quot; dynamizeds=&quot;DM Production&quot; dynamizedstype=&quot;9&quot; refreshds=&quot;&quot; viewtype=&quot;1&quot;&gt;&lt;QUERY reftype=&quot;ABS&quot; elmntsel=&quot;TABLE&quot; bbk=&quot;36745&quot; bbkdesc=&quot;2025 Annual Accounts/EU Annual Accounts/DC - Exchange receivables and Non-exchange recoverables&quot; datapro=&quot;BIP_RNET&quot; infos=&quot;&quot; iscomment=&quot;0&quot;&gt;&lt;SELECT&gt;/BBOOK/DATAPROVIDER[./META/PROPS/ID='BIP_RNET']/DATA/ROW&lt;/SELECT&gt;&lt;FILTERS&gt;&lt;FILTER&gt;&lt;/FILTER&gt;&lt;/FILTERS&gt;&lt;/QUERY&gt;&lt;/QUERIES&gt;&lt;/OBJECT&gt;"/>
    <w:docVar w:name="BIP_META_DOC_TBL00032" w:val="&lt;OBJECT&gt;&lt;META&gt;&lt;ID&gt;&lt;/ID&gt;&lt;NAME&gt;DOC_TBL00032&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bournai&lt;/DYNAMIZEDBY&gt;&lt;DYNAMIZEDON&gt;26-Mar-21 3:58:12 PM&lt;/DYNAMIZEDON&gt;&lt;LASTUPDATEDBY&gt;lamagvi&lt;/LASTUPDATEDBY&gt;&lt;LASTUPDATEDON&gt;6/15/2026 3:30:51 PM&lt;/LASTUPDATEDON&gt;&lt;UTC&gt;1&lt;/UTC&gt;&lt;/UPDATE&gt;&lt;QUERIES bbk=&quot;36746&quot; bbkdesc=&quot;2025 Annual Accounts/EU Annual Accounts/DC - Recoverables from Member States&quot; datapro=&quot;BIP_RMS&quot; tdatapro=&quot;BIP_RMS&quot; author=&quot;&quot; modtime=&quot;6/15/2026 3:28:01 PM&quot; moduser=&quot;lamagvi&quot; rolluptime=&quot;&quot; syuser=&quot;lamagvi&quot; syuzeit=&quot;6/15/2026 3:28:01 PM&quot; root=&quot;/BBOOK/DATAPROVIDER[./META/PROPS/ID='BIP_RMS']/DATA&quot; colcount=&quot;3&quot; rowcount=&quot;18&quot; url=&quot;&quot; dynamizeds=&quot;DM Production&quot; dynamizedstype=&quot;9&quot; refreshds=&quot;&quot; viewtype=&quot;1&quot;&gt;&lt;QUERY reftype=&quot;ABS&quot; elmntsel=&quot;TABLE&quot; bbk=&quot;36746&quot; bbkdesc=&quot;2025 Annual Accounts/EU Annual Accounts/DC - Recoverables from Member States&quot; datapro=&quot;BIP_RMS&quot; infos=&quot;&quot; iscomment=&quot;0&quot;&gt;&lt;SELECT&gt;/BBOOK/DATAPROVIDER[./META/PROPS/ID='BIP_RMS']/DATA/ROW&lt;/SELECT&gt;&lt;FILTERS&gt;&lt;FILTER&gt;&lt;/FILTER&gt;&lt;/FILTERS&gt;&lt;/QUERY&gt;&lt;/QUERIES&gt;&lt;/OBJECT&gt;"/>
    <w:docVar w:name="BIP_META_DOC_TBL00033" w:val="&lt;OBJECT&gt;&lt;META&gt;&lt;ID&gt;&lt;/ID&gt;&lt;NAME&gt;DOC_TBL00033&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nistocr&lt;/DYNAMIZEDBY&gt;&lt;DYNAMIZEDON&gt;06/07/2022 15:34:35&lt;/DYNAMIZEDON&gt;&lt;LASTUPDATEDBY&gt;lamagvi&lt;/LASTUPDATEDBY&gt;&lt;LASTUPDATEDON&gt;6/15/2026 3:30:51 PM&lt;/LASTUPDATEDON&gt;&lt;UTC&gt;1&lt;/UTC&gt;&lt;/UPDATE&gt;&lt;QUERIES bbk=&quot;36745&quot; bbkdesc=&quot;2025 Annual Accounts/EU Annual Accounts/DC - Exchange receivables and Non-exchange recoverables&quot; datapro=&quot;BIP_UKWA&quot; tdatapro=&quot;BIP_UKWA&quot; author=&quot;&quot; modtime=&quot;6/15/2026 3:26:56 PM&quot; moduser=&quot;lamagvi&quot; rolluptime=&quot;&quot; syuser=&quot;lamagvi&quot; syuzeit=&quot;6/15/2026 3:26:56 PM&quot; root=&quot;/BBOOK/DATAPROVIDER[./META/PROPS/ID='BIP_UKWA']/DATA&quot; colcount=&quot;6&quot; rowcount=&quot;7&quot; url=&quot;&quot; dynamizeds=&quot;DM Production&quot; dynamizedstype=&quot;9&quot; refreshds=&quot;&quot; viewtype=&quot;1&quot;&gt;&lt;QUERY reftype=&quot;ABS&quot; elmntsel=&quot;TABLE&quot; bbk=&quot;36745&quot; bbkdesc=&quot;2025 Annual Accounts/EU Annual Accounts/DC - Exchange receivables and Non-exchange recoverables&quot; datapro=&quot;BIP_UKWA&quot; infos=&quot;&quot; iscomment=&quot;0&quot;&gt;&lt;SELECT&gt;/BBOOK/DATAPROVIDER[./META/PROPS/ID='BIP_UKWA']/DATA/ROW&lt;/SELECT&gt;&lt;FILTERS&gt;&lt;FILTER&gt;&lt;/FILTER&gt;&lt;/FILTERS&gt;&lt;/QUERY&gt;&lt;/QUERIES&gt;&lt;/OBJECT&gt;"/>
    <w:docVar w:name="BIP_META_DOC_TBL00034" w:val="&lt;OBJECT&gt;&lt;META&gt;&lt;ID&gt;&lt;/ID&gt;&lt;NAME&gt;DOC_TBL00034&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nistocr&lt;/DYNAMIZEDBY&gt;&lt;DYNAMIZEDON&gt;06/07/2022 15:40:43&lt;/DYNAMIZEDON&gt;&lt;LASTUPDATEDBY&gt;lamagvi&lt;/LASTUPDATEDBY&gt;&lt;LASTUPDATEDON&gt;6/15/2026 3:30:51 PM&lt;/LASTUPDATEDON&gt;&lt;UTC&gt;1&lt;/UTC&gt;&lt;/UPDATE&gt;&lt;QUERIES bbk=&quot;36745&quot; bbkdesc=&quot;2025 Annual Accounts/EU Annual Accounts/DC - Exchange receivables and Non-exchange recoverables&quot; datapro=&quot;BIP_PAYWA&quot; tdatapro=&quot;BIP_PAYWA&quot; author=&quot;&quot; modtime=&quot;6/15/2026 3:26:56 PM&quot; moduser=&quot;lamagvi&quot; rolluptime=&quot;&quot; syuser=&quot;lamagvi&quot; syuzeit=&quot;6/15/2026 3:26:56 PM&quot; root=&quot;/BBOOK/DATAPROVIDER[./META/PROPS/ID='BIP_PAYWA']/DATA&quot; colcount=&quot;5&quot; rowcount=&quot;17&quot; url=&quot;&quot; dynamizeds=&quot;DM Production&quot; dynamizedstype=&quot;9&quot; refreshds=&quot;&quot; viewtype=&quot;1&quot;&gt;&lt;QUERY reftype=&quot;ABS&quot; elmntsel=&quot;TABLE&quot; bbk=&quot;36745&quot; bbkdesc=&quot;2025 Annual Accounts/EU Annual Accounts/DC - Exchange receivables and Non-exchange recoverables&quot; datapro=&quot;BIP_PAYWA&quot; infos=&quot;&quot; iscomment=&quot;0&quot;&gt;&lt;SELECT&gt;/BBOOK/DATAPROVIDER[./META/PROPS/ID='BIP_PAYWA']/DATA/ROW&lt;/SELECT&gt;&lt;FILTERS&gt;&lt;FILTER&gt;&lt;/FILTER&gt;&lt;/FILTERS&gt;&lt;/QUERY&gt;&lt;/QUERIES&gt;&lt;/OBJECT&gt;"/>
    <w:docVar w:name="BIP_META_DOC_TBL00035" w:val="&lt;OBJECT&gt;&lt;META&gt;&lt;ID&gt;&lt;/ID&gt;&lt;NAME&gt;DOC_TBL00035&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nistocr&lt;/DYNAMIZEDBY&gt;&lt;DYNAMIZEDON&gt;06/07/2022 15:45:55&lt;/DYNAMIZEDON&gt;&lt;LASTUPDATEDBY&gt;lamagvi&lt;/LASTUPDATEDBY&gt;&lt;LASTUPDATEDON&gt;6/15/2026 3:30:51 PM&lt;/LASTUPDATEDON&gt;&lt;UTC&gt;1&lt;/UTC&gt;&lt;/UPDATE&gt;&lt;QUERIES bbk=&quot;36745&quot; bbkdesc=&quot;2025 Annual Accounts/EU Annual Accounts/DC - Exchange receivables and Non-exchange recoverables&quot; datapro=&quot;BIP_OComm&quot; tdatapro=&quot;BIP_OComm&quot; author=&quot;&quot; modtime=&quot;6/15/2026 3:26:56 PM&quot; moduser=&quot;lamagvi&quot; rolluptime=&quot;&quot; syuser=&quot;lamagvi&quot; syuzeit=&quot;6/15/2026 3:26:56 PM&quot; root=&quot;/BBOOK/DATAPROVIDER[./META/PROPS/ID='BIP_OComm']/DATA&quot; colcount=&quot;2&quot; rowcount=&quot;10&quot; url=&quot;&quot; dynamizeds=&quot;DM Production&quot; dynamizedstype=&quot;9&quot; refreshds=&quot;&quot; viewtype=&quot;1&quot;&gt;&lt;QUERY reftype=&quot;ABS&quot; elmntsel=&quot;TABLE&quot; bbk=&quot;36745&quot; bbkdesc=&quot;2025 Annual Accounts/EU Annual Accounts/DC - Exchange receivables and Non-exchange recoverables&quot; datapro=&quot;BIP_OComm&quot; infos=&quot;&quot; iscomment=&quot;0&quot;&gt;&lt;SELECT&gt;/BBOOK/DATAPROVIDER[./META/PROPS/ID='BIP_OComm']/DATA/ROW&lt;/SELECT&gt;&lt;FILTERS&gt;&lt;FILTER&gt;&lt;/FILTER&gt;&lt;/FILTERS&gt;&lt;/QUERY&gt;&lt;/QUERIES&gt;&lt;/OBJECT&gt;"/>
    <w:docVar w:name="BIP_META_DOC_TBL00036" w:val="&lt;OBJECT&gt;&lt;META&gt;&lt;ID&gt;&lt;/ID&gt;&lt;NAME&gt;DOC_TBL00036&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nistocr&lt;/DYNAMIZEDBY&gt;&lt;DYNAMIZEDON&gt;06/07/2022 15:48:07&lt;/DYNAMIZEDON&gt;&lt;LASTUPDATEDBY&gt;lamagvi&lt;/LASTUPDATEDBY&gt;&lt;LASTUPDATEDON&gt;6/15/2026 3:30:51 PM&lt;/LASTUPDATEDON&gt;&lt;UTC&gt;1&lt;/UTC&gt;&lt;/UPDATE&gt;&lt;QUERIES bbk=&quot;36745&quot; bbkdesc=&quot;2025 Annual Accounts/EU Annual Accounts/DC - Exchange receivables and Non-exchange recoverables&quot; datapro=&quot;BIP_Uliab&quot; tdatapro=&quot;BIP_Uliab&quot; author=&quot;&quot; modtime=&quot;6/15/2026 3:26:56 PM&quot; moduser=&quot;lamagvi&quot; rolluptime=&quot;&quot; syuser=&quot;lamagvi&quot; syuzeit=&quot;6/15/2026 3:26:56 PM&quot; root=&quot;/BBOOK/DATAPROVIDER[./META/PROPS/ID='BIP_Uliab']/DATA&quot; colcount=&quot;5&quot; rowcount=&quot;8&quot; url=&quot;&quot; dynamizeds=&quot;DM Production&quot; dynamizedstype=&quot;9&quot; refreshds=&quot;&quot; viewtype=&quot;1&quot;&gt;&lt;QUERY reftype=&quot;ABS&quot; elmntsel=&quot;TABLE&quot; bbk=&quot;36745&quot; bbkdesc=&quot;2025 Annual Accounts/EU Annual Accounts/DC - Exchange receivables and Non-exchange recoverables&quot; datapro=&quot;BIP_Uliab&quot; infos=&quot;&quot; iscomment=&quot;0&quot;&gt;&lt;SELECT&gt;/BBOOK/DATAPROVIDER[./META/PROPS/ID='BIP_Uliab']/DATA/ROW&lt;/SELECT&gt;&lt;FILTERS&gt;&lt;FILTER&gt;&lt;/FILTER&gt;&lt;/FILTERS&gt;&lt;/QUERY&gt;&lt;/QUERIES&gt;&lt;/OBJECT&gt;"/>
    <w:docVar w:name="BIP_META_DOC_TBL00037" w:val="&lt;OBJECT&gt;&lt;META&gt;&lt;ID&gt;&lt;/ID&gt;&lt;NAME&gt;DOC_TBL00037&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nistocr&lt;/DYNAMIZEDBY&gt;&lt;DYNAMIZEDON&gt;06/07/2022 15:53:51&lt;/DYNAMIZEDON&gt;&lt;LASTUPDATEDBY&gt;lamagvi&lt;/LASTUPDATEDBY&gt;&lt;LASTUPDATEDON&gt;6/15/2026 3:30:51 PM&lt;/LASTUPDATEDON&gt;&lt;UTC&gt;1&lt;/UTC&gt;&lt;/UPDATE&gt;&lt;QUERIES bbk=&quot;36745&quot; bbkdesc=&quot;2025 Annual Accounts/EU Annual Accounts/DC - Exchange receivables and Non-exchange recoverables&quot; datapro=&quot;BIP_OthAm&quot; tdatapro=&quot;BIP_OthAm&quot; author=&quot;&quot; modtime=&quot;6/15/2026 3:26:56 PM&quot; moduser=&quot;lamagvi&quot; rolluptime=&quot;&quot; syuser=&quot;lamagvi&quot; syuzeit=&quot;6/15/2026 3:26:56 PM&quot; root=&quot;/BBOOK/DATAPROVIDER[./META/PROPS/ID='BIP_OthAm']/DATA&quot; colcount=&quot;3&quot; rowcount=&quot;16&quot; url=&quot;&quot; dynamizeds=&quot;DM Production&quot; dynamizedstype=&quot;9&quot; refreshds=&quot;&quot; viewtype=&quot;1&quot;&gt;&lt;QUERY reftype=&quot;ABS&quot; elmntsel=&quot;TABLE&quot; bbk=&quot;36745&quot; bbkdesc=&quot;2025 Annual Accounts/EU Annual Accounts/DC - Exchange receivables and Non-exchange recoverables&quot; datapro=&quot;BIP_OthAm&quot; infos=&quot;&quot; iscomment=&quot;0&quot;&gt;&lt;SELECT&gt;/BBOOK/DATAPROVIDER[./META/PROPS/ID='BIP_OthAm']/DATA/ROW&lt;/SELECT&gt;&lt;FILTERS&gt;&lt;FILTER&gt;&lt;/FILTER&gt;&lt;/FILTERS&gt;&lt;/QUERY&gt;&lt;/QUERIES&gt;&lt;/OBJECT&gt;"/>
    <w:docVar w:name="BIP_META_DOC_TBL00038" w:val="&lt;OBJECT&gt;&lt;META&gt;&lt;ID&gt;&lt;/ID&gt;&lt;NAME&gt;DOC_TBL00038&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nistocr&lt;/DYNAMIZEDBY&gt;&lt;DYNAMIZEDON&gt;06/07/2022 15:57:00&lt;/DYNAMIZEDON&gt;&lt;LASTUPDATEDBY&gt;lamagvi&lt;/LASTUPDATEDBY&gt;&lt;LASTUPDATEDON&gt;6/15/2026 3:30:51 PM&lt;/LASTUPDATEDON&gt;&lt;UTC&gt;1&lt;/UTC&gt;&lt;/UPDATE&gt;&lt;QUERIES bbk=&quot;36745&quot; bbkdesc=&quot;2025 Annual Accounts/EU Annual Accounts/DC - Exchange receivables and Non-exchange recoverables&quot; datapro=&quot;BIP_Art136&quot; tdatapro=&quot;BIP_Art136&quot; author=&quot;&quot; modtime=&quot;6/15/2026 3:26:56 PM&quot; moduser=&quot;lamagvi&quot; rolluptime=&quot;&quot; syuser=&quot;lamagvi&quot; syuzeit=&quot;6/15/2026 3:26:56 PM&quot; root=&quot;/BBOOK/DATAPROVIDER[./META/PROPS/ID='BIP_Art136']/DATA&quot; colcount=&quot;2&quot; rowcount=&quot;13&quot; url=&quot;&quot; dynamizeds=&quot;DM Production&quot; dynamizedstype=&quot;9&quot; refreshds=&quot;&quot; viewtype=&quot;1&quot;&gt;&lt;QUERY reftype=&quot;ABS&quot; elmntsel=&quot;TABLE&quot; bbk=&quot;36745&quot; bbkdesc=&quot;2025 Annual Accounts/EU Annual Accounts/DC - Exchange receivables and Non-exchange recoverables&quot; datapro=&quot;BIP_Art136&quot; infos=&quot;&quot; iscomment=&quot;0&quot;&gt;&lt;SELECT&gt;/BBOOK/DATAPROVIDER[./META/PROPS/ID='BIP_Art136']/DATA/ROW&lt;/SELECT&gt;&lt;FILTERS&gt;&lt;FILTER&gt;&lt;/FILTER&gt;&lt;/FILTERS&gt;&lt;/QUERY&gt;&lt;/QUERIES&gt;&lt;/OBJECT&gt;"/>
    <w:docVar w:name="BIP_META_DOC_TBL00039" w:val="&lt;OBJECT&gt;&lt;META&gt;&lt;ID&gt;&lt;/ID&gt;&lt;NAME&gt;DOC_TBL00039&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nistocr&lt;/DYNAMIZEDBY&gt;&lt;DYNAMIZEDON&gt;20/10/2025 10:29:52&lt;/DYNAMIZEDON&gt;&lt;LASTUPDATEDBY&gt;lamagvi&lt;/LASTUPDATEDBY&gt;&lt;LASTUPDATEDON&gt;6/15/2026 3:30:51 PM&lt;/LASTUPDATEDON&gt;&lt;UTC&gt;1&lt;/UTC&gt;&lt;/UPDATE&gt;&lt;QUERIES bbk=&quot;36612&quot; bbkdesc=&quot;2025 Annual Accounts/EC Annual Accounts/DC - Exchange receivables and Non-exchange recoverables&quot; datapro=&quot;BIP_FINES&quot; tdatapro=&quot;BIP_FINES&quot; author=&quot;&quot; modtime=&quot;6/15/2026 3:06:54 PM&quot; moduser=&quot;lamagvi&quot; rolluptime=&quot;&quot; syuser=&quot;lamagvi&quot; syuzeit=&quot;6/15/2026 3:06:54 PM&quot; root=&quot;/BBOOK/DATAPROVIDER[./META/PROPS/ID='BIP_FINES']/DATA&quot; colcount=&quot;3&quot; rowcount=&quot;8&quot; url=&quot;&quot; dynamizeds=&quot;DM Production&quot; dynamizedstype=&quot;9&quot; refreshds=&quot;&quot; viewtype=&quot;1&quot;&gt;&lt;QUERY reftype=&quot;ABS&quot; elmntsel=&quot;TABLE&quot; bbk=&quot;36612&quot; bbkdesc=&quot;2025 Annual Accounts/EC Annual Accounts/DC - Exchange receivables and Non-exchange recoverables&quot; datapro=&quot;BIP_FINES&quot; infos=&quot;&quot; iscomment=&quot;0&quot;&gt;&lt;SELECT&gt;/BBOOK/DATAPROVIDER[./META/PROPS/ID='BIP_FINES']/DATA/ROW&lt;/SELECT&gt;&lt;FILTERS&gt;&lt;FILTER&gt;&lt;/FILTER&gt;&lt;/FILTERS&gt;&lt;/QUERY&gt;&lt;/QUERIES&gt;&lt;/OBJECT&gt;"/>
    <w:docVar w:name="BIP_META_DOC_TBL00040" w:val="&lt;OBJECT&gt;&lt;META&gt;&lt;ID&gt;&lt;/ID&gt;&lt;NAME&gt;DOC_TBL00040&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05/08/2019 10:01:09&lt;/DYNAMIZEDON&gt;&lt;LASTUPDATEDBY&gt;lamagvi&lt;/LASTUPDATEDBY&gt;&lt;LASTUPDATEDON&gt;6/15/2026 3:30:51 PM&lt;/LASTUPDATEDON&gt;&lt;UTC&gt;1&lt;/UTC&gt;&lt;/UPDATE&gt;&lt;QUERIES bbk=&quot;36747&quot; bbkdesc=&quot;2025 Annual Accounts/EU Annual Accounts/DC - Accrued income and Deferred charges&quot; datapro=&quot;BIP_AIDC&quot; tdatapro=&quot;BIP_AIDC&quot; author=&quot;&quot; modtime=&quot;6/15/2026 3:26:52 PM&quot; moduser=&quot;lamagvi&quot; rolluptime=&quot;&quot; syuser=&quot;lamagvi&quot; syuzeit=&quot;6/15/2026 3:26:52 PM&quot; root=&quot;/BBOOK/DATAPROVIDER[./META/PROPS/ID='BIP_AIDC']/DATA&quot; colcount=&quot;3&quot; rowcount=&quot;7&quot; url=&quot;&quot; dynamizeds=&quot;DM Production&quot; dynamizedstype=&quot;9&quot; refreshds=&quot;&quot; viewtype=&quot;1&quot;&gt;&lt;QUERY reftype=&quot;ABS&quot; elmntsel=&quot;TABLE&quot; bbk=&quot;36747&quot; bbkdesc=&quot;2025 Annual Accounts/EU Annual Accounts/DC - Accrued income and Deferred charges&quot; datapro=&quot;BIP_AIDC&quot; infos=&quot;&quot; iscomment=&quot;0&quot;&gt;&lt;SELECT&gt;/BBOOK/DATAPROVIDER[./META/PROPS/ID='BIP_AIDC']/DATA/ROW&lt;/SELECT&gt;&lt;FILTERS&gt;&lt;FILTER&gt;&lt;/FILTER&gt;&lt;/FILTERS&gt;&lt;/QUERY&gt;&lt;/QUERIES&gt;&lt;/OBJECT&gt;"/>
    <w:docVar w:name="BIP_META_DOC_TBL00041" w:val="&lt;OBJECT&gt;&lt;META&gt;&lt;ID&gt;&lt;/ID&gt;&lt;NAME&gt;DOC_TBL00041&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05/08/2019 09:41:32&lt;/DYNAMIZEDON&gt;&lt;LASTUPDATEDBY&gt;lamagvi&lt;/LASTUPDATEDBY&gt;&lt;LASTUPDATEDON&gt;6/15/2026 3:30:51 PM&lt;/LASTUPDATEDON&gt;&lt;UTC&gt;1&lt;/UTC&gt;&lt;/UPDATE&gt;&lt;QUERIES bbk=&quot;36745&quot; bbkdesc=&quot;2025 Annual Accounts/EU Annual Accounts/DC - Exchange receivables and Non-exchange recoverables&quot; datapro=&quot;BIP_RET&quot; tdatapro=&quot;BIP_RET&quot; author=&quot;&quot; modtime=&quot;6/15/2026 3:26:56 PM&quot; moduser=&quot;lamagvi&quot; rolluptime=&quot;&quot; syuser=&quot;lamagvi&quot; syuzeit=&quot;6/15/2026 3:26:56 PM&quot; root=&quot;/BBOOK/DATAPROVIDER[./META/PROPS/ID='BIP_RET']/DATA&quot; colcount=&quot;3&quot; rowcount=&quot;16&quot; url=&quot;&quot; dynamizeds=&quot;DM Production&quot; dynamizedstype=&quot;9&quot; refreshds=&quot;&quot; viewtype=&quot;1&quot;&gt;&lt;QUERY reftype=&quot;ABS&quot; elmntsel=&quot;TABLE&quot; bbk=&quot;36745&quot; bbkdesc=&quot;2025 Annual Accounts/EU Annual Accounts/DC - Exchange receivables and Non-exchange recoverables&quot; datapro=&quot;BIP_RET&quot; infos=&quot;&quot; iscomment=&quot;0&quot;&gt;&lt;SELECT&gt;/BBOOK/DATAPROVIDER[./META/PROPS/ID='BIP_RET']/DATA/ROW&lt;/SELECT&gt;&lt;FILTERS&gt;&lt;FILTER&gt;&lt;/FILTER&gt;&lt;/FILTERS&gt;&lt;/QUERY&gt;&lt;/QUERIES&gt;&lt;/OBJECT&gt;"/>
    <w:docVar w:name="BIP_META_DOC_TBL00042" w:val="&lt;OBJECT&gt;&lt;META&gt;&lt;ID&gt;&lt;/ID&gt;&lt;NAME&gt;DOC_TBL00042&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10.2&lt;/DATE&gt;&lt;DYNAMIZEDBY&gt;mileuma&lt;/DYNAMIZEDBY&gt;&lt;DYNAMIZEDON&gt;05/08/2019 10:25:51&lt;/DYNAMIZEDON&gt;&lt;LASTUPDATEDBY&gt;lamagvi&lt;/LASTUPDATEDBY&gt;&lt;LASTUPDATEDON&gt;6/15/2026 3:30:59 PM&lt;/LASTUPDATEDON&gt;&lt;UTC&gt;1&lt;/UTC&gt;&lt;/UPDATE&gt;&lt;QUERIES bbk=&quot;36766&quot; bbkdesc=&quot;2025 Annual Accounts/EU Annual Accounts/DC - Inventories&quot; datapro=&quot;BIP_INV&quot; tdatapro=&quot;BIP_INV&quot; author=&quot;&quot; modtime=&quot;6/15/2026 3:27:01 PM&quot; moduser=&quot;lamagvi&quot; rolluptime=&quot;&quot; syuser=&quot;lamagvi&quot; syuzeit=&quot;6/15/2026 3:27:01 PM&quot; root=&quot;/BBOOK/DATAPROVIDER[./META/PROPS/ID='BIP_INV']/DATA&quot; colcount=&quot;3&quot; rowcount=&quot;5&quot; url=&quot;&quot; dynamizeds=&quot;DM Production&quot; dynamizedstype=&quot;9&quot; refreshds=&quot;&quot; viewtype=&quot;1&quot;&gt;&lt;QUERY reftype=&quot;ABS&quot; elmntsel=&quot;TABLE&quot; bbk=&quot;36766&quot; bbkdesc=&quot;2025 Annual Accounts/EU Annual Accounts/DC - Inventories&quot; datapro=&quot;BIP_INV&quot; infos=&quot;&quot; iscomment=&quot;0&quot;&gt;&lt;SELECT&gt;/BBOOK/DATAPROVIDER[./META/PROPS/ID='BIP_INV']/DATA/ROW&lt;/SELECT&gt;&lt;FILTERS&gt;&lt;FILTER&gt;&lt;/FILTER&gt;&lt;/FILTERS&gt;&lt;/QUERY&gt;&lt;/QUERIES&gt;&lt;/OBJECT&gt;"/>
    <w:docVar w:name="BIP_META_DOC_TBL00043" w:val="&lt;OBJECT&gt;&lt;META&gt;&lt;ID&gt;&lt;/ID&gt;&lt;NAME&gt;DOC_TBL00043&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60&lt;/FLCID&gt;&lt;RELATION&gt;&lt;/RELATION&gt;&lt;LINKED&gt;&lt;/LINKED&gt;&lt;SVALUE&gt;&lt;/SVALUE&gt;&lt;INFO&gt;&lt;/INFO&gt;&lt;/META&gt;&lt;UPDATE&gt;&lt;DATE&gt;10.1.10.2&lt;/DATE&gt;&lt;DYNAMIZEDBY&gt;mileuma&lt;/DYNAMIZEDBY&gt;&lt;DYNAMIZEDON&gt;05/08/2019 10:34:46&lt;/DYNAMIZEDON&gt;&lt;LASTUPDATEDBY&gt;lamagvi&lt;/LASTUPDATEDBY&gt;&lt;LASTUPDATEDON&gt;6/15/2026 3:27:54 PM&lt;/LASTUPDATEDON&gt;&lt;UTC&gt;1&lt;/UTC&gt;&lt;/UPDATE&gt;&lt;QUERIES bbk=&quot;36767&quot; bbkdesc=&quot;2025 Annual Accounts/EU Annual Accounts/DC - Cash and cash equivalents&quot; datapro=&quot;BIP_CCE&quot; tdatapro=&quot;BIP_CCE&quot; author=&quot;&quot; modtime=&quot;6/15/2026 3:26:50 PM&quot; moduser=&quot;lamagvi&quot; rolluptime=&quot;&quot; syuser=&quot;lamagvi&quot; syuzeit=&quot;6/15/2026 3:26:50 PM&quot; root=&quot;/BBOOK/DATAPROVIDER[./META/PROPS/ID='BIP_CCE']/DATA&quot; colcount=&quot;4&quot; rowcount=&quot;17&quot; url=&quot;&quot; dynamizeds=&quot;DM Production&quot; dynamizedstype=&quot;9&quot; refreshds=&quot;&quot; viewtype=&quot;1&quot;&gt;&lt;QUERY reftype=&quot;ABS&quot; elmntsel=&quot;TABLE&quot; bbk=&quot;36767&quot; bbkdesc=&quot;2025 Annual Accounts/EU Annual Accounts/DC - Cash and cash equivalents&quot; datapro=&quot;BIP_CCE&quot; infos=&quot;&quot; iscomment=&quot;0&quot;&gt;&lt;SELECT&gt;/BBOOK/DATAPROVIDER[./META/PROPS/ID='BIP_CCE']/DATA/ROW&lt;/SELECT&gt;&lt;FILTERS&gt;&lt;FILTER&gt;&lt;/FILTER&gt;&lt;/FILTERS&gt;&lt;/QUERY&gt;&lt;/QUERIES&gt;&lt;/OBJECT&gt;"/>
    <w:docVar w:name="BIP_META_DOC_TBL00044" w:val="&lt;OBJECT&gt;&lt;META&gt;&lt;ID&gt;&lt;/ID&gt;&lt;NAME&gt;DOC_TBL00044&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05/08/2019 10:49:54&lt;/DYNAMIZEDON&gt;&lt;LASTUPDATEDBY&gt;lamagvi&lt;/LASTUPDATEDBY&gt;&lt;LASTUPDATEDON&gt;6/15/2026 3:31:02 PM&lt;/LASTUPDATEDON&gt;&lt;UTC&gt;1&lt;/UTC&gt;&lt;/UPDATE&gt;&lt;QUERIES bbk=&quot;36768&quot; bbkdesc=&quot;2025 Annual Accounts/EU Annual Accounts/DC - Pension and other employee benefits&quot; datapro=&quot;BIP_PENS1&quot; tdatapro=&quot;BIP_PENS1&quot; author=&quot;&quot; modtime=&quot;6/15/2026 3:27:59 PM&quot; moduser=&quot;lamagvi&quot; rolluptime=&quot;&quot; syuser=&quot;lamagvi&quot; syuzeit=&quot;6/15/2026 3:27:59 PM&quot; root=&quot;/BBOOK/DATAPROVIDER[./META/PROPS/ID='BIP_PENS1']/DATA&quot; colcount=&quot;6&quot; rowcount=&quot;5&quot; url=&quot;&quot; dynamizeds=&quot;DM Production&quot; dynamizedstype=&quot;9&quot; refreshds=&quot;&quot; viewtype=&quot;1&quot;&gt;&lt;QUERY reftype=&quot;ABS&quot; elmntsel=&quot;TABLE&quot; bbk=&quot;36768&quot; bbkdesc=&quot;2025 Annual Accounts/EU Annual Accounts/DC - Pension and other employee benefits&quot; datapro=&quot;BIP_PENS1&quot; infos=&quot;&quot; iscomment=&quot;0&quot;&gt;&lt;SELECT&gt;/BBOOK/DATAPROVIDER[./META/PROPS/ID='BIP_PENS1']/DATA/ROW&lt;/SELECT&gt;&lt;FILTERS&gt;&lt;FILTER&gt;&lt;/FILTER&gt;&lt;/FILTERS&gt;&lt;/QUERY&gt;&lt;/QUERIES&gt;&lt;/OBJECT&gt;"/>
    <w:docVar w:name="BIP_META_DOC_TBL00045" w:val="&lt;OBJECT&gt;&lt;META&gt;&lt;ID&gt;&lt;/ID&gt;&lt;NAME&gt;DOC_TBL00045&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05/08/2019 10:51:04&lt;/DYNAMIZEDON&gt;&lt;LASTUPDATEDBY&gt;lamagvi&lt;/LASTUPDATEDBY&gt;&lt;LASTUPDATEDON&gt;6/15/2026 3:31:02 PM&lt;/LASTUPDATEDON&gt;&lt;UTC&gt;1&lt;/UTC&gt;&lt;/UPDATE&gt;&lt;QUERIES bbk=&quot;36768&quot; bbkdesc=&quot;2025 Annual Accounts/EU Annual Accounts/DC - Pension and other employee benefits&quot; datapro=&quot;BIP_PENS2&quot; tdatapro=&quot;BIP_PENS2&quot; author=&quot;&quot; modtime=&quot;6/15/2026 3:27:59 PM&quot; moduser=&quot;lamagvi&quot; rolluptime=&quot;&quot; syuser=&quot;lamagvi&quot; syuzeit=&quot;6/15/2026 3:27:59 PM&quot; root=&quot;/BBOOK/DATAPROVIDER[./META/PROPS/ID='BIP_PENS2']/DATA&quot; colcount=&quot;5&quot; rowcount=&quot;14&quot; url=&quot;&quot; dynamizeds=&quot;DM Production&quot; dynamizedstype=&quot;9&quot; refreshds=&quot;&quot; viewtype=&quot;1&quot;&gt;&lt;QUERY reftype=&quot;ABS&quot; elmntsel=&quot;TABLE&quot; bbk=&quot;36768&quot; bbkdesc=&quot;2025 Annual Accounts/EU Annual Accounts/DC - Pension and other employee benefits&quot; datapro=&quot;BIP_PENS2&quot; infos=&quot;&quot; iscomment=&quot;0&quot;&gt;&lt;SELECT&gt;/BBOOK/DATAPROVIDER[./META/PROPS/ID='BIP_PENS2']/DATA/ROW&lt;/SELECT&gt;&lt;FILTERS&gt;&lt;FILTER&gt;&lt;/FILTER&gt;&lt;/FILTERS&gt;&lt;/QUERY&gt;&lt;/QUERIES&gt;&lt;/OBJECT&gt;"/>
    <w:docVar w:name="BIP_META_DOC_TBL00046" w:val="&lt;OBJECT&gt;&lt;META&gt;&lt;ID&gt;&lt;/ID&gt;&lt;NAME&gt;DOC_TBL00046&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05/08/2019 10:57:01&lt;/DYNAMIZEDON&gt;&lt;LASTUPDATEDBY&gt;lamagvi&lt;/LASTUPDATEDBY&gt;&lt;LASTUPDATEDON&gt;6/15/2026 3:31:02 PM&lt;/LASTUPDATEDON&gt;&lt;UTC&gt;1&lt;/UTC&gt;&lt;/UPDATE&gt;&lt;QUERIES bbk=&quot;36768&quot; bbkdesc=&quot;2025 Annual Accounts/EU Annual Accounts/DC - Pension and other employee benefits&quot; datapro=&quot;BIP_PENS3&quot; tdatapro=&quot;BIP_PENS3&quot; author=&quot;&quot; modtime=&quot;6/15/2026 3:27:59 PM&quot; moduser=&quot;lamagvi&quot; rolluptime=&quot;&quot; syuser=&quot;lamagvi&quot; syuzeit=&quot;6/15/2026 3:27:59 PM&quot; root=&quot;/BBOOK/DATAPROVIDER[./META/PROPS/ID='BIP_PENS3']/DATA&quot; colcount=&quot;4&quot; rowcount=&quot;5&quot; url=&quot;&quot; dynamizeds=&quot;DM Production&quot; dynamizedstype=&quot;9&quot; refreshds=&quot;&quot; viewtype=&quot;1&quot;&gt;&lt;QUERY reftype=&quot;ABS&quot; elmntsel=&quot;TABLE&quot; bbk=&quot;36768&quot; bbkdesc=&quot;2025 Annual Accounts/EU Annual Accounts/DC - Pension and other employee benefits&quot; datapro=&quot;BIP_PENS3&quot; infos=&quot;&quot; iscomment=&quot;0&quot;&gt;&lt;SELECT&gt;/BBOOK/DATAPROVIDER[./META/PROPS/ID='BIP_PENS3']/DATA/ROW&lt;/SELECT&gt;&lt;FILTERS&gt;&lt;FILTER&gt;&lt;/FILTER&gt;&lt;/FILTERS&gt;&lt;/QUERY&gt;&lt;/QUERIES&gt;&lt;/OBJECT&gt;"/>
    <w:docVar w:name="BIP_META_DOC_TBL00047" w:val="&lt;OBJECT&gt;&lt;META&gt;&lt;ID&gt;&lt;/ID&gt;&lt;NAME&gt;DOC_TBL00047&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05/08/2019 10:58:10&lt;/DYNAMIZEDON&gt;&lt;LASTUPDATEDBY&gt;lamagvi&lt;/LASTUPDATEDBY&gt;&lt;LASTUPDATEDON&gt;6/15/2026 3:31:02 PM&lt;/LASTUPDATEDON&gt;&lt;UTC&gt;1&lt;/UTC&gt;&lt;/UPDATE&gt;&lt;QUERIES bbk=&quot;36768&quot; bbkdesc=&quot;2025 Annual Accounts/EU Annual Accounts/DC - Pension and other employee benefits&quot; datapro=&quot;BIP_SPL&quot; tdatapro=&quot;BIP_SPL&quot; author=&quot;&quot; modtime=&quot;6/15/2026 3:27:59 PM&quot; moduser=&quot;lamagvi&quot; rolluptime=&quot;&quot; syuser=&quot;lamagvi&quot; syuzeit=&quot;6/15/2026 3:27:59 PM&quot; root=&quot;/BBOOK/DATAPROVIDER[./META/PROPS/ID='BIP_SPL']/DATA&quot; colcount=&quot;3&quot; rowcount=&quot;14&quot; url=&quot;&quot; dynamizeds=&quot;DM Production&quot; dynamizedstype=&quot;9&quot; refreshds=&quot;&quot; viewtype=&quot;1&quot;&gt;&lt;QUERY reftype=&quot;ABS&quot; elmntsel=&quot;TABLE&quot; bbk=&quot;36768&quot; bbkdesc=&quot;2025 Annual Accounts/EU Annual Accounts/DC - Pension and other employee benefits&quot; datapro=&quot;BIP_SPL&quot; infos=&quot;&quot; iscomment=&quot;0&quot;&gt;&lt;SELECT&gt;/BBOOK/DATAPROVIDER[./META/PROPS/ID='BIP_SPL']/DATA/ROW&lt;/SELECT&gt;&lt;FILTERS&gt;&lt;FILTER&gt;&lt;/FILTER&gt;&lt;/FILTERS&gt;&lt;/QUERY&gt;&lt;/QUERIES&gt;&lt;/OBJECT&gt;"/>
    <w:docVar w:name="BIP_META_DOC_TBL00048" w:val="&lt;OBJECT&gt;&lt;META&gt;&lt;ID&gt;&lt;/ID&gt;&lt;NAME&gt;DOC_TBL00048&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bournai&lt;/DYNAMIZEDBY&gt;&lt;DYNAMIZEDON&gt;29-Mar-21 7:11:05 AM&lt;/DYNAMIZEDON&gt;&lt;LASTUPDATEDBY&gt;lamagvi&lt;/LASTUPDATEDBY&gt;&lt;LASTUPDATEDON&gt;6/15/2026 3:31:02 PM&lt;/LASTUPDATEDON&gt;&lt;UTC&gt;1&lt;/UTC&gt;&lt;/UPDATE&gt;&lt;QUERIES bbk=&quot;36768&quot; bbkdesc=&quot;2025 Annual Accounts/EU Annual Accounts/DC - Pension and other employee benefits&quot; datapro=&quot;BIP_PENS10&quot; tdatapro=&quot;BIP_PENS10&quot; author=&quot;&quot; modtime=&quot;6/15/2026 3:27:59 PM&quot; moduser=&quot;lamagvi&quot; rolluptime=&quot;&quot; syuser=&quot;lamagvi&quot; syuzeit=&quot;6/15/2026 3:27:59 PM&quot; root=&quot;/BBOOK/DATAPROVIDER[./META/PROPS/ID='BIP_PENS10']/DATA&quot; colcount=&quot;5&quot; rowcount=&quot;4&quot; url=&quot;&quot; dynamizeds=&quot;DM Production&quot; dynamizedstype=&quot;9&quot; refreshds=&quot;&quot; viewtype=&quot;1&quot;&gt;&lt;QUERY reftype=&quot;ABS&quot; elmntsel=&quot;TABLE&quot; bbk=&quot;36768&quot; bbkdesc=&quot;2025 Annual Accounts/EU Annual Accounts/DC - Pension and other employee benefits&quot; datapro=&quot;BIP_PENS10&quot; infos=&quot;&quot; iscomment=&quot;0&quot;&gt;&lt;SELECT&gt;/BBOOK/DATAPROVIDER[./META/PROPS/ID='BIP_PENS10']/DATA/ROW&lt;/SELECT&gt;&lt;FILTERS&gt;&lt;FILTER&gt;&lt;/FILTER&gt;&lt;/FILTERS&gt;&lt;/QUERY&gt;&lt;/QUERIES&gt;&lt;/OBJECT&gt;"/>
    <w:docVar w:name="BIP_META_DOC_TBL00049" w:val="&lt;OBJECT&gt;&lt;META&gt;&lt;ID&gt;&lt;/ID&gt;&lt;NAME&gt;DOC_TBL00049&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05/08/2019 11:06:54&lt;/DYNAMIZEDON&gt;&lt;LASTUPDATEDBY&gt;lamagvi&lt;/LASTUPDATEDBY&gt;&lt;LASTUPDATEDON&gt;6/15/2026 3:31:02 PM&lt;/LASTUPDATEDON&gt;&lt;UTC&gt;1&lt;/UTC&gt;&lt;/UPDATE&gt;&lt;QUERIES bbk=&quot;36768&quot; bbkdesc=&quot;2025 Annual Accounts/EU Annual Accounts/DC - Pension and other employee benefits&quot; datapro=&quot;BIP_PENS11&quot; tdatapro=&quot;BIP_PENS11&quot; author=&quot;&quot; modtime=&quot;6/15/2026 3:27:59 PM&quot; moduser=&quot;lamagvi&quot; rolluptime=&quot;&quot; syuser=&quot;lamagvi&quot; syuzeit=&quot;6/15/2026 3:27:59 PM&quot; root=&quot;/BBOOK/DATAPROVIDER[./META/PROPS/ID='BIP_PENS11']/DATA&quot; colcount=&quot;5&quot; rowcount=&quot;4&quot; url=&quot;&quot; dynamizeds=&quot;DM Production&quot; dynamizedstype=&quot;9&quot; refreshds=&quot;&quot; viewtype=&quot;1&quot;&gt;&lt;QUERY reftype=&quot;ABS&quot; elmntsel=&quot;TABLE&quot; bbk=&quot;36768&quot; bbkdesc=&quot;2025 Annual Accounts/EU Annual Accounts/DC - Pension and other employee benefits&quot; datapro=&quot;BIP_PENS11&quot; infos=&quot;&quot; iscomment=&quot;0&quot;&gt;&lt;SELECT&gt;/BBOOK/DATAPROVIDER[./META/PROPS/ID='BIP_PENS11']/DATA/ROW&lt;/SELECT&gt;&lt;FILTERS&gt;&lt;FILTER&gt;&lt;/FILTER&gt;&lt;/FILTERS&gt;&lt;/QUERY&gt;&lt;/QUERIES&gt;&lt;/OBJECT&gt;"/>
    <w:docVar w:name="BIP_META_DOC_TBL00050" w:val="&lt;OBJECT&gt;&lt;META&gt;&lt;ID&gt;&lt;/ID&gt;&lt;NAME&gt;DOC_TBL00050&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05/08/2019 11:07:36&lt;/DYNAMIZEDON&gt;&lt;LASTUPDATEDBY&gt;lamagvi&lt;/LASTUPDATEDBY&gt;&lt;LASTUPDATEDON&gt;6/15/2026 3:31:02 PM&lt;/LASTUPDATEDON&gt;&lt;UTC&gt;1&lt;/UTC&gt;&lt;/UPDATE&gt;&lt;QUERIES bbk=&quot;36768&quot; bbkdesc=&quot;2025 Annual Accounts/EU Annual Accounts/DC - Pension and other employee benefits&quot; datapro=&quot;BIP_PENS12&quot; tdatapro=&quot;BIP_PENS12&quot; author=&quot;&quot; modtime=&quot;6/15/2026 3:27:59 PM&quot; moduser=&quot;lamagvi&quot; rolluptime=&quot;&quot; syuser=&quot;lamagvi&quot; syuzeit=&quot;6/15/2026 3:27:59 PM&quot; root=&quot;/BBOOK/DATAPROVIDER[./META/PROPS/ID='BIP_PENS12']/DATA&quot; colcount=&quot;5&quot; rowcount=&quot;4&quot; url=&quot;&quot; dynamizeds=&quot;DM Production&quot; dynamizedstype=&quot;9&quot; refreshds=&quot;&quot; viewtype=&quot;1&quot;&gt;&lt;QUERY reftype=&quot;ABS&quot; elmntsel=&quot;TABLE&quot; bbk=&quot;36768&quot; bbkdesc=&quot;2025 Annual Accounts/EU Annual Accounts/DC - Pension and other employee benefits&quot; datapro=&quot;BIP_PENS12&quot; infos=&quot;&quot; iscomment=&quot;0&quot;&gt;&lt;SELECT&gt;/BBOOK/DATAPROVIDER[./META/PROPS/ID='BIP_PENS12']/DATA/ROW&lt;/SELECT&gt;&lt;FILTERS&gt;&lt;FILTER&gt;&lt;/FILTER&gt;&lt;/FILTERS&gt;&lt;/QUERY&gt;&lt;/QUERIES&gt;&lt;/OBJECT&gt;"/>
    <w:docVar w:name="BIP_META_DOC_TBL00051" w:val="&lt;OBJECT&gt;&lt;META&gt;&lt;ID&gt;&lt;/ID&gt;&lt;NAME&gt;DOC_TBL00051&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05/08/2019 10:59:53&lt;/DYNAMIZEDON&gt;&lt;LASTUPDATEDBY&gt;lamagvi&lt;/LASTUPDATEDBY&gt;&lt;LASTUPDATEDON&gt;6/15/2026 3:31:02 PM&lt;/LASTUPDATEDON&gt;&lt;UTC&gt;1&lt;/UTC&gt;&lt;/UPDATE&gt;&lt;QUERIES bbk=&quot;36768&quot; bbkdesc=&quot;2025 Annual Accounts/EU Annual Accounts/DC - Pension and other employee benefits&quot; datapro=&quot;BIP_PENS6&quot; tdatapro=&quot;BIP_PENS6&quot; author=&quot;&quot; modtime=&quot;6/15/2026 3:27:59 PM&quot; moduser=&quot;lamagvi&quot; rolluptime=&quot;&quot; syuser=&quot;lamagvi&quot; syuzeit=&quot;6/15/2026 3:27:59 PM&quot; root=&quot;/BBOOK/DATAPROVIDER[./META/PROPS/ID='BIP_PENS6']/DATA&quot; colcount=&quot;5&quot; rowcount=&quot;5&quot; url=&quot;&quot; dynamizeds=&quot;DM Production&quot; dynamizedstype=&quot;9&quot; refreshds=&quot;&quot; viewtype=&quot;1&quot;&gt;&lt;QUERY reftype=&quot;ABS&quot; elmntsel=&quot;TABLE&quot; bbk=&quot;36768&quot; bbkdesc=&quot;2025 Annual Accounts/EU Annual Accounts/DC - Pension and other employee benefits&quot; datapro=&quot;BIP_PENS6&quot; infos=&quot;&quot; iscomment=&quot;0&quot;&gt;&lt;SELECT&gt;/BBOOK/DATAPROVIDER[./META/PROPS/ID='BIP_PENS6']/DATA/ROW&lt;/SELECT&gt;&lt;FILTERS&gt;&lt;FILTER&gt;&lt;/FILTER&gt;&lt;/FILTERS&gt;&lt;/QUERY&gt;&lt;/QUERIES&gt;&lt;/OBJECT&gt;"/>
    <w:docVar w:name="BIP_META_DOC_TBL00052" w:val="&lt;OBJECT&gt;&lt;META&gt;&lt;ID&gt;&lt;/ID&gt;&lt;NAME&gt;DOC_TBL00052&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05/08/2019 11:00:50&lt;/DYNAMIZEDON&gt;&lt;LASTUPDATEDBY&gt;lamagvi&lt;/LASTUPDATEDBY&gt;&lt;LASTUPDATEDON&gt;6/15/2026 3:31:02 PM&lt;/LASTUPDATEDON&gt;&lt;UTC&gt;1&lt;/UTC&gt;&lt;/UPDATE&gt;&lt;QUERIES bbk=&quot;36768&quot; bbkdesc=&quot;2025 Annual Accounts/EU Annual Accounts/DC - Pension and other employee benefits&quot; datapro=&quot;BIP_PENS7&quot; tdatapro=&quot;BIP_PENS7&quot; author=&quot;&quot; modtime=&quot;6/15/2026 3:27:59 PM&quot; moduser=&quot;lamagvi&quot; rolluptime=&quot;&quot; syuser=&quot;lamagvi&quot; syuzeit=&quot;6/15/2026 3:27:59 PM&quot; root=&quot;/BBOOK/DATAPROVIDER[./META/PROPS/ID='BIP_PENS7']/DATA&quot; colcount=&quot;5&quot; rowcount=&quot;4&quot; url=&quot;&quot; dynamizeds=&quot;DM Production&quot; dynamizedstype=&quot;9&quot; refreshds=&quot;&quot; viewtype=&quot;1&quot;&gt;&lt;QUERY reftype=&quot;ABS&quot; elmntsel=&quot;TABLE&quot; bbk=&quot;36768&quot; bbkdesc=&quot;2025 Annual Accounts/EU Annual Accounts/DC - Pension and other employee benefits&quot; datapro=&quot;BIP_PENS7&quot; infos=&quot;&quot; iscomment=&quot;0&quot;&gt;&lt;SELECT&gt;/BBOOK/DATAPROVIDER[./META/PROPS/ID='BIP_PENS7']/DATA/ROW&lt;/SELECT&gt;&lt;FILTERS&gt;&lt;FILTER&gt;&lt;/FILTER&gt;&lt;/FILTERS&gt;&lt;/QUERY&gt;&lt;/QUERIES&gt;&lt;/OBJECT&gt;"/>
    <w:docVar w:name="BIP_META_DOC_TBL00053" w:val="&lt;OBJECT&gt;&lt;META&gt;&lt;ID&gt;&lt;/ID&gt;&lt;NAME&gt;DOC_TBL00053&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05/08/2019 11:01:31&lt;/DYNAMIZEDON&gt;&lt;LASTUPDATEDBY&gt;lamagvi&lt;/LASTUPDATEDBY&gt;&lt;LASTUPDATEDON&gt;6/15/2026 3:31:02 PM&lt;/LASTUPDATEDON&gt;&lt;UTC&gt;1&lt;/UTC&gt;&lt;/UPDATE&gt;&lt;QUERIES bbk=&quot;36768&quot; bbkdesc=&quot;2025 Annual Accounts/EU Annual Accounts/DC - Pension and other employee benefits&quot; datapro=&quot;BIP_PENS8&quot; tdatapro=&quot;BIP_PENS8&quot; author=&quot;&quot; modtime=&quot;6/15/2026 3:27:59 PM&quot; moduser=&quot;lamagvi&quot; rolluptime=&quot;&quot; syuser=&quot;lamagvi&quot; syuzeit=&quot;6/15/2026 3:27:59 PM&quot; root=&quot;/BBOOK/DATAPROVIDER[./META/PROPS/ID='BIP_PENS8']/DATA&quot; colcount=&quot;5&quot; rowcount=&quot;4&quot; url=&quot;&quot; dynamizeds=&quot;DM Production&quot; dynamizedstype=&quot;9&quot; refreshds=&quot;&quot; viewtype=&quot;1&quot;&gt;&lt;QUERY reftype=&quot;ABS&quot; elmntsel=&quot;TABLE&quot; bbk=&quot;36768&quot; bbkdesc=&quot;2025 Annual Accounts/EU Annual Accounts/DC - Pension and other employee benefits&quot; datapro=&quot;BIP_PENS8&quot; infos=&quot;&quot; iscomment=&quot;0&quot;&gt;&lt;SELECT&gt;/BBOOK/DATAPROVIDER[./META/PROPS/ID='BIP_PENS8']/DATA/ROW&lt;/SELECT&gt;&lt;FILTERS&gt;&lt;FILTER&gt;&lt;/FILTER&gt;&lt;/FILTERS&gt;&lt;/QUERY&gt;&lt;/QUERIES&gt;&lt;/OBJECT&gt;"/>
    <w:docVar w:name="BIP_META_DOC_TBL00054" w:val="&lt;OBJECT&gt;&lt;META&gt;&lt;ID&gt;&lt;/ID&gt;&lt;NAME&gt;DOC_TBL00054&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05/08/2019 11:02:15&lt;/DYNAMIZEDON&gt;&lt;LASTUPDATEDBY&gt;lamagvi&lt;/LASTUPDATEDBY&gt;&lt;LASTUPDATEDON&gt;6/15/2026 3:31:02 PM&lt;/LASTUPDATEDON&gt;&lt;UTC&gt;1&lt;/UTC&gt;&lt;/UPDATE&gt;&lt;QUERIES bbk=&quot;36768&quot; bbkdesc=&quot;2025 Annual Accounts/EU Annual Accounts/DC - Pension and other employee benefits&quot; datapro=&quot;BIP_PENS9&quot; tdatapro=&quot;BIP_PENS9&quot; author=&quot;&quot; modtime=&quot;6/15/2026 3:27:59 PM&quot; moduser=&quot;lamagvi&quot; rolluptime=&quot;&quot; syuser=&quot;lamagvi&quot; syuzeit=&quot;6/15/2026 3:27:59 PM&quot; root=&quot;/BBOOK/DATAPROVIDER[./META/PROPS/ID='BIP_PENS9']/DATA&quot; colcount=&quot;5&quot; rowcount=&quot;4&quot; url=&quot;&quot; dynamizeds=&quot;DM Production&quot; dynamizedstype=&quot;9&quot; refreshds=&quot;&quot; viewtype=&quot;1&quot;&gt;&lt;QUERY reftype=&quot;ABS&quot; elmntsel=&quot;TABLE&quot; bbk=&quot;36768&quot; bbkdesc=&quot;2025 Annual Accounts/EU Annual Accounts/DC - Pension and other employee benefits&quot; datapro=&quot;BIP_PENS9&quot; infos=&quot;&quot; iscomment=&quot;0&quot;&gt;&lt;SELECT&gt;/BBOOK/DATAPROVIDER[./META/PROPS/ID='BIP_PENS9']/DATA/ROW&lt;/SELECT&gt;&lt;FILTERS&gt;&lt;FILTER&gt;&lt;/FILTER&gt;&lt;/FILTERS&gt;&lt;/QUERY&gt;&lt;/QUERIES&gt;&lt;/OBJECT&gt;"/>
    <w:docVar w:name="BIP_META_DOC_TBL00055" w:val="&lt;OBJECT&gt;&lt;META&gt;&lt;ID&gt;&lt;/ID&gt;&lt;NAME&gt;DOC_TBL00055&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05/08/2019 11:14:47&lt;/DYNAMIZEDON&gt;&lt;LASTUPDATEDBY&gt;lamagvi&lt;/LASTUPDATEDBY&gt;&lt;LASTUPDATEDON&gt;6/15/2026 3:31:04 PM&lt;/LASTUPDATEDON&gt;&lt;UTC&gt;1&lt;/UTC&gt;&lt;/UPDATE&gt;&lt;QUERIES bbk=&quot;36769&quot; bbkdesc=&quot;2025 Annual Accounts/EU Annual Accounts/DC - Provisions&quot; datapro=&quot;BIP_PROV&quot; tdatapro=&quot;BIP_PROV&quot; author=&quot;&quot; modtime=&quot;6/15/2026 3:28:00 PM&quot; moduser=&quot;lamagvi&quot; rolluptime=&quot;&quot; syuser=&quot;lamagvi&quot; syuzeit=&quot;6/15/2026 3:28:00 PM&quot; root=&quot;/BBOOK/DATAPROVIDER[./META/PROPS/ID='BIP_PROV']/DATA&quot; colcount=&quot;8&quot; rowcount=&quot;12&quot; url=&quot;&quot; dynamizeds=&quot;DM Production&quot; dynamizedstype=&quot;9&quot; refreshds=&quot;&quot; viewtype=&quot;1&quot;&gt;&lt;QUERY reftype=&quot;ABS&quot; elmntsel=&quot;TABLE&quot; bbk=&quot;36769&quot; bbkdesc=&quot;2025 Annual Accounts/EU Annual Accounts/DC - Provisions&quot; datapro=&quot;BIP_PROV&quot; infos=&quot;&quot; iscomment=&quot;0&quot;&gt;&lt;SELECT&gt;/BBOOK/DATAPROVIDER[./META/PROPS/ID='BIP_PROV']/DATA/ROW&lt;/SELECT&gt;&lt;FILTERS&gt;&lt;FILTER&gt;&lt;/FILTER&gt;&lt;/FILTERS&gt;&lt;/QUERY&gt;&lt;/QUERIES&gt;&lt;/OBJECT&gt;"/>
    <w:docVar w:name="BIP_META_DOC_TBL00056" w:val="&lt;OBJECT&gt;&lt;META&gt;&lt;ID&gt;&lt;/ID&gt;&lt;NAME&gt;DOC_TBL00056&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nistocr&lt;/DYNAMIZEDBY&gt;&lt;DYNAMIZEDON&gt;07/12/2021 12:14:26&lt;/DYNAMIZEDON&gt;&lt;LASTUPDATEDBY&gt;lamagvi&lt;/LASTUPDATEDBY&gt;&lt;LASTUPDATEDON&gt;6/15/2026 3:30:53 PM&lt;/LASTUPDATEDON&gt;&lt;UTC&gt;1&lt;/UTC&gt;&lt;/UPDATE&gt;&lt;QUERIES bbk=&quot;36770&quot; bbkdesc=&quot;2025 Annual Accounts/EU Annual Accounts/DC - Financial liabilities&quot; datapro=&quot;BIP_FINL&quot; tdatapro=&quot;BIP_FINL&quot; author=&quot;&quot; modtime=&quot;6/15/2026 3:26:58 PM&quot; moduser=&quot;lamagvi&quot; rolluptime=&quot;&quot; syuser=&quot;lamagvi&quot; syuzeit=&quot;6/15/2026 3:26:58 PM&quot; root=&quot;/BBOOK/DATAPROVIDER[./META/PROPS/ID='BIP_FINL']/DATA&quot; colcount=&quot;4&quot; rowcount=&quot;13&quot; url=&quot;&quot; dynamizeds=&quot;DM Production&quot; dynamizedstype=&quot;9&quot; refreshds=&quot;&quot; viewtype=&quot;1&quot;&gt;&lt;QUERY reftype=&quot;ABS&quot; elmntsel=&quot;TABLE&quot; bbk=&quot;36770&quot; bbkdesc=&quot;2025 Annual Accounts/EU Annual Accounts/DC - Financial liabilities&quot; datapro=&quot;BIP_FINL&quot; infos=&quot;&quot; iscomment=&quot;0&quot;&gt;&lt;SELECT&gt;/BBOOK/DATAPROVIDER[./META/PROPS/ID='BIP_FINL']/DATA/ROW&lt;/SELECT&gt;&lt;FILTERS&gt;&lt;FILTER&gt;&lt;/FILTER&gt;&lt;/FILTERS&gt;&lt;/QUERY&gt;&lt;/QUERIES&gt;&lt;/OBJECT&gt;"/>
    <w:docVar w:name="BIP_META_DOC_TBL00057" w:val="&lt;OBJECT&gt;&lt;META&gt;&lt;ID&gt;&lt;/ID&gt;&lt;NAME&gt;DOC_TBL00057&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nistocr&lt;/DYNAMIZEDBY&gt;&lt;DYNAMIZEDON&gt;07/12/2021 11:41:13&lt;/DYNAMIZEDON&gt;&lt;LASTUPDATEDBY&gt;lamagvi&lt;/LASTUPDATEDBY&gt;&lt;LASTUPDATEDON&gt;6/15/2026 3:30:53 PM&lt;/LASTUPDATEDON&gt;&lt;UTC&gt;1&lt;/UTC&gt;&lt;/UPDATE&gt;&lt;QUERIES bbk=&quot;36770&quot; bbkdesc=&quot;2025 Annual Accounts/EU Annual Accounts/DC - Financial liabilities&quot; datapro=&quot;BIP_BORR&quot; tdatapro=&quot;BIP_BORR&quot; author=&quot;&quot; modtime=&quot;6/15/2026 3:26:58 PM&quot; moduser=&quot;lamagvi&quot; rolluptime=&quot;&quot; syuser=&quot;lamagvi&quot; syuzeit=&quot;6/15/2026 3:26:58 PM&quot; root=&quot;/BBOOK/DATAPROVIDER[./META/PROPS/ID='BIP_BORR']/DATA&quot; colcount=&quot;4&quot; rowcount=&quot;7&quot; url=&quot;&quot; dynamizeds=&quot;DM Production&quot; dynamizedstype=&quot;9&quot; refreshds=&quot;&quot; viewtype=&quot;1&quot;&gt;&lt;QUERY reftype=&quot;ABS&quot; elmntsel=&quot;TABLE&quot; bbk=&quot;36770&quot; bbkdesc=&quot;2025 Annual Accounts/EU Annual Accounts/DC - Financial liabilities&quot; datapro=&quot;BIP_BORR&quot; infos=&quot;&quot; iscomment=&quot;0&quot;&gt;&lt;SELECT&gt;/BBOOK/DATAPROVIDER[./META/PROPS/ID='BIP_BORR']/DATA/ROW&lt;/SELECT&gt;&lt;FILTERS&gt;&lt;FILTER&gt;&lt;/FILTER&gt;&lt;/FILTERS&gt;&lt;/QUERY&gt;&lt;/QUERIES&gt;&lt;/OBJECT&gt;"/>
    <w:docVar w:name="BIP_META_DOC_TBL00058" w:val="&lt;OBJECT&gt;&lt;META&gt;&lt;ID&gt;&lt;/ID&gt;&lt;NAME&gt;DOC_TBL00058&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piperar&lt;/DYNAMIZEDBY&gt;&lt;DYNAMIZEDON&gt;21-03-2025 14:32:34&lt;/DYNAMIZEDON&gt;&lt;LASTUPDATEDBY&gt;lamagvi&lt;/LASTUPDATEDBY&gt;&lt;LASTUPDATEDON&gt;6/15/2026 3:30:53 PM&lt;/LASTUPDATEDON&gt;&lt;UTC&gt;1&lt;/UTC&gt;&lt;/UPDATE&gt;&lt;QUERIES bbk=&quot;36633&quot; bbkdesc=&quot;2025 Annual Accounts/EC Annual Accounts/DC - Financial liabilities&quot; datapro=&quot;BIP_LGFBF&quot; tdatapro=&quot;BIP_LGFBF&quot; author=&quot;&quot; modtime=&quot;6/15/2026 3:06:54 PM&quot; moduser=&quot;lamagvi&quot; rolluptime=&quot;&quot; syuser=&quot;lamagvi&quot; syuzeit=&quot;6/15/2026 3:06:54 PM&quot; root=&quot;/BBOOK/DATAPROVIDER[./META/PROPS/ID='BIP_LGFBF']/DATA&quot; colcount=&quot;8&quot; rowcount=&quot;10&quot; url=&quot;&quot; dynamizeds=&quot;DM Production&quot; dynamizedstype=&quot;9&quot; refreshds=&quot;&quot; viewtype=&quot;1&quot;&gt;&lt;QUERY reftype=&quot;ABS&quot; elmntsel=&quot;TABLE&quot; bbk=&quot;36633&quot; bbkdesc=&quot;2025 Annual Accounts/EC Annual Accounts/DC - Financial liabilities&quot; datapro=&quot;BIP_LGFBF&quot; infos=&quot;&quot; iscomment=&quot;0&quot;&gt;&lt;SELECT&gt;/BBOOK/DATAPROVIDER[./META/PROPS/ID='BIP_LGFBF']/DATA/ROW&lt;/SELECT&gt;&lt;FILTERS&gt;&lt;FILTER&gt;&lt;/FILTER&gt;&lt;/FILTERS&gt;&lt;/QUERY&gt;&lt;/QUERIES&gt;&lt;/OBJECT&gt;"/>
    <w:docVar w:name="BIP_META_DOC_TBL00059" w:val="&lt;OBJECT&gt;&lt;META&gt;&lt;ID&gt;&lt;/ID&gt;&lt;NAME&gt;DOC_TBL00059&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airamgo&lt;/DYNAMIZEDBY&gt;&lt;DYNAMIZEDON&gt;28/01/2026 14:46:31&lt;/DYNAMIZEDON&gt;&lt;LASTUPDATEDBY&gt;lamagvi&lt;/LASTUPDATEDBY&gt;&lt;LASTUPDATEDON&gt;6/15/2026 3:30:53 PM&lt;/LASTUPDATEDON&gt;&lt;UTC&gt;1&lt;/UTC&gt;&lt;/UPDATE&gt;&lt;QUERIES bbk=&quot;36770&quot; bbkdesc=&quot;2025 Annual Accounts/EU Annual Accounts/DC - Financial liabilities&quot; datapro=&quot;BIP_OthFinanL&quot; tdatapro=&quot;BIP_OthFinanL&quot; author=&quot;&quot; modtime=&quot;6/15/2026 3:26:58 PM&quot; moduser=&quot;lamagvi&quot; rolluptime=&quot;&quot; syuser=&quot;lamagvi&quot; syuzeit=&quot;6/15/2026 3:26:58 PM&quot; root=&quot;/BBOOK/DATAPROVIDER[./META/PROPS/ID='BIP_OthFinanL']/DATA&quot; colcount=&quot;3&quot; rowcount=&quot;15&quot; url=&quot;&quot; dynamizeds=&quot;DM Production&quot; dynamizedstype=&quot;9&quot; refreshds=&quot;&quot; viewtype=&quot;1&quot;&gt;&lt;QUERY reftype=&quot;ABS&quot; elmntsel=&quot;TABLE&quot; bbk=&quot;36770&quot; bbkdesc=&quot;2025 Annual Accounts/EU Annual Accounts/DC - Financial liabilities&quot; datapro=&quot;BIP_OthFinanL&quot; infos=&quot;&quot; iscomment=&quot;0&quot;&gt;&lt;SELECT&gt;/BBOOK/DATAPROVIDER[./META/PROPS/ID='BIP_OthFinanL']/DATA/ROW&lt;/SELECT&gt;&lt;FILTERS&gt;&lt;FILTER&gt;&lt;/FILTER&gt;&lt;/FILTERS&gt;&lt;/QUERY&gt;&lt;/QUERIES&gt;&lt;/OBJECT&gt;"/>
    <w:docVar w:name="BIP_META_DOC_TBL00060" w:val="&lt;OBJECT&gt;&lt;META&gt;&lt;ID&gt;&lt;/ID&gt;&lt;NAME&gt;DOC_TBL00060&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mileuma&lt;/DYNAMIZEDBY&gt;&lt;DYNAMIZEDON&gt;05/08/2019 11:45:47&lt;/DYNAMIZEDON&gt;&lt;LASTUPDATEDBY&gt;lamagvi&lt;/LASTUPDATEDBY&gt;&lt;LASTUPDATEDON&gt;6/15/2026 3:30:53 PM&lt;/LASTUPDATEDON&gt;&lt;UTC&gt;1&lt;/UTC&gt;&lt;/UPDATE&gt;&lt;QUERIES bbk=&quot;36772&quot; bbkdesc=&quot;2025 Annual Accounts/EU Annual Accounts/DC - Finance Lease liabilities&quot; datapro=&quot;BIP_FL&quot; tdatapro=&quot;BIP_FL&quot; author=&quot;&quot; modtime=&quot;6/15/2026 3:26:57 PM&quot; moduser=&quot;lamagvi&quot; rolluptime=&quot;&quot; syuser=&quot;lamagvi&quot; syuzeit=&quot;6/15/2026 3:26:57 PM&quot; root=&quot;/BBOOK/DATAPROVIDER[./META/PROPS/ID='BIP_FL']/DATA&quot; colcount=&quot;5&quot; rowcount=&quot;9&quot; url=&quot;&quot; dynamizeds=&quot;DM Production&quot; dynamizedstype=&quot;9&quot; refreshds=&quot;&quot; viewtype=&quot;1&quot;&gt;&lt;QUERY reftype=&quot;ABS&quot; elmntsel=&quot;TABLE&quot; bbk=&quot;36772&quot; bbkdesc=&quot;2025 Annual Accounts/EU Annual Accounts/DC - Finance Lease liabilities&quot; datapro=&quot;BIP_FL&quot; infos=&quot;&quot; iscomment=&quot;0&quot;&gt;&lt;SELECT&gt;/BBOOK/DATAPROVIDER[./META/PROPS/ID='BIP_FL']/DATA/ROW&lt;/SELECT&gt;&lt;FILTERS&gt;&lt;FILTER&gt;&lt;/FILTER&gt;&lt;/FILTERS&gt;&lt;/QUERY&gt;&lt;/QUERIES&gt;&lt;/OBJECT&gt;"/>
    <w:docVar w:name="BIP_META_DOC_TBL00061" w:val="&lt;OBJECT&gt;&lt;META&gt;&lt;ID&gt;&lt;/ID&gt;&lt;NAME&gt;DOC_TBL00061&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nistocr&lt;/DYNAMIZEDBY&gt;&lt;DYNAMIZEDON&gt;3/24/2022 8:17:58 AM&lt;/DYNAMIZEDON&gt;&lt;LASTUPDATEDBY&gt;lamagvi&lt;/LASTUPDATEDBY&gt;&lt;LASTUPDATEDON&gt;6/15/2026 3:30:53 PM&lt;/LASTUPDATEDON&gt;&lt;UTC&gt;1&lt;/UTC&gt;&lt;/UPDATE&gt;&lt;QUERIES bbk=&quot;36633&quot; bbkdesc=&quot;2025 Annual Accounts/EC Annual Accounts/DC - Financial liabilities&quot; datapro=&quot;BIP_FGL&quot; tdatapro=&quot;BIP_FGL&quot; author=&quot;&quot; modtime=&quot;3/23/2022 6:54:14 PM&quot; moduser=&quot;piperar&quot; rolluptime=&quot;&quot; syuser=&quot;piperar&quot; syuzeit=&quot;3/23/2022 6:54:14 PM&quot; root=&quot;/DATA&quot; colcount=&quot;5&quot; rowcount=&quot;19&quot; url=&quot;&quot; dynamizeds=&quot;DM Production&quot; dynamizedstype=&quot;9&quot; refreshds=&quot;&quot; viewtype=&quot;1&quot;&gt;&lt;QUERY reftype=&quot;ABS&quot; elmntsel=&quot;TABLE&quot; bbk=&quot;36633&quot; bbkdesc=&quot;2025 Annual Accounts/EC Annual Accounts/DC - Financial liabilities&quot; datapro=&quot;BIP_FGL&quot; infos=&quot;&quot; iscomment=&quot;0&quot;&gt;&lt;SELECT&gt;/BBOOK/DATAPROVIDER[./META/PROPS/ID='BIP_FGL']/DATA/ROW&lt;/SELECT&gt;&lt;FILTERS&gt;&lt;FILTER&gt;&lt;/FILTER&gt;&lt;/FILTERS&gt;&lt;/QUERY&gt;&lt;/QUERIES&gt;&lt;/OBJECT&gt;"/>
    <w:docVar w:name="BIP_META_DOC_TBL00062" w:val="&lt;OBJECT&gt;&lt;META&gt;&lt;ID&gt;&lt;/ID&gt;&lt;NAME&gt;DOC_TBL00062&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05/08/2019 12:17:01&lt;/DYNAMIZEDON&gt;&lt;LASTUPDATEDBY&gt;lamagvi&lt;/LASTUPDATEDBY&gt;&lt;LASTUPDATEDON&gt;6/15/2026 3:31:01 PM&lt;/LASTUPDATEDON&gt;&lt;UTC&gt;1&lt;/UTC&gt;&lt;/UPDATE&gt;&lt;QUERIES bbk=&quot;36748&quot; bbkdesc=&quot;2025 Annual Accounts/EU Annual Accounts/DC - Payables&quot; datapro=&quot;BIP_PAYAB&quot; tdatapro=&quot;BIP_PAYAB&quot; author=&quot;&quot; modtime=&quot;6/15/2026 3:27:58 PM&quot; moduser=&quot;lamagvi&quot; rolluptime=&quot;&quot; syuser=&quot;lamagvi&quot; syuzeit=&quot;6/15/2026 3:27:58 PM&quot; root=&quot;/BBOOK/DATAPROVIDER[./META/PROPS/ID='BIP_PAYAB']/DATA&quot; colcount=&quot;7&quot; rowcount=&quot;16&quot; url=&quot;&quot; dynamizeds=&quot;DM Production&quot; dynamizedstype=&quot;9&quot; refreshds=&quot;&quot; viewtype=&quot;1&quot;&gt;&lt;QUERY reftype=&quot;ABS&quot; elmntsel=&quot;TABLE&quot; bbk=&quot;36748&quot; bbkdesc=&quot;2025 Annual Accounts/EU Annual Accounts/DC - Payables&quot; datapro=&quot;BIP_PAYAB&quot; infos=&quot;&quot; iscomment=&quot;0&quot;&gt;&lt;SELECT&gt;/BBOOK/DATAPROVIDER[./META/PROPS/ID='BIP_PAYAB']/DATA/ROW&lt;/SELECT&gt;&lt;FILTERS&gt;&lt;FILTER&gt;&lt;/FILTER&gt;&lt;/FILTERS&gt;&lt;/QUERY&gt;&lt;/QUERIES&gt;&lt;/OBJECT&gt;"/>
    <w:docVar w:name="BIP_META_DOC_TBL00063" w:val="&lt;OBJECT&gt;&lt;META&gt;&lt;ID&gt;&lt;/ID&gt;&lt;NAME&gt;DOC_TBL00063&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preutan&lt;/DYNAMIZEDBY&gt;&lt;DYNAMIZEDON&gt;25-03-2021 19:42:18&lt;/DYNAMIZEDON&gt;&lt;LASTUPDATEDBY&gt;lamagvi&lt;/LASTUPDATEDBY&gt;&lt;LASTUPDATEDON&gt;6/15/2026 3:27:52 PM&lt;/LASTUPDATEDON&gt;&lt;UTC&gt;1&lt;/UTC&gt;&lt;/UPDATE&gt;&lt;QUERIES bbk=&quot;36773&quot; bbkdesc=&quot;2025 Annual Accounts/EU Annual Accounts/DC - Accrued charges and Deferred income&quot; datapro=&quot;BIP_ACCDEF&quot; tdatapro=&quot;BIP_ACCDEF&quot; author=&quot;&quot; modtime=&quot;6/15/2026 3:26:48 PM&quot; moduser=&quot;lamagvi&quot; rolluptime=&quot;&quot; syuser=&quot;lamagvi&quot; syuzeit=&quot;6/15/2026 3:26:48 PM&quot; root=&quot;/BBOOK/DATAPROVIDER[./META/PROPS/ID='BIP_ACCDEF']/DATA&quot; colcount=&quot;3&quot; rowcount=&quot;6&quot; url=&quot;&quot; dynamizeds=&quot;DM Production&quot; dynamizedstype=&quot;9&quot; refreshds=&quot;&quot; viewtype=&quot;1&quot;&gt;&lt;QUERY reftype=&quot;ABS&quot; elmntsel=&quot;TABLE&quot; bbk=&quot;36773&quot; bbkdesc=&quot;2025 Annual Accounts/EU Annual Accounts/DC - Accrued charges and Deferred income&quot; datapro=&quot;BIP_ACCDEF&quot; infos=&quot;&quot; iscomment=&quot;0&quot;&gt;&lt;SELECT&gt;/BBOOK/DATAPROVIDER[./META/PROPS/ID='BIP_ACCDEF']/DATA/ROW&lt;/SELECT&gt;&lt;FILTERS&gt;&lt;FILTER&gt;&lt;/FILTER&gt;&lt;/FILTERS&gt;&lt;/QUERY&gt;&lt;/QUERIES&gt;&lt;/OBJECT&gt;"/>
    <w:docVar w:name="BIP_META_DOC_TBL00064" w:val="&lt;OBJECT&gt;&lt;META&gt;&lt;ID&gt;&lt;/ID&gt;&lt;NAME&gt;DOC_TBL00064&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05/08/2019 12:32:03&lt;/DYNAMIZEDON&gt;&lt;LASTUPDATEDBY&gt;lamagvi&lt;/LASTUPDATEDBY&gt;&lt;LASTUPDATEDON&gt;6/15/2026 3:27:52 PM&lt;/LASTUPDATEDON&gt;&lt;UTC&gt;1&lt;/UTC&gt;&lt;/UPDATE&gt;&lt;QUERIES bbk=&quot;36773&quot; bbkdesc=&quot;2025 Annual Accounts/EU Annual Accounts/DC - Accrued charges and Deferred income&quot; datapro=&quot;BIP_ACDISPLIT&quot; tdatapro=&quot;BIP_ACDISPLIT&quot; author=&quot;&quot; modtime=&quot;6/15/2026 3:26:48 PM&quot; moduser=&quot;lamagvi&quot; rolluptime=&quot;&quot; syuser=&quot;lamagvi&quot; syuzeit=&quot;6/15/2026 3:26:48 PM&quot; root=&quot;/BBOOK/DATAPROVIDER[./META/PROPS/ID='BIP_ACDISPLIT']/DATA&quot; colcount=&quot;3&quot; rowcount=&quot;9&quot; url=&quot;&quot; dynamizeds=&quot;DM Production&quot; dynamizedstype=&quot;9&quot; refreshds=&quot;&quot; viewtype=&quot;1&quot;&gt;&lt;QUERY reftype=&quot;ABS&quot; elmntsel=&quot;TABLE&quot; bbk=&quot;36773&quot; bbkdesc=&quot;2025 Annual Accounts/EU Annual Accounts/DC - Accrued charges and Deferred income&quot; datapro=&quot;BIP_ACDISPLIT&quot; infos=&quot;&quot; iscomment=&quot;0&quot;&gt;&lt;SELECT&gt;/BBOOK/DATAPROVIDER[./META/PROPS/ID='BIP_ACDISPLIT']/DATA/ROW&lt;/SELECT&gt;&lt;FILTERS&gt;&lt;FILTER&gt;&lt;/FILTER&gt;&lt;/FILTERS&gt;&lt;/QUERY&gt;&lt;/QUERIES&gt;&lt;/OBJECT&gt;"/>
    <w:docVar w:name="BIP_META_DOC_TBL00065" w:val="&lt;OBJECT&gt;&lt;META&gt;&lt;ID&gt;&lt;/ID&gt;&lt;NAME&gt;DOC_TBL00065&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60&lt;/FLCID&gt;&lt;RELATION&gt;&lt;/RELATION&gt;&lt;LINKED&gt;&lt;/LINKED&gt;&lt;SVALUE&gt;&lt;/SVALUE&gt;&lt;INFO&gt;&lt;/INFO&gt;&lt;/META&gt;&lt;UPDATE&gt;&lt;DATE&gt;10.1.10.2&lt;/DATE&gt;&lt;DYNAMIZEDBY&gt;mileuma&lt;/DYNAMIZEDBY&gt;&lt;DYNAMIZEDON&gt;31/07/2019 12:33:37&lt;/DYNAMIZEDON&gt;&lt;LASTUPDATEDBY&gt;lamagvi&lt;/LASTUPDATEDBY&gt;&lt;LASTUPDATEDON&gt;6/15/2026 3:31:00 PM&lt;/LASTUPDATEDON&gt;&lt;UTC&gt;1&lt;/UTC&gt;&lt;/UPDATE&gt;&lt;QUERIES bbk=&quot;36774&quot; bbkdesc=&quot;2025 Annual Accounts/EU Annual Accounts/DC - Net assets&quot; datapro=&quot;BIP_MEMST1&quot; tdatapro=&quot;BIP_MEMST1&quot; author=&quot;&quot; modtime=&quot;6/15/2026 3:27:56 PM&quot; moduser=&quot;lamagvi&quot; rolluptime=&quot;&quot; syuser=&quot;lamagvi&quot; syuzeit=&quot;6/15/2026 3:27:56 PM&quot; root=&quot;/BBOOK/DATAPROVIDER[./META/PROPS/ID='BIP_MEMST1']/DATA&quot; colcount=&quot;2&quot; rowcount=&quot;8&quot; url=&quot;&quot; dynamizeds=&quot;DM Production&quot; dynamizedstype=&quot;9&quot; refreshds=&quot;&quot; viewtype=&quot;1&quot;&gt;&lt;QUERY reftype=&quot;ABS&quot; elmntsel=&quot;TABLE&quot; bbk=&quot;36774&quot; bbkdesc=&quot;2025 Annual Accounts/EU Annual Accounts/DC - Net assets&quot; datapro=&quot;BIP_MEMST1&quot; infos=&quot;&quot; iscomment=&quot;0&quot;&gt;&lt;SELECT&gt;/BBOOK/DATAPROVIDER[./META/PROPS/ID='BIP_MEMST1']/DATA/ROW&lt;/SELECT&gt;&lt;FILTERS&gt;&lt;FILTER&gt;&lt;/FILTER&gt;&lt;/FILTERS&gt;&lt;/QUERY&gt;&lt;/QUERIES&gt;&lt;/OBJECT&gt;"/>
    <w:docVar w:name="BIP_META_DOC_TBL00066" w:val="&lt;OBJECT&gt;&lt;META&gt;&lt;ID&gt;&lt;/ID&gt;&lt;NAME&gt;DOC_TBL00066&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10.2&lt;/DATE&gt;&lt;DYNAMIZEDBY&gt;nistocr&lt;/DYNAMIZEDBY&gt;&lt;DYNAMIZEDON&gt;15/11/2024 09:46:03&lt;/DYNAMIZEDON&gt;&lt;LASTUPDATEDBY&gt;lamagvi&lt;/LASTUPDATEDBY&gt;&lt;LASTUPDATEDON&gt;6/15/2026 3:31:05 PM&lt;/LASTUPDATEDON&gt;&lt;UTC&gt;1&lt;/UTC&gt;&lt;/UPDATE&gt;&lt;QUERIES bbk=&quot;36775&quot; bbkdesc=&quot;2025 Annual Accounts/EU Annual Accounts/DC - Recovery of expenses&quot; datapro=&quot;BIP_RECOVEXP&quot; tdatapro=&quot;BIP_RECOVEXP&quot; author=&quot;&quot; modtime=&quot;6/15/2026 3:28:01 PM&quot; moduser=&quot;lamagvi&quot; rolluptime=&quot;&quot; syuser=&quot;lamagvi&quot; syuzeit=&quot;6/15/2026 3:28:01 PM&quot; root=&quot;/BBOOK/DATAPROVIDER[./META/PROPS/ID='BIP_RECOVEXP']/DATA&quot; colcount=&quot;3&quot; rowcount=&quot;7&quot; url=&quot;&quot; dynamizeds=&quot;DM Production&quot; dynamizedstype=&quot;9&quot; refreshds=&quot;&quot; viewtype=&quot;1&quot;&gt;&lt;QUERY reftype=&quot;ABS&quot; elmntsel=&quot;TABLE&quot; bbk=&quot;36775&quot; bbkdesc=&quot;2025 Annual Accounts/EU Annual Accounts/DC - Recovery of expenses&quot; datapro=&quot;BIP_RECOVEXP&quot; infos=&quot;&quot; iscomment=&quot;0&quot;&gt;&lt;SELECT&gt;/BBOOK/DATAPROVIDER[./META/PROPS/ID='BIP_RECOVEXP']/DATA/ROW&lt;/SELECT&gt;&lt;FILTERS&gt;&lt;FILTER&gt;&lt;/FILTER&gt;&lt;/FILTERS&gt;&lt;/QUERY&gt;&lt;/QUERIES&gt;&lt;/OBJECT&gt;"/>
    <w:docVar w:name="BIP_META_DOC_TBL00067" w:val="&lt;OBJECT&gt;&lt;META&gt;&lt;ID&gt;&lt;/ID&gt;&lt;NAME&gt;DOC_TBL00067&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10.2&lt;/DATE&gt;&lt;DYNAMIZEDBY&gt;mileuma&lt;/DYNAMIZEDBY&gt;&lt;DYNAMIZEDON&gt;31/07/2019 13:33:15&lt;/DYNAMIZEDON&gt;&lt;LASTUPDATEDBY&gt;lamagvi&lt;/LASTUPDATEDBY&gt;&lt;LASTUPDATEDON&gt;6/15/2026 3:31:05 PM&lt;/LASTUPDATEDON&gt;&lt;UTC&gt;1&lt;/UTC&gt;&lt;/UPDATE&gt;&lt;QUERIES bbk=&quot;36749&quot; bbkdesc=&quot;2025 Annual Accounts/EU Annual Accounts/DC - Other non-exchange revenue&quot; datapro=&quot;BIP_ONER&quot; tdatapro=&quot;BIP_ONER&quot; author=&quot;&quot; modtime=&quot;6/15/2026 3:27:58 PM&quot; moduser=&quot;lamagvi&quot; rolluptime=&quot;&quot; syuser=&quot;lamagvi&quot; syuzeit=&quot;6/15/2026 3:27:58 PM&quot; root=&quot;/BBOOK/DATAPROVIDER[./META/PROPS/ID='BIP_ONER']/DATA&quot; colcount=&quot;3&quot; rowcount=&quot;16&quot; url=&quot;&quot; dynamizeds=&quot;DM Production&quot; dynamizedstype=&quot;9&quot; refreshds=&quot;&quot; viewtype=&quot;1&quot;&gt;&lt;QUERY reftype=&quot;ABS&quot; elmntsel=&quot;TABLE&quot; bbk=&quot;36749&quot; bbkdesc=&quot;2025 Annual Accounts/EU Annual Accounts/DC - Other non-exchange revenue&quot; datapro=&quot;BIP_ONER&quot; infos=&quot;&quot; iscomment=&quot;0&quot;&gt;&lt;SELECT&gt;/BBOOK/DATAPROVIDER[./META/PROPS/ID='BIP_ONER']/DATA/ROW&lt;/SELECT&gt;&lt;FILTERS&gt;&lt;FILTER&gt;&lt;/FILTER&gt;&lt;/FILTERS&gt;&lt;/QUERY&gt;&lt;/QUERIES&gt;&lt;/OBJECT&gt;"/>
    <w:docVar w:name="BIP_META_DOC_TBL00068" w:val="&lt;OBJECT&gt;&lt;META&gt;&lt;ID&gt;&lt;/ID&gt;&lt;NAME&gt;DOC_TBL00068&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10.2&lt;/DATE&gt;&lt;DYNAMIZEDBY&gt;mileuma&lt;/DYNAMIZEDBY&gt;&lt;DYNAMIZEDON&gt;31/07/2019 14:05:43&lt;/DYNAMIZEDON&gt;&lt;LASTUPDATEDBY&gt;lamagvi&lt;/LASTUPDATEDBY&gt;&lt;LASTUPDATEDON&gt;6/15/2026 3:31:05 PM&lt;/LASTUPDATEDON&gt;&lt;UTC&gt;1&lt;/UTC&gt;&lt;/UPDATE&gt;&lt;QUERIES bbk=&quot;36759&quot; bbkdesc=&quot;2025 Annual Accounts/EU Annual Accounts/DC - Financial revenue&quot; datapro=&quot;BIP_FINREV&quot; tdatapro=&quot;BIP_FINREV&quot; author=&quot;&quot; modtime=&quot;6/15/2026 3:26:59 PM&quot; moduser=&quot;lamagvi&quot; rolluptime=&quot;&quot; syuser=&quot;lamagvi&quot; syuzeit=&quot;6/15/2026 3:26:59 PM&quot; root=&quot;/BBOOK/DATAPROVIDER[./META/PROPS/ID='BIP_FINREV']/DATA&quot; colcount=&quot;3&quot; rowcount=&quot;16&quot; url=&quot;&quot; dynamizeds=&quot;DM Production&quot; dynamizedstype=&quot;9&quot; refreshds=&quot;&quot; viewtype=&quot;1&quot;&gt;&lt;QUERY reftype=&quot;ABS&quot; elmntsel=&quot;TABLE&quot; bbk=&quot;36759&quot; bbkdesc=&quot;2025 Annual Accounts/EU Annual Accounts/DC - Financial revenue&quot; datapro=&quot;BIP_FINREV&quot; infos=&quot;&quot; iscomment=&quot;0&quot;&gt;&lt;SELECT&gt;/BBOOK/DATAPROVIDER[./META/PROPS/ID='BIP_FINREV']/DATA/ROW&lt;/SELECT&gt;&lt;FILTERS&gt;&lt;FILTER&gt;&lt;/FILTER&gt;&lt;/FILTERS&gt;&lt;/QUERY&gt;&lt;/QUERIES&gt;&lt;/OBJECT&gt;"/>
    <w:docVar w:name="BIP_META_DOC_TBL00069" w:val="&lt;OBJECT&gt;&lt;META&gt;&lt;ID&gt;&lt;/ID&gt;&lt;NAME&gt;DOC_TBL00069&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10.2&lt;/DATE&gt;&lt;DYNAMIZEDBY&gt;mileuma&lt;/DYNAMIZEDBY&gt;&lt;DYNAMIZEDON&gt;31/07/2019 14:07:08&lt;/DYNAMIZEDON&gt;&lt;LASTUPDATEDBY&gt;lamagvi&lt;/LASTUPDATEDBY&gt;&lt;LASTUPDATEDON&gt;6/15/2026 3:31:05 PM&lt;/LASTUPDATEDON&gt;&lt;UTC&gt;1&lt;/UTC&gt;&lt;/UPDATE&gt;&lt;QUERIES bbk=&quot;36776&quot; bbkdesc=&quot;2025 Annual Accounts/EU Annual Accounts/DC - Other exchange revenue&quot; datapro=&quot;BIP_OER&quot; tdatapro=&quot;BIP_OER&quot; author=&quot;&quot; modtime=&quot;6/15/2026 3:27:56 PM&quot; moduser=&quot;lamagvi&quot; rolluptime=&quot;&quot; syuser=&quot;lamagvi&quot; syuzeit=&quot;6/15/2026 3:27:56 PM&quot; root=&quot;/BBOOK/DATAPROVIDER[./META/PROPS/ID='BIP_OER']/DATA&quot; colcount=&quot;3&quot; rowcount=&quot;9&quot; url=&quot;&quot; dynamizeds=&quot;DM Production&quot; dynamizedstype=&quot;9&quot; refreshds=&quot;&quot; viewtype=&quot;1&quot;&gt;&lt;QUERY reftype=&quot;ABS&quot; elmntsel=&quot;TABLE&quot; bbk=&quot;36776&quot; bbkdesc=&quot;2025 Annual Accounts/EU Annual Accounts/DC - Other exchange revenue&quot; datapro=&quot;BIP_OER&quot; infos=&quot;&quot; iscomment=&quot;0&quot;&gt;&lt;SELECT&gt;/BBOOK/DATAPROVIDER[./META/PROPS/ID='BIP_OER']/DATA/ROW&lt;/SELECT&gt;&lt;FILTERS&gt;&lt;FILTER&gt;&lt;/FILTER&gt;&lt;/FILTERS&gt;&lt;/QUERY&gt;&lt;/QUERIES&gt;&lt;/OBJECT&gt;"/>
    <w:docVar w:name="BIP_META_DOC_TBL00070" w:val="&lt;OBJECT&gt;&lt;META&gt;&lt;ID&gt;&lt;/ID&gt;&lt;NAME&gt;DOC_TBL00070&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nistocr&lt;/DYNAMIZEDBY&gt;&lt;DYNAMIZEDON&gt;13/03/2026 14:09:48&lt;/DYNAMIZEDON&gt;&lt;LASTUPDATEDBY&gt;lamagvi&lt;/LASTUPDATEDBY&gt;&lt;LASTUPDATEDON&gt;6/15/2026 3:31:07 PM&lt;/LASTUPDATEDON&gt;&lt;UTC&gt;1&lt;/UTC&gt;&lt;/UPDATE&gt;&lt;QUERIES bbk=&quot;36750&quot; bbkdesc=&quot;2025 Annual Accounts/EU Annual Accounts/DC - Shared Direct and Indirect management&quot; datapro=&quot;BIP_MS&quot; tdatapro=&quot;BIP_MS&quot; author=&quot;&quot; modtime=&quot;6/15/2026 3:28:03 PM&quot; moduser=&quot;lamagvi&quot; rolluptime=&quot;&quot; syuser=&quot;lamagvi&quot; syuzeit=&quot;6/15/2026 3:28:03 PM&quot; root=&quot;/BBOOK/DATAPROVIDER[./META/PROPS/ID='BIP_MS']/DATA&quot; colcount=&quot;3&quot; rowcount=&quot;8&quot; url=&quot;&quot; dynamizeds=&quot;DM Production&quot; dynamizedstype=&quot;9&quot; refreshds=&quot;&quot; viewtype=&quot;1&quot;&gt;&lt;QUERY reftype=&quot;ABS&quot; elmntsel=&quot;TABLE&quot; bbk=&quot;36750&quot; bbkdesc=&quot;2025 Annual Accounts/EU Annual Accounts/DC - Shared Direct and Indirect management&quot; datapro=&quot;BIP_MS&quot; infos=&quot;&quot; iscomment=&quot;0&quot;&gt;&lt;SELECT&gt;/BBOOK/DATAPROVIDER[./META/PROPS/ID='BIP_MS']/DATA/ROW&lt;/SELECT&gt;&lt;FILTERS&gt;&lt;FILTER&gt;&lt;/FILTER&gt;&lt;/FILTERS&gt;&lt;/QUERY&gt;&lt;/QUERIES&gt;&lt;/OBJECT&gt;"/>
    <w:docVar w:name="BIP_META_DOC_TBL00071" w:val="&lt;OBJECT&gt;&lt;META&gt;&lt;ID&gt;&lt;/ID&gt;&lt;NAME&gt;DOC_TBL00071&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nistocr&lt;/DYNAMIZEDBY&gt;&lt;DYNAMIZEDON&gt;13/03/2026 14:11:14&lt;/DYNAMIZEDON&gt;&lt;LASTUPDATEDBY&gt;lamagvi&lt;/LASTUPDATEDBY&gt;&lt;LASTUPDATEDON&gt;6/15/2026 3:31:07 PM&lt;/LASTUPDATEDON&gt;&lt;UTC&gt;1&lt;/UTC&gt;&lt;/UPDATE&gt;&lt;QUERIES bbk=&quot;36750&quot; bbkdesc=&quot;2025 Annual Accounts/EU Annual Accounts/DC - Shared Direct and Indirect management&quot; datapro=&quot;BIP_GR&quot; tdatapro=&quot;BIP_GR&quot; author=&quot;&quot; modtime=&quot;6/15/2026 3:28:03 PM&quot; moduser=&quot;lamagvi&quot; rolluptime=&quot;&quot; syuser=&quot;lamagvi&quot; syuzeit=&quot;6/15/2026 3:28:03 PM&quot; root=&quot;/BBOOK/DATAPROVIDER[./META/PROPS/ID='BIP_GR']/DATA&quot; colcount=&quot;3&quot; rowcount=&quot;5&quot; url=&quot;&quot; dynamizeds=&quot;DM Production&quot; dynamizedstype=&quot;9&quot; refreshds=&quot;&quot; viewtype=&quot;1&quot;&gt;&lt;QUERY reftype=&quot;ABS&quot; elmntsel=&quot;TABLE&quot; bbk=&quot;36750&quot; bbkdesc=&quot;2025 Annual Accounts/EU Annual Accounts/DC - Shared Direct and Indirect management&quot; datapro=&quot;BIP_GR&quot; infos=&quot;&quot; iscomment=&quot;0&quot;&gt;&lt;SELECT&gt;/BBOOK/DATAPROVIDER[./META/PROPS/ID='BIP_GR']/DATA/ROW&lt;/SELECT&gt;&lt;FILTERS&gt;&lt;FILTER&gt;&lt;/FILTER&gt;&lt;/FILTERS&gt;&lt;/QUERY&gt;&lt;/QUERIES&gt;&lt;/OBJECT&gt;"/>
    <w:docVar w:name="BIP_META_DOC_TBL00072" w:val="&lt;OBJECT&gt;&lt;META&gt;&lt;ID&gt;&lt;/ID&gt;&lt;NAME&gt;DOC_TBL00072&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nistocr&lt;/DYNAMIZEDBY&gt;&lt;DYNAMIZEDON&gt;13/03/2026 14:12:13&lt;/DYNAMIZEDON&gt;&lt;LASTUPDATEDBY&gt;lamagvi&lt;/LASTUPDATEDBY&gt;&lt;LASTUPDATEDON&gt;6/15/2026 3:31:07 PM&lt;/LASTUPDATEDON&gt;&lt;UTC&gt;1&lt;/UTC&gt;&lt;/UPDATE&gt;&lt;QUERIES bbk=&quot;36750&quot; bbkdesc=&quot;2025 Annual Accounts/EU Annual Accounts/DC - Shared Direct and Indirect management&quot; datapro=&quot;BIP_CT&quot; tdatapro=&quot;BIP_CT&quot; author=&quot;&quot; modtime=&quot;6/15/2026 3:28:03 PM&quot; moduser=&quot;lamagvi&quot; rolluptime=&quot;&quot; syuser=&quot;lamagvi&quot; syuzeit=&quot;6/15/2026 3:28:03 PM&quot; root=&quot;/BBOOK/DATAPROVIDER[./META/PROPS/ID='BIP_CT']/DATA&quot; colcount=&quot;3&quot; rowcount=&quot;4&quot; url=&quot;&quot; dynamizeds=&quot;DM Production&quot; dynamizedstype=&quot;9&quot; refreshds=&quot;&quot; viewtype=&quot;1&quot;&gt;&lt;QUERY reftype=&quot;ABS&quot; elmntsel=&quot;TABLE&quot; bbk=&quot;36750&quot; bbkdesc=&quot;2025 Annual Accounts/EU Annual Accounts/DC - Shared Direct and Indirect management&quot; datapro=&quot;BIP_CT&quot; infos=&quot;&quot; iscomment=&quot;0&quot;&gt;&lt;SELECT&gt;/BBOOK/DATAPROVIDER[./META/PROPS/ID='BIP_CT']/DATA/ROW&lt;/SELECT&gt;&lt;FILTERS&gt;&lt;FILTER&gt;&lt;/FILTER&gt;&lt;/FILTERS&gt;&lt;/QUERY&gt;&lt;/QUERIES&gt;&lt;/OBJECT&gt;"/>
    <w:docVar w:name="BIP_META_DOC_TBL00073" w:val="&lt;OBJECT&gt;&lt;META&gt;&lt;ID&gt;&lt;/ID&gt;&lt;NAME&gt;DOC_TBL00073&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01/08/2019 08:08:06&lt;/DYNAMIZEDON&gt;&lt;LASTUPDATEDBY&gt;lamagvi&lt;/LASTUPDATEDBY&gt;&lt;LASTUPDATEDON&gt;6/15/2026 3:31:08 PM&lt;/LASTUPDATEDON&gt;&lt;UTC&gt;1&lt;/UTC&gt;&lt;/UPDATE&gt;&lt;QUERIES bbk=&quot;36777&quot; bbkdesc=&quot;2025 Annual Accounts/EU Annual Accounts/DC - Staff and Pension costs - Changes in employee benefits actuarial assumptions&quot; datapro=&quot;BIP_SPC&quot; tdatapro=&quot;BIP_SPC&quot; author=&quot;&quot; modtime=&quot;6/15/2026 3:28:03 PM&quot; moduser=&quot;lamagvi&quot; rolluptime=&quot;&quot; syuser=&quot;lamagvi&quot; syuzeit=&quot;6/15/2026 3:28:03 PM&quot; root=&quot;/BBOOK/DATAPROVIDER[./META/PROPS/ID='BIP_SPC']/DATA&quot; colcount=&quot;3&quot; rowcount=&quot;5&quot; url=&quot;&quot; dynamizeds=&quot;DM Production&quot; dynamizedstype=&quot;9&quot; refreshds=&quot;&quot; viewtype=&quot;1&quot;&gt;&lt;QUERY reftype=&quot;ABS&quot; elmntsel=&quot;TABLE&quot; bbk=&quot;36777&quot; bbkdesc=&quot;2025 Annual Accounts/EU Annual Accounts/DC - Staff and Pension costs - Changes in employee benefits actuarial assumptions&quot; datapro=&quot;BIP_SPC&quot; infos=&quot;&quot; iscomment=&quot;0&quot;&gt;&lt;SELECT&gt;/BBOOK/DATAPROVIDER[./META/PROPS/ID='BIP_SPC']/DATA/ROW&lt;/SELECT&gt;&lt;FILTERS&gt;&lt;FILTER&gt;&lt;/FILTER&gt;&lt;/FILTERS&gt;&lt;/QUERY&gt;&lt;/QUERIES&gt;&lt;/OBJECT&gt;"/>
    <w:docVar w:name="BIP_META_DOC_TBL00074" w:val="&lt;OBJECT&gt;&lt;META&gt;&lt;ID&gt;&lt;/ID&gt;&lt;NAME&gt;DOC_TBL00074&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10.2&lt;/DATE&gt;&lt;DYNAMIZEDBY&gt;mileuma&lt;/DYNAMIZEDBY&gt;&lt;DYNAMIZEDON&gt;05/08/2019 12:41:29&lt;/DYNAMIZEDON&gt;&lt;LASTUPDATEDBY&gt;lamagvi&lt;/LASTUPDATEDBY&gt;&lt;LASTUPDATEDON&gt;6/15/2026 3:30:51 PM&lt;/LASTUPDATEDON&gt;&lt;UTC&gt;1&lt;/UTC&gt;&lt;/UPDATE&gt;&lt;QUERIES bbk=&quot;36760&quot; bbkdesc=&quot;2025 Annual Accounts/EU Annual Accounts/DC - Finance costs&quot; datapro=&quot;BIP_FINEXP&quot; tdatapro=&quot;BIP_FINEXP&quot; author=&quot;&quot; modtime=&quot;6/15/2026 3:26:56 PM&quot; moduser=&quot;lamagvi&quot; rolluptime=&quot;&quot; syuser=&quot;lamagvi&quot; syuzeit=&quot;6/15/2026 3:26:56 PM&quot; root=&quot;/BBOOK/DATAPROVIDER[./META/PROPS/ID='BIP_FINEXP']/DATA&quot; colcount=&quot;3&quot; rowcount=&quot;19&quot; url=&quot;&quot; dynamizeds=&quot;DM Production&quot; dynamizedstype=&quot;9&quot; refreshds=&quot;&quot; viewtype=&quot;1&quot;&gt;&lt;QUERY reftype=&quot;ABS&quot; elmntsel=&quot;TABLE&quot; bbk=&quot;36760&quot; bbkdesc=&quot;2025 Annual Accounts/EU Annual Accounts/DC - Finance costs&quot; datapro=&quot;BIP_FINEXP&quot; infos=&quot;&quot; iscomment=&quot;0&quot;&gt;&lt;SELECT&gt;/BBOOK/DATAPROVIDER[./META/PROPS/ID='BIP_FINEXP']/DATA/ROW&lt;/SELECT&gt;&lt;FILTERS&gt;&lt;FILTER&gt;&lt;/FILTER&gt;&lt;/FILTERS&gt;&lt;/QUERY&gt;&lt;/QUERIES&gt;&lt;/OBJECT&gt;"/>
    <w:docVar w:name="BIP_META_DOC_TBL00075" w:val="&lt;OBJECT&gt;&lt;META&gt;&lt;ID&gt;&lt;/ID&gt;&lt;NAME&gt;DOC_TBL00075&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nistocr&lt;/DYNAMIZEDBY&gt;&lt;DYNAMIZEDON&gt;15/11/2024 09:53:49&lt;/DYNAMIZEDON&gt;&lt;LASTUPDATEDBY&gt;lamagvi&lt;/LASTUPDATEDBY&gt;&lt;LASTUPDATEDON&gt;6/15/2026 3:31:01 PM&lt;/LASTUPDATEDON&gt;&lt;UTC&gt;1&lt;/UTC&gt;&lt;/UPDATE&gt;&lt;QUERIES bbk=&quot;36751&quot; bbkdesc=&quot;2025 Annual Accounts/EU Annual Accounts/DC - Other expenses and Research and Development costs&quot; datapro=&quot;BIP_OE&quot; tdatapro=&quot;BIP_OE&quot; author=&quot;&quot; modtime=&quot;6/15/2026 3:27:57 PM&quot; moduser=&quot;lamagvi&quot; rolluptime=&quot;&quot; syuser=&quot;lamagvi&quot; syuzeit=&quot;6/15/2026 3:27:57 PM&quot; root=&quot;/BBOOK/DATAPROVIDER[./META/PROPS/ID='BIP_OE']/DATA&quot; colcount=&quot;3&quot; rowcount=&quot;9&quot; url=&quot;&quot; dynamizeds=&quot;DM Production&quot; dynamizedstype=&quot;9&quot; refreshds=&quot;&quot; viewtype=&quot;1&quot;&gt;&lt;QUERY reftype=&quot;ABS&quot; elmntsel=&quot;TABLE&quot; bbk=&quot;36751&quot; bbkdesc=&quot;2025 Annual Accounts/EU Annual Accounts/DC - Other expenses and Research and Development costs&quot; datapro=&quot;BIP_OE&quot; infos=&quot;&quot; iscomment=&quot;0&quot;&gt;&lt;SELECT&gt;/BBOOK/DATAPROVIDER[./META/PROPS/ID='BIP_OE']/DATA/ROW&lt;/SELECT&gt;&lt;FILTERS&gt;&lt;FILTER&gt;&lt;/FILTER&gt;&lt;/FILTERS&gt;&lt;/QUERY&gt;&lt;/QUERIES&gt;&lt;/OBJECT&gt;"/>
    <w:docVar w:name="BIP_META_DOC_TBL00076" w:val="&lt;OBJECT&gt;&lt;META&gt;&lt;ID&gt;&lt;/ID&gt;&lt;NAME&gt;DOC_TBL00076&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mileuma&lt;/DYNAMIZEDBY&gt;&lt;DYNAMIZEDON&gt;01/08/2019 08:24:47&lt;/DYNAMIZEDON&gt;&lt;LASTUPDATEDBY&gt;lamagvi&lt;/LASTUPDATEDBY&gt;&lt;LASTUPDATEDON&gt;6/15/2026 3:31:01 PM&lt;/LASTUPDATEDON&gt;&lt;UTC&gt;1&lt;/UTC&gt;&lt;/UPDATE&gt;&lt;QUERIES bbk=&quot;36751&quot; bbkdesc=&quot;2025 Annual Accounts/EU Annual Accounts/DC - Other expenses and Research and Development costs&quot; datapro=&quot;BIP_RD&quot; tdatapro=&quot;BIP_RD&quot; author=&quot;&quot; modtime=&quot;6/15/2026 3:27:57 PM&quot; moduser=&quot;lamagvi&quot; rolluptime=&quot;&quot; syuser=&quot;lamagvi&quot; syuzeit=&quot;6/15/2026 3:27:57 PM&quot; root=&quot;/BBOOK/DATAPROVIDER[./META/PROPS/ID='BIP_RD']/DATA&quot; colcount=&quot;3&quot; rowcount=&quot;5&quot; url=&quot;&quot; dynamizeds=&quot;DM Production&quot; dynamizedstype=&quot;9&quot; refreshds=&quot;&quot; viewtype=&quot;1&quot;&gt;&lt;QUERY reftype=&quot;ABS&quot; elmntsel=&quot;TABLE&quot; bbk=&quot;36751&quot; bbkdesc=&quot;2025 Annual Accounts/EU Annual Accounts/DC - Other expenses and Research and Development costs&quot; datapro=&quot;BIP_RD&quot; infos=&quot;&quot; iscomment=&quot;0&quot;&gt;&lt;SELECT&gt;/BBOOK/DATAPROVIDER[./META/PROPS/ID='BIP_RD']/DATA/ROW&lt;/SELECT&gt;&lt;FILTERS&gt;&lt;FILTER&gt;&lt;/FILTER&gt;&lt;/FILTERS&gt;&lt;/QUERY&gt;&lt;/QUERIES&gt;&lt;/OBJECT&gt;"/>
    <w:docVar w:name="BIP_META_DOC_TBL00077" w:val="&lt;OBJECT&gt;&lt;META&gt;&lt;ID&gt;&lt;/ID&gt;&lt;NAME&gt;DOC_TBL00077&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mileuma&lt;/DYNAMIZEDBY&gt;&lt;DYNAMIZEDON&gt;05/08/2019 12:48:04&lt;/DYNAMIZEDON&gt;&lt;LASTUPDATEDBY&gt;lamagvi&lt;/LASTUPDATEDBY&gt;&lt;LASTUPDATEDON&gt;6/15/2026 3:31:06 PM&lt;/LASTUPDATEDON&gt;&lt;UTC&gt;1&lt;/UTC&gt;&lt;/UPDATE&gt;&lt;QUERIES bbk=&quot;36752&quot; bbkdesc=&quot;2025 Annual Accounts/EU Annual Accounts/DC - Segment report&quot; datapro=&quot;BIP_SEGREP&quot; tdatapro=&quot;BIP_SEGREP&quot; author=&quot;&quot; modtime=&quot;6/15/2026 3:28:02 PM&quot; moduser=&quot;lamagvi&quot; rolluptime=&quot;&quot; syuser=&quot;lamagvi&quot; syuzeit=&quot;6/15/2026 3:28:02 PM&quot; root=&quot;/BBOOK/DATAPROVIDER[./META/PROPS/ID='BIP_SEGREP']/DATA&quot; colcount=&quot;11&quot; rowcount=&quot;31&quot; url=&quot;&quot; dynamizeds=&quot;DM Production&quot; dynamizedstype=&quot;9&quot; refreshds=&quot;&quot; viewtype=&quot;1&quot;&gt;&lt;QUERY reftype=&quot;ABS&quot; elmntsel=&quot;TABLE&quot; bbk=&quot;36752&quot; bbkdesc=&quot;2025 Annual Accounts/EU Annual Accounts/DC - Segment report&quot; datapro=&quot;BIP_SEGREP&quot; infos=&quot;&quot; iscomment=&quot;0&quot;&gt;&lt;SELECT&gt;/BBOOK/DATAPROVIDER[./META/PROPS/ID='BIP_SEGREP']/DATA/ROW&lt;/SELECT&gt;&lt;FILTERS&gt;&lt;FILTER&gt;&lt;/FILTER&gt;&lt;/FILTERS&gt;&lt;/QUERY&gt;&lt;/QUERIES&gt;&lt;/OBJECT&gt;"/>
    <w:docVar w:name="BIP_META_DOC_TBL00078" w:val="&lt;OBJECT&gt;&lt;META&gt;&lt;ID&gt;&lt;/ID&gt;&lt;NAME&gt;DOC_TBL00078&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nistocr&lt;/DYNAMIZEDBY&gt;&lt;DYNAMIZEDON&gt;10/03/2026 18:20:58&lt;/DYNAMIZEDON&gt;&lt;LASTUPDATEDBY&gt;lamagvi&lt;/LASTUPDATEDBY&gt;&lt;LASTUPDATEDON&gt;6/15/2026 3:31:04 PM&lt;/LASTUPDATEDON&gt;&lt;UTC&gt;1&lt;/UTC&gt;&lt;/UPDATE&gt;&lt;QUERIES bbk=&quot;38212&quot; bbkdesc=&quot;2025 Annual Accounts/EU Annual Accounts/DC - SOFP reclassification&quot; datapro=&quot;BIP_PLreclass&quot; tdatapro=&quot;BIP_PLreclass&quot; author=&quot;&quot; modtime=&quot;6/8/2026 9:46:43 AM&quot; moduser=&quot;nistocr&quot; rolluptime=&quot;&quot; syuser=&quot;nistocr&quot; syuzeit=&quot;6/8/2026 9:46:43 AM&quot; root=&quot;/BBOOK/DATAPROVIDER[./META/PROPS/ID='BIP_PLreclass']/DATA&quot; colcount=&quot;11&quot; rowcount=&quot;14&quot; url=&quot;&quot; dynamizeds=&quot;DM Production&quot; dynamizedstype=&quot;9&quot; refreshds=&quot;&quot; viewtype=&quot;1&quot;&gt;&lt;QUERY reftype=&quot;ABS&quot; elmntsel=&quot;TABLE&quot; bbk=&quot;38212&quot; bbkdesc=&quot;2025 Annual Accounts/EU Annual Accounts/DC - SOFP reclassification&quot; datapro=&quot;BIP_PLreclass&quot; infos=&quot;&quot; iscomment=&quot;0&quot;&gt;&lt;SELECT&gt;/BBOOK/DATAPROVIDER[./META/PROPS/ID='BIP_PLreclass']/DATA/ROW&lt;/SELECT&gt;&lt;FILTERS&gt;&lt;FILTER&gt;&lt;/FILTER&gt;&lt;/FILTERS&gt;&lt;/QUERY&gt;&lt;/QUERIES&gt;&lt;/OBJECT&gt;"/>
    <w:docVar w:name="BIP_META_DOC_TBL00079" w:val="&lt;OBJECT&gt;&lt;META&gt;&lt;ID&gt;&lt;/ID&gt;&lt;NAME&gt;DOC_TBL00079&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nistocr&lt;/DYNAMIZEDBY&gt;&lt;DYNAMIZEDON&gt;24/11/2021 18:09:06&lt;/DYNAMIZEDON&gt;&lt;LASTUPDATEDBY&gt;lamagvi&lt;/LASTUPDATEDBY&gt;&lt;LASTUPDATEDON&gt;6/15/2026 3:27:54 PM&lt;/LASTUPDATEDON&gt;&lt;UTC&gt;1&lt;/UTC&gt;&lt;/UPDATE&gt;&lt;QUERIES bbk=&quot;36639&quot; bbkdesc=&quot;2025 Annual Accounts/EC Annual Accounts/DC - Guarantees given&quot; datapro=&quot;BIP_GUARCY&quot; tdatapro=&quot;BIP_GUARCY&quot; author=&quot;&quot; modtime=&quot;6/15/2026 3:06:54 PM&quot; moduser=&quot;lamagvi&quot; rolluptime=&quot;&quot; syuser=&quot;lamagvi&quot; syuzeit=&quot;6/15/2026 3:06:54 PM&quot; root=&quot;/BBOOK/DATAPROVIDER[./META/PROPS/ID='BIP_GUARCY']/DATA&quot; colcount=&quot;5&quot; rowcount=&quot;11&quot; url=&quot;&quot; dynamizeds=&quot;DM Production&quot; dynamizedstype=&quot;9&quot; refreshds=&quot;&quot; viewtype=&quot;1&quot;&gt;&lt;QUERY reftype=&quot;ABS&quot; elmntsel=&quot;TABLE&quot; bbk=&quot;36639&quot; bbkdesc=&quot;2025 Annual Accounts/EC Annual Accounts/DC - Guarantees given&quot; datapro=&quot;BIP_GUARCY&quot; infos=&quot;&quot; iscomment=&quot;0&quot;&gt;&lt;SELECT&gt;/BBOOK/DATAPROVIDER[./META/PROPS/ID='BIP_GUARCY']/DATA/ROW&lt;/SELECT&gt;&lt;FILTERS&gt;&lt;FILTER&gt;&lt;/FILTER&gt;&lt;/FILTERS&gt;&lt;/QUERY&gt;&lt;/QUERIES&gt;&lt;/OBJECT&gt;"/>
    <w:docVar w:name="BIP_META_DOC_TBL00080" w:val="&lt;OBJECT&gt;&lt;META&gt;&lt;ID&gt;&lt;/ID&gt;&lt;NAME&gt;DOC_TBL00080&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nistocr&lt;/DYNAMIZEDBY&gt;&lt;DYNAMIZEDON&gt;02/12/2021 08:12:09&lt;/DYNAMIZEDON&gt;&lt;LASTUPDATEDBY&gt;lamagvi&lt;/LASTUPDATEDBY&gt;&lt;LASTUPDATEDON&gt;6/15/2026 3:27:54 PM&lt;/LASTUPDATEDON&gt;&lt;UTC&gt;1&lt;/UTC&gt;&lt;/UPDATE&gt;&lt;QUERIES bbk=&quot;36639&quot; bbkdesc=&quot;2025 Annual Accounts/EC Annual Accounts/DC - Guarantees given&quot; datapro=&quot;BIP_GUARPY&quot; tdatapro=&quot;BIP_GUARPY&quot; author=&quot;&quot; modtime=&quot;6/15/2026 3:06:54 PM&quot; moduser=&quot;lamagvi&quot; rolluptime=&quot;&quot; syuser=&quot;lamagvi&quot; syuzeit=&quot;6/15/2026 3:06:54 PM&quot; root=&quot;/BBOOK/DATAPROVIDER[./META/PROPS/ID='BIP_GUARPY']/DATA&quot; colcount=&quot;5&quot; rowcount=&quot;11&quot; url=&quot;&quot; dynamizeds=&quot;DM Production&quot; dynamizedstype=&quot;9&quot; refreshds=&quot;&quot; viewtype=&quot;1&quot;&gt;&lt;QUERY reftype=&quot;ABS&quot; elmntsel=&quot;TABLE&quot; bbk=&quot;36639&quot; bbkdesc=&quot;2025 Annual Accounts/EC Annual Accounts/DC - Guarantees given&quot; datapro=&quot;BIP_GUARPY&quot; infos=&quot;&quot; iscomment=&quot;0&quot;&gt;&lt;SELECT&gt;/BBOOK/DATAPROVIDER[./META/PROPS/ID='BIP_GUARPY']/DATA/ROW&lt;/SELECT&gt;&lt;FILTERS&gt;&lt;FILTER&gt;&lt;/FILTER&gt;&lt;/FILTERS&gt;&lt;/QUERY&gt;&lt;/QUERIES&gt;&lt;/OBJECT&gt;"/>
    <w:docVar w:name="BIP_META_DOC_TBL00081" w:val="&lt;OBJECT&gt;&lt;META&gt;&lt;ID&gt;&lt;/ID&gt;&lt;NAME&gt;DOC_TBL00081&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01/08/2019 08:44:05&lt;/DYNAMIZEDON&gt;&lt;LASTUPDATEDBY&gt;lamagvi&lt;/LASTUPDATEDBY&gt;&lt;LASTUPDATEDON&gt;6/15/2026 3:27:54 PM&lt;/LASTUPDATEDON&gt;&lt;UTC&gt;1&lt;/UTC&gt;&lt;/UPDATE&gt;&lt;QUERIES bbk=&quot;36638&quot; bbkdesc=&quot;2025 Annual Accounts/EC Annual Accounts/DC - Contingent liabilities&quot; datapro=&quot;BIP_INSGUA&quot; tdatapro=&quot;BIP_INSGUA&quot; author=&quot;&quot; modtime=&quot;6/15/2026 3:06:54 PM&quot; moduser=&quot;lamagvi&quot; rolluptime=&quot;&quot; syuser=&quot;lamagvi&quot; syuzeit=&quot;6/15/2026 3:06:54 PM&quot; root=&quot;/BBOOK/DATAPROVIDER[./META/PROPS/ID='BIP_INSGUA']/DATA&quot; colcount=&quot;3&quot; rowcount=&quot;7&quot; url=&quot;&quot; dynamizeds=&quot;DM Production&quot; dynamizedstype=&quot;9&quot; refreshds=&quot;&quot; viewtype=&quot;1&quot;&gt;&lt;QUERY reftype=&quot;ABS&quot; elmntsel=&quot;TABLE&quot; bbk=&quot;36638&quot; bbkdesc=&quot;2025 Annual Accounts/EC Annual Accounts/DC - Contingent liabilities&quot; datapro=&quot;BIP_INSGUA&quot; infos=&quot;&quot; iscomment=&quot;0&quot;&gt;&lt;SELECT&gt;/BBOOK/DATAPROVIDER[./META/PROPS/ID='BIP_INSGUA']/DATA/ROW&lt;/SELECT&gt;&lt;FILTERS&gt;&lt;FILTER&gt;&lt;/FILTER&gt;&lt;/FILTERS&gt;&lt;/QUERY&gt;&lt;/QUERIES&gt;&lt;/OBJECT&gt;"/>
    <w:docVar w:name="BIP_META_DOC_TBL00082" w:val="&lt;OBJECT&gt;&lt;META&gt;&lt;ID&gt;&lt;/ID&gt;&lt;NAME&gt;DOC_TBL00082&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nistocr&lt;/DYNAMIZEDBY&gt;&lt;DYNAMIZEDON&gt;22/02/2022 14:04:37&lt;/DYNAMIZEDON&gt;&lt;LASTUPDATEDBY&gt;lamagvi&lt;/LASTUPDATEDBY&gt;&lt;LASTUPDATEDON&gt;6/15/2026 3:27:54 PM&lt;/LASTUPDATEDON&gt;&lt;UTC&gt;1&lt;/UTC&gt;&lt;/UPDATE&gt;&lt;QUERIES bbk=&quot;36762&quot; bbkdesc=&quot;2025 Annual Accounts/EU Annual Accounts/DC - Contingent liabilities and assets&quot; datapro=&quot;BIP_CL&quot; tdatapro=&quot;BIP_CL&quot; author=&quot;&quot; modtime=&quot;6/15/2026 3:26:51 PM&quot; moduser=&quot;lamagvi&quot; rolluptime=&quot;&quot; syuser=&quot;lamagvi&quot; syuzeit=&quot;6/15/2026 3:26:51 PM&quot; root=&quot;/BBOOK/DATAPROVIDER[./META/PROPS/ID='BIP_CL']/DATA&quot; colcount=&quot;3&quot; rowcount=&quot;5&quot; url=&quot;&quot; dynamizeds=&quot;DM Production&quot; dynamizedstype=&quot;9&quot; refreshds=&quot;&quot; viewtype=&quot;1&quot;&gt;&lt;QUERY reftype=&quot;ABS&quot; elmntsel=&quot;TABLE&quot; bbk=&quot;36762&quot; bbkdesc=&quot;2025 Annual Accounts/EU Annual Accounts/DC - Contingent liabilities and assets&quot; datapro=&quot;BIP_CL&quot; infos=&quot;&quot; iscomment=&quot;0&quot;&gt;&lt;SELECT&gt;/BBOOK/DATAPROVIDER[./META/PROPS/ID='BIP_CL']/DATA/ROW&lt;/SELECT&gt;&lt;FILTERS&gt;&lt;FILTER&gt;&lt;/FILTER&gt;&lt;/FILTERS&gt;&lt;/QUERY&gt;&lt;/QUERIES&gt;&lt;/OBJECT&gt;"/>
    <w:docVar w:name="BIP_META_DOC_TBL00083" w:val="&lt;OBJECT&gt;&lt;META&gt;&lt;ID&gt;&lt;/ID&gt;&lt;NAME&gt;DOC_TBL00083&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01/08/2019 08:54:39&lt;/DYNAMIZEDON&gt;&lt;LASTUPDATEDBY&gt;lamagvi&lt;/LASTUPDATEDBY&gt;&lt;LASTUPDATEDON&gt;6/15/2026 3:27:54 PM&lt;/LASTUPDATEDON&gt;&lt;UTC&gt;1&lt;/UTC&gt;&lt;/UPDATE&gt;&lt;QUERIES bbk=&quot;36762&quot; bbkdesc=&quot;2025 Annual Accounts/EU Annual Accounts/DC - Contingent liabilities and assets&quot; datapro=&quot;BIP_CA&quot; tdatapro=&quot;BIP_CA&quot; author=&quot;&quot; modtime=&quot;6/15/2026 3:26:51 PM&quot; moduser=&quot;lamagvi&quot; rolluptime=&quot;&quot; syuser=&quot;lamagvi&quot; syuzeit=&quot;6/15/2026 3:26:51 PM&quot; root=&quot;/BBOOK/DATAPROVIDER[./META/PROPS/ID='BIP_CA']/DATA&quot; colcount=&quot;3&quot; rowcount=&quot;7&quot; url=&quot;&quot; dynamizeds=&quot;DM Production&quot; dynamizedstype=&quot;9&quot; refreshds=&quot;&quot; viewtype=&quot;1&quot;&gt;&lt;QUERY reftype=&quot;ABS&quot; elmntsel=&quot;TABLE&quot; bbk=&quot;36762&quot; bbkdesc=&quot;2025 Annual Accounts/EU Annual Accounts/DC - Contingent liabilities and assets&quot; datapro=&quot;BIP_CA&quot; infos=&quot;&quot; iscomment=&quot;0&quot;&gt;&lt;SELECT&gt;/BBOOK/DATAPROVIDER[./META/PROPS/ID='BIP_CA']/DATA/ROW&lt;/SELECT&gt;&lt;FILTERS&gt;&lt;FILTER&gt;&lt;/FILTER&gt;&lt;/FILTERS&gt;&lt;/QUERY&gt;&lt;/QUERIES&gt;&lt;/OBJECT&gt;"/>
    <w:docVar w:name="BIP_META_DOC_TBL00084" w:val="&lt;OBJECT&gt;&lt;META&gt;&lt;ID&gt;&lt;/ID&gt;&lt;NAME&gt;DOC_TBL00084&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01/08/2019 09:25:16&lt;/DYNAMIZEDON&gt;&lt;LASTUPDATEDBY&gt;lamagvi&lt;/LASTUPDATEDBY&gt;&lt;LASTUPDATEDON&gt;6/15/2026 3:27:53 PM&lt;/LASTUPDATEDON&gt;&lt;UTC&gt;1&lt;/UTC&gt;&lt;/UPDATE&gt;&lt;QUERIES bbk=&quot;36763&quot; bbkdesc=&quot;2025 Annual Accounts/EU Annual Accounts/DC - Outstanding commitments not yet expensed - Significant legal commitments&quot; datapro=&quot;BIP_OBULEG&quot; tdatapro=&quot;BIP_OBULEG&quot; author=&quot;&quot; modtime=&quot;6/15/2026 3:26:50 PM&quot; moduser=&quot;lamagvi&quot; rolluptime=&quot;&quot; syuser=&quot;lamagvi&quot; syuzeit=&quot;6/15/2026 3:26:50 PM&quot; root=&quot;/BBOOK/DATAPROVIDER[./META/PROPS/ID='BIP_OBULEG']/DATA&quot; colcount=&quot;4&quot; rowcount=&quot;5&quot; url=&quot;&quot; dynamizeds=&quot;DM Production&quot; dynamizedstype=&quot;9&quot; refreshds=&quot;&quot; viewtype=&quot;1&quot;&gt;&lt;QUERY reftype=&quot;ABS&quot; elmntsel=&quot;TABLE&quot; bbk=&quot;36763&quot; bbkdesc=&quot;2025 Annual Accounts/EU Annual Accounts/DC - Outstanding commitments not yet expensed - Significant legal commitments&quot; datapro=&quot;BIP_OBULEG&quot; infos=&quot;&quot; iscomment=&quot;0&quot;&gt;&lt;SELECT&gt;/BBOOK/DATAPROVIDER[./META/PROPS/ID='BIP_OBULEG']/DATA/ROW&lt;/SELECT&gt;&lt;FILTERS&gt;&lt;FILTER&gt;&lt;/FILTER&gt;&lt;/FILTERS&gt;&lt;/QUERY&gt;&lt;/QUERIES&gt;&lt;/OBJECT&gt;"/>
    <w:docVar w:name="BIP_META_DOC_TBL00085" w:val="&lt;OBJECT&gt;&lt;META&gt;&lt;ID&gt;&lt;/ID&gt;&lt;NAME&gt;DOC_TBL00085&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01/08/2019 09:26:57&lt;/DYNAMIZEDON&gt;&lt;LASTUPDATEDBY&gt;lamagvi&lt;/LASTUPDATEDBY&gt;&lt;LASTUPDATEDON&gt;6/15/2026 3:27:53 PM&lt;/LASTUPDATEDON&gt;&lt;UTC&gt;1&lt;/UTC&gt;&lt;/UPDATE&gt;&lt;QUERIES bbk=&quot;36763&quot; bbkdesc=&quot;2025 Annual Accounts/EU Annual Accounts/DC - Outstanding commitments not yet expensed - Significant legal commitments&quot; datapro=&quot;BIP_OCNYE&quot; tdatapro=&quot;BIP_OCNYE&quot; author=&quot;&quot; modtime=&quot;6/15/2026 3:26:50 PM&quot; moduser=&quot;lamagvi&quot; rolluptime=&quot;&quot; syuser=&quot;lamagvi&quot; syuzeit=&quot;6/15/2026 3:26:50 PM&quot; root=&quot;/BBOOK/DATAPROVIDER[./META/PROPS/ID='BIP_OCNYE']/DATA&quot; colcount=&quot;3&quot; rowcount=&quot;3&quot; url=&quot;&quot; dynamizeds=&quot;DM Production&quot; dynamizedstype=&quot;9&quot; refreshds=&quot;&quot; viewtype=&quot;1&quot;&gt;&lt;QUERY reftype=&quot;ABS&quot; elmntsel=&quot;TABLE&quot; bbk=&quot;36763&quot; bbkdesc=&quot;2025 Annual Accounts/EU Annual Accounts/DC - Outstanding commitments not yet expensed - Significant legal commitments&quot; datapro=&quot;BIP_OCNYE&quot; infos=&quot;&quot; iscomment=&quot;0&quot;&gt;&lt;SELECT&gt;/BBOOK/DATAPROVIDER[./META/PROPS/ID='BIP_OCNYE']/DATA/ROW&lt;/SELECT&gt;&lt;FILTERS&gt;&lt;FILTER&gt;&lt;/FILTER&gt;&lt;/FILTERS&gt;&lt;/QUERY&gt;&lt;/QUERIES&gt;&lt;/OBJECT&gt;"/>
    <w:docVar w:name="BIP_META_DOC_TBL00086" w:val="&lt;OBJECT&gt;&lt;META&gt;&lt;ID&gt;&lt;/ID&gt;&lt;NAME&gt;DOC_TBL00086&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01/08/2019 09:36:45&lt;/DYNAMIZEDON&gt;&lt;LASTUPDATEDBY&gt;lamagvi&lt;/LASTUPDATEDBY&gt;&lt;LASTUPDATEDON&gt;6/15/2026 3:27:53 PM&lt;/LASTUPDATEDON&gt;&lt;UTC&gt;1&lt;/UTC&gt;&lt;/UPDATE&gt;&lt;QUERIES bbk=&quot;36763&quot; bbkdesc=&quot;2025 Annual Accounts/EU Annual Accounts/DC - Outstanding commitments not yet expensed - Significant legal commitments&quot; datapro=&quot;BIP_LEGCOM&quot; tdatapro=&quot;BIP_LEGCOM&quot; author=&quot;&quot; modtime=&quot;6/15/2026 3:26:50 PM&quot; moduser=&quot;lamagvi&quot; rolluptime=&quot;&quot; syuser=&quot;lamagvi&quot; syuzeit=&quot;6/15/2026 3:26:50 PM&quot; root=&quot;/BBOOK/DATAPROVIDER[./META/PROPS/ID='BIP_LEGCOM']/DATA&quot; colcount=&quot;3&quot; rowcount=&quot;21&quot; url=&quot;&quot; dynamizeds=&quot;DM Production&quot; dynamizedstype=&quot;9&quot; refreshds=&quot;&quot; viewtype=&quot;1&quot;&gt;&lt;QUERY reftype=&quot;ABS&quot; elmntsel=&quot;TABLE&quot; bbk=&quot;36763&quot; bbkdesc=&quot;2025 Annual Accounts/EU Annual Accounts/DC - Outstanding commitments not yet expensed - Significant legal commitments&quot; datapro=&quot;BIP_LEGCOM&quot; infos=&quot;&quot; iscomment=&quot;0&quot;&gt;&lt;SELECT&gt;/BBOOK/DATAPROVIDER[./META/PROPS/ID='BIP_LEGCOM']/DATA/ROW&lt;/SELECT&gt;&lt;FILTERS&gt;&lt;FILTER&gt;&lt;/FILTER&gt;&lt;/FILTERS&gt;&lt;/QUERY&gt;&lt;/QUERIES&gt;&lt;/OBJECT&gt;"/>
    <w:docVar w:name="BIP_META_DOC_TBL00087" w:val="&lt;OBJECT&gt;&lt;META&gt;&lt;ID&gt;&lt;/ID&gt;&lt;NAME&gt;DOC_TBL00087&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01/08/2019 09:38:55&lt;/DYNAMIZEDON&gt;&lt;LASTUPDATEDBY&gt;lamagvi&lt;/LASTUPDATEDBY&gt;&lt;LASTUPDATEDON&gt;6/15/2026 3:27:53 PM&lt;/LASTUPDATEDON&gt;&lt;UTC&gt;1&lt;/UTC&gt;&lt;/UPDATE&gt;&lt;QUERIES bbk=&quot;36761&quot; bbkdesc=&quot;2025 Annual Accounts/EU Annual Accounts/DC - Operating lease commitments&quot; datapro=&quot;BIP_PPERE&quot; tdatapro=&quot;BIP_PPERE&quot; author=&quot;&quot; modtime=&quot;6/15/2026 3:26:49 PM&quot; moduser=&quot;lamagvi&quot; rolluptime=&quot;&quot; syuser=&quot;lamagvi&quot; syuzeit=&quot;6/15/2026 3:26:49 PM&quot; root=&quot;/BBOOK/DATAPROVIDER[./META/PROPS/ID='BIP_PPERE']/DATA&quot; colcount=&quot;5&quot; rowcount=&quot;6&quot; url=&quot;&quot; dynamizeds=&quot;DM Production&quot; dynamizedstype=&quot;9&quot; refreshds=&quot;&quot; viewtype=&quot;1&quot;&gt;&lt;QUERY reftype=&quot;ABS&quot; elmntsel=&quot;TABLE&quot; bbk=&quot;36761&quot; bbkdesc=&quot;2025 Annual Accounts/EU Annual Accounts/DC - Operating lease commitments&quot; datapro=&quot;BIP_PPERE&quot; infos=&quot;&quot; iscomment=&quot;0&quot;&gt;&lt;SELECT&gt;/BBOOK/DATAPROVIDER[./META/PROPS/ID='BIP_PPERE']/DATA/ROW&lt;/SELECT&gt;&lt;FILTERS&gt;&lt;FILTER&gt;&lt;/FILTER&gt;&lt;/FILTERS&gt;&lt;/QUERY&gt;&lt;/QUERIES&gt;&lt;/OBJECT&gt;"/>
    <w:docVar w:name="BIP_META_DOC_TBL00088" w:val="&lt;OBJECT&gt;&lt;META&gt;&lt;ID&gt;&lt;/ID&gt;&lt;NAME&gt;DOC_TBL00088&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airamgo&lt;/DYNAMIZEDBY&gt;&lt;DYNAMIZEDON&gt;11/3/2022 2:12:48 PM&lt;/DYNAMIZEDON&gt;&lt;LASTUPDATEDBY&gt;lamagvi&lt;/LASTUPDATEDBY&gt;&lt;LASTUPDATEDON&gt;6/15/2026 3:30:54 PM&lt;/LASTUPDATEDON&gt;&lt;UTC&gt;1&lt;/UTC&gt;&lt;/UPDATE&gt;&lt;QUERIES bbk=&quot;36753&quot; bbkdesc=&quot;2025 Annual Accounts/EU Annual Accounts/DC - Currency risk&quot; datapro=&quot;BIP_CRCY&quot; tdatapro=&quot;BIP_CRCY&quot; author=&quot;&quot; modtime=&quot;6/15/2026 3:26:54 PM&quot; moduser=&quot;lamagvi&quot; rolluptime=&quot;&quot; syuser=&quot;lamagvi&quot; syuzeit=&quot;6/15/2026 3:26:54 PM&quot; root=&quot;/BBOOK/DATAPROVIDER[./META/PROPS/ID='BIP_CRCY']/DATA&quot; colcount=&quot;8&quot; rowcount=&quot;16&quot; url=&quot;&quot; dynamizeds=&quot;DM Production&quot; dynamizedstype=&quot;9&quot; refreshds=&quot;&quot; viewtype=&quot;1&quot;&gt;&lt;QUERY reftype=&quot;ABS&quot; elmntsel=&quot;TABLE&quot; bbk=&quot;36753&quot; bbkdesc=&quot;2025 Annual Accounts/EU Annual Accounts/DC - Currency risk&quot; datapro=&quot;BIP_CRCY&quot; infos=&quot;&quot; iscomment=&quot;0&quot;&gt;&lt;SELECT&gt;/BBOOK/DATAPROVIDER[./META/PROPS/ID='BIP_CRCY']/DATA/ROW&lt;/SELECT&gt;&lt;FILTERS&gt;&lt;FILTER&gt;&lt;/FILTER&gt;&lt;/FILTERS&gt;&lt;/QUERY&gt;&lt;/QUERIES&gt;&lt;/OBJECT&gt;"/>
    <w:docVar w:name="BIP_META_DOC_TBL00089" w:val="&lt;OBJECT&gt;&lt;META&gt;&lt;ID&gt;&lt;/ID&gt;&lt;NAME&gt;DOC_TBL00089&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airamgo&lt;/DYNAMIZEDBY&gt;&lt;DYNAMIZEDON&gt;14/11/2022 10:02:53&lt;/DYNAMIZEDON&gt;&lt;LASTUPDATEDBY&gt;lamagvi&lt;/LASTUPDATEDBY&gt;&lt;LASTUPDATEDON&gt;6/15/2026 3:30:54 PM&lt;/LASTUPDATEDON&gt;&lt;UTC&gt;1&lt;/UTC&gt;&lt;/UPDATE&gt;&lt;QUERIES bbk=&quot;36753&quot; bbkdesc=&quot;2025 Annual Accounts/EU Annual Accounts/DC - Currency risk&quot; datapro=&quot;BIP_CRPY&quot; tdatapro=&quot;BIP_CRPY&quot; author=&quot;&quot; modtime=&quot;6/15/2026 3:26:54 PM&quot; moduser=&quot;lamagvi&quot; rolluptime=&quot;&quot; syuser=&quot;lamagvi&quot; syuzeit=&quot;6/15/2026 3:26:54 PM&quot; root=&quot;/BBOOK/DATAPROVIDER[./META/PROPS/ID='BIP_CRPY']/DATA&quot; colcount=&quot;8&quot; rowcount=&quot;16&quot; url=&quot;&quot; dynamizeds=&quot;DM Production&quot; dynamizedstype=&quot;9&quot; refreshds=&quot;&quot; viewtype=&quot;1&quot;&gt;&lt;QUERY reftype=&quot;ABS&quot; elmntsel=&quot;TABLE&quot; bbk=&quot;36753&quot; bbkdesc=&quot;2025 Annual Accounts/EU Annual Accounts/DC - Currency risk&quot; datapro=&quot;BIP_CRPY&quot; infos=&quot;&quot; iscomment=&quot;0&quot;&gt;&lt;SELECT&gt;/BBOOK/DATAPROVIDER[./META/PROPS/ID='BIP_CRPY']/DATA/ROW&lt;/SELECT&gt;&lt;FILTERS&gt;&lt;FILTER&gt;&lt;/FILTER&gt;&lt;/FILTERS&gt;&lt;/QUERY&gt;&lt;/QUERIES&gt;&lt;/OBJECT&gt;"/>
    <w:docVar w:name="BIP_META_DOC_TBL00090" w:val="&lt;OBJECT&gt;&lt;META&gt;&lt;ID&gt;&lt;/ID&gt;&lt;NAME&gt;DOC_TBL00090&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airamgo&lt;/DYNAMIZEDBY&gt;&lt;DYNAMIZEDON&gt;22/03/2023 18:23:22&lt;/DYNAMIZEDON&gt;&lt;LASTUPDATEDBY&gt;lamagvi&lt;/LASTUPDATEDBY&gt;&lt;LASTUPDATEDON&gt;6/15/2026 3:30:54 PM&lt;/LASTUPDATEDON&gt;&lt;UTC&gt;1&lt;/UTC&gt;&lt;/UPDATE&gt;&lt;QUERIES bbk=&quot;36753&quot; bbkdesc=&quot;2025 Annual Accounts/EU Annual Accounts/DC - Currency risk&quot; datapro=&quot;BIP_CYS&quot; tdatapro=&quot;BIP_CYS&quot; author=&quot;&quot; modtime=&quot;6/15/2026 3:26:54 PM&quot; moduser=&quot;lamagvi&quot; rolluptime=&quot;&quot; syuser=&quot;lamagvi&quot; syuzeit=&quot;6/15/2026 3:26:54 PM&quot; root=&quot;/BBOOK/DATAPROVIDER[./META/PROPS/ID='BIP_CYS']/DATA&quot; colcount=&quot;5&quot; rowcount=&quot;5&quot; url=&quot;&quot; dynamizeds=&quot;DM Production&quot; dynamizedstype=&quot;9&quot; refreshds=&quot;&quot; viewtype=&quot;1&quot;&gt;&lt;QUERY reftype=&quot;ABS&quot; elmntsel=&quot;TABLE&quot; bbk=&quot;36753&quot; bbkdesc=&quot;2025 Annual Accounts/EU Annual Accounts/DC - Currency risk&quot; datapro=&quot;BIP_CYS&quot; infos=&quot;&quot; iscomment=&quot;0&quot;&gt;&lt;SELECT&gt;/BBOOK/DATAPROVIDER[./META/PROPS/ID='BIP_CYS']/DATA/ROW&lt;/SELECT&gt;&lt;FILTERS&gt;&lt;FILTER&gt;&lt;/FILTER&gt;&lt;/FILTERS&gt;&lt;/QUERY&gt;&lt;/QUERIES&gt;&lt;/OBJECT&gt;"/>
    <w:docVar w:name="BIP_META_DOC_TBL00091" w:val="&lt;OBJECT&gt;&lt;META&gt;&lt;ID&gt;&lt;/ID&gt;&lt;NAME&gt;DOC_TBL00091&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airamgo&lt;/DYNAMIZEDBY&gt;&lt;DYNAMIZEDON&gt;22/03/2023 18:23:56&lt;/DYNAMIZEDON&gt;&lt;LASTUPDATEDBY&gt;lamagvi&lt;/LASTUPDATEDBY&gt;&lt;LASTUPDATEDON&gt;6/15/2026 3:30:54 PM&lt;/LASTUPDATEDON&gt;&lt;UTC&gt;1&lt;/UTC&gt;&lt;/UPDATE&gt;&lt;QUERIES bbk=&quot;36753&quot; bbkdesc=&quot;2025 Annual Accounts/EU Annual Accounts/DC - Currency risk&quot; datapro=&quot;BIP_PYS&quot; tdatapro=&quot;BIP_PYS&quot; author=&quot;&quot; modtime=&quot;6/15/2026 3:26:54 PM&quot; moduser=&quot;lamagvi&quot; rolluptime=&quot;&quot; syuser=&quot;lamagvi&quot; syuzeit=&quot;6/15/2026 3:26:54 PM&quot; root=&quot;/BBOOK/DATAPROVIDER[./META/PROPS/ID='BIP_PYS']/DATA&quot; colcount=&quot;5&quot; rowcount=&quot;5&quot; url=&quot;&quot; dynamizeds=&quot;DM Production&quot; dynamizedstype=&quot;9&quot; refreshds=&quot;&quot; viewtype=&quot;1&quot;&gt;&lt;QUERY reftype=&quot;ABS&quot; elmntsel=&quot;TABLE&quot; bbk=&quot;36753&quot; bbkdesc=&quot;2025 Annual Accounts/EU Annual Accounts/DC - Currency risk&quot; datapro=&quot;BIP_PYS&quot; infos=&quot;&quot; iscomment=&quot;0&quot;&gt;&lt;SELECT&gt;/BBOOK/DATAPROVIDER[./META/PROPS/ID='BIP_PYS']/DATA/ROW&lt;/SELECT&gt;&lt;FILTERS&gt;&lt;FILTER&gt;&lt;/FILTER&gt;&lt;/FILTERS&gt;&lt;/QUERY&gt;&lt;/QUERIES&gt;&lt;/OBJECT&gt;"/>
    <w:docVar w:name="BIP_META_DOC_TBL00092" w:val="&lt;OBJECT&gt;&lt;META&gt;&lt;ID&gt;&lt;/ID&gt;&lt;NAME&gt;DOC_TBL00092&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mileuma&lt;/DYNAMIZEDBY&gt;&lt;DYNAMIZEDON&gt;01/08/2019 11:05:45&lt;/DYNAMIZEDON&gt;&lt;LASTUPDATEDBY&gt;lamagvi&lt;/LASTUPDATEDBY&gt;&lt;LASTUPDATEDON&gt;6/15/2026 3:30:54 PM&lt;/LASTUPDATEDON&gt;&lt;UTC&gt;1&lt;/UTC&gt;&lt;/UPDATE&gt;&lt;QUERIES bbk=&quot;36754&quot; bbkdesc=&quot;2025 Annual Accounts/EU Annual Accounts/DC - Interest rate risk&quot; datapro=&quot;BIP_IRR&quot; tdatapro=&quot;BIP_IRR&quot; author=&quot;&quot; modtime=&quot;6/15/2026 3:27:00 PM&quot; moduser=&quot;lamagvi&quot; rolluptime=&quot;&quot; syuser=&quot;lamagvi&quot; syuzeit=&quot;6/15/2026 3:27:00 PM&quot; root=&quot;/BBOOK/DATAPROVIDER[./META/PROPS/ID='BIP_IRR']/DATA&quot; colcount=&quot;3&quot; rowcount=&quot;6&quot; url=&quot;&quot; dynamizeds=&quot;DM Production&quot; dynamizedstype=&quot;9&quot; refreshds=&quot;&quot; viewtype=&quot;1&quot;&gt;&lt;QUERY reftype=&quot;ABS&quot; elmntsel=&quot;TABLE&quot; bbk=&quot;36754&quot; bbkdesc=&quot;2025 Annual Accounts/EU Annual Accounts/DC - Interest rate risk&quot; datapro=&quot;BIP_IRR&quot; infos=&quot;&quot; iscomment=&quot;0&quot;&gt;&lt;SELECT&gt;/BBOOK/DATAPROVIDER[./META/PROPS/ID='BIP_IRR']/DATA/ROW&lt;/SELECT&gt;&lt;FILTERS&gt;&lt;FILTER&gt;&lt;/FILTER&gt;&lt;/FILTERS&gt;&lt;/QUERY&gt;&lt;/QUERIES&gt;&lt;/OBJECT&gt;"/>
    <w:docVar w:name="BIP_META_DOC_TBL00093" w:val="&lt;OBJECT&gt;&lt;META&gt;&lt;ID&gt;&lt;/ID&gt;&lt;NAME&gt;DOC_TBL00093&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airamgo&lt;/DYNAMIZEDBY&gt;&lt;DYNAMIZEDON&gt;11/3/2022 2:36:33 PM&lt;/DYNAMIZEDON&gt;&lt;LASTUPDATEDBY&gt;lamagvi&lt;/LASTUPDATEDBY&gt;&lt;LASTUPDATEDON&gt;6/15/2026 3:30:53 PM&lt;/LASTUPDATEDON&gt;&lt;UTC&gt;1&lt;/UTC&gt;&lt;/UPDATE&gt;&lt;QUERIES bbk=&quot;36626&quot; bbkdesc=&quot;2025 Annual Accounts/EC Annual Accounts/DC - Other price risk&quot; datapro=&quot;BIP_EQR&quot; tdatapro=&quot;BIP_EQR&quot; author=&quot;&quot; modtime=&quot;6/15/2026 3:06:55 PM&quot; moduser=&quot;lamagvi&quot; rolluptime=&quot;&quot; syuser=&quot;lamagvi&quot; syuzeit=&quot;6/15/2026 3:06:55 PM&quot; root=&quot;/BBOOK/DATAPROVIDER[./META/PROPS/ID='BIP_EQR']/DATA&quot; colcount=&quot;3&quot; rowcount=&quot;10&quot; url=&quot;&quot; dynamizeds=&quot;DM Production&quot; dynamizedstype=&quot;9&quot; refreshds=&quot;&quot; viewtype=&quot;1&quot;&gt;&lt;QUERY reftype=&quot;ABS&quot; elmntsel=&quot;TABLE&quot; bbk=&quot;36626&quot; bbkdesc=&quot;2025 Annual Accounts/EC Annual Accounts/DC - Other price risk&quot; datapro=&quot;BIP_EQR&quot; infos=&quot;&quot; iscomment=&quot;0&quot;&gt;&lt;SELECT&gt;/BBOOK/DATAPROVIDER[./META/PROPS/ID='BIP_EQR']/DATA/ROW&lt;/SELECT&gt;&lt;FILTERS&gt;&lt;FILTER&gt;&lt;/FILTER&gt;&lt;/FILTERS&gt;&lt;/QUERY&gt;&lt;/QUERIES&gt;&lt;/OBJECT&gt;"/>
    <w:docVar w:name="BIP_META_DOC_TBL00094" w:val="&lt;OBJECT&gt;&lt;META&gt;&lt;ID&gt;&lt;/ID&gt;&lt;NAME&gt;DOC_TBL00094&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nistocr&lt;/DYNAMIZEDBY&gt;&lt;DYNAMIZEDON&gt;1/10/2022 4:10:09 PM&lt;/DYNAMIZEDON&gt;&lt;LASTUPDATEDBY&gt;lamagvi&lt;/LASTUPDATEDBY&gt;&lt;LASTUPDATEDON&gt;6/15/2026 3:30:53 PM&lt;/LASTUPDATEDON&gt;&lt;UTC&gt;1&lt;/UTC&gt;&lt;/UPDATE&gt;&lt;QUERIES bbk=&quot;36755&quot; bbkdesc=&quot;2025 Annual Accounts/EU Annual Accounts/DC - Credit risk&quot; datapro=&quot;BIP_CDTRCY&quot; tdatapro=&quot;BIP_CDTRCY&quot; author=&quot;&quot; modtime=&quot;6/15/2026 3:26:53 PM&quot; moduser=&quot;lamagvi&quot; rolluptime=&quot;&quot; syuser=&quot;lamagvi&quot; syuzeit=&quot;6/15/2026 3:26:53 PM&quot; root=&quot;/BBOOK/DATAPROVIDER[./META/PROPS/ID='BIP_CDTRCY']/DATA&quot; colcount=&quot;3&quot; rowcount=&quot;13&quot; url=&quot;&quot; dynamizeds=&quot;DM Production&quot; dynamizedstype=&quot;9&quot; refreshds=&quot;&quot; viewtype=&quot;1&quot;&gt;&lt;QUERY reftype=&quot;ABS&quot; elmntsel=&quot;TABLE&quot; bbk=&quot;36755&quot; bbkdesc=&quot;2025 Annual Accounts/EU Annual Accounts/DC - Credit risk&quot; datapro=&quot;BIP_CDTRCY&quot; infos=&quot;&quot; iscomment=&quot;0&quot;&gt;&lt;SELECT&gt;/BBOOK/DATAPROVIDER[./META/PROPS/ID='BIP_CDTRCY']/DATA/ROW&lt;/SELECT&gt;&lt;FILTERS&gt;&lt;FILTER&gt;&lt;/FILTER&gt;&lt;/FILTERS&gt;&lt;/QUERY&gt;&lt;/QUERIES&gt;&lt;/OBJECT&gt;"/>
    <w:docVar w:name="BIP_META_DOC_TBL00095" w:val="&lt;OBJECT&gt;&lt;META&gt;&lt;ID&gt;&lt;/ID&gt;&lt;NAME&gt;DOC_TBL00095&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nistocr&lt;/DYNAMIZEDBY&gt;&lt;DYNAMIZEDON&gt;1/10/2022 4:14:24 PM&lt;/DYNAMIZEDON&gt;&lt;LASTUPDATEDBY&gt;lamagvi&lt;/LASTUPDATEDBY&gt;&lt;LASTUPDATEDON&gt;6/15/2026 3:30:54 PM&lt;/LASTUPDATEDON&gt;&lt;UTC&gt;1&lt;/UTC&gt;&lt;/UPDATE&gt;&lt;QUERIES bbk=&quot;36755&quot; bbkdesc=&quot;2025 Annual Accounts/EU Annual Accounts/DC - Credit risk&quot; datapro=&quot;BIP_LOCDQ&quot; tdatapro=&quot;BIP_LOCDQ&quot; author=&quot;&quot; modtime=&quot;6/15/2026 3:26:53 PM&quot; moduser=&quot;lamagvi&quot; rolluptime=&quot;&quot; syuser=&quot;lamagvi&quot; syuzeit=&quot;6/15/2026 3:26:53 PM&quot; root=&quot;/BBOOK/DATAPROVIDER[./META/PROPS/ID='BIP_LOCDQ']/DATA&quot; colcount=&quot;6&quot; rowcount=&quot;12&quot; url=&quot;&quot; dynamizeds=&quot;DM Production&quot; dynamizedstype=&quot;9&quot; refreshds=&quot;&quot; viewtype=&quot;1&quot;&gt;&lt;QUERY reftype=&quot;ABS&quot; elmntsel=&quot;TABLE&quot; bbk=&quot;36755&quot; bbkdesc=&quot;2025 Annual Accounts/EU Annual Accounts/DC - Credit risk&quot; datapro=&quot;BIP_LOCDQ&quot; infos=&quot;&quot; iscomment=&quot;0&quot;&gt;&lt;SELECT&gt;/BBOOK/DATAPROVIDER[./META/PROPS/ID='BIP_LOCDQ']/DATA/ROW&lt;/SELECT&gt;&lt;FILTERS&gt;&lt;FILTER&gt;&lt;/FILTER&gt;&lt;/FILTERS&gt;&lt;/QUERY&gt;&lt;/QUERIES&gt;&lt;/OBJECT&gt;"/>
    <w:docVar w:name="BIP_META_DOC_TBL00096" w:val="&lt;OBJECT&gt;&lt;META&gt;&lt;ID&gt;&lt;/ID&gt;&lt;NAME&gt;DOC_TBL00096&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airamgo&lt;/DYNAMIZEDBY&gt;&lt;DYNAMIZEDON&gt;11/3/2022 2:20:05 PM&lt;/DYNAMIZEDON&gt;&lt;LASTUPDATEDBY&gt;lamagvi&lt;/LASTUPDATEDBY&gt;&lt;LASTUPDATEDON&gt;6/15/2026 3:30:53 PM&lt;/LASTUPDATEDON&gt;&lt;UTC&gt;1&lt;/UTC&gt;&lt;/UPDATE&gt;&lt;QUERIES bbk=&quot;36755&quot; bbkdesc=&quot;2025 Annual Accounts/EU Annual Accounts/DC - Credit risk&quot; datapro=&quot;BIP_LOCDQPY&quot; tdatapro=&quot;BIP_LOCDQPY&quot; author=&quot;&quot; modtime=&quot;6/15/2026 3:26:53 PM&quot; moduser=&quot;lamagvi&quot; rolluptime=&quot;&quot; syuser=&quot;lamagvi&quot; syuzeit=&quot;6/15/2026 3:26:53 PM&quot; root=&quot;/BBOOK/DATAPROVIDER[./META/PROPS/ID='BIP_LOCDQPY']/DATA&quot; colcount=&quot;6&quot; rowcount=&quot;12&quot; url=&quot;&quot; dynamizeds=&quot;DM Production&quot; dynamizedstype=&quot;9&quot; refreshds=&quot;&quot; viewtype=&quot;1&quot;&gt;&lt;QUERY reftype=&quot;ABS&quot; elmntsel=&quot;TABLE&quot; bbk=&quot;36755&quot; bbkdesc=&quot;2025 Annual Accounts/EU Annual Accounts/DC - Credit risk&quot; datapro=&quot;BIP_LOCDQPY&quot; infos=&quot;&quot; iscomment=&quot;0&quot;&gt;&lt;SELECT&gt;/BBOOK/DATAPROVIDER[./META/PROPS/ID='BIP_LOCDQPY']/DATA/ROW&lt;/SELECT&gt;&lt;FILTERS&gt;&lt;FILTER&gt;&lt;/FILTER&gt;&lt;/FILTERS&gt;&lt;/QUERY&gt;&lt;/QUERIES&gt;&lt;/OBJECT&gt;"/>
    <w:docVar w:name="BIP_META_DOC_TBL00097" w:val="&lt;OBJECT&gt;&lt;META&gt;&lt;ID&gt;&lt;/ID&gt;&lt;NAME&gt;DOC_TBL00097&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nistocr&lt;/DYNAMIZEDBY&gt;&lt;DYNAMIZEDON&gt;1/10/2022 4:34:27 PM&lt;/DYNAMIZEDON&gt;&lt;LASTUPDATEDBY&gt;lamagvi&lt;/LASTUPDATEDBY&gt;&lt;LASTUPDATEDON&gt;6/15/2026 3:30:54 PM&lt;/LASTUPDATEDON&gt;&lt;UTC&gt;1&lt;/UTC&gt;&lt;/UPDATE&gt;&lt;QUERIES bbk=&quot;36755&quot; bbkdesc=&quot;2025 Annual Accounts/EU Annual Accounts/DC - Credit risk&quot; datapro=&quot;BIP_LOIMPLOS&quot; tdatapro=&quot;BIP_LOIMPLOS&quot; author=&quot;&quot; modtime=&quot;6/15/2026 3:26:53 PM&quot; moduser=&quot;lamagvi&quot; rolluptime=&quot;&quot; syuser=&quot;lamagvi&quot; syuzeit=&quot;6/15/2026 3:26:53 PM&quot; root=&quot;/BBOOK/DATAPROVIDER[./META/PROPS/ID='BIP_LOIMPLOS']/DATA&quot; colcount=&quot;6&quot; rowcount=&quot;13&quot; url=&quot;&quot; dynamizeds=&quot;DM Production&quot; dynamizedstype=&quot;9&quot; refreshds=&quot;&quot; viewtype=&quot;1&quot;&gt;&lt;QUERY reftype=&quot;ABS&quot; elmntsel=&quot;TABLE&quot; bbk=&quot;36755&quot; bbkdesc=&quot;2025 Annual Accounts/EU Annual Accounts/DC - Credit risk&quot; datapro=&quot;BIP_LOIMPLOS&quot; infos=&quot;&quot; iscomment=&quot;0&quot;&gt;&lt;SELECT&gt;/BBOOK/DATAPROVIDER[./META/PROPS/ID='BIP_LOIMPLOS']/DATA/ROW&lt;/SELECT&gt;&lt;FILTERS&gt;&lt;FILTER&gt;&lt;/FILTER&gt;&lt;/FILTERS&gt;&lt;/QUERY&gt;&lt;/QUERIES&gt;&lt;/OBJECT&gt;"/>
    <w:docVar w:name="BIP_META_DOC_TBL00098" w:val="&lt;OBJECT&gt;&lt;META&gt;&lt;ID&gt;&lt;/ID&gt;&lt;NAME&gt;DOC_TBL00098&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nistocr&lt;/DYNAMIZEDBY&gt;&lt;DYNAMIZEDON&gt;1/10/2022 4:36:43 PM&lt;/DYNAMIZEDON&gt;&lt;LASTUPDATEDBY&gt;lamagvi&lt;/LASTUPDATEDBY&gt;&lt;LASTUPDATEDON&gt;6/15/2026 3:30:54 PM&lt;/LASTUPDATEDON&gt;&lt;UTC&gt;1&lt;/UTC&gt;&lt;/UPDATE&gt;&lt;QUERIES bbk=&quot;36755&quot; bbkdesc=&quot;2025 Annual Accounts/EU Annual Accounts/DC - Credit risk&quot; datapro=&quot;BIP_CECTQ&quot; tdatapro=&quot;BIP_CECTQ&quot; author=&quot;&quot; modtime=&quot;6/15/2026 3:26:53 PM&quot; moduser=&quot;lamagvi&quot; rolluptime=&quot;&quot; syuser=&quot;lamagvi&quot; syuzeit=&quot;6/15/2026 3:26:53 PM&quot; root=&quot;/BBOOK/DATAPROVIDER[./META/PROPS/ID='BIP_CECTQ']/DATA&quot; colcount=&quot;3&quot; rowcount=&quot;11&quot; url=&quot;&quot; dynamizeds=&quot;DM Production&quot; dynamizedstype=&quot;9&quot; refreshds=&quot;&quot; viewtype=&quot;1&quot;&gt;&lt;QUERY reftype=&quot;ABS&quot; elmntsel=&quot;TABLE&quot; bbk=&quot;36755&quot; bbkdesc=&quot;2025 Annual Accounts/EU Annual Accounts/DC - Credit risk&quot; datapro=&quot;BIP_CECTQ&quot; infos=&quot;&quot; iscomment=&quot;0&quot;&gt;&lt;SELECT&gt;/BBOOK/DATAPROVIDER[./META/PROPS/ID='BIP_CECTQ']/DATA/ROW&lt;/SELECT&gt;&lt;FILTERS&gt;&lt;FILTER&gt;&lt;/FILTER&gt;&lt;/FILTERS&gt;&lt;/QUERY&gt;&lt;/QUERIES&gt;&lt;/OBJECT&gt;"/>
    <w:docVar w:name="BIP_META_DOC_TBL00099" w:val="&lt;OBJECT&gt;&lt;META&gt;&lt;ID&gt;&lt;/ID&gt;&lt;NAME&gt;DOC_TBL00099&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airamgo&lt;/DYNAMIZEDBY&gt;&lt;DYNAMIZEDON&gt;03/11/2022 11:18:24&lt;/DYNAMIZEDON&gt;&lt;LASTUPDATEDBY&gt;lamagvi&lt;/LASTUPDATEDBY&gt;&lt;LASTUPDATEDON&gt;6/15/2026 3:30:54 PM&lt;/LASTUPDATEDON&gt;&lt;UTC&gt;1&lt;/UTC&gt;&lt;/UPDATE&gt;&lt;QUERIES bbk=&quot;36755&quot; bbkdesc=&quot;2025 Annual Accounts/EU Annual Accounts/DC - Credit risk&quot; datapro=&quot;BIP_EXRCTQ&quot; tdatapro=&quot;BIP_EXRCTQ&quot; author=&quot;&quot; modtime=&quot;6/15/2026 3:26:53 PM&quot; moduser=&quot;lamagvi&quot; rolluptime=&quot;&quot; syuser=&quot;lamagvi&quot; syuzeit=&quot;6/15/2026 3:26:53 PM&quot; root=&quot;/BBOOK/DATAPROVIDER[./META/PROPS/ID='BIP_EXRCTQ']/DATA&quot; colcount=&quot;7&quot; rowcount=&quot;9&quot; url=&quot;&quot; dynamizeds=&quot;DM Production&quot; dynamizedstype=&quot;9&quot; refreshds=&quot;&quot; viewtype=&quot;1&quot;&gt;&lt;QUERY reftype=&quot;ABS&quot; elmntsel=&quot;TABLE&quot; bbk=&quot;36755&quot; bbkdesc=&quot;2025 Annual Accounts/EU Annual Accounts/DC - Credit risk&quot; datapro=&quot;BIP_EXRCTQ&quot; infos=&quot;&quot; iscomment=&quot;0&quot;&gt;&lt;SELECT&gt;/BBOOK/DATAPROVIDER[./META/PROPS/ID='BIP_EXRCTQ']/DATA/ROW&lt;/SELECT&gt;&lt;FILTERS&gt;&lt;FILTER&gt;&lt;/FILTER&gt;&lt;/FILTERS&gt;&lt;/QUERY&gt;&lt;/QUERIES&gt;&lt;/OBJECT&gt;"/>
    <w:docVar w:name="BIP_META_DOC_TBL00100" w:val="&lt;OBJECT&gt;&lt;META&gt;&lt;ID&gt;&lt;/ID&gt;&lt;NAME&gt;DOC_TBL00100&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nistocr&lt;/DYNAMIZEDBY&gt;&lt;DYNAMIZEDON&gt;1/10/2022 5:27:29 PM&lt;/DYNAMIZEDON&gt;&lt;LASTUPDATEDBY&gt;lamagvi&lt;/LASTUPDATEDBY&gt;&lt;LASTUPDATEDON&gt;6/15/2026 3:30:54 PM&lt;/LASTUPDATEDON&gt;&lt;UTC&gt;1&lt;/UTC&gt;&lt;/UPDATE&gt;&lt;QUERIES bbk=&quot;36571&quot; bbkdesc=&quot;2025 Annual Accounts/EC Annual Accounts/DC - Credit risk&quot; datapro=&quot;BIP_FGCTQ&quot; tdatapro=&quot;BIP_FGCTQ&quot; author=&quot;&quot; modtime=&quot;6/15/2026 3:06:54 PM&quot; moduser=&quot;lamagvi&quot; rolluptime=&quot;&quot; syuser=&quot;lamagvi&quot; syuzeit=&quot;6/15/2026 3:06:54 PM&quot; root=&quot;/BBOOK/DATAPROVIDER[./META/PROPS/ID='BIP_FGCTQ']/DATA&quot; colcount=&quot;7&quot; rowcount=&quot;10&quot; url=&quot;&quot; dynamizeds=&quot;DM Production&quot; dynamizedstype=&quot;9&quot; refreshds=&quot;&quot; viewtype=&quot;1&quot;&gt;&lt;QUERY reftype=&quot;ABS&quot; elmntsel=&quot;TABLE&quot; bbk=&quot;36571&quot; bbkdesc=&quot;2025 Annual Accounts/EC Annual Accounts/DC - Credit risk&quot; datapro=&quot;BIP_FGCTQ&quot; infos=&quot;&quot; iscomment=&quot;0&quot;&gt;&lt;SELECT&gt;/BBOOK/DATAPROVIDER[./META/PROPS/ID='BIP_FGCTQ']/DATA/ROW&lt;/SELECT&gt;&lt;FILTERS&gt;&lt;FILTER&gt;&lt;/FILTER&gt;&lt;/FILTERS&gt;&lt;/QUERY&gt;&lt;/QUERIES&gt;&lt;/OBJECT&gt;"/>
    <w:docVar w:name="BIP_META_DOC_TBL00101" w:val="&lt;OBJECT&gt;&lt;META&gt;&lt;ID&gt;&lt;/ID&gt;&lt;NAME&gt;DOC_TBL00101&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nistocr&lt;/DYNAMIZEDBY&gt;&lt;DYNAMIZEDON&gt;1/10/2022 5:30:02 PM&lt;/DYNAMIZEDON&gt;&lt;LASTUPDATEDBY&gt;lamagvi&lt;/LASTUPDATEDBY&gt;&lt;LASTUPDATEDON&gt;6/15/2026 3:30:54 PM&lt;/LASTUPDATEDON&gt;&lt;UTC&gt;1&lt;/UTC&gt;&lt;/UPDATE&gt;&lt;QUERIES bbk=&quot;36571&quot; bbkdesc=&quot;2025 Annual Accounts/EC Annual Accounts/DC - Credit risk&quot; datapro=&quot;BIP_FGCLOS&quot; tdatapro=&quot;BIP_FGCLOS&quot; author=&quot;&quot; modtime=&quot;6/15/2026 3:06:54 PM&quot; moduser=&quot;lamagvi&quot; rolluptime=&quot;&quot; syuser=&quot;lamagvi&quot; syuzeit=&quot;6/15/2026 3:06:54 PM&quot; root=&quot;/BBOOK/DATAPROVIDER[./META/PROPS/ID='BIP_FGCLOS']/DATA&quot; colcount=&quot;4&quot; rowcount=&quot;11&quot; url=&quot;&quot; dynamizeds=&quot;DM Production&quot; dynamizedstype=&quot;9&quot; refreshds=&quot;&quot; viewtype=&quot;1&quot;&gt;&lt;QUERY reftype=&quot;ABS&quot; elmntsel=&quot;TABLE&quot; bbk=&quot;36571&quot; bbkdesc=&quot;2025 Annual Accounts/EC Annual Accounts/DC - Credit risk&quot; datapro=&quot;BIP_FGCLOS&quot; infos=&quot;&quot; iscomment=&quot;0&quot;&gt;&lt;SELECT&gt;/BBOOK/DATAPROVIDER[./META/PROPS/ID='BIP_FGCLOS']/DATA/ROW&lt;/SELECT&gt;&lt;FILTERS&gt;&lt;FILTER&gt;&lt;/FILTER&gt;&lt;/FILTERS&gt;&lt;/QUERY&gt;&lt;/QUERIES&gt;&lt;/OBJECT&gt;"/>
    <w:docVar w:name="BIP_META_DOC_TBL00102" w:val="&lt;OBJECT&gt;&lt;META&gt;&lt;ID&gt;&lt;/ID&gt;&lt;NAME&gt;DOC_TBL00102&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nistocr&lt;/DYNAMIZEDBY&gt;&lt;DYNAMIZEDON&gt;10/12/2021 13:20:54&lt;/DYNAMIZEDON&gt;&lt;LASTUPDATEDBY&gt;lamagvi&lt;/LASTUPDATEDBY&gt;&lt;LASTUPDATEDON&gt;6/15/2026 3:30:54 PM&lt;/LASTUPDATEDON&gt;&lt;UTC&gt;1&lt;/UTC&gt;&lt;/UPDATE&gt;&lt;QUERIES bbk=&quot;36756&quot; bbkdesc=&quot;2025 Annual Accounts/EU Annual Accounts/DC - Liquidity risk&quot; datapro=&quot;BIP_NDFLCY&quot; tdatapro=&quot;BIP_NDFLCY&quot; author=&quot;&quot; modtime=&quot;12/10/2021 1:06:12 PM&quot; moduser=&quot;nistocr&quot; rolluptime=&quot;&quot; syuser=&quot;nistocr&quot; syuzeit=&quot;12/10/2021 1:06:12 PM&quot; root=&quot;/DATA&quot; colcount=&quot;6&quot; rowcount=&quot;11&quot; url=&quot;&quot; dynamizeds=&quot;DM Production&quot; dynamizedstype=&quot;9&quot; refreshds=&quot;&quot; viewtype=&quot;1&quot;&gt;&lt;QUERY reftype=&quot;ABS&quot; elmntsel=&quot;TABLE&quot; bbk=&quot;36756&quot; bbkdesc=&quot;2025 Annual Accounts/EU Annual Accounts/DC - Liquidity risk&quot; datapro=&quot;BIP_NDFLCY&quot; infos=&quot;&quot; iscomment=&quot;0&quot;&gt;&lt;SELECT&gt;/BBOOK/DATAPROVIDER[./META/PROPS/ID='BIP_NDFLCY']/DATA/ROW&lt;/SELECT&gt;&lt;FILTERS&gt;&lt;FILTER&gt;&lt;/FILTER&gt;&lt;/FILTERS&gt;&lt;/QUERY&gt;&lt;/QUERIES&gt;&lt;/OBJECT&gt;"/>
    <w:docVar w:name="BIP_META_DOC_TBL00103" w:val="&lt;OBJECT&gt;&lt;META&gt;&lt;ID&gt;&lt;/ID&gt;&lt;NAME&gt;DOC_TBL00103&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nistocr&lt;/DYNAMIZEDBY&gt;&lt;DYNAMIZEDON&gt;10/12/2021 13:24:43&lt;/DYNAMIZEDON&gt;&lt;LASTUPDATEDBY&gt;lamagvi&lt;/LASTUPDATEDBY&gt;&lt;LASTUPDATEDON&gt;6/15/2026 3:30:53 PM&lt;/LASTUPDATEDON&gt;&lt;UTC&gt;1&lt;/UTC&gt;&lt;/UPDATE&gt;&lt;QUERIES bbk=&quot;36617&quot; bbkdesc=&quot;2025 Annual Accounts/EC Annual Accounts/DC - Liquidity risk&quot; datapro=&quot;BIP_DFLCY&quot; tdatapro=&quot;BIP_DFLCY&quot; author=&quot;&quot; modtime=&quot;6/15/2026 3:06:55 PM&quot; moduser=&quot;lamagvi&quot; rolluptime=&quot;&quot; syuser=&quot;lamagvi&quot; syuzeit=&quot;6/15/2026 3:06:55 PM&quot; root=&quot;/BBOOK/DATAPROVIDER[./META/PROPS/ID='BIP_DFLCY']/DATA&quot; colcount=&quot;6&quot; rowcount=&quot;9&quot; url=&quot;&quot; dynamizeds=&quot;DM Production&quot; dynamizedstype=&quot;9&quot; refreshds=&quot;&quot; viewtype=&quot;1&quot;&gt;&lt;QUERY reftype=&quot;ABS&quot; elmntsel=&quot;TABLE&quot; bbk=&quot;36617&quot; bbkdesc=&quot;2025 Annual Accounts/EC Annual Accounts/DC - Liquidity risk&quot; datapro=&quot;BIP_DFLCY&quot; infos=&quot;&quot; iscomment=&quot;0&quot;&gt;&lt;SELECT&gt;/BBOOK/DATAPROVIDER[./META/PROPS/ID='BIP_DFLCY']/DATA/ROW&lt;/SELECT&gt;&lt;FILTERS&gt;&lt;FILTER&gt;&lt;/FILTER&gt;&lt;/FILTERS&gt;&lt;/QUERY&gt;&lt;/QUERIES&gt;&lt;/OBJECT&gt;"/>
    <w:docVar w:name="BIP_META_DOC_TBL00104" w:val="&lt;OBJECT&gt;&lt;META&gt;&lt;ID&gt;&lt;/ID&gt;&lt;NAME&gt;DOC_TBL00104&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nistocr&lt;/DYNAMIZEDBY&gt;&lt;DYNAMIZEDON&gt;10/12/2021 13:27:19&lt;/DYNAMIZEDON&gt;&lt;LASTUPDATEDBY&gt;lamagvi&lt;/LASTUPDATEDBY&gt;&lt;LASTUPDATEDON&gt;6/15/2026 3:30:54 PM&lt;/LASTUPDATEDON&gt;&lt;UTC&gt;1&lt;/UTC&gt;&lt;/UPDATE&gt;&lt;QUERIES bbk=&quot;36617&quot; bbkdesc=&quot;2025 Annual Accounts/EC Annual Accounts/DC - Liquidity risk&quot; datapro=&quot;BIP_FGCY&quot; tdatapro=&quot;BIP_FGCY&quot; author=&quot;&quot; modtime=&quot;6/15/2026 3:06:55 PM&quot; moduser=&quot;lamagvi&quot; rolluptime=&quot;&quot; syuser=&quot;lamagvi&quot; syuzeit=&quot;6/15/2026 3:06:55 PM&quot; root=&quot;/BBOOK/DATAPROVIDER[./META/PROPS/ID='BIP_FGCY']/DATA&quot; colcount=&quot;6&quot; rowcount=&quot;5&quot; url=&quot;&quot; dynamizeds=&quot;DM Production&quot; dynamizedstype=&quot;9&quot; refreshds=&quot;&quot; viewtype=&quot;1&quot;&gt;&lt;QUERY reftype=&quot;ABS&quot; elmntsel=&quot;TABLE&quot; bbk=&quot;36617&quot; bbkdesc=&quot;2025 Annual Accounts/EC Annual Accounts/DC - Liquidity risk&quot; datapro=&quot;BIP_FGCY&quot; infos=&quot;&quot; iscomment=&quot;0&quot;&gt;&lt;SELECT&gt;/BBOOK/DATAPROVIDER[./META/PROPS/ID='BIP_FGCY']/DATA/ROW&lt;/SELECT&gt;&lt;FILTERS&gt;&lt;FILTER&gt;&lt;/FILTER&gt;&lt;/FILTERS&gt;&lt;/QUERY&gt;&lt;/QUERIES&gt;&lt;/OBJECT&gt;"/>
    <w:docVar w:name="BIP_META_DOC_TBL00105" w:val="&lt;OBJECT&gt;&lt;META&gt;&lt;ID&gt;&lt;/ID&gt;&lt;NAME&gt;DOC_TBL00105&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airamgo&lt;/DYNAMIZEDBY&gt;&lt;DYNAMIZEDON&gt;14/03/2025 06:50:57&lt;/DYNAMIZEDON&gt;&lt;LASTUPDATEDBY&gt;lamagvi&lt;/LASTUPDATEDBY&gt;&lt;LASTUPDATEDON&gt;6/15/2026 3:30:53 PM&lt;/LASTUPDATEDON&gt;&lt;UTC&gt;1&lt;/UTC&gt;&lt;/UPDATE&gt;&lt;QUERIES bbk=&quot;36617&quot; bbkdesc=&quot;2025 Annual Accounts/EC Annual Accounts/DC - Liquidity risk&quot; datapro=&quot;BIP_ULC&quot; tdatapro=&quot;BIP_ULC&quot; author=&quot;&quot; modtime=&quot;6/15/2026 3:06:55 PM&quot; moduser=&quot;lamagvi&quot; rolluptime=&quot;&quot; syuser=&quot;lamagvi&quot; syuzeit=&quot;6/15/2026 3:06:55 PM&quot; root=&quot;/BBOOK/DATAPROVIDER[./META/PROPS/ID='BIP_ULC']/DATA&quot; colcount=&quot;6&quot; rowcount=&quot;5&quot; url=&quot;&quot; dynamizeds=&quot;DM Production&quot; dynamizedstype=&quot;9&quot; refreshds=&quot;&quot; viewtype=&quot;1&quot;&gt;&lt;QUERY reftype=&quot;ABS&quot; elmntsel=&quot;TABLE&quot; bbk=&quot;36617&quot; bbkdesc=&quot;2025 Annual Accounts/EC Annual Accounts/DC - Liquidity risk&quot; datapro=&quot;BIP_ULC&quot; infos=&quot;&quot; iscomment=&quot;0&quot;&gt;&lt;SELECT&gt;/BBOOK/DATAPROVIDER[./META/PROPS/ID='BIP_ULC']/DATA/ROW&lt;/SELECT&gt;&lt;FILTERS&gt;&lt;FILTER&gt;&lt;/FILTER&gt;&lt;/FILTERS&gt;&lt;/QUERY&gt;&lt;/QUERIES&gt;&lt;/OBJECT&gt;"/>
    <w:docVar w:name="BIP_META_DOC_TBL00106" w:val="&lt;OBJECT&gt;&lt;META&gt;&lt;ID&gt;&lt;/ID&gt;&lt;NAME&gt;DOC_TBL00106&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appiaas&lt;/DYNAMIZEDBY&gt;&lt;DYNAMIZEDON&gt;02-03-2022 09:50:38&lt;/DYNAMIZEDON&gt;&lt;LASTUPDATEDBY&gt;lamagvi&lt;/LASTUPDATEDBY&gt;&lt;LASTUPDATEDON&gt;6/15/2026 3:31:05 PM&lt;/LASTUPDATEDON&gt;&lt;UTC&gt;1&lt;/UTC&gt;&lt;/UPDATE&gt;&lt;QUERIES bbk=&quot;36692&quot; bbkdesc=&quot;2025 Annual Accounts/EU Annual Accounts/Upload Key management table&quot; datapro=&quot;BIP_KMT&quot; tdatapro=&quot;BIP_KMT&quot; author=&quot;&quot; modtime=&quot;3/11/2026 9:14:20 AM&quot; moduser=&quot;lamagvi&quot; rolluptime=&quot;&quot; syuser=&quot;lamagvi&quot; syuzeit=&quot;3/11/2026 9:14:20 AM&quot; root=&quot;/BBOOK/DATAPROVIDER[./META/PROPS/ID='BIP_KMT']/DATA&quot; colcount=&quot;6&quot; rowcount=&quot;48&quot; url=&quot;&quot; dynamizeds=&quot;DM Production&quot; dynamizedstype=&quot;9&quot; refreshds=&quot;&quot; viewtype=&quot;1&quot;&gt;&lt;QUERY reftype=&quot;ABS&quot; elmntsel=&quot;TABLE&quot; bbk=&quot;36692&quot; bbkdesc=&quot;2025 Annual Accounts/EU Annual Accounts/Upload Key management table&quot; datapro=&quot;BIP_KMT&quot; infos=&quot;&quot; iscomment=&quot;0&quot;&gt;&lt;SELECT&gt;/BBOOK/DATAPROVIDER[./META/PROPS/ID='BIP_KMT']/DATA/ROW&lt;/SELECT&gt;&lt;FILTERS&gt;&lt;FILTER&gt;&lt;/FILTER&gt;&lt;/FILTERS&gt;&lt;/QUERY&gt;&lt;/QUERIES&gt;&lt;/OBJECT&gt;"/>
    <w:docVar w:name="BIP_META_DOC_TBL00107" w:val="&lt;OBJECT&gt;&lt;META&gt;&lt;ID&gt;&lt;/ID&gt;&lt;NAME&gt;DOC_TBL00107&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05/08/2019 13:18:40&lt;/DYNAMIZEDON&gt;&lt;LASTUPDATEDBY&gt;lamagvi&lt;/LASTUPDATEDBY&gt;&lt;LASTUPDATEDON&gt;6/15/2026 3:31:06 PM&lt;/LASTUPDATEDON&gt;&lt;UTC&gt;1&lt;/UTC&gt;&lt;/UPDATE&gt;&lt;QUERIES bbk=&quot;36740&quot; bbkdesc=&quot;2025 Annual Accounts/EU Annual Accounts/DC - Scope of consolidation EU&quot; datapro=&quot;BIP_CE&quot; tdatapro=&quot;BIP_CE&quot; author=&quot;&quot; modtime=&quot;6/15/2026 3:28:02 PM&quot; moduser=&quot;lamagvi&quot; rolluptime=&quot;&quot; syuser=&quot;lamagvi&quot; syuzeit=&quot;6/15/2026 3:28:02 PM&quot; root=&quot;/BBOOK/DATAPROVIDER[./META/PROPS/ID='BIP_CE']/DATA&quot; colcount=&quot;2&quot; rowcount=&quot;38&quot; url=&quot;&quot; dynamizeds=&quot;DM Production&quot; dynamizedstype=&quot;9&quot; refreshds=&quot;&quot; viewtype=&quot;1&quot;&gt;&lt;QUERY reftype=&quot;ABS&quot; elmntsel=&quot;TABLE&quot; bbk=&quot;36740&quot; bbkdesc=&quot;2025 Annual Accounts/EU Annual Accounts/DC - Scope of consolidation EU&quot; datapro=&quot;BIP_CE&quot; infos=&quot;&quot; iscomment=&quot;0&quot;&gt;&lt;SELECT&gt;/BBOOK/DATAPROVIDER[./META/PROPS/ID='BIP_CE']/DATA/ROW&lt;/SELECT&gt;&lt;FILTERS&gt;&lt;FILTER&gt;&lt;/FILTER&gt;&lt;/FILTERS&gt;&lt;/QUERY&gt;&lt;/QUERIES&gt;&lt;/OBJECT&gt;"/>
    <w:docVar w:name="BIP_META_DOC_TBL00108" w:val="&lt;OBJECT&gt;&lt;META&gt;&lt;ID&gt;&lt;/ID&gt;&lt;NAME&gt;DOC_TBL00108&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6.35&lt;/DATE&gt;&lt;DYNAMIZEDBY&gt;bedread&lt;/DYNAMIZEDBY&gt;&lt;DYNAMIZEDON&gt;12/03/2019 17:37:57&lt;/DYNAMIZEDON&gt;&lt;LASTUPDATEDBY&gt;lamagvi&lt;/LASTUPDATEDBY&gt;&lt;LASTUPDATEDON&gt;6/15/2026 3:27:55 PM&lt;/LASTUPDATEDON&gt;&lt;UTC&gt;1&lt;/UTC&gt;&lt;/UPDATE&gt;&lt;QUERIES bbk=&quot;36691&quot; bbkdesc=&quot;2025 Annual Accounts/EU Annual Accounts/DC - Budget result and Statements of Comparison&quot; datapro=&quot;BIP_Budget_result&quot; tdatapro=&quot;BIP_Budget_result&quot; author=&quot;&quot; modtime=&quot;6/15/2026 3:26:52 PM&quot; moduser=&quot;lamagvi&quot; rolluptime=&quot;&quot; syuser=&quot;lamagvi&quot; syuzeit=&quot;6/15/2026 3:26:52 PM&quot; root=&quot;/BBOOK/DATAPROVIDER[./META/PROPS/ID='BIP_Budget_result']/DATA&quot; colcount=&quot;4&quot; rowcount=&quot;11&quot; url=&quot;&quot; dynamizeds=&quot;DM Production&quot; dynamizedstype=&quot;9&quot; refreshds=&quot;&quot; viewtype=&quot;1&quot;&gt;&lt;QUERY reftype=&quot;ABS&quot; elmntsel=&quot;TABLE&quot; bbk=&quot;36691&quot; bbkdesc=&quot;2025 Annual Accounts/EU Annual Accounts/DC - Budget result and Statements of Comparison&quot; datapro=&quot;BIP_Budget_result&quot; infos=&quot;&quot; iscomment=&quot;0&quot;&gt;&lt;SELECT&gt;/BBOOK/DATAPROVIDER[./META/PROPS/ID='BIP_Budget_result']/DATA/ROW&lt;/SELECT&gt;&lt;FILTERS&gt;&lt;FILTER&gt;&lt;/FILTER&gt;&lt;/FILTERS&gt;&lt;/QUERY&gt;&lt;/QUERIES&gt;&lt;/OBJECT&gt;"/>
    <w:docVar w:name="BIP_META_DOC_TBL00109" w:val="&lt;OBJECT&gt;&lt;META&gt;&lt;ID&gt;&lt;/ID&gt;&lt;NAME&gt;DOC_TBL00109&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6.35&lt;/DATE&gt;&lt;DYNAMIZEDBY&gt;bedread&lt;/DYNAMIZEDBY&gt;&lt;DYNAMIZEDON&gt;12/03/2019 17:38:42&lt;/DYNAMIZEDON&gt;&lt;LASTUPDATEDBY&gt;lamagvi&lt;/LASTUPDATEDBY&gt;&lt;LASTUPDATEDON&gt;6/15/2026 3:27:55 PM&lt;/LASTUPDATEDON&gt;&lt;UTC&gt;1&lt;/UTC&gt;&lt;/UPDATE&gt;&lt;QUERIES bbk=&quot;36691&quot; bbkdesc=&quot;2025 Annual Accounts/EU Annual Accounts/DC - Budget result and Statements of Comparison&quot; datapro=&quot;BIP_Statement_of_comparison_Revenue&quot; tdatapro=&quot;BIP_Statement_of_comparison_Revenue&quot; author=&quot;&quot; modtime=&quot;6/15/2026 3:26:52 PM&quot; moduser=&quot;lamagvi&quot; rolluptime=&quot;&quot; syuser=&quot;lamagvi&quot; syuzeit=&quot;6/15/2026 3:26:52 PM&quot; root=&quot;/BBOOK/DATAPROVIDER[./META/PROPS/ID='BIP_Statement_of_comparison_Revenue']/DATA&quot; colcount=&quot;6&quot; rowcount=&quot;10&quot; url=&quot;&quot; dynamizeds=&quot;DM Production&quot; dynamizedstype=&quot;9&quot; refreshds=&quot;&quot; viewtype=&quot;1&quot;&gt;&lt;QUERY reftype=&quot;ABS&quot; elmntsel=&quot;TABLE&quot; bbk=&quot;36691&quot; bbkdesc=&quot;2025 Annual Accounts/EU Annual Accounts/DC - Budget result and Statements of Comparison&quot; datapro=&quot;BIP_Statement_of_comparison_Revenue&quot; infos=&quot;&quot; iscomment=&quot;0&quot;&gt;&lt;SELECT&gt;/BBOOK/DATAPROVIDER[./META/PROPS/ID='BIP_Statement_of_comparison_Revenue']/DATA/ROW&lt;/SELECT&gt;&lt;FILTERS&gt;&lt;FILTER&gt;&lt;/FILTER&gt;&lt;/FILTERS&gt;&lt;/QUERY&gt;&lt;/QUERIES&gt;&lt;/OBJECT&gt;"/>
    <w:docVar w:name="BIP_META_DOC_TBL00110" w:val="&lt;OBJECT&gt;&lt;META&gt;&lt;ID&gt;&lt;/ID&gt;&lt;NAME&gt;DOC_TBL00110&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6.35&lt;/DATE&gt;&lt;DYNAMIZEDBY&gt;bedread&lt;/DYNAMIZEDBY&gt;&lt;DYNAMIZEDON&gt;12/03/2019 17:40:04&lt;/DYNAMIZEDON&gt;&lt;LASTUPDATEDBY&gt;lamagvi&lt;/LASTUPDATEDBY&gt;&lt;LASTUPDATEDON&gt;6/15/2026 3:27:55 PM&lt;/LASTUPDATEDON&gt;&lt;UTC&gt;1&lt;/UTC&gt;&lt;/UPDATE&gt;&lt;QUERIES bbk=&quot;36691&quot; bbkdesc=&quot;2025 Annual Accounts/EU Annual Accounts/DC - Budget result and Statements of Comparison&quot; datapro=&quot;BIP_Statement_of_comparison_Commitments&quot; tdatapro=&quot;BIP_Statement_of_comparison_Commitments&quot; author=&quot;&quot; modtime=&quot;6/15/2026 3:26:52 PM&quot; moduser=&quot;lamagvi&quot; rolluptime=&quot;&quot; syuser=&quot;lamagvi&quot; syuzeit=&quot;6/15/2026 3:26:52 PM&quot; root=&quot;/BBOOK/DATAPROVIDER[./META/PROPS/ID='BIP_Statement_of_comparison_Commitments']/DATA&quot; colcount=&quot;6&quot; rowcount=&quot;13&quot; url=&quot;&quot; dynamizeds=&quot;DM Production&quot; dynamizedstype=&quot;9&quot; refreshds=&quot;&quot; viewtype=&quot;1&quot;&gt;&lt;QUERY reftype=&quot;ABS&quot; elmntsel=&quot;TABLE&quot; bbk=&quot;36691&quot; bbkdesc=&quot;2025 Annual Accounts/EU Annual Accounts/DC - Budget result and Statements of Comparison&quot; datapro=&quot;BIP_Statement_of_comparison_Commitments&quot; infos=&quot;&quot; iscomment=&quot;0&quot;&gt;&lt;SELECT&gt;/BBOOK/DATAPROVIDER[./META/PROPS/ID='BIP_Statement_of_comparison_Commitments']/DATA/ROW&lt;/SELECT&gt;&lt;FILTERS&gt;&lt;FILTER&gt;&lt;/FILTER&gt;&lt;/FILTERS&gt;&lt;/QUERY&gt;&lt;/QUERIES&gt;&lt;/OBJECT&gt;"/>
    <w:docVar w:name="BIP_META_DOC_TBL00111" w:val="&lt;OBJECT&gt;&lt;META&gt;&lt;ID&gt;&lt;/ID&gt;&lt;NAME&gt;DOC_TBL00111&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6.35&lt;/DATE&gt;&lt;DYNAMIZEDBY&gt;bedread&lt;/DYNAMIZEDBY&gt;&lt;DYNAMIZEDON&gt;12/03/2019 17:42:34&lt;/DYNAMIZEDON&gt;&lt;LASTUPDATEDBY&gt;lamagvi&lt;/LASTUPDATEDBY&gt;&lt;LASTUPDATEDON&gt;6/15/2026 3:27:55 PM&lt;/LASTUPDATEDON&gt;&lt;UTC&gt;1&lt;/UTC&gt;&lt;/UPDATE&gt;&lt;QUERIES bbk=&quot;36691&quot; bbkdesc=&quot;2025 Annual Accounts/EU Annual Accounts/DC - Budget result and Statements of Comparison&quot; datapro=&quot;BIP_Statement_of_comparison_Payments&quot; tdatapro=&quot;BIP_Statement_of_comparison_Payments&quot; author=&quot;&quot; modtime=&quot;6/15/2026 3:26:52 PM&quot; moduser=&quot;lamagvi&quot; rolluptime=&quot;&quot; syuser=&quot;lamagvi&quot; syuzeit=&quot;6/15/2026 3:26:52 PM&quot; root=&quot;/BBOOK/DATAPROVIDER[./META/PROPS/ID='BIP_Statement_of_comparison_Payments']/DATA&quot; colcount=&quot;6&quot; rowcount=&quot;13&quot; url=&quot;&quot; dynamizeds=&quot;DM Production&quot; dynamizedstype=&quot;9&quot; refreshds=&quot;&quot; viewtype=&quot;1&quot;&gt;&lt;QUERY reftype=&quot;ABS&quot; elmntsel=&quot;TABLE&quot; bbk=&quot;36691&quot; bbkdesc=&quot;2025 Annual Accounts/EU Annual Accounts/DC - Budget result and Statements of Comparison&quot; datapro=&quot;BIP_Statement_of_comparison_Payments&quot; infos=&quot;&quot; iscomment=&quot;0&quot;&gt;&lt;SELECT&gt;/BBOOK/DATAPROVIDER[./META/PROPS/ID='BIP_Statement_of_comparison_Payments']/DATA/ROW&lt;/SELECT&gt;&lt;FILTERS&gt;&lt;FILTER&gt;&lt;/FILTER&gt;&lt;/FILTERS&gt;&lt;/QUERY&gt;&lt;/QUERIES&gt;&lt;/OBJECT&gt;"/>
    <w:docVar w:name="BIP_META_DOC_TBL00112" w:val="&lt;OBJECT&gt;&lt;META&gt;&lt;ID&gt;&lt;/ID&gt;&lt;NAME&gt;DOC_TBL00112&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60&lt;/FLCID&gt;&lt;RELATION&gt;&lt;/RELATION&gt;&lt;LINKED&gt;&lt;/LINKED&gt;&lt;SVALUE&gt;&lt;/SVALUE&gt;&lt;INFO&gt;&lt;/INFO&gt;&lt;/META&gt;&lt;UPDATE&gt;&lt;DATE&gt;10.1.10.2&lt;/DATE&gt;&lt;DYNAMIZEDBY&gt;mileuma&lt;/DYNAMIZEDBY&gt;&lt;DYNAMIZEDON&gt;07/10/2019 12:42:07&lt;/DYNAMIZEDON&gt;&lt;LASTUPDATEDBY&gt;lamagvi&lt;/LASTUPDATEDBY&gt;&lt;LASTUPDATEDON&gt;6/15/2026 3:31:00 PM&lt;/LASTUPDATEDON&gt;&lt;UTC&gt;1&lt;/UTC&gt;&lt;/UPDATE&gt;&lt;QUERIES bbk=&quot;36669&quot; bbkdesc=&quot;2025 Annual Accounts/EU Annual Accounts/DC - EU Reconciliation of economic result&quot; datapro=&quot;BIP_Reconciliation&quot; tdatapro=&quot;BIP_Reconciliation&quot; author=&quot;&quot; modtime=&quot;6/10/2026 10:00:06 AM&quot; moduser=&quot;canarpa&quot; rolluptime=&quot;&quot; syuser=&quot;canarpa&quot; syuzeit=&quot;6/10/2026 10:00:06 AM&quot; root=&quot;/BBOOK/DATAPROVIDER[./META/PROPS/ID='BIP_Reconciliation']/DATA&quot; colcount=&quot;3&quot; rowcount=&quot;22&quot; url=&quot;&quot; dynamizeds=&quot;DM Production&quot; dynamizedstype=&quot;9&quot; refreshds=&quot;&quot; viewtype=&quot;1&quot;&gt;&lt;QUERY reftype=&quot;ABS&quot; elmntsel=&quot;TABLE&quot; bbk=&quot;36669&quot; bbkdesc=&quot;2025 Annual Accounts/EU Annual Accounts/DC - EU Reconciliation of economic result&quot; datapro=&quot;BIP_Reconciliation&quot; infos=&quot;&quot; iscomment=&quot;0&quot;&gt;&lt;SELECT&gt;/BBOOK/DATAPROVIDER[./META/PROPS/ID='BIP_Reconciliation']/DATA/ROW&lt;/SELECT&gt;&lt;FILTERS&gt;&lt;FILTER&gt;&lt;/FILTER&gt;&lt;/FILTERS&gt;&lt;/QUERY&gt;&lt;/QUERIES&gt;&lt;/OBJECT&gt;"/>
    <w:docVar w:name="BIP_META_DOC_TBL00113" w:val="&lt;OBJECT&gt;&lt;META&gt;&lt;ID&gt;&lt;/ID&gt;&lt;NAME&gt;DOC_TBL00113&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6.35&lt;/DATE&gt;&lt;DYNAMIZEDBY&gt;bedread&lt;/DYNAMIZEDBY&gt;&lt;DYNAMIZEDON&gt;13/03/2019 08:15:24&lt;/DYNAMIZEDON&gt;&lt;LASTUPDATEDBY&gt;lamagvi&lt;/LASTUPDATEDBY&gt;&lt;LASTUPDATEDON&gt;6/15/2026 3:30:56 PM&lt;/LASTUPDATEDON&gt;&lt;UTC&gt;1&lt;/UTC&gt;&lt;/UPDATE&gt;&lt;QUERIES bbk=&quot;36741&quot; bbkdesc=&quot;2025 Annual Accounts/EU Annual Accounts/DC - EU revenues&quot; datapro=&quot;BIP_Implementation_budget_revenue&quot; tdatapro=&quot;BIP_Implementation_budget_revenue&quot; author=&quot;&quot; modtime=&quot;6/15/2026 3:26:55 PM&quot; moduser=&quot;lamagvi&quot; rolluptime=&quot;&quot; syuser=&quot;lamagvi&quot; syuzeit=&quot;6/15/2026 3:26:55 PM&quot; root=&quot;/BBOOK/DATAPROVIDER[./META/PROPS/ID='BIP_Implementation_budget_revenue']/DATA&quot; colcount=&quot;12&quot; rowcount=&quot;21&quot; url=&quot;&quot; dynamizeds=&quot;DM Production&quot; dynamizedstype=&quot;9&quot; refreshds=&quot;&quot; viewtype=&quot;1&quot;&gt;&lt;QUERY reftype=&quot;ABS&quot; elmntsel=&quot;TABLE&quot; bbk=&quot;36741&quot; bbkdesc=&quot;2025 Annual Accounts/EU Annual Accounts/DC - EU revenues&quot; datapro=&quot;BIP_Implementation_budget_revenue&quot; infos=&quot;&quot; iscomment=&quot;0&quot;&gt;&lt;SELECT&gt;/BBOOK/DATAPROVIDER[./META/PROPS/ID='BIP_Implementation_budget_revenue']/DATA/ROW&lt;/SELECT&gt;&lt;FILTERS&gt;&lt;FILTER&gt;&lt;/FILTER&gt;&lt;/FILTERS&gt;&lt;/QUERY&gt;&lt;/QUERIES&gt;&lt;/OBJECT&gt;"/>
    <w:docVar w:name="BIP_META_DOC_TBL00114" w:val="&lt;OBJECT&gt;&lt;META&gt;&lt;ID&gt;&lt;/ID&gt;&lt;NAME&gt;DOC_TBL00114&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6.35&lt;/DATE&gt;&lt;DYNAMIZEDBY&gt;bedread&lt;/DYNAMIZEDBY&gt;&lt;DYNAMIZEDON&gt;3/13/2019 9:31:30 AM&lt;/DYNAMIZEDON&gt;&lt;LASTUPDATEDBY&gt;lamagvi&lt;/LASTUPDATEDBY&gt;&lt;LASTUPDATEDON&gt;6/15/2026 3:30:56 PM&lt;/LASTUPDATEDON&gt;&lt;UTC&gt;1&lt;/UTC&gt;&lt;/UPDATE&gt;&lt;QUERIES bbk=&quot;36742&quot; bbkdesc=&quot;2025 Annual Accounts/EU Annual Accounts/DC - EU expenditures&quot; datapro=&quot;BIP_MFF_1_Breakdown_Comm_Paym&quot; tdatapro=&quot;BIP_MFF_1_Breakdown_Comm_Paym&quot; author=&quot;&quot; modtime=&quot;6/15/2026 3:26:55 PM&quot; moduser=&quot;lamagvi&quot; rolluptime=&quot;&quot; syuser=&quot;lamagvi&quot; syuzeit=&quot;6/15/2026 3:26:55 PM&quot; root=&quot;/BBOOK/DATAPROVIDER[./META/PROPS/ID='BIP_MFF_1_Breakdown_Comm_Paym']/DATA&quot; colcount=&quot;14&quot; rowcount=&quot;15&quot; url=&quot;&quot; dynamizeds=&quot;DM Production&quot; dynamizedstype=&quot;9&quot; refreshds=&quot;&quot; viewtype=&quot;1&quot;&gt;&lt;QUERY reftype=&quot;ABS&quot; elmntsel=&quot;TABLE&quot; bbk=&quot;36742&quot; bbkdesc=&quot;2025 Annual Accounts/EU Annual Accounts/DC - EU expenditures&quot; datapro=&quot;BIP_MFF_1_Breakdown_Comm_Paym&quot; infos=&quot;&quot; iscomment=&quot;0&quot;&gt;&lt;SELECT&gt;/BBOOK/DATAPROVIDER[./META/PROPS/ID='BIP_MFF_1_Breakdown_Comm_Paym']/DATA/ROW&lt;/SELECT&gt;&lt;FILTERS&gt;&lt;FILTER&gt;&lt;/FILTER&gt;&lt;/FILTERS&gt;&lt;/QUERY&gt;&lt;/QUERIES&gt;&lt;/OBJECT&gt;"/>
    <w:docVar w:name="BIP_META_DOC_TBL00115" w:val="&lt;OBJECT&gt;&lt;META&gt;&lt;ID&gt;&lt;/ID&gt;&lt;NAME&gt;DOC_TBL00115&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10.2&lt;/DATE&gt;&lt;DYNAMIZEDBY&gt;gcristi&lt;/DYNAMIZEDBY&gt;&lt;DYNAMIZEDON&gt;09/06/2026 12:29:51&lt;/DYNAMIZEDON&gt;&lt;LASTUPDATEDBY&gt;lamagvi&lt;/LASTUPDATEDBY&gt;&lt;LASTUPDATEDON&gt;6/15/2026 3:30:55 PM&lt;/LASTUPDATEDON&gt;&lt;UTC&gt;1&lt;/UTC&gt;&lt;/UPDATE&gt;&lt;QUERIES bbk=&quot;36742&quot; bbkdesc=&quot;2025 Annual Accounts/EU Annual Accounts/DC - EU expenditures&quot; datapro=&quot;BIP_MFF_2_Implement_Commitments&quot; tdatapro=&quot;BIP_MFF_2_Implement_Commitments&quot; author=&quot;&quot; modtime=&quot;6/15/2026 3:26:55 PM&quot; moduser=&quot;lamagvi&quot; rolluptime=&quot;&quot; syuser=&quot;lamagvi&quot; syuzeit=&quot;6/15/2026 3:26:55 PM&quot; root=&quot;/BBOOK/DATAPROVIDER[./META/PROPS/ID='BIP_MFF_2_Implement_Commitments']/DATA&quot; colcount=&quot;15&quot; rowcount=&quot;14&quot; url=&quot;&quot; dynamizeds=&quot;DM Production&quot; dynamizedstype=&quot;9&quot; refreshds=&quot;&quot; viewtype=&quot;1&quot;&gt;&lt;QUERY reftype=&quot;ABS&quot; elmntsel=&quot;TABLE&quot; bbk=&quot;36742&quot; bbkdesc=&quot;2025 Annual Accounts/EU Annual Accounts/DC - EU expenditures&quot; datapro=&quot;BIP_MFF_2_Implement_Commitments&quot; infos=&quot;&quot; iscomment=&quot;0&quot;&gt;&lt;SELECT&gt;/BBOOK/DATAPROVIDER[./META/PROPS/ID='BIP_MFF_2_Implement_Commitments']/DATA/ROW&lt;/SELECT&gt;&lt;FILTERS&gt;&lt;FILTER&gt;&lt;/FILTER&gt;&lt;/FILTERS&gt;&lt;/QUERY&gt;&lt;/QUERIES&gt;&lt;/OBJECT&gt;"/>
    <w:docVar w:name="BIP_META_DOC_TBL00116" w:val="&lt;OBJECT&gt;&lt;META&gt;&lt;ID&gt;&lt;/ID&gt;&lt;NAME&gt;DOC_TBL00116&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10.2&lt;/DATE&gt;&lt;DYNAMIZEDBY&gt;gcristi&lt;/DYNAMIZEDBY&gt;&lt;DYNAMIZEDON&gt;09/06/2026 12:33:13&lt;/DYNAMIZEDON&gt;&lt;LASTUPDATEDBY&gt;lamagvi&lt;/LASTUPDATEDBY&gt;&lt;LASTUPDATEDON&gt;6/15/2026 3:30:55 PM&lt;/LASTUPDATEDON&gt;&lt;UTC&gt;1&lt;/UTC&gt;&lt;/UPDATE&gt;&lt;QUERIES bbk=&quot;36742&quot; bbkdesc=&quot;2025 Annual Accounts/EU Annual Accounts/DC - EU expenditures&quot; datapro=&quot;BIP_MFF_3_Implement_Payments&quot; tdatapro=&quot;BIP_MFF_3_Implement_Payments&quot; author=&quot;&quot; modtime=&quot;6/15/2026 3:26:55 PM&quot; moduser=&quot;lamagvi&quot; rolluptime=&quot;&quot; syuser=&quot;lamagvi&quot; syuzeit=&quot;6/15/2026 3:26:55 PM&quot; root=&quot;/BBOOK/DATAPROVIDER[./META/PROPS/ID='BIP_MFF_3_Implement_Payments']/DATA&quot; colcount=&quot;15&quot; rowcount=&quot;14&quot; url=&quot;&quot; dynamizeds=&quot;DM Production&quot; dynamizedstype=&quot;9&quot; refreshds=&quot;&quot; viewtype=&quot;1&quot;&gt;&lt;QUERY reftype=&quot;ABS&quot; elmntsel=&quot;TABLE&quot; bbk=&quot;36742&quot; bbkdesc=&quot;2025 Annual Accounts/EU Annual Accounts/DC - EU expenditures&quot; datapro=&quot;BIP_MFF_3_Implement_Payments&quot; infos=&quot;&quot; iscomment=&quot;0&quot;&gt;&lt;SELECT&gt;/BBOOK/DATAPROVIDER[./META/PROPS/ID='BIP_MFF_3_Implement_Payments']/DATA/ROW&lt;/SELECT&gt;&lt;FILTERS&gt;&lt;FILTER&gt;&lt;/FILTER&gt;&lt;/FILTERS&gt;&lt;/QUERY&gt;&lt;/QUERIES&gt;&lt;/OBJECT&gt;"/>
    <w:docVar w:name="BIP_META_DOC_TBL00117" w:val="&lt;OBJECT&gt;&lt;META&gt;&lt;ID&gt;&lt;/ID&gt;&lt;NAME&gt;DOC_TBL00117&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10.2&lt;/DATE&gt;&lt;DYNAMIZEDBY&gt;gcristi&lt;/DYNAMIZEDBY&gt;&lt;DYNAMIZEDON&gt;09/06/2026 12:34:23&lt;/DYNAMIZEDON&gt;&lt;LASTUPDATEDBY&gt;lamagvi&lt;/LASTUPDATEDBY&gt;&lt;LASTUPDATEDON&gt;6/15/2026 3:30:56 PM&lt;/LASTUPDATEDON&gt;&lt;UTC&gt;1&lt;/UTC&gt;&lt;/UPDATE&gt;&lt;QUERIES bbk=&quot;36742&quot; bbkdesc=&quot;2025 Annual Accounts/EU Annual Accounts/DC - EU expenditures&quot; datapro=&quot;BIP_MFF_4_Commitments_outstanding&quot; tdatapro=&quot;BIP_MFF_4_Commitments_outstanding&quot; author=&quot;&quot; modtime=&quot;6/15/2026 3:26:55 PM&quot; moduser=&quot;lamagvi&quot; rolluptime=&quot;&quot; syuser=&quot;lamagvi&quot; syuzeit=&quot;6/15/2026 3:26:55 PM&quot; root=&quot;/BBOOK/DATAPROVIDER[./META/PROPS/ID='BIP_MFF_4_Commitments_outstanding']/DATA&quot; colcount=&quot;7&quot; rowcount=&quot;13&quot; url=&quot;&quot; dynamizeds=&quot;DM Production&quot; dynamizedstype=&quot;9&quot; refreshds=&quot;&quot; viewtype=&quot;1&quot;&gt;&lt;QUERY reftype=&quot;ABS&quot; elmntsel=&quot;TABLE&quot; bbk=&quot;36742&quot; bbkdesc=&quot;2025 Annual Accounts/EU Annual Accounts/DC - EU expenditures&quot; datapro=&quot;BIP_MFF_4_Commitments_outstanding&quot; infos=&quot;&quot; iscomment=&quot;0&quot;&gt;&lt;SELECT&gt;/BBOOK/DATAPROVIDER[./META/PROPS/ID='BIP_MFF_4_Commitments_outstanding']/DATA/ROW&lt;/SELECT&gt;&lt;FILTERS&gt;&lt;FILTER&gt;&lt;/FILTER&gt;&lt;/FILTERS&gt;&lt;/QUERY&gt;&lt;/QUERIES&gt;&lt;/OBJECT&gt;"/>
    <w:docVar w:name="BIP_META_DOC_TBL00118" w:val="&lt;OBJECT&gt;&lt;META&gt;&lt;ID&gt;&lt;/ID&gt;&lt;NAME&gt;DOC_TBL00118&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10.2&lt;/DATE&gt;&lt;DYNAMIZEDBY&gt;gcristi&lt;/DYNAMIZEDBY&gt;&lt;DYNAMIZEDON&gt;09/06/2026 12:52:48&lt;/DYNAMIZEDON&gt;&lt;LASTUPDATEDBY&gt;lamagvi&lt;/LASTUPDATEDBY&gt;&lt;LASTUPDATEDON&gt;6/15/2026 3:30:55 PM&lt;/LASTUPDATEDON&gt;&lt;UTC&gt;1&lt;/UTC&gt;&lt;/UPDATE&gt;&lt;QUERIES bbk=&quot;36742&quot; bbkdesc=&quot;2025 Annual Accounts/EU Annual Accounts/DC - EU expenditures&quot; datapro=&quot;BIP_MFF_5_RAL_YoO&quot; tdatapro=&quot;BIP_MFF_5_RAL_YoO&quot; author=&quot;&quot; modtime=&quot;6/15/2026 3:26:55 PM&quot; moduser=&quot;lamagvi&quot; rolluptime=&quot;&quot; syuser=&quot;lamagvi&quot; syuzeit=&quot;6/15/2026 3:26:55 PM&quot; root=&quot;/BBOOK/DATAPROVIDER[./META/PROPS/ID='BIP_MFF_5_RAL_YoO']/DATA&quot; colcount=&quot;12&quot; rowcount=&quot;12&quot; url=&quot;&quot; dynamizeds=&quot;DM Production&quot; dynamizedstype=&quot;9&quot; refreshds=&quot;&quot; viewtype=&quot;1&quot;&gt;&lt;QUERY reftype=&quot;ABS&quot; elmntsel=&quot;TABLE&quot; bbk=&quot;36742&quot; bbkdesc=&quot;2025 Annual Accounts/EU Annual Accounts/DC - EU expenditures&quot; datapro=&quot;BIP_MFF_5_RAL_YoO&quot; infos=&quot;&quot; iscomment=&quot;0&quot;&gt;&lt;SELECT&gt;/BBOOK/DATAPROVIDER[./META/PROPS/ID='BIP_MFF_5_RAL_YoO']/DATA/ROW&lt;/SELECT&gt;&lt;FILTERS&gt;&lt;FILTER&gt;&lt;/FILTER&gt;&lt;/FILTERS&gt;&lt;/QUERY&gt;&lt;/QUERIES&gt;&lt;/OBJECT&gt;"/>
    <w:docVar w:name="BIP_META_DOC_TBL00119" w:val="&lt;OBJECT&gt;&lt;META&gt;&lt;ID&gt;&lt;/ID&gt;&lt;NAME&gt;DOC_TBL00119&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gcristi&lt;/DYNAMIZEDBY&gt;&lt;DYNAMIZEDON&gt;6/9/2026 2:41:55 PM&lt;/DYNAMIZEDON&gt;&lt;LASTUPDATEDBY&gt;lamagvi&lt;/LASTUPDATEDBY&gt;&lt;LASTUPDATEDON&gt;6/15/2026 3:30:55 PM&lt;/LASTUPDATEDON&gt;&lt;UTC&gt;1&lt;/UTC&gt;&lt;/UPDATE&gt;&lt;QUERIES bbk=&quot;36742&quot; bbkdesc=&quot;2025 Annual Accounts/EU Annual Accounts/DC - EU expenditures&quot; datapro=&quot;BIP_DetailedMFF_1_Breakdown&quot; tdatapro=&quot;BIP_DetailedMFF_1_Breakdown&quot; author=&quot;&quot; modtime=&quot;6/9/2026 12:51:04 PM&quot; moduser=&quot;gcristi&quot; rolluptime=&quot;&quot; syuser=&quot;gcristi&quot; syuzeit=&quot;6/9/2026 12:51:04 PM&quot; root=&quot;/DATA&quot; colcount=&quot;14&quot; rowcount=&quot;159&quot; url=&quot;&quot; dynamizeds=&quot;DM Production&quot; dynamizedstype=&quot;9&quot; refreshds=&quot;&quot; viewtype=&quot;1&quot;&gt;&lt;QUERY reftype=&quot;ABS&quot; elmntsel=&quot;TABLE&quot; bbk=&quot;36742&quot; bbkdesc=&quot;2025 Annual Accounts/EU Annual Accounts/DC - EU expenditures&quot; datapro=&quot;BIP_DetailedMFF_1_Breakdown&quot; infos=&quot;&quot; iscomment=&quot;0&quot;&gt;&lt;SELECT&gt;/BBOOK/DATAPROVIDER[./META/PROPS/ID='BIP_DetailedMFF_1_Breakdown']/DATA/ROW&lt;/SELECT&gt;&lt;FILTERS&gt;&lt;FILTER&gt;&lt;/FILTER&gt;&lt;/FILTERS&gt;&lt;/QUERY&gt;&lt;/QUERIES&gt;&lt;/OBJECT&gt;"/>
    <w:docVar w:name="BIP_META_DOC_TBL00120" w:val="&lt;OBJECT&gt;&lt;META&gt;&lt;ID&gt;&lt;/ID&gt;&lt;NAME&gt;DOC_TBL00120&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10.2&lt;/DATE&gt;&lt;DYNAMIZEDBY&gt;gcristi&lt;/DYNAMIZEDBY&gt;&lt;DYNAMIZEDON&gt;09/06/2026 12:58:31&lt;/DYNAMIZEDON&gt;&lt;LASTUPDATEDBY&gt;lamagvi&lt;/LASTUPDATEDBY&gt;&lt;LASTUPDATEDON&gt;6/15/2026 3:30:55 PM&lt;/LASTUPDATEDON&gt;&lt;UTC&gt;1&lt;/UTC&gt;&lt;/UPDATE&gt;&lt;QUERIES bbk=&quot;36742&quot; bbkdesc=&quot;2025 Annual Accounts/EU Annual Accounts/DC - EU expenditures&quot; datapro=&quot;BIP_DetailedMFF_2_Implement_Commitments&quot; tdatapro=&quot;BIP_DetailedMFF_2_Implement_Commitments&quot; author=&quot;&quot; modtime=&quot;6/15/2026 3:26:55 PM&quot; moduser=&quot;lamagvi&quot; rolluptime=&quot;&quot; syuser=&quot;lamagvi&quot; syuzeit=&quot;6/15/2026 3:26:55 PM&quot; root=&quot;/BBOOK/DATAPROVIDER[./META/PROPS/ID='BIP_DetailedMFF_2_Implement_Commitments']/DATA&quot; colcount=&quot;15&quot; rowcount=&quot;157&quot; url=&quot;&quot; dynamizeds=&quot;DM Production&quot; dynamizedstype=&quot;9&quot; refreshds=&quot;&quot; viewtype=&quot;1&quot;&gt;&lt;QUERY reftype=&quot;ABS&quot; elmntsel=&quot;TABLE&quot; bbk=&quot;36742&quot; bbkdesc=&quot;2025 Annual Accounts/EU Annual Accounts/DC - EU expenditures&quot; datapro=&quot;BIP_DetailedMFF_2_Implement_Commitments&quot; infos=&quot;&quot; iscomment=&quot;0&quot;&gt;&lt;SELECT&gt;/BBOOK/DATAPROVIDER[./META/PROPS/ID='BIP_DetailedMFF_2_Implement_Commitments']/DATA/ROW&lt;/SELECT&gt;&lt;FILTERS&gt;&lt;FILTER&gt;&lt;/FILTER&gt;&lt;/FILTERS&gt;&lt;/QUERY&gt;&lt;/QUERIES&gt;&lt;/OBJECT&gt;"/>
    <w:docVar w:name="BIP_META_DOC_TBL00121" w:val="&lt;OBJECT&gt;&lt;META&gt;&lt;ID&gt;&lt;/ID&gt;&lt;NAME&gt;DOC_TBL00121&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10.2&lt;/DATE&gt;&lt;DYNAMIZEDBY&gt;gcristi&lt;/DYNAMIZEDBY&gt;&lt;DYNAMIZEDON&gt;09/06/2026 13:00:18&lt;/DYNAMIZEDON&gt;&lt;LASTUPDATEDBY&gt;lamagvi&lt;/LASTUPDATEDBY&gt;&lt;LASTUPDATEDON&gt;6/15/2026 3:30:56 PM&lt;/LASTUPDATEDON&gt;&lt;UTC&gt;1&lt;/UTC&gt;&lt;/UPDATE&gt;&lt;QUERIES bbk=&quot;36742&quot; bbkdesc=&quot;2025 Annual Accounts/EU Annual Accounts/DC - EU expenditures&quot; datapro=&quot;BIP_DetailedMFF_3_Implement_Payments&quot; tdatapro=&quot;BIP_DetailedMFF_3_Implement_Payments&quot; author=&quot;&quot; modtime=&quot;6/15/2026 3:26:55 PM&quot; moduser=&quot;lamagvi&quot; rolluptime=&quot;&quot; syuser=&quot;lamagvi&quot; syuzeit=&quot;6/15/2026 3:26:55 PM&quot; root=&quot;/BBOOK/DATAPROVIDER[./META/PROPS/ID='BIP_DetailedMFF_3_Implement_Payments']/DATA&quot; colcount=&quot;15&quot; rowcount=&quot;158&quot; url=&quot;&quot; dynamizeds=&quot;DM Production&quot; dynamizedstype=&quot;9&quot; refreshds=&quot;&quot; viewtype=&quot;1&quot;&gt;&lt;QUERY reftype=&quot;ABS&quot; elmntsel=&quot;TABLE&quot; bbk=&quot;36742&quot; bbkdesc=&quot;2025 Annual Accounts/EU Annual Accounts/DC - EU expenditures&quot; datapro=&quot;BIP_DetailedMFF_3_Implement_Payments&quot; infos=&quot;&quot; iscomment=&quot;0&quot;&gt;&lt;SELECT&gt;/BBOOK/DATAPROVIDER[./META/PROPS/ID='BIP_DetailedMFF_3_Implement_Payments']/DATA/ROW&lt;/SELECT&gt;&lt;FILTERS&gt;&lt;FILTER&gt;&lt;/FILTER&gt;&lt;/FILTERS&gt;&lt;/QUERY&gt;&lt;/QUERIES&gt;&lt;/OBJECT&gt;"/>
    <w:docVar w:name="BIP_META_DOC_TBL00122" w:val="&lt;OBJECT&gt;&lt;META&gt;&lt;ID&gt;&lt;/ID&gt;&lt;NAME&gt;DOC_TBL00122&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10.2&lt;/DATE&gt;&lt;DYNAMIZEDBY&gt;gcristi&lt;/DYNAMIZEDBY&gt;&lt;DYNAMIZEDON&gt;09/06/2026 13:15:25&lt;/DYNAMIZEDON&gt;&lt;LASTUPDATEDBY&gt;lamagvi&lt;/LASTUPDATEDBY&gt;&lt;LASTUPDATEDON&gt;6/15/2026 3:30:55 PM&lt;/LASTUPDATEDON&gt;&lt;UTC&gt;1&lt;/UTC&gt;&lt;/UPDATE&gt;&lt;QUERIES bbk=&quot;36742&quot; bbkdesc=&quot;2025 Annual Accounts/EU Annual Accounts/DC - EU expenditures&quot; datapro=&quot;BIP_DetailedMFF_4_Commitments_oustanding&quot; tdatapro=&quot;BIP_DetailedMFF_4_Commitments_oustanding&quot; author=&quot;&quot; modtime=&quot;6/15/2026 3:26:55 PM&quot; moduser=&quot;lamagvi&quot; rolluptime=&quot;&quot; syuser=&quot;lamagvi&quot; syuzeit=&quot;6/15/2026 3:26:55 PM&quot; root=&quot;/BBOOK/DATAPROVIDER[./META/PROPS/ID='BIP_DetailedMFF_4_Commitments_oustanding']/DATA&quot; colcount=&quot;7&quot; rowcount=&quot;157&quot; url=&quot;&quot; dynamizeds=&quot;DM Production&quot; dynamizedstype=&quot;9&quot; refreshds=&quot;&quot; viewtype=&quot;1&quot;&gt;&lt;QUERY reftype=&quot;ABS&quot; elmntsel=&quot;TABLE&quot; bbk=&quot;36742&quot; bbkdesc=&quot;2025 Annual Accounts/EU Annual Accounts/DC - EU expenditures&quot; datapro=&quot;BIP_DetailedMFF_4_Commitments_oustanding&quot; infos=&quot;&quot; iscomment=&quot;0&quot;&gt;&lt;SELECT&gt;/BBOOK/DATAPROVIDER[./META/PROPS/ID='BIP_DetailedMFF_4_Commitments_oustanding']/DATA/ROW&lt;/SELECT&gt;&lt;FILTERS&gt;&lt;FILTER&gt;&lt;/FILTER&gt;&lt;/FILTERS&gt;&lt;/QUERY&gt;&lt;/QUERIES&gt;&lt;/OBJECT&gt;"/>
    <w:docVar w:name="BIP_META_DOC_TBL00123" w:val="&lt;OBJECT&gt;&lt;META&gt;&lt;ID&gt;&lt;/ID&gt;&lt;NAME&gt;DOC_TBL00123&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10.2&lt;/DATE&gt;&lt;DYNAMIZEDBY&gt;gcristi&lt;/DYNAMIZEDBY&gt;&lt;DYNAMIZEDON&gt;09/06/2026 13:18:23&lt;/DYNAMIZEDON&gt;&lt;LASTUPDATEDBY&gt;lamagvi&lt;/LASTUPDATEDBY&gt;&lt;LASTUPDATEDON&gt;6/15/2026 3:30:55 PM&lt;/LASTUPDATEDON&gt;&lt;UTC&gt;1&lt;/UTC&gt;&lt;/UPDATE&gt;&lt;QUERIES bbk=&quot;36742&quot; bbkdesc=&quot;2025 Annual Accounts/EU Annual Accounts/DC - EU expenditures&quot; datapro=&quot;BIP_DetailedMFF_5_RAL_YoO&quot; tdatapro=&quot;BIP_DetailedMFF_5_RAL_YoO&quot; author=&quot;&quot; modtime=&quot;6/15/2026 3:26:55 PM&quot; moduser=&quot;lamagvi&quot; rolluptime=&quot;&quot; syuser=&quot;lamagvi&quot; syuzeit=&quot;6/15/2026 3:26:55 PM&quot; root=&quot;/BBOOK/DATAPROVIDER[./META/PROPS/ID='BIP_DetailedMFF_5_RAL_YoO']/DATA&quot; colcount=&quot;12&quot; rowcount=&quot;142&quot; url=&quot;&quot; dynamizeds=&quot;DM Production&quot; dynamizedstype=&quot;9&quot; refreshds=&quot;&quot; viewtype=&quot;1&quot;&gt;&lt;QUERY reftype=&quot;ABS&quot; elmntsel=&quot;TABLE&quot; bbk=&quot;36742&quot; bbkdesc=&quot;2025 Annual Accounts/EU Annual Accounts/DC - EU expenditures&quot; datapro=&quot;BIP_DetailedMFF_5_RAL_YoO&quot; infos=&quot;&quot; iscomment=&quot;0&quot;&gt;&lt;SELECT&gt;/BBOOK/DATAPROVIDER[./META/PROPS/ID='BIP_DetailedMFF_5_RAL_YoO']/DATA/ROW&lt;/SELECT&gt;&lt;FILTERS&gt;&lt;FILTER&gt;&lt;/FILTER&gt;&lt;/FILTERS&gt;&lt;/QUERY&gt;&lt;/QUERIES&gt;&lt;/OBJECT&gt;"/>
    <w:docVar w:name="BIP_META_DOC_TBL00124" w:val="&lt;OBJECT&gt;&lt;META&gt;&lt;ID&gt;&lt;/ID&gt;&lt;NAME&gt;DOC_TBL00124&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6.35&lt;/DATE&gt;&lt;DYNAMIZEDBY&gt;bedread&lt;/DYNAMIZEDBY&gt;&lt;DYNAMIZEDON&gt;14/03/2019 14:58:37&lt;/DYNAMIZEDON&gt;&lt;LASTUPDATEDBY&gt;lamagvi&lt;/LASTUPDATEDBY&gt;&lt;LASTUPDATEDON&gt;6/15/2026 3:30:57 PM&lt;/LASTUPDATEDON&gt;&lt;UTC&gt;1&lt;/UTC&gt;&lt;/UPDATE&gt;&lt;QUERIES bbk=&quot;36778&quot; bbkdesc=&quot;2025 Annual Accounts/EU Annual Accounts/DC - Institutions and agencies&quot; datapro=&quot;BIP_Institutions_1_Revenue&quot; tdatapro=&quot;BIP_Institutions_1_Revenue&quot; author=&quot;&quot; modtime=&quot;6/15/2026 3:26:59 PM&quot; moduser=&quot;lamagvi&quot; rolluptime=&quot;&quot; syuser=&quot;lamagvi&quot; syuzeit=&quot;6/15/2026 3:26:59 PM&quot; root=&quot;/BBOOK/DATAPROVIDER[./META/PROPS/ID='BIP_Institutions_1_Revenue']/DATA&quot; colcount=&quot;11&quot; rowcount=&quot;13&quot; url=&quot;&quot; dynamizeds=&quot;DM Production&quot; dynamizedstype=&quot;9&quot; refreshds=&quot;&quot; viewtype=&quot;1&quot;&gt;&lt;QUERY reftype=&quot;ABS&quot; elmntsel=&quot;TABLE&quot; bbk=&quot;36778&quot; bbkdesc=&quot;2025 Annual Accounts/EU Annual Accounts/DC - Institutions and agencies&quot; datapro=&quot;BIP_Institutions_1_Revenue&quot; infos=&quot;&quot; iscomment=&quot;0&quot;&gt;&lt;SELECT&gt;/BBOOK/DATAPROVIDER[./META/PROPS/ID='BIP_Institutions_1_Revenue']/DATA/ROW&lt;/SELECT&gt;&lt;FILTERS&gt;&lt;FILTER&gt;&lt;/FILTER&gt;&lt;/FILTERS&gt;&lt;/QUERY&gt;&lt;/QUERIES&gt;&lt;/OBJECT&gt;"/>
    <w:docVar w:name="BIP_META_DOC_TBL00125" w:val="&lt;OBJECT&gt;&lt;META&gt;&lt;ID&gt;&lt;/ID&gt;&lt;NAME&gt;DOC_TBL00125&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6.35&lt;/DATE&gt;&lt;DYNAMIZEDBY&gt;bedread&lt;/DYNAMIZEDBY&gt;&lt;DYNAMIZEDON&gt;14/03/2019 14:59:24&lt;/DYNAMIZEDON&gt;&lt;LASTUPDATEDBY&gt;lamagvi&lt;/LASTUPDATEDBY&gt;&lt;LASTUPDATEDON&gt;6/15/2026 3:30:57 PM&lt;/LASTUPDATEDON&gt;&lt;UTC&gt;1&lt;/UTC&gt;&lt;/UPDATE&gt;&lt;QUERIES bbk=&quot;36778&quot; bbkdesc=&quot;2025 Annual Accounts/EU Annual Accounts/DC - Institutions and agencies&quot; datapro=&quot;BIP_Institutions_2_Commitments&quot; tdatapro=&quot;BIP_Institutions_2_Commitments&quot; author=&quot;&quot; modtime=&quot;6/15/2026 3:26:59 PM&quot; moduser=&quot;lamagvi&quot; rolluptime=&quot;&quot; syuser=&quot;lamagvi&quot; syuzeit=&quot;6/15/2026 3:26:59 PM&quot; root=&quot;/BBOOK/DATAPROVIDER[./META/PROPS/ID='BIP_Institutions_2_Commitments']/DATA&quot; colcount=&quot;14&quot; rowcount=&quot;14&quot; url=&quot;&quot; dynamizeds=&quot;DM Production&quot; dynamizedstype=&quot;9&quot; refreshds=&quot;&quot; viewtype=&quot;1&quot;&gt;&lt;QUERY reftype=&quot;ABS&quot; elmntsel=&quot;TABLE&quot; bbk=&quot;36778&quot; bbkdesc=&quot;2025 Annual Accounts/EU Annual Accounts/DC - Institutions and agencies&quot; datapro=&quot;BIP_Institutions_2_Commitments&quot; infos=&quot;&quot; iscomment=&quot;0&quot;&gt;&lt;SELECT&gt;/BBOOK/DATAPROVIDER[./META/PROPS/ID='BIP_Institutions_2_Commitments']/DATA/ROW&lt;/SELECT&gt;&lt;FILTERS&gt;&lt;FILTER&gt;&lt;/FILTER&gt;&lt;/FILTERS&gt;&lt;/QUERY&gt;&lt;/QUERIES&gt;&lt;/OBJECT&gt;"/>
    <w:docVar w:name="BIP_META_DOC_TBL00126" w:val="&lt;OBJECT&gt;&lt;META&gt;&lt;ID&gt;&lt;/ID&gt;&lt;NAME&gt;DOC_TBL00126&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6.35&lt;/DATE&gt;&lt;DYNAMIZEDBY&gt;bedread&lt;/DYNAMIZEDBY&gt;&lt;DYNAMIZEDON&gt;14/03/2019 15:00:09&lt;/DYNAMIZEDON&gt;&lt;LASTUPDATEDBY&gt;lamagvi&lt;/LASTUPDATEDBY&gt;&lt;LASTUPDATEDON&gt;6/15/2026 3:30:57 PM&lt;/LASTUPDATEDON&gt;&lt;UTC&gt;1&lt;/UTC&gt;&lt;/UPDATE&gt;&lt;QUERIES bbk=&quot;36778&quot; bbkdesc=&quot;2025 Annual Accounts/EU Annual Accounts/DC - Institutions and agencies&quot; datapro=&quot;BIP_Institutions_3_Payments&quot; tdatapro=&quot;BIP_Institutions_3_Payments&quot; author=&quot;&quot; modtime=&quot;6/15/2026 3:26:59 PM&quot; moduser=&quot;lamagvi&quot; rolluptime=&quot;&quot; syuser=&quot;lamagvi&quot; syuzeit=&quot;6/15/2026 3:26:59 PM&quot; root=&quot;/BBOOK/DATAPROVIDER[./META/PROPS/ID='BIP_Institutions_3_Payments']/DATA&quot; colcount=&quot;14&quot; rowcount=&quot;14&quot; url=&quot;&quot; dynamizeds=&quot;DM Production&quot; dynamizedstype=&quot;9&quot; refreshds=&quot;&quot; viewtype=&quot;1&quot;&gt;&lt;QUERY reftype=&quot;ABS&quot; elmntsel=&quot;TABLE&quot; bbk=&quot;36778&quot; bbkdesc=&quot;2025 Annual Accounts/EU Annual Accounts/DC - Institutions and agencies&quot; datapro=&quot;BIP_Institutions_3_Payments&quot; infos=&quot;&quot; iscomment=&quot;0&quot;&gt;&lt;SELECT&gt;/BBOOK/DATAPROVIDER[./META/PROPS/ID='BIP_Institutions_3_Payments']/DATA/ROW&lt;/SELECT&gt;&lt;FILTERS&gt;&lt;FILTER&gt;&lt;/FILTER&gt;&lt;/FILTERS&gt;&lt;/QUERY&gt;&lt;/QUERIES&gt;&lt;/OBJECT&gt;"/>
    <w:docVar w:name="BIP_META_DOC_TBL00127" w:val="&lt;OBJECT&gt;&lt;META&gt;&lt;ID&gt;&lt;/ID&gt;&lt;NAME&gt;DOC_TBL00127&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60&lt;/FLCID&gt;&lt;RELATION&gt;&lt;/RELATION&gt;&lt;LINKED&gt;&lt;/LINKED&gt;&lt;SVALUE&gt;&lt;/SVALUE&gt;&lt;INFO&gt;&lt;/INFO&gt;&lt;/META&gt;&lt;UPDATE&gt;&lt;DATE&gt;10.1.10.2&lt;/DATE&gt;&lt;DYNAMIZEDBY&gt;mestrth&lt;/DYNAMIZEDBY&gt;&lt;DYNAMIZEDON&gt;30-03-2021 12:36:58&lt;/DYNAMIZEDON&gt;&lt;LASTUPDATEDBY&gt;lamagvi&lt;/LASTUPDATEDBY&gt;&lt;LASTUPDATEDON&gt;6/15/2026 3:30:57 PM&lt;/LASTUPDATEDON&gt;&lt;UTC&gt;1&lt;/UTC&gt;&lt;/UPDATE&gt;&lt;QUERIES bbk=&quot;36778&quot; bbkdesc=&quot;2025 Annual Accounts/EU Annual Accounts/DC - Institutions and agencies&quot; datapro=&quot;BIP_Agencies_1_Revenue&quot; tdatapro=&quot;BIP_Agencies_1_Revenue&quot; author=&quot;&quot; modtime=&quot;6/15/2026 3:26:59 PM&quot; moduser=&quot;lamagvi&quot; rolluptime=&quot;&quot; syuser=&quot;lamagvi&quot; syuzeit=&quot;6/15/2026 3:26:59 PM&quot; root=&quot;/BBOOK/DATAPROVIDER[./META/PROPS/ID='BIP_Agencies_1_Revenue']/DATA&quot; colcount=&quot;4&quot; rowcount=&quot;45&quot; url=&quot;&quot; dynamizeds=&quot;DM Production&quot; dynamizedstype=&quot;9&quot; refreshds=&quot;&quot; viewtype=&quot;1&quot;&gt;&lt;QUERY reftype=&quot;ABS&quot; elmntsel=&quot;TABLE&quot; bbk=&quot;36778&quot; bbkdesc=&quot;2025 Annual Accounts/EU Annual Accounts/DC - Institutions and agencies&quot; datapro=&quot;BIP_Agencies_1_Revenue&quot; infos=&quot;&quot; iscomment=&quot;0&quot;&gt;&lt;SELECT&gt;/BBOOK/DATAPROVIDER[./META/PROPS/ID='BIP_Agencies_1_Revenue']/DATA/ROW&lt;/SELECT&gt;&lt;FILTERS&gt;&lt;FILTER&gt;&lt;/FILTER&gt;&lt;/FILTERS&gt;&lt;/QUERY&gt;&lt;/QUERIES&gt;&lt;/OBJECT&gt;"/>
    <w:docVar w:name="BIP_META_DOC_TBL00128" w:val="&lt;OBJECT&gt;&lt;META&gt;&lt;ID&gt;&lt;/ID&gt;&lt;NAME&gt;DOC_TBL00128&lt;/NAME&gt;&lt;TYPE&gt;&lt;ID&gt;19&lt;/ID&gt;&lt;FRIENDLYNAME&gt;Table&lt;/FRIENDLYNAME&gt;&lt;LABEL&gt;&lt;/LABEL&gt;&lt;/TYPE&gt;&lt;STATUS&gt;SEM&lt;/STATUS&gt;&lt;SAFE&gt;&lt;/SAFE&gt;&lt;MARKCHANGES&gt;0&lt;/MARKCHANGES&gt;&lt;USESTYLES&gt;0&lt;/USESTYLES&gt;&lt;USETEMPLATES&gt;0&lt;/USETEMPLATES&gt;&lt;FXC&gt;0&lt;/FXC&gt;&lt;FXR&gt;0&lt;/FXR&gt;&lt;FORMAT&gt;&lt;/FORMAT&gt;&lt;FMODUS&gt;&lt;/FMODUS&gt;&lt;FLCID&gt;3072&lt;/FLCID&gt;&lt;RELATION&gt;&lt;/RELATION&gt;&lt;LINKED&gt;&lt;/LINKED&gt;&lt;SVALUE&gt;&lt;/SVALUE&gt;&lt;INFO&gt;&lt;/INFO&gt;&lt;/META&gt;&lt;UPDATE&gt;&lt;DATE&gt;10.1.10.2&lt;/DATE&gt;&lt;DYNAMIZEDBY&gt;mestrth&lt;/DYNAMIZEDBY&gt;&lt;DYNAMIZEDON&gt;05/06/2024 12:40:05&lt;/DYNAMIZEDON&gt;&lt;LASTUPDATEDBY&gt;lamagvi&lt;/LASTUPDATEDBY&gt;&lt;LASTUPDATEDON&gt;6/15/2026 3:30:57 PM&lt;/LASTUPDATEDON&gt;&lt;UTC&gt;1&lt;/UTC&gt;&lt;/UPDATE&gt;&lt;QUERIES bbk=&quot;36778&quot; bbkdesc=&quot;2025 Annual Accounts/EU Annual Accounts/DC - Institutions and agencies&quot; datapro=&quot;BIP_Agencies_2_Type_of_Revenue&quot; tdatapro=&quot;BIP_Agencies_2_Type_of_Revenue&quot; author=&quot;&quot; modtime=&quot;6/15/2026 3:26:59 PM&quot; moduser=&quot;lamagvi&quot; rolluptime=&quot;&quot; syuser=&quot;lamagvi&quot; syuzeit=&quot;6/15/2026 3:26:59 PM&quot; root=&quot;/BBOOK/DATAPROVIDER[./META/PROPS/ID='BIP_Agencies_2_Type_of_Revenue']/DATA&quot; colcount=&quot;4&quot; rowcount=&quot;6&quot; url=&quot;&quot; dynamizeds=&quot;DM Production&quot; dynamizedstype=&quot;9&quot; refreshds=&quot;&quot; viewtype=&quot;1&quot;&gt;&lt;QUERY reftype=&quot;ABS&quot; elmntsel=&quot;TABLE&quot; bbk=&quot;36778&quot; bbkdesc=&quot;2025 Annual Accounts/EU Annual Accounts/DC - Institutions and agencies&quot; datapro=&quot;BIP_Agencies_2_Type_of_Revenue&quot; infos=&quot;&quot; iscomment=&quot;0&quot;&gt;&lt;SELECT&gt;/BBOOK/DATAPROVIDER[./META/PROPS/ID='BIP_Agencies_2_Type_of_Revenue']/DATA/ROW&lt;/SELECT&gt;&lt;FILTERS&gt;&lt;FILTER&gt;&lt;/FILTER&gt;&lt;/FILTERS&gt;&lt;/QUERY&gt;&lt;/QUERIES&gt;&lt;/OBJECT&gt;"/>
    <w:docVar w:name="BIP_META_DOC_TBL00129" w:val="&lt;OBJECT&gt;&lt;META&gt;&lt;ID&gt;&lt;/ID&gt;&lt;NAME&gt;DOC_TBL00129&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6.35&lt;/DATE&gt;&lt;DYNAMIZEDBY&gt;bedread&lt;/DYNAMIZEDBY&gt;&lt;DYNAMIZEDON&gt;14/03/2019 15:06:11&lt;/DYNAMIZEDON&gt;&lt;LASTUPDATEDBY&gt;lamagvi&lt;/LASTUPDATEDBY&gt;&lt;LASTUPDATEDON&gt;6/15/2026 3:30:57 PM&lt;/LASTUPDATEDON&gt;&lt;UTC&gt;1&lt;/UTC&gt;&lt;/UPDATE&gt;&lt;QUERIES bbk=&quot;36778&quot; bbkdesc=&quot;2025 Annual Accounts/EU Annual Accounts/DC - Institutions and agencies&quot; datapro=&quot;BIP_Agencies_3_Commitments_Payments&quot; tdatapro=&quot;BIP_Agencies_3_Commitments_Payments&quot; author=&quot;&quot; modtime=&quot;6/15/2026 3:26:59 PM&quot; moduser=&quot;lamagvi&quot; rolluptime=&quot;&quot; syuser=&quot;lamagvi&quot; syuzeit=&quot;6/15/2026 3:26:59 PM&quot; root=&quot;/BBOOK/DATAPROVIDER[./META/PROPS/ID='BIP_Agencies_3_Commitments_Payments']/DATA&quot; colcount=&quot;5&quot; rowcount=&quot;46&quot; url=&quot;&quot; dynamizeds=&quot;DM Production&quot; dynamizedstype=&quot;9&quot; refreshds=&quot;&quot; viewtype=&quot;1&quot;&gt;&lt;QUERY reftype=&quot;ABS&quot; elmntsel=&quot;TABLE&quot; bbk=&quot;36778&quot; bbkdesc=&quot;2025 Annual Accounts/EU Annual Accounts/DC - Institutions and agencies&quot; datapro=&quot;BIP_Agencies_3_Commitments_Payments&quot; infos=&quot;&quot; iscomment=&quot;0&quot;&gt;&lt;SELECT&gt;/BBOOK/DATAPROVIDER[./META/PROPS/ID='BIP_Agencies_3_Commitments_Payments']/DATA/ROW&lt;/SELECT&gt;&lt;FILTERS&gt;&lt;FILTER&gt;&lt;/FILTER&gt;&lt;/FILTERS&gt;&lt;/QUERY&gt;&lt;/QUERIES&gt;&lt;/OBJECT&gt;"/>
    <w:docVar w:name="BIP_META_DOC_TBL00130" w:val="&lt;OBJECT&gt;&lt;META&gt;&lt;ID&gt;&lt;/ID&gt;&lt;NAME&gt;DOC_TBL00130&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6.35&lt;/DATE&gt;&lt;DYNAMIZEDBY&gt;bedread&lt;/DYNAMIZEDBY&gt;&lt;DYNAMIZEDON&gt;14/03/2019 15:07:48&lt;/DYNAMIZEDON&gt;&lt;LASTUPDATEDBY&gt;lamagvi&lt;/LASTUPDATEDBY&gt;&lt;LASTUPDATEDON&gt;6/15/2026 3:30:57 PM&lt;/LASTUPDATEDON&gt;&lt;UTC&gt;1&lt;/UTC&gt;&lt;/UPDATE&gt;&lt;QUERIES bbk=&quot;36778&quot; bbkdesc=&quot;2025 Annual Accounts/EU Annual Accounts/DC - Institutions and agencies&quot; datapro=&quot;BIP_Agencies_4_Type_of_Expenditure&quot; tdatapro=&quot;BIP_Agencies_4_Type_of_Expenditure&quot; author=&quot;&quot; modtime=&quot;6/15/2026 3:26:59 PM&quot; moduser=&quot;lamagvi&quot; rolluptime=&quot;&quot; syuser=&quot;lamagvi&quot; syuzeit=&quot;6/15/2026 3:26:59 PM&quot; root=&quot;/BBOOK/DATAPROVIDER[./META/PROPS/ID='BIP_Agencies_4_Type_of_Expenditure']/DATA&quot; colcount=&quot;5&quot; rowcount=&quot;7&quot; url=&quot;&quot; dynamizeds=&quot;DM Production&quot; dynamizedstype=&quot;9&quot; refreshds=&quot;&quot; viewtype=&quot;1&quot;&gt;&lt;QUERY reftype=&quot;ABS&quot; elmntsel=&quot;TABLE&quot; bbk=&quot;36778&quot; bbkdesc=&quot;2025 Annual Accounts/EU Annual Accounts/DC - Institutions and agencies&quot; datapro=&quot;BIP_Agencies_4_Type_of_Expenditure&quot; infos=&quot;&quot; iscomment=&quot;0&quot;&gt;&lt;SELECT&gt;/BBOOK/DATAPROVIDER[./META/PROPS/ID='BIP_Agencies_4_Type_of_Expenditure']/DATA/ROW&lt;/SELECT&gt;&lt;FILTERS&gt;&lt;FILTER&gt;&lt;/FILTER&gt;&lt;/FILTERS&gt;&lt;/QUERY&gt;&lt;/QUERIES&gt;&lt;/OBJECT&gt;"/>
    <w:docVar w:name="BIP_VARIABLES" w:val="&lt;BBOOKS&gt;&lt;BBOOK bbname=&quot;DefaultVariables&quot;&gt;&lt;VARIABLES /&gt;&lt;/BBOOK&gt;&lt;BBOOK bbname=&quot;11&quot; bbdesc=&quot;2013 Annual Accounts/EU Annual Accounts/Trial Balance ECCS (xlsx)&quot; dsname=&quot;SAP Disclosure Management - Production&quot;&gt;&lt;VARIABLES&gt;&lt;/VARIABLES&gt;&lt;/BBOOK&gt;&lt;BBOOK bbname=&quot;21&quot; bbdesc=&quot;2013 Annual Accounts/EU Annual Accounts/Cashflow statement calculation (xlsx)&quot; dsname=&quot;SAP Disclosure Management - Production&quot;&gt;&lt;VARIABLES /&gt;&lt;/BBOOK&gt;&lt;BBOOK bbname=&quot;25&quot; bbdesc=&quot;2013 Annual Accounts/EU Annual Accounts/Statement of changes (xlsx)&quot; dsname=&quot;SAP Disclosure Management - Production&quot;&gt;&lt;VARIABLES /&gt;&lt;/BBOOK&gt;&lt;BBOOK bbname=&quot;14&quot; bbdesc=&quot;2013 Annual Accounts/EU Annual Accounts/Currency (xlsx)&quot; dsname=&quot;SAP Disclosre Management - Production&quot;&gt;&lt;VARIABLES /&gt;&lt;/BBOOK&gt;&lt;BBOOK bbname=&quot;17&quot; bbdesc=&quot;2013 Annual Accounts/EU Annual Accounts/Upload DeprecRates (xlsx)&quot; dsname=&quot;SAP Disclosre Management - Production&quot;&gt;&lt;VARIABLES /&gt;&lt;/BBOOK&gt;&lt;BBOOK bbname=&quot;20&quot; bbdesc=&quot;2013 Annual Accounts/EU Annual Accounts/Manual Table (xlsx)&quot; dsname=&quot;SAP Disclosre Management - Production&quot;&gt;&lt;VARIABLES /&gt;&lt;/BBOOK&gt;&lt;BBOOK bbname=&quot;18&quot; bbdesc=&quot;2013 Annual Accounts/EU Annual Accounts/DeprecRates upload (xlsx)&quot; dsname=&quot;SAP Disclosre Management - Production&quot;&gt;&lt;VARIABLES /&gt;&lt;/BBOOK&gt;&lt;BBOOK bbname=&quot;27&quot; bbdesc=&quot;2013 Annual Accounts/EU Annual Accounts/Upload Intangible FA 2012 (xlsx)&quot; dsname=&quot;SAP Disclosre Management - Production&quot;&gt;&lt;VARIABLES /&gt;&lt;/BBOOK&gt;&lt;BBOOK bbname=&quot;16&quot; bbdesc=&quot;2013 Annual Accounts/EU Annual Accounts/Assets (xlsx)&quot; dsname=&quot;SAP Disclosure Management - Production&quot;&gt;&lt;VARIABLES /&gt;&lt;/BBOOK&gt;&lt;BBOOK bbname=&quot;30&quot; bbdesc=&quot;2013 Annual Accounts/EU Annual Accounts/PPE 2012 (xlsx)&quot; dsname=&quot;SAP Disclosre Management - Production&quot;&gt;&lt;VARIABLES /&gt;&lt;/BBOOK&gt;&lt;BBOOK bbname=&quot;31&quot; bbdesc=&quot;2013 Annual Accounts/EU Annual Accounts/Finance Lease (xlsx)&quot; dsname=&quot;SAP Disclosre Management - Production&quot;&gt;&lt;VARIABLES /&gt;&lt;/BBOOK&gt;&lt;BBOOK bbname=&quot;64&quot; bbdesc=&quot;2013 Annual Accounts/EU Annual Accounts/MT_Silvie Deckers (xlsx)&quot; dsname=&quot;SAP Disclosre Management - Production&quot;&gt;&lt;VARIABLES /&gt;&lt;/BBOOK&gt;&lt;BBOOK bbname=&quot;69&quot; bbdesc=&quot;2013 Annual Accounts/EU Annual Accounts/Participations in joint ventures (xlsx)&quot; dsname=&quot;SAP Disclosure Management - Production&quot;&gt;&lt;VARIABLES /&gt;&lt;/BBOOK&gt;&lt;BBOOK bbname=&quot;197&quot; bbdesc=&quot;2013 Annual Accounts/EU Annual Accounts/Non current AFS financial assets (xlsx)&quot; dsname=&quot;SAP Disclosure Management - Production&quot;&gt;&lt;VARIABLES /&gt;&lt;/BBOOK&gt;&lt;BBOOK bbname=&quot;68&quot; bbdesc=&quot;2013 Annual Accounts/EU Annual Accounts/Non current financial assets (xlsx)&quot; dsname=&quot;SAP Disclosure Management - Production&quot;&gt;&lt;VARIABLES /&gt;&lt;/BBOOK&gt;&lt;BBOOK bbname=&quot;163&quot; bbdesc=&quot;2013 Annual Accounts/EU Annual Accounts/Receivables from Member States (xlsx)&quot; dsname=&quot;SAP Disclosure Management - Production&quot;&gt;&lt;VARIABLES /&gt;&lt;/BBOOK&gt;&lt;BBOOK bbname=&quot;200&quot; bbdesc=&quot;2013 Annual Accounts/EU Annual Accounts/MT_Valentina (xlsx)&quot; dsname=&quot;SAP Disclosure Management - Production&quot;&gt;&lt;VARIABLES /&gt;&lt;/BBOOK&gt;&lt;BBOOK bbname=&quot;133&quot; bbdesc=&quot;2013 Annual Accounts/EU Annual Accounts/MT_Annika Oerbom (xlsx)&quot; dsname=&quot;SAP Disclosure Management - Production&quot;&gt;&lt;VARIABLES /&gt;&lt;/BBOOK&gt;&lt;BBOOK bbname=&quot;155&quot; bbdesc=&quot;2013 Annual Accounts/EU Annual Accounts/Notes to financial performance (xlsx)&quot; dsname=&quot;SAP Disclosure Management - Production&quot;&gt;&lt;VARIABLES /&gt;&lt;/BBOOK&gt;&lt;BBOOK bbname=&quot;33&quot; bbdesc=&quot;2013 Annual Accounts/EU Annual Accounts/Upload Fin Lease 2nd part PY (xlsx)&quot; dsname=&quot;SAP Disclosure Management - Production&quot;&gt;&lt;VARIABLES /&gt;&lt;/BBOOK&gt;&lt;BBOOK bbname=&quot;156&quot; bbdesc=&quot;2013 Annual Accounts/EU Annual Accounts/Segment reporting calculation (xlsx)&quot; dsname=&quot;SAP Disclosure Management - Production&quot;&gt;&lt;VARIABLES /&gt;&lt;/BBOOK&gt;&lt;BBOOK bbname=&quot;202&quot; bbdesc=&quot;2013 Annual Accounts/EU Annual Accounts/CONTINGENT ASSETS AND LIABILITIES AND OTHER SIGN DISCL (xlsx)&quot; dsname=&quot;SAP Disclosure Management - Production&quot;&gt;&lt;VARIABLES /&gt;&lt;/BBOOK&gt;&lt;BBOOK bbname=&quot;203&quot; bbdesc=&quot;2013 Annual Accounts/EU Annual Accounts/PROTECTION OF THE EU BUDGET_NOTE 6 (xlsx)&quot; dsname=&quot;SAP Disclosure Management - Production&quot;&gt;&lt;VARIABLES /&gt;&lt;/BBOOK&gt;&lt;BBOOK bbname=&quot;204&quot; bbdesc=&quot;2013 Annual Accounts/EU Annual Accounts/FIN SUPPORT MECHANISMS (xlsx)&quot; dsname=&quot;SAP Disclosure Management - Production&quot;&gt;&lt;VARIABLES /&gt;&lt;/BBOOK&gt;&lt;BBOOK bbname=&quot;205&quot; bbdesc=&quot;2013 Annual Accounts/EU Annual Accounts/REL PARTY DISCLOSURES (xlsx)&quot; dsname=&quot;SAP Disclosure Management - Production&quot;&gt;&lt;VARIABLES /&gt;&lt;/BBOOK&gt;&lt;BBOOK bbname=&quot;173&quot; bbdesc=&quot;2013 Annual Accounts/EU Annual Accounts/Upload BO reports 2 (xlsx)&quot; dsname=&quot;SAP Disclosure Management - Production&quot;&gt;&lt;VARIABLES /&gt;&lt;/BBOOK&gt;&lt;BBOOK bbname=&quot;162&quot; bbdesc=&quot;2013 Annual Accounts/EU Annual Accounts/Upload BO reports (xlsx)&quot; dsname=&quot;SAP Disclosure Management - Production&quot;&gt;&lt;VARIABLES /&gt;&lt;/BBOOK&gt;&lt;BBOOK bbname=&quot;381&quot; bbdesc=&quot;2013 Annual Accounts/EC Annual Accounts/Trial Balance ECCS (xlsx)&quot; dsname=&quot;SAP Disclosure Management - Production&quot;&gt;&lt;VARIABLES /&gt;&lt;/BBOOK&gt;&lt;BBOOK bbname=&quot;408&quot; bbdesc=&quot;2013 Annual Accounts/EC Annual Accounts/DC - Balance Sheet (xlsx)&quot; dsname=&quot;SAP Disclosure Management - Production&quot;&gt;&lt;VARIABLES /&gt;&lt;/BBOOK&gt;&lt;BBOOK bbname=&quot;429&quot; bbdesc=&quot;2013 Annual Accounts/EC Annual Accounts/DC - Balance Sheet (xls)&quot; dsname=&quot;SAP Disclosure Management - Production&quot;&gt;&lt;VARIABLES /&gt;&lt;/BBOOK&gt;&lt;BBOOK bbname=&quot;550&quot; bbdesc=&quot;2013 Annual Accounts/EC Annual Accounts/DC - Balance Sheet (xlsx)&quot; dsname=&quot;SAP Disclosure Management - Production&quot;&gt;&lt;VARIABLES /&gt;&lt;/BBOOK&gt;&lt;BBOOK bbname=&quot;411&quot; bbdesc=&quot;2013 Annual Accounts/EC Annual Accounts/DC - Statement of Financial Performance (xlsx)&quot; dsname=&quot;SAP Disclosure Management - Production&quot;&gt;&lt;VARIABLES /&gt;&lt;/BBOOK&gt;&lt;BBOOK bbname=&quot;432&quot; bbdesc=&quot;2013 Annual Accounts/EC Annual Accounts/DC - Statement of Fin. Performance (xls)&quot; dsname=&quot;SAP Disclosure Management - Production&quot;&gt;&lt;VARIABLES /&gt;&lt;/BBOOK&gt;&lt;BBOOK bbname=&quot;552&quot; bbdesc=&quot;2013 Annual Accounts/EC Annual Accounts/DC - Statement of Financial Performance (xlsx)&quot; dsname=&quot;SAP Disclosure Management - Production&quot;&gt;&lt;VARIABLES /&gt;&lt;/BBOOK&gt;&lt;BBOOK bbname=&quot;236&quot; bbdesc=&quot;2013 Annual Accounts/EC Annual Accounts/Cashflow statement calculation (xlsx)&quot; dsname=&quot;SAP Disclosure Management - Production&quot;&gt;&lt;VARIABLES /&gt;&lt;/BBOOK&gt;&lt;BBOOK bbname=&quot;215&quot; bbdesc=&quot;2013 Annual Accounts/EC Annual Accounts/Assets (xlsx)&quot; dsname=&quot;SAP Disclosure Management - Production&quot;&gt;&lt;VARIABLES /&gt;&lt;/BBOOK&gt;&lt;BBOOK bbname=&quot;412&quot; bbdesc=&quot;2013 Annual Accounts/EC Annual Accounts/DC - Cashflow Statement (xlsx)&quot; dsname=&quot;SAP Disclosure Management - Production&quot;&gt;&lt;VARIABLES /&gt;&lt;/BBOOK&gt;&lt;BBOOK bbname=&quot;433&quot; bbdesc=&quot;2013 Annual Accounts/EC Annual Accounts/DC - Cashflow (xls)&quot; dsname=&quot;SAP Disclosure Management - Production&quot;&gt;&lt;VARIABLES /&gt;&lt;/BBOOK&gt;&lt;BBOOK bbname=&quot;551&quot; bbdesc=&quot;2013 Annual Accounts/EC Annual Accounts/DC CF calculation (xlsx)&quot; dsname=&quot;SAP Disclosure Management - Production&quot;&gt;&lt;VARIABLES /&gt;&lt;/BBOOK&gt;&lt;BBOOK bbname=&quot;606&quot; bbdesc=&quot;2013 Annual Accounts/EC Annual Accounts/DC - Cashflow statement automated (xlsx)&quot; dsname=&quot;SAP Disclosure Management - Production&quot;&gt;&lt;VARIABLES /&gt;&lt;/BBOOK&gt;&lt;BBOOK bbname=&quot;371&quot; bbdesc=&quot;2013 Annual Accounts/EU Annual Accounts/Statement of changes (xlsx)&quot; dsname=&quot;SAP Disclosure Management - Production&quot;&gt;&lt;VARIABLES /&gt;&lt;/BBOOK&gt;&lt;BBOOK bbname=&quot;428&quot; bbdesc=&quot;2013 Annual Accounts/EC Annual Accounts/DC - Statement of changes in net assets (xls)&quot; dsname=&quot;SAP Disclosure Management - Production&quot;&gt;&lt;VARIABLES /&gt;&lt;/BBOOK&gt;&lt;BBOOK bbname=&quot;553&quot; bbdesc=&quot;2013 Annual Accounts/EC Annual Accounts/DC - Statement of changes in net assets (xlsx)&quot; dsname=&quot;SAP Disclosure Management - Production&quot;&gt;&lt;VARIABLES /&gt;&lt;/BBOOK&gt;&lt;BBOOK bbname=&quot;251&quot; bbdesc=&quot;2013 Annual Accounts/EU Annual Accounts/Currency (xlsx)&quot; dsname=&quot;SAP Disclosre Management - Production&quot;&gt;&lt;VARIABLES /&gt;&lt;/BBOOK&gt;&lt;BBOOK bbname=&quot;388&quot; bbdesc=&quot;2013 Annual Accounts/EU Annual Accounts/Upload DeprecRates (xlsx)&quot; dsname=&quot;SAP Disclosre Management - Production&quot;&gt;&lt;VARIABLES /&gt;&lt;/BBOOK&gt;&lt;BBOOK bbname=&quot;309&quot; bbdesc=&quot;2013 Annual Accounts/EU Annual Accounts/Manual Table (xlsx)&quot; dsname=&quot;SAP Disclosre Management - Production&quot;&gt;&lt;VARIABLES /&gt;&lt;/BBOOK&gt;&lt;BBOOK bbname=&quot;440&quot; bbdesc=&quot;2013 Annual Accounts/EC Annual Accounts/DC - Significant Accounting Policies (xls)&quot; dsname=&quot;SAP Disclosure Management - Production&quot;&gt;&lt;VARIABLES /&gt;&lt;/BBOOK&gt;&lt;BBOOK bbname=&quot;557&quot; bbdesc=&quot;2013 Annual Accounts/EC Annual Accounts/DC - Significant accounting pol. - currency  table (xlsx)&quot; dsname=&quot;SAP Disclosure Management - Production&quot;&gt;&lt;VARIABLES /&gt;&lt;/BBOOK&gt;&lt;BBOOK bbname=&quot;267&quot; bbdesc=&quot;2013 Annual Accounts/EU Annual Accounts/DeprecRates upload (xlsx)&quot; dsname=&quot;SAP Disclosre Management - Production&quot;&gt;&lt;VARIABLES /&gt;&lt;/BBOOK&gt;&lt;BBOOK bbname=&quot;533&quot; bbdesc=&quot;2013 Annual Accounts/EC Annual Accounts/DC - Intangible fixed assets and PPE 2013 (xlsx)&quot; dsname=&quot;SAP Disclosure Management - Production&quot;&gt;&lt;VARIABLES /&gt;&lt;/BBOOK&gt;&lt;BBOOK bbname=&quot;342&quot; bbdesc=&quot;2013 Annual Accounts/EU Annual Accounts/PPE 2012 (xlsx)&quot; dsname=&quot;SAP Disclosre Management - Production&quot;&gt;&lt;VARIABLES /&gt;&lt;/BBOOK&gt;&lt;BBOOK bbname=&quot;279&quot; bbdesc=&quot;2013 Annual Accounts/EU Annual Accounts/Finance Lease (xlsx)&quot; dsname=&quot;SAP Disclosre Management - Production&quot;&gt;&lt;VARIABLES /&gt;&lt;/BBOOK&gt;&lt;BBOOK bbname=&quot;314&quot; bbdesc=&quot;2013 Annual Accounts/EU Annual Accounts/MT_Silvie Deckers (xlsx)&quot; dsname=&quot;SAP Disclosre Management - Production&quot;&gt;&lt;VARIABLES /&gt;&lt;/BBOOK&gt;&lt;BBOOK bbname=&quot;338&quot; bbdesc=&quot;2013 Annual Accounts/EU Annual Accounts/Participations in joint ventures (xlsx)&quot; dsname=&quot;SAP Disclosure Management - Production&quot;&gt;&lt;VARIABLES /&gt;&lt;/BBOOK&gt;&lt;BBOOK bbname=&quot;535&quot; bbdesc=&quot;2013 Annual Accounts/EC Annual Accounts/DC - Investments accounted for using the equity method new (xlsx)&quot; dsname=&quot;SAP Disclosure Management - Production&quot;&gt;&lt;VARIABLES /&gt;&lt;/BBOOK&gt;&lt;BBOOK bbname=&quot;316&quot; bbdesc=&quot;2013 Annual Accounts/EU Annual Accounts/Non current AFS financial assets (xlsx)&quot; dsname=&quot;SAP Disclosure Management - Production&quot;&gt;&lt;VARIABLES /&gt;&lt;/BBOOK&gt;&lt;BBOOK bbname=&quot;457&quot; bbdesc=&quot;2013 Annual Accounts/EC Annual Accounts/DC - Non current financial assets (xlsx)&quot; dsname=&quot;SAP Disclosure Management - Production&quot;&gt;&lt;VARIABLES /&gt;&lt;/BBOOK&gt;&lt;BBOOK bbname=&quot;458&quot; bbdesc=&quot;2013 Annual Accounts/EC Annual Accounts/DC - Non current receivables and recoverables (xlsx)&quot; dsname=&quot;SAP Disclosure Management - Production&quot;&gt;&lt;VARIABLES /&gt;&lt;/BBOOK&gt;&lt;BBOOK bbname=&quot;459&quot; bbdesc=&quot;2013 Annual Accounts/EC Annual Accounts/DC - Non current prefinancing (xlsx)&quot; dsname=&quot;SAP Disclosure Management - Production&quot;&gt;&lt;VARIABLES /&gt;&lt;/BBOOK&gt;&lt;BBOOK bbname=&quot;491&quot; bbdesc=&quot;2013 Annual Accounts/EC Annual Accounts/DC - Inventories (xlsx)&quot; dsname=&quot;SAP Disclosure Management - Production&quot;&gt;&lt;VARIABLES /&gt;&lt;/BBOOK&gt;&lt;BBOOK bbname=&quot;492&quot; bbdesc=&quot;2013 Annual Accounts/EC Annual Accounts/DC - Current financial assets (xlsx)&quot; dsname=&quot;SAP Disclosure Management - Production&quot;&gt;&lt;VARIABLES /&gt;&lt;/BBOOK&gt;&lt;BBOOK bbname=&quot;352&quot; bbdesc=&quot;2013 Annual Accounts/EC Annual Accounts/Receivables from Member States (xlsx)&quot; dsname=&quot;SAP Disclosure Management - Production&quot;&gt;&lt;VARIABLES /&gt;&lt;/BBOOK&gt;&lt;BBOOK bbname=&quot;315&quot; bbdesc=&quot;2013 Annual Accounts/EU Annual Accounts/MT_Valentina (xlsx)&quot; dsname=&quot;SAP Disclosure Management - Production&quot;&gt;&lt;VARIABLES /&gt;&lt;/BBOOK&gt;&lt;BBOOK bbname=&quot;493&quot; bbdesc=&quot;2013 Annual Accounts/EC Annual Accounts/DC - Current receivables and recoverables (xlsx)&quot; dsname=&quot;SAP Disclosure Management - Production&quot;&gt;&lt;VARIABLES /&gt;&lt;/BBOOK&gt;&lt;BBOOK bbname=&quot;494&quot; bbdesc=&quot;2013 Annual Accounts/EC Annual Accounts/DC - Current pre-financing (xlsx)&quot; dsname=&quot;SAP Disclosure Management - Production&quot;&gt;&lt;VARIABLES /&gt;&lt;/BBOOK&gt;&lt;BBOOK bbname=&quot;495&quot; bbdesc=&quot;2013 Annual Accounts/EC Annual Accounts/DC - Cash and cash equivalents (xlsx)&quot; dsname=&quot;SAP Disclosure Management - Production&quot;&gt;&lt;VARIABLES /&gt;&lt;/BBOOK&gt;&lt;BBOOK bbname=&quot;313&quot; bbdesc=&quot;2013 Annual Accounts/EU Annual Accounts/MT_Annika Oerbom (xlsx)&quot; dsname=&quot;SAP Disclosure Management - Production&quot;&gt;&lt;VARIABLES /&gt;&lt;/BBOOK&gt;&lt;BBOOK bbname=&quot;497&quot; bbdesc=&quot;2013 Annual Accounts/EC Annual Accounts/DC - Pension and other employee benefits (xlsx)&quot; dsname=&quot;SAP Disclosure Management - Production&quot;&gt;&lt;VARIABLES /&gt;&lt;/BBOOK&gt;&lt;BBOOK bbname=&quot;498&quot; bbdesc=&quot;2013 Annual Accounts/EC Annual Accounts/DC - Non-current provisions (xlsx)&quot; dsname=&quot;SAP Disclosure Management - Production&quot;&gt;&lt;VARIABLES /&gt;&lt;/BBOOK&gt;&lt;BBOOK bbname=&quot;503&quot; bbdesc=&quot;2013 Annual Accounts/EC Annual Accounts/DC - Current provisions (xlsx)&quot; dsname=&quot;SAP Disclosure Management - Production&quot;&gt;&lt;VARIABLES /&gt;&lt;/BBOOK&gt;&lt;BBOOK bbname=&quot;499&quot; bbdesc=&quot;2013 Annual Accounts/EC Annual Accounts/DC - Non-current financial liabilities (xlsx)&quot; dsname=&quot;SAP Disclosure Management - Production&quot;&gt;&lt;VARIABLES /&gt;&lt;/BBOOK&gt;&lt;BBOOK bbname=&quot;500&quot; bbdesc=&quot;2013 Annual Accounts/EC Annual Accounts/DC - Other non-current liabilities (xlsx)&quot; dsname=&quot;SAP Disclosure Management - Production&quot;&gt;&lt;VARIABLES /&gt;&lt;/BBOOK&gt;&lt;BBOOK bbname=&quot;505&quot; bbdesc=&quot;2013 Annual Accounts/EC Annual Accounts/DC - Payables (xlsx)&quot; dsname=&quot;SAP Disclosure Management - Production&quot;&gt;&lt;VARIABLES /&gt;&lt;/BBOOK&gt;&lt;BBOOK bbname=&quot;507&quot; bbdesc=&quot;2013 Annual Accounts/EC Annual Accounts/DC - Reserves (xlsx)&quot; dsname=&quot;SAP Disclosure Management - Production&quot;&gt;&lt;VARIABLES /&gt;&lt;/BBOOK&gt;&lt;BBOOK bbname=&quot;508&quot; bbdesc=&quot;2013 Annual Accounts/EC Annual Accounts/DC - Amounts to be called from member states (xlsx)&quot; dsname=&quot;SAP Disclosure Management - Production&quot;&gt;&lt;VARIABLES /&gt;&lt;/BBOOK&gt;&lt;BBOOK bbname=&quot;326&quot; bbdesc=&quot;2013 Annual Accounts/EC Annual Accounts/Notes to financial performance (xlsx)&quot; dsname=&quot;SAP Disclosure Management - Production&quot;&gt;&lt;VARIABLES /&gt;&lt;/BBOOK&gt;&lt;BBOOK bbname=&quot;424&quot; bbdesc=&quot;2013 Annual Accounts/EC Annual Accounts/DC - Financial revenue (xlsx)&quot; dsname=&quot;SAP Disclosure Management - Production&quot;&gt;&lt;VARIABLES /&gt;&lt;/BBOOK&gt;&lt;BBOOK bbname=&quot;445&quot; bbdesc=&quot;2013 Annual Accounts/EC Annual Accounts/DC - Financial revenue (xls)&quot; dsname=&quot;SAP Disclosure Management - Production&quot;&gt;&lt;VARIABLES /&gt;&lt;/BBOOK&gt;&lt;BBOOK bbname=&quot;524&quot; bbdesc=&quot;2013 Annual Accounts/EC Annual Accounts/DC - Financial revenue (xlsx)&quot; dsname=&quot;SAP Disclosure Management - Production&quot;&gt;&lt;VARIABLES /&gt;&lt;/BBOOK&gt;&lt;BBOOK bbname=&quot;419&quot; bbdesc=&quot;2013 Annual Accounts/EC Annual Accounts/DC - Own resource and contributions revenue (xlsx)&quot; dsname=&quot;SAP Disclosure Management - Production&quot;&gt;&lt;VARIABLES /&gt;&lt;/BBOOK&gt;&lt;BBOOK bbname=&quot;436&quot; bbdesc=&quot;2013 Annual Accounts/EC Annual Accounts/DC - Own resource and contributions revenue (xls)&quot; dsname=&quot;SAP Disclosure Management - Production&quot;&gt;&lt;VARIABLES /&gt;&lt;/BBOOK&gt;&lt;BBOOK bbname=&quot;520&quot; bbdesc=&quot;2013 Annual Accounts/EC Annual Accounts/DC - Own resource and contributions revenue (xlsx)&quot; dsname=&quot;SAP Disclosure Management - Production&quot;&gt;&lt;VARIABLES /&gt;&lt;/BBOOK&gt;&lt;BBOOK bbname=&quot;415&quot; bbdesc=&quot;2013 Annual Accounts/EC Annual Accounts/DC - Other operating revenue (xlsx)&quot; dsname=&quot;SAP Disclosure Management - Production&quot;&gt;&lt;VARIABLES /&gt;&lt;/BBOOK&gt;&lt;BBOOK bbname=&quot;439&quot; bbdesc=&quot;2013 Annual Accounts/EC Annual Accounts/DC - Other operating revenue (xls)&quot; dsname=&quot;SAP Disclosure Management - Production&quot;&gt;&lt;VARIABLES /&gt;&lt;/BBOOK&gt;&lt;BBOOK bbname=&quot;521&quot; bbdesc=&quot;2013 Annual Accounts/EC Annual Accounts/DC - Other operating revenue (xlsx)&quot; dsname=&quot;SAP Disclosure Management - Production&quot;&gt;&lt;VARIABLES /&gt;&lt;/BBOOK&gt;&lt;BBOOK bbname=&quot;420&quot; bbdesc=&quot;2013 Annual Accounts/EC Annual Accounts/DC - Administrative expenses (xlsx)&quot; dsname=&quot;SAP Disclosure Management - Production&quot;&gt;&lt;VARIABLES /&gt;&lt;/BBOOK&gt;&lt;BBOOK bbname=&quot;442&quot; bbdesc=&quot;2013 Annual Accounts/EC Annual Accounts/DC - Administrative expenses (xls)&quot; dsname=&quot;SAP Disclosure Management - Production&quot;&gt;&lt;VARIABLES /&gt;&lt;/BBOOK&gt;&lt;BBOOK bbname=&quot;522&quot; bbdesc=&quot;2013 Annual Accounts/EC Annual Accounts/DC - Administrative expenses (xlsx)&quot; dsname=&quot;SAP Disclosure Management - Production&quot;&gt;&lt;VARIABLES /&gt;&lt;/BBOOK&gt;&lt;BBOOK bbname=&quot;423&quot; bbdesc=&quot;2013 Annual Accounts/EC Annual Accounts/DC - Operating expenses (xlsx)&quot; dsname=&quot;SAP Disclosure Management - Production&quot;&gt;&lt;VARIABLES /&gt;&lt;/BBOOK&gt;&lt;BBOOK bbname=&quot;443&quot; bbdesc=&quot;2013 Annual Accounts/EC Annual Accounts/DC - Operating expenses (xls)&quot; dsname=&quot;SAP Disclosure Management - Production&quot;&gt;&lt;VARIABLES /&gt;&lt;/BBOOK&gt;&lt;BBOOK bbname=&quot;523&quot; bbdesc=&quot;2013 Annual Accounts/EC Annual Accounts/DC - Operating expenses (xlsx)&quot; dsname=&quot;SAP Disclosure Management - Production&quot;&gt;&lt;VARIABLES /&gt;&lt;/BBOOK&gt;&lt;BBOOK bbname=&quot;425&quot; bbdesc=&quot;2013 Annual Accounts/EC Annual Accounts/DC - Financial expenses (xlsx)&quot; dsname=&quot;SAP Disclosure Management - Production&quot;&gt;&lt;VARIABLES /&gt;&lt;/BBOOK&gt;&lt;BBOOK bbname=&quot;447&quot; bbdesc=&quot;2013 Annual Accounts/EC Annual Accounts/DC - Financial expenses (xls)&quot; dsname=&quot;SAP Disclosure Management - Production&quot;&gt;&lt;VARIABLES /&gt;&lt;/BBOOK&gt;&lt;BBOOK bbname=&quot;525&quot; bbdesc=&quot;2013 Annual Accounts/EC Annual Accounts/DC - Financial expenses (xlsx)&quot; dsname=&quot;SAP Disclosure Management - Production&quot;&gt;&lt;VARIABLES /&gt;&lt;/BBOOK&gt;&lt;BBOOK bbname=&quot;366&quot; bbdesc=&quot;2013 Annual Accounts/EU Annual Accounts/Segment reporting calculation (xlsx)&quot; dsname=&quot;SAP Disclosure Management - Production&quot;&gt;&lt;VARIABLES /&gt;&lt;/BBOOK&gt;&lt;BBOOK bbname=&quot;594&quot; bbdesc=&quot;2013 Annual Accounts/EC Annual Accounts/DC - Segment reporting (xlsx)&quot; dsname=&quot;SAP Disclosure Management - Production&quot;&gt;&lt;VARIABLES /&gt;&lt;/BBOOK&gt;&lt;BBOOK bbname=&quot;245&quot; bbdesc=&quot;2013 Annual Accounts/EU Annual Accounts/CONTINGENT ASSETS AND LIABILITIES AND OTHER SIGN DISCL (xlsx)&quot; dsname=&quot;SAP Disclosure Management - Production&quot;&gt;&lt;VARIABLES /&gt;&lt;/BBOOK&gt;&lt;BBOOK bbname=&quot;514&quot; bbdesc=&quot;2013 Annual Accounts/EC Annual Accounts/DC - Contingent assets (xlsx)&quot; dsname=&quot;SAP Disclosure Management - Production&quot;&gt;&lt;VARIABLES /&gt;&lt;/BBOOK&gt;&lt;BBOOK bbname=&quot;515&quot; bbdesc=&quot;2013 Annual Accounts/EC Annual Accounts/DC - Contingent liabilities (xlsx)&quot; dsname=&quot;SAP Disclosure Management - Production&quot;&gt;&lt;VARIABLES /&gt;&lt;/BBOOK&gt;&lt;BBOOK bbname=&quot;516&quot; bbdesc=&quot;2013 Annual Accounts/EC Annual Accounts/DC - Guarantees given (xlsx)&quot; dsname=&quot;SAP Disclosure Management - Production&quot;&gt;&lt;VARIABLES /&gt;&lt;/BBOOK&gt;&lt;BBOOK bbname=&quot;517&quot; bbdesc=&quot;2013 Annual Accounts/EC Annual Accounts/DC - Other significant disclosures (xlsx)&quot; dsname=&quot;SAP Disclosure Management - Production&quot;&gt;&lt;VARIABLES /&gt;&lt;/BBOOK&gt;&lt;BBOOK bbname=&quot;518&quot; bbdesc=&quot;2013 Annual Accounts/EC Annual Accounts/DC - Significant legal commitments (xlsx)&quot; dsname=&quot;SAP Disclosure Management - Production&quot;&gt;&lt;VARIABLES /&gt;&lt;/BBOOK&gt;&lt;BBOOK bbname=&quot;657&quot; bbdesc=&quot;2013 Annual Accounts/EU Annual Accounts/DC - Result of implementation of the EU budget (xlsx)&quot; dsname=&quot;SAP Disclosure Management - Production&quot;&gt;&lt;VARIABLES /&gt;&lt;/BBOOK&gt;&lt;BBOOK bbname=&quot;207&quot; bbdesc=&quot;2013 Annual Accounts/EU Annual Accounts/SCOPE OF CONSO_NOTE 11 (xlsx)&quot; dsname=&quot;SAP Disclosure Management - Production&quot;&gt;&lt;VARIABLES /&gt;&lt;/BBOOK&gt;&lt;BBOOK bbname=&quot;664&quot; bbdesc=&quot;2013 Annual Accounts/EU Annual Accounts/DC - Implementation of EU budget revenue (xlsx)&quot; dsname=&quot;SAP Disclosure Management - Production&quot;&gt;&lt;VARIABLES /&gt;&lt;/BBOOK&gt;&lt;BBOOK bbname=&quot;36743&quot; bbdesc=&quot;2025 Annual Accounts/EU Annual Accounts/DC - Balance Sheet&quot; dsname=&quot;DM Production&quot;&gt;&lt;VARIABLES /&gt;&lt;/BBOOK&gt;&lt;BBOOK bbname=&quot;36757&quot; bbdesc=&quot;2025 Annual Accounts/EU Annual Accounts/DC - Statement of Financial Performance&quot; dsname=&quot;DM Production&quot;&gt;&lt;VARIABLES /&gt;&lt;/BBOOK&gt;&lt;BBOOK bbname=&quot;36758&quot; bbdesc=&quot;2025 Annual Accounts/EU Annual Accounts/DC - Cashflow statement&quot; dsname=&quot;DM Production&quot;&gt;&lt;VARIABLES /&gt;&lt;/BBOOK&gt;&lt;BBOOK bbname=&quot;36734&quot; bbdesc=&quot;2025 Annual Accounts/EU Annual Accounts/DC - Statement of changes in net assets EU&quot; dsname=&quot;DM Production&quot;&gt;&lt;VARIABLES /&gt;&lt;/BBOOK&gt;&lt;BBOOK bbname=&quot;36718&quot; bbdesc=&quot;2025 Annual Accounts/EU Annual Accounts/DC - Currency table and Deprec. Rates&quot; dsname=&quot;DM Production&quot;&gt;&lt;VARIABLES /&gt;&lt;/BBOOK&gt;&lt;BBOOK bbname=&quot;36735&quot; bbdesc=&quot;2025 Annual Accounts/EU Annual Accounts/DC - Intangible assets and PPE&quot; dsname=&quot;DM Production&quot;&gt;&lt;VARIABLES /&gt;&lt;/BBOOK&gt;&lt;BBOOK bbname=&quot;36650&quot; bbdesc=&quot;2025 Annual Accounts/EC Annual Accounts/DC - Investments accounted for using the equity method new&quot; dsname=&quot;DM Production&quot;&gt;&lt;VARIABLES /&gt;&lt;/BBOOK&gt;&lt;BBOOK bbname=&quot;36764&quot; bbdesc=&quot;2025 Annual Accounts/EU Annual Accounts/DC - Financial assets&quot; dsname=&quot;DM Production&quot;&gt;&lt;VARIABLES /&gt;&lt;/BBOOK&gt;&lt;BBOOK bbname=&quot;36627&quot; bbdesc=&quot;2025 Annual Accounts/EC Annual Accounts/DC - Financial assets&quot; dsname=&quot;DM Production&quot;&gt;&lt;VARIABLES /&gt;&lt;/BBOOK&gt;&lt;BBOOK bbname=&quot;36765&quot; bbdesc=&quot;2025 Annual Accounts/EU Annual Accounts/DC - Pre-financing&quot; dsname=&quot;DM Production&quot;&gt;&lt;VARIABLES /&gt;&lt;/BBOOK&gt;&lt;BBOOK bbname=&quot;36629&quot; bbdesc=&quot;2025 Annual Accounts/EC Annual Accounts/DC - Pre-financing&quot; dsname=&quot;DM Production&quot;&gt;&lt;VARIABLES /&gt;&lt;/BBOOK&gt;&lt;BBOOK bbname=&quot;36745&quot; bbdesc=&quot;2025 Annual Accounts/EU Annual Accounts/DC - Exchange receivables and Non-exchange recoverables&quot; dsname=&quot;DM Production&quot;&gt;&lt;VARIABLES /&gt;&lt;/BBOOK&gt;&lt;BBOOK bbname=&quot;36746&quot; bbdesc=&quot;2025 Annual Accounts/EU Annual Accounts/DC - Recoverables from Member States&quot; dsname=&quot;DM Production&quot;&gt;&lt;VARIABLES /&gt;&lt;/BBOOK&gt;&lt;BBOOK bbname=&quot;36747&quot; bbdesc=&quot;2025 Annual Accounts/EU Annual Accounts/DC - Accrued income and Deferred charges&quot; dsname=&quot;DM Production&quot;&gt;&lt;VARIABLES /&gt;&lt;/BBOOK&gt;&lt;BBOOK bbname=&quot;36612&quot; bbdesc=&quot;2025 Annual Accounts/EC Annual Accounts/DC - Exchange receivables and Non-exchange recoverables&quot; dsname=&quot;DM Production&quot;&gt;&lt;VARIABLES /&gt;&lt;/BBOOK&gt;&lt;BBOOK bbname=&quot;36766&quot; bbdesc=&quot;2025 Annual Accounts/EU Annual Accounts/DC - Inventories&quot; dsname=&quot;DM Production&quot;&gt;&lt;VARIABLES /&gt;&lt;/BBOOK&gt;&lt;BBOOK bbname=&quot;36767&quot; bbdesc=&quot;2025 Annual Accounts/EU Annual Accounts/DC - Cash and cash equivalents&quot; dsname=&quot;DM Production&quot;&gt;&lt;VARIABLES /&gt;&lt;/BBOOK&gt;&lt;BBOOK bbname=&quot;36768&quot; bbdesc=&quot;2025 Annual Accounts/EU Annual Accounts/DC - Pension and other employee benefits&quot; dsname=&quot;DM Production&quot;&gt;&lt;VARIABLES /&gt;&lt;/BBOOK&gt;&lt;BBOOK bbname=&quot;36769&quot; bbdesc=&quot;2025 Annual Accounts/EU Annual Accounts/DC - Provisions&quot; dsname=&quot;DM Production&quot;&gt;&lt;VARIABLES /&gt;&lt;/BBOOK&gt;&lt;BBOOK bbname=&quot;36770&quot; bbdesc=&quot;2025 Annual Accounts/EU Annual Accounts/DC - Financial liabilities&quot; dsname=&quot;DM Production&quot;&gt;&lt;VARIABLES /&gt;&lt;/BBOOK&gt;&lt;BBOOK bbname=&quot;36772&quot; bbdesc=&quot;2025 Annual Accounts/EU Annual Accounts/DC - Finance Lease liabilities&quot; dsname=&quot;DM Production&quot;&gt;&lt;VARIABLES /&gt;&lt;/BBOOK&gt;&lt;BBOOK bbname=&quot;36633&quot; bbdesc=&quot;2025 Annual Accounts/EC Annual Accounts/DC - Financial liabilities&quot; dsname=&quot;DM Production&quot;&gt;&lt;VARIABLES /&gt;&lt;/BBOOK&gt;&lt;BBOOK bbname=&quot;36748&quot; bbdesc=&quot;2025 Annual Accounts/EU Annual Accounts/DC - Payables&quot; dsname=&quot;DM Production&quot;&gt;&lt;VARIABLES /&gt;&lt;/BBOOK&gt;&lt;BBOOK bbname=&quot;36773&quot; bbdesc=&quot;2025 Annual Accounts/EU Annual Accounts/DC - Accrued charges and Deferred income&quot; dsname=&quot;DM Production&quot;&gt;&lt;VARIABLES /&gt;&lt;/BBOOK&gt;&lt;BBOOK bbname=&quot;36774&quot; bbdesc=&quot;2025 Annual Accounts/EU Annual Accounts/DC - Net assets&quot; dsname=&quot;DM Production&quot;&gt;&lt;VARIABLES /&gt;&lt;/BBOOK&gt;&lt;BBOOK bbname=&quot;36775&quot; bbdesc=&quot;2025 Annual Accounts/EU Annual Accounts/DC - Recovery of expenses&quot; dsname=&quot;DM Production&quot;&gt;&lt;VARIABLES /&gt;&lt;/BBOOK&gt;&lt;BBOOK bbname=&quot;36749&quot; bbdesc=&quot;2025 Annual Accounts/EU Annual Accounts/DC - Other non-exchange revenue&quot; dsname=&quot;DM Production&quot;&gt;&lt;VARIABLES /&gt;&lt;/BBOOK&gt;&lt;BBOOK bbname=&quot;36759&quot; bbdesc=&quot;2025 Annual Accounts/EU Annual Accounts/DC - Financial revenue&quot; dsname=&quot;DM Production&quot;&gt;&lt;VARIABLES /&gt;&lt;/BBOOK&gt;&lt;BBOOK bbname=&quot;36776&quot; bbdesc=&quot;2025 Annual Accounts/EU Annual Accounts/DC - Other exchange revenue&quot; dsname=&quot;DM Production&quot;&gt;&lt;VARIABLES /&gt;&lt;/BBOOK&gt;&lt;BBOOK bbname=&quot;36750&quot; bbdesc=&quot;2025 Annual Accounts/EU Annual Accounts/DC - Shared Direct and Indirect management&quot; dsname=&quot;DM Production&quot;&gt;&lt;VARIABLES /&gt;&lt;/BBOOK&gt;&lt;BBOOK bbname=&quot;36777&quot; bbdesc=&quot;2025 Annual Accounts/EU Annual Accounts/DC - Staff and Pension costs - Changes in employee benefits actuarial assumptions&quot; dsname=&quot;DM Production&quot;&gt;&lt;VARIABLES /&gt;&lt;/BBOOK&gt;&lt;BBOOK bbname=&quot;36760&quot; bbdesc=&quot;2025 Annual Accounts/EU Annual Accounts/DC - Finance costs&quot; dsname=&quot;DM Production&quot;&gt;&lt;VARIABLES /&gt;&lt;/BBOOK&gt;&lt;BBOOK bbname=&quot;36751&quot; bbdesc=&quot;2025 Annual Accounts/EU Annual Accounts/DC - Other expenses and Research and Development costs&quot; dsname=&quot;DM Production&quot;&gt;&lt;VARIABLES /&gt;&lt;/BBOOK&gt;&lt;BBOOK bbname=&quot;36752&quot; bbdesc=&quot;2025 Annual Accounts/EU Annual Accounts/DC - Segment report&quot; dsname=&quot;DM Production&quot;&gt;&lt;VARIABLES /&gt;&lt;/BBOOK&gt;&lt;BBOOK bbname=&quot;38212&quot; bbdesc=&quot;2025 Annual Accounts/EU Annual Accounts/DC - SOFP reclassification&quot; dsname=&quot;DM Production&quot;&gt;&lt;VARIABLES /&gt;&lt;/BBOOK&gt;&lt;BBOOK bbname=&quot;36639&quot; bbdesc=&quot;2025 Annual Accounts/EC Annual Accounts/DC - Guarantees given&quot; dsname=&quot;DM Production&quot;&gt;&lt;VARIABLES /&gt;&lt;/BBOOK&gt;&lt;BBOOK bbname=&quot;36638&quot; bbdesc=&quot;2025 Annual Accounts/EC Annual Accounts/DC - Contingent liabilities&quot; dsname=&quot;DM Production&quot;&gt;&lt;VARIABLES /&gt;&lt;/BBOOK&gt;&lt;BBOOK bbname=&quot;36762&quot; bbdesc=&quot;2025 Annual Accounts/EU Annual Accounts/DC - Contingent liabilities and assets&quot; dsname=&quot;DM Production&quot;&gt;&lt;VARIABLES /&gt;&lt;/BBOOK&gt;&lt;BBOOK bbname=&quot;36763&quot; bbdesc=&quot;2025 Annual Accounts/EU Annual Accounts/DC - Outstanding commitments not yet expensed - Significant legal commitments&quot; dsname=&quot;DM Production&quot;&gt;&lt;VARIABLES /&gt;&lt;/BBOOK&gt;&lt;BBOOK bbname=&quot;36761&quot; bbdesc=&quot;2025 Annual Accounts/EU Annual Accounts/DC - Operating lease commitments&quot; dsname=&quot;DM Production&quot;&gt;&lt;VARIABLES /&gt;&lt;/BBOOK&gt;&lt;BBOOK bbname=&quot;36753&quot; bbdesc=&quot;2025 Annual Accounts/EU Annual Accounts/DC - Currency risk&quot; dsname=&quot;DM Production&quot;&gt;&lt;VARIABLES /&gt;&lt;/BBOOK&gt;&lt;BBOOK bbname=&quot;36754&quot; bbdesc=&quot;2025 Annual Accounts/EU Annual Accounts/DC - Interest rate risk&quot; dsname=&quot;DM Production&quot;&gt;&lt;VARIABLES /&gt;&lt;/BBOOK&gt;&lt;BBOOK bbname=&quot;36755&quot; bbdesc=&quot;2025 Annual Accounts/EU Annual Accounts/DC - Credit risk&quot; dsname=&quot;DM Production&quot;&gt;&lt;VARIABLES /&gt;&lt;/BBOOK&gt;&lt;BBOOK bbname=&quot;36756&quot; bbdesc=&quot;2025 Annual Accounts/EU Annual Accounts/DC - Liquidity risk&quot; dsname=&quot;DM Production&quot;&gt;&lt;VARIABLES /&gt;&lt;/BBOOK&gt;&lt;BBOOK bbname=&quot;36617&quot; bbdesc=&quot;2025 Annual Accounts/EC Annual Accounts/DC - Liquidity risk&quot; dsname=&quot;DM Production&quot;&gt;&lt;VARIABLES /&gt;&lt;/BBOOK&gt;&lt;BBOOK bbname=&quot;36571&quot; bbdesc=&quot;2025 Annual Accounts/EC Annual Accounts/DC - Credit risk&quot; dsname=&quot;DM Production&quot;&gt;&lt;VARIABLES /&gt;&lt;/BBOOK&gt;&lt;BBOOK bbname=&quot;36626&quot; bbdesc=&quot;2025 Annual Accounts/EC Annual Accounts/DC - Other price risk&quot; dsname=&quot;DM Production&quot;&gt;&lt;VARIABLES /&gt;&lt;/BBOOK&gt;&lt;BBOOK bbname=&quot;36692&quot; bbdesc=&quot;2025 Annual Accounts/EU Annual Accounts/Upload Key management table&quot; dsname=&quot;DM Production&quot;&gt;&lt;VARIABLES /&gt;&lt;/BBOOK&gt;&lt;BBOOK bbname=&quot;36740&quot; bbdesc=&quot;2025 Annual Accounts/EU Annual Accounts/DC - Scope of consolidation EU&quot; dsname=&quot;DM Production&quot;&gt;&lt;VARIABLES /&gt;&lt;/BBOOK&gt;&lt;BBOOK bbname=&quot;36691&quot; bbdesc=&quot;2025 Annual Accounts/EU Annual Accounts/DC - Budget result and Statements of Comparison&quot; dsname=&quot;DM Production&quot;&gt;&lt;VARIABLES /&gt;&lt;/BBOOK&gt;&lt;BBOOK bbname=&quot;883&quot; bbdesc=&quot;2013 Annual Accounts/EU Annual Accounts/DC - Balance Sheet (xlsx)&quot; dsname=&quot;SAP Disclosure Management - Production&quot;&gt;&lt;VARIABLES /&gt;&lt;/BBOOK&gt;&lt;BBOOK bbname=&quot;862&quot; bbdesc=&quot;2013 Annual Accounts/EC Annual Accounts/DC - Result of implentation of the EU budget (xlsx)&quot; dsname=&quot;SAP Disclosure Management - Production&quot;&gt;&lt;VARIABLES /&gt;&lt;/BBOOK&gt;&lt;BBOOK bbname=&quot;869&quot; bbdesc=&quot;2013 Annual Accounts/EC Annual Accounts/DC - Implementation of EU budget revenue (xlsx)&quot; dsname=&quot;SAP Disclosure Management - Production&quot;&gt;&lt;VARIABLES /&gt;&lt;/BBOOK&gt;&lt;BBOOK bbname=&quot;871&quot; bbdesc=&quot;2013 Annual Accounts/EC Annual Accounts/DC - Implementation of EU budget expenditure (xlsx)&quot; dsname=&quot;SAP Disclosure Management - Production&quot;&gt;&lt;VARIABLES /&gt;&lt;/BBOOK&gt;&lt;BBOOK bbname=&quot;666&quot; bbdesc=&quot;2013 Annual Accounts/EU Annual Accounts/DC - Implementation of EU budget expenditure (xlsx)&quot; dsname=&quot;SAP Disclosure Management - Production&quot;&gt;&lt;VARIABLES /&gt;&lt;/BBOOK&gt;&lt;BBOOK bbname=&quot;534&quot; bbdesc=&quot;2013 Annual Accounts/EC Annual Accounts/DC - Finance Lease PPE (xlsx)&quot; dsname=&quot;SAP Disclosure Management - Production&quot;&gt;&lt;VARIABLES /&gt;&lt;/BBOOK&gt;&lt;BBOOK bbname=&quot;910&quot; bbdesc=&quot;2013 Annual Accounts/EC Annual Accounts/DC - Operating lease (xlsx)&quot; dsname=&quot;SAP Disclosure Management - Production&quot;&gt;&lt;VARIABLES /&gt;&lt;/BBOOK&gt;&lt;BBOOK bbname=&quot;1218&quot; bbdesc=&quot;2013 Annual Accounts/EU Annual Accounts/DC - Non current financial liabilities (xlsx)&quot; dsname=&quot;SAP Disclosure Management - Production&quot;&gt;&lt;VARIABLES /&gt;&lt;/BBOOK&gt;&lt;BBOOK bbname=&quot;886&quot; bbdesc=&quot;2013 Annual Accounts/EU Annual Accounts/Upload Trial Balance ECCS 2013 (xlsx)&quot; dsname=&quot;SAP Disclosure Management - Production&quot;&gt;&lt;VARIABLES /&gt;&lt;/BBOOK&gt;&lt;BBOOK bbname=&quot;1247&quot; bbdesc=&quot;2013 Annual Accounts/EU Annual Accounts/DC - Member states receivables EU (xlsx)&quot; dsname=&quot;SAP Disclosure Management - Production&quot;&gt;&lt;VARIABLES /&gt;&lt;/BBOOK&gt;&lt;BBOOK bbname=&quot;1011&quot; bbdesc=&quot;2013 Annual Accounts/EEAS Annual Accounts/DC - Payables (xlsx)&quot; dsname=&quot;SAP Disclosure Management - Production&quot;&gt;&lt;VARIABLES /&gt;&lt;/BBOOK&gt;&lt;BBOOK bbname=&quot;884&quot; bbdesc=&quot;2013 Annual Accounts/EU Annual Accounts/DC - Statement of financial performance (xlsx)&quot; dsname=&quot;SAP Disclosure Management - Production&quot;&gt;&lt;VARIABLES /&gt;&lt;/BBOOK&gt;&lt;BBOOK bbname=&quot;1252&quot; bbdesc=&quot;2013 Annual Accounts/EU Annual Accounts/DC - Institutions and agencies (xlsx)&quot; dsname=&quot;SAP Disclosure Management - Production&quot;&gt;&lt;VARIABLES /&gt;&lt;/BBOOK&gt;&lt;BBOOK bbname=&quot;5174&quot; bbdesc=&quot;2014 Annual Accounts/EU Annual Accounts/DC - Implementation of EU budget expenditure (xlsx)&quot; dsname=&quot;SAP Disclosure Management - Production&quot;&gt;&lt;VARIABLES /&gt;&lt;/BBOOK&gt;&lt;BBOOK bbname=&quot;24739&quot; bbdesc=&quot;2021 Annual Accounts/EU Annual Accounts/DC - Financial framework 2021 - 2027&quot; dsname=&quot;SAP Disclosure Management - Production&quot;&gt;&lt;VARIABLES /&gt;&lt;/BBOOK&gt;&lt;BBOOK bbname=&quot;24755&quot; bbdesc=&quot;2021 Annual Accounts/EU Annual Accounts/DC - EU expenditures&quot; dsname=&quot;SAP Disclosure Management - Production&quot;&gt;&lt;VARIABLES /&gt;&lt;/BBOOK&gt;&lt;BBOOK bbname=&quot;36669&quot; bbdesc=&quot;2025 Annual Accounts/EU Annual Accounts/DC - EU Reconciliation of economic result&quot; dsname=&quot;DM Production&quot;&gt;&lt;VARIABLES /&gt;&lt;/BBOOK&gt;&lt;BBOOK bbname=&quot;36741&quot; bbdesc=&quot;2025 Annual Accounts/EU Annual Accounts/DC - EU revenues&quot; dsname=&quot;DM Production&quot;&gt;&lt;VARIABLES /&gt;&lt;/BBOOK&gt;&lt;BBOOK bbname=&quot;36742&quot; bbdesc=&quot;2025 Annual Accounts/EU Annual Accounts/DC - EU expenditures&quot; dsname=&quot;DM Production&quot;&gt;&lt;VARIABLES /&gt;&lt;/BBOOK&gt;&lt;BBOOK bbname=&quot;36778&quot; bbdesc=&quot;2025 Annual Accounts/EU Annual Accounts/DC - Institutions and agencies&quot; dsname=&quot;DM Production&quot;&gt;&lt;VARIABLES /&gt;&lt;/BBOOK&gt;&lt;/BBOOKS&gt;"/>
    <w:docVar w:name="DM_WB_C36667_METADATA" w:val="&lt;ChapterMetadata&gt;&lt;ChapterId&gt;36667&lt;/ChapterId&gt;&lt;ChapterName&gt;Liabilities&lt;/ChapterName&gt;&lt;ChapterNoOfPages&gt;-1&lt;/ChapterNoOfPages&gt;&lt;ChapterVersion&gt;1&lt;/ChapterVersion&gt;&lt;/ChapterMetadata&gt;"/>
    <w:docVar w:name="DM_WB_C36668_METADATA" w:val="&lt;ChapterMetadata&gt;&lt;ChapterId&gt;36668&lt;/ChapterId&gt;&lt;ChapterName&gt;Budgetary and legal commitments&lt;/ChapterName&gt;&lt;ChapterNoOfPages&gt;-1&lt;/ChapterNoOfPages&gt;&lt;ChapterVersion&gt;75&lt;/ChapterVersion&gt;&lt;/ChapterMetadata&gt;"/>
    <w:docVar w:name="DM_WB_C36670_METADATA" w:val="&lt;ChapterMetadata&gt;&lt;ChapterId&gt;36670&lt;/ChapterId&gt;&lt;ChapterName&gt;FSDA&lt;/ChapterName&gt;&lt;ChapterNoOfPages&gt;-1&lt;/ChapterNoOfPages&gt;&lt;ChapterVersion&gt;113&lt;/ChapterVersion&gt;&lt;/ChapterMetadata&gt;"/>
    <w:docVar w:name="DM_WB_C36672_METADATA" w:val="&lt;ChapterMetadata&gt;&lt;ChapterId&gt;36672&lt;/ChapterId&gt;&lt;ChapterName&gt;Pre-financing&lt;/ChapterName&gt;&lt;ChapterNoOfPages&gt;-1&lt;/ChapterNoOfPages&gt;&lt;ChapterVersion&gt;82&lt;/ChapterVersion&gt;&lt;/ChapterMetadata&gt;"/>
    <w:docVar w:name="DM_WB_C36674_METADATA" w:val="&lt;ChapterMetadata&gt;&lt;ChapterId&gt;36674&lt;/ChapterId&gt;&lt;ChapterName&gt;Scope of consolidation&lt;/ChapterName&gt;&lt;ChapterNoOfPages&gt;-1&lt;/ChapterNoOfPages&gt;&lt;ChapterVersion&gt;62&lt;/ChapterVersion&gt;&lt;/ChapterMetadata&gt;"/>
    <w:docVar w:name="DM_WB_C36675_METADATA" w:val="&lt;ChapterMetadata&gt;&lt;ChapterId&gt;36675&lt;/ChapterId&gt;&lt;ChapterName&gt;Consolidated financial statements and explanatory notes&lt;/ChapterName&gt;&lt;ChapterNoOfPages&gt;-1&lt;/ChapterNoOfPages&gt;&lt;ChapterVersion&gt;2&lt;/ChapterVersion&gt;&lt;/ChapterMetadata&gt;"/>
    <w:docVar w:name="DM_WB_C36676_METADATA" w:val="&lt;ChapterMetadata&gt;&lt;ChapterId&gt;36676&lt;/ChapterId&gt;&lt;ChapterName&gt;Inventories&lt;/ChapterName&gt;&lt;ChapterNoOfPages&gt;-1&lt;/ChapterNoOfPages&gt;&lt;ChapterVersion&gt;60&lt;/ChapterVersion&gt;&lt;/ChapterMetadata&gt;"/>
    <w:docVar w:name="DM_WB_C36677_METADATA" w:val="&lt;ChapterMetadata&gt;&lt;ChapterId&gt;36677&lt;/ChapterId&gt;&lt;ChapterName&gt;Finance costs&lt;/ChapterName&gt;&lt;ChapterNoOfPages&gt;-1&lt;/ChapterNoOfPages&gt;&lt;ChapterVersion&gt;66&lt;/ChapterVersion&gt;&lt;/ChapterMetadata&gt;"/>
    <w:docVar w:name="DM_WB_C36679_METADATA" w:val="&lt;ChapterMetadata&gt;&lt;ChapterId&gt;36679&lt;/ChapterId&gt;&lt;ChapterName&gt;Expenses - Transfer payments and subsidies by management mode&lt;/ChapterName&gt;&lt;ChapterNoOfPages&gt;-1&lt;/ChapterNoOfPages&gt;&lt;ChapterVersion&gt;1&lt;/ChapterVersion&gt;&lt;/ChapterMetadata&gt;"/>
    <w:docVar w:name="DM_WB_C36681_METADATA" w:val="&lt;ChapterMetadata&gt;&lt;ChapterId&gt;36681&lt;/ChapterId&gt;&lt;ChapterName&gt;Financial liabilities&lt;/ChapterName&gt;&lt;ChapterNoOfPages&gt;-1&lt;/ChapterNoOfPages&gt;&lt;ChapterVersion&gt;74&lt;/ChapterVersion&gt;&lt;/ChapterMetadata&gt;"/>
    <w:docVar w:name="DM_WB_C36682_METADATA" w:val="&lt;ChapterMetadata&gt;&lt;ChapterId&gt;36682&lt;/ChapterId&gt;&lt;ChapterName&gt;Assets&lt;/ChapterName&gt;&lt;ChapterNoOfPages&gt;-1&lt;/ChapterNoOfPages&gt;&lt;ChapterVersion&gt;1&lt;/ChapterVersion&gt;&lt;/ChapterMetadata&gt;"/>
    <w:docVar w:name="DM_WB_C36683_METADATA" w:val="&lt;ChapterMetadata&gt;&lt;ChapterId&gt;36683&lt;/ChapterId&gt;&lt;ChapterName&gt;Investments accounted for using the equity method&lt;/ChapterName&gt;&lt;ChapterNoOfPages&gt;-1&lt;/ChapterNoOfPages&gt;&lt;ChapterVersion&gt;59&lt;/ChapterVersion&gt;&lt;/ChapterMetadata&gt;"/>
    <w:docVar w:name="DM_WB_C36685_METADATA" w:val="&lt;ChapterMetadata&gt;&lt;ChapterId&gt;36685&lt;/ChapterId&gt;&lt;ChapterName&gt;Provisions&lt;/ChapterName&gt;&lt;ChapterNoOfPages&gt;-1&lt;/ChapterNoOfPages&gt;&lt;ChapterVersion&gt;65&lt;/ChapterVersion&gt;&lt;/ChapterMetadata&gt;"/>
    <w:docVar w:name="DM_WB_C36686_METADATA" w:val="&lt;ChapterMetadata&gt;&lt;ChapterId&gt;36686&lt;/ChapterId&gt;&lt;ChapterName&gt;Notes to the financial statements&lt;/ChapterName&gt;&lt;ChapterNoOfPages&gt;-1&lt;/ChapterNoOfPages&gt;&lt;ChapterVersion&gt;1&lt;/ChapterVersion&gt;&lt;/ChapterMetadata&gt;"/>
    <w:docVar w:name="DM_WB_C36687_METADATA" w:val="&lt;ChapterMetadata&gt;&lt;ChapterId&gt;36687&lt;/ChapterId&gt;&lt;ChapterName&gt;Note accompanying the consolidated accounts&lt;/ChapterName&gt;&lt;ChapterNoOfPages&gt;-1&lt;/ChapterNoOfPages&gt;&lt;ChapterVersion&gt;2&lt;/ChapterVersion&gt;&lt;/ChapterMetadata&gt;"/>
    <w:docVar w:name="DM_WB_C36688_METADATA" w:val="&lt;ChapterMetadata&gt;&lt;ChapterId&gt;36688&lt;/ChapterId&gt;&lt;ChapterName&gt;Statement of changes in net assets&lt;/ChapterName&gt;&lt;ChapterNoOfPages&gt;-1&lt;/ChapterNoOfPages&gt;&lt;ChapterVersion&gt;62&lt;/ChapterVersion&gt;&lt;/ChapterMetadata&gt;"/>
    <w:docVar w:name="DM_WB_C36690_METADATA" w:val="&lt;ChapterMetadata&gt;&lt;ChapterId&gt;36690&lt;/ChapterId&gt;&lt;ChapterName&gt;Payables&lt;/ChapterName&gt;&lt;ChapterNoOfPages&gt;-1&lt;/ChapterNoOfPages&gt;&lt;ChapterVersion&gt;68&lt;/ChapterVersion&gt;&lt;/ChapterMetadata&gt;"/>
    <w:docVar w:name="DM_WB_C36693_METADATA" w:val="&lt;ChapterMetadata&gt;&lt;ChapterId&gt;36693&lt;/ChapterId&gt;&lt;ChapterName&gt;Cash and cash equivalents&lt;/ChapterName&gt;&lt;ChapterNoOfPages&gt;-1&lt;/ChapterNoOfPages&gt;&lt;ChapterVersion&gt;72&lt;/ChapterVersion&gt;&lt;/ChapterMetadata&gt;"/>
    <w:docVar w:name="DM_WB_C36695_METADATA" w:val="&lt;ChapterMetadata&gt;&lt;ChapterId&gt;36695&lt;/ChapterId&gt;&lt;ChapterName&gt;Statement of financial performance&lt;/ChapterName&gt;&lt;ChapterNoOfPages&gt;-1&lt;/ChapterNoOfPages&gt;&lt;ChapterVersion&gt;63&lt;/ChapterVersion&gt;&lt;/ChapterMetadata&gt;"/>
    <w:docVar w:name="DM_WB_C36696_METADATA" w:val="&lt;ChapterMetadata&gt;&lt;ChapterId&gt;36696&lt;/ChapterId&gt;&lt;ChapterName&gt;Net assets&lt;/ChapterName&gt;&lt;ChapterNoOfPages&gt;-1&lt;/ChapterNoOfPages&gt;&lt;ChapterVersion&gt;61&lt;/ChapterVersion&gt;&lt;/ChapterMetadata&gt;"/>
    <w:docVar w:name="DM_WB_C36698_METADATA" w:val="&lt;ChapterMetadata&gt;&lt;ChapterId&gt;36698&lt;/ChapterId&gt;&lt;ChapterName&gt;Contingent liabilities and assets&lt;/ChapterName&gt;&lt;ChapterNoOfPages&gt;-1&lt;/ChapterNoOfPages&gt;&lt;ChapterVersion&gt;93&lt;/ChapterVersion&gt;&lt;/ChapterMetadata&gt;"/>
    <w:docVar w:name="DM_WB_C36699_METADATA" w:val="&lt;ChapterMetadata&gt;&lt;ChapterId&gt;36699&lt;/ChapterId&gt;&lt;ChapterName&gt;Other expenses and Research and Development costs&lt;/ChapterName&gt;&lt;ChapterNoOfPages&gt;-1&lt;/ChapterNoOfPages&gt;&lt;ChapterVersion&gt;63&lt;/ChapterVersion&gt;&lt;/ChapterMetadata&gt;"/>
    <w:docVar w:name="DM_WB_C36700_METADATA" w:val="&lt;ChapterMetadata&gt;&lt;ChapterId&gt;36700&lt;/ChapterId&gt;&lt;ChapterName&gt;Table of contents (2)&lt;/ChapterName&gt;&lt;ChapterNoOfPages&gt;-1&lt;/ChapterNoOfPages&gt;&lt;ChapterVersion&gt;1&lt;/ChapterVersion&gt;&lt;/ChapterMetadata&gt;"/>
    <w:docVar w:name="DM_WB_C36701_METADATA" w:val="&lt;ChapterMetadata&gt;&lt;ChapterId&gt;36701&lt;/ChapterId&gt;&lt;ChapterName&gt;Financial assets&lt;/ChapterName&gt;&lt;ChapterNoOfPages&gt;-1&lt;/ChapterNoOfPages&gt;&lt;ChapterVersion&gt;113&lt;/ChapterVersion&gt;&lt;/ChapterMetadata&gt;"/>
    <w:docVar w:name="DM_WB_C36702_METADATA" w:val="&lt;ChapterMetadata&gt;&lt;ChapterId&gt;36702&lt;/ChapterId&gt;&lt;ChapterName&gt;Balance sheet&lt;/ChapterName&gt;&lt;ChapterNoOfPages&gt;-1&lt;/ChapterNoOfPages&gt;&lt;ChapterVersion&gt;59&lt;/ChapterVersion&gt;&lt;/ChapterMetadata&gt;"/>
    <w:docVar w:name="DM_WB_C36704_METADATA" w:val="&lt;ChapterMetadata&gt;&lt;ChapterId&gt;36704&lt;/ChapterId&gt;&lt;ChapterName&gt;Staff and pension costs - Changes in employee benefits actuarial assumptions&lt;/ChapterName&gt;&lt;ChapterNoOfPages&gt;-1&lt;/ChapterNoOfPages&gt;&lt;ChapterVersion&gt;60&lt;/ChapterVersion&gt;&lt;/ChapterMetadata&gt;"/>
    <w:docVar w:name="DM_WB_C36705_METADATA" w:val="&lt;ChapterMetadata&gt;&lt;ChapterId&gt;36705&lt;/ChapterId&gt;&lt;ChapterName&gt;Intangible assets and PPE text&lt;/ChapterName&gt;&lt;ChapterNoOfPages&gt;-1&lt;/ChapterNoOfPages&gt;&lt;ChapterVersion&gt;63&lt;/ChapterVersion&gt;&lt;/ChapterMetadata&gt;"/>
    <w:docVar w:name="DM_WB_C36706_METADATA" w:val="&lt;ChapterMetadata&gt;&lt;ChapterId&gt;36706&lt;/ChapterId&gt;&lt;ChapterName&gt;Related party disclosures&lt;/ChapterName&gt;&lt;ChapterNoOfPages&gt;-1&lt;/ChapterNoOfPages&gt;&lt;ChapterVersion&gt;61&lt;/ChapterVersion&gt;&lt;/ChapterMetadata&gt;"/>
    <w:docVar w:name="DM_WB_C36707_METADATA" w:val="&lt;ChapterMetadata&gt;&lt;ChapterId&gt;36707&lt;/ChapterId&gt;&lt;ChapterName&gt;Notes to the statement of financial performance&lt;/ChapterName&gt;&lt;ChapterNoOfPages&gt;-1&lt;/ChapterNoOfPages&gt;&lt;ChapterVersion&gt;1&lt;/ChapterVersion&gt;&lt;/ChapterMetadata&gt;"/>
    <w:docVar w:name="DM_WB_C36709_METADATA" w:val="&lt;ChapterMetadata&gt;&lt;ChapterId&gt;36709&lt;/ChapterId&gt;&lt;ChapterName&gt;Cover and first page&lt;/ChapterName&gt;&lt;ChapterNoOfPages&gt;-1&lt;/ChapterNoOfPages&gt;&lt;ChapterVersion&gt;2&lt;/ChapterVersion&gt;&lt;/ChapterMetadata&gt;"/>
    <w:docVar w:name="DM_WB_C36710_METADATA" w:val="&lt;ChapterMetadata&gt;&lt;ChapterId&gt;36710&lt;/ChapterId&gt;&lt;ChapterName&gt;Segment Report&lt;/ChapterName&gt;&lt;ChapterNoOfPages&gt;-1&lt;/ChapterNoOfPages&gt;&lt;ChapterVersion&gt;68&lt;/ChapterVersion&gt;&lt;/ChapterMetadata&gt;"/>
    <w:docVar w:name="DM_WB_C36711_METADATA" w:val="&lt;ChapterMetadata&gt;&lt;ChapterId&gt;36711&lt;/ChapterId&gt;&lt;ChapterName&gt;Financial risk management&lt;/ChapterName&gt;&lt;ChapterNoOfPages&gt;-1&lt;/ChapterNoOfPages&gt;&lt;ChapterVersion&gt;79&lt;/ChapterVersion&gt;&lt;/ChapterMetadata&gt;"/>
    <w:docVar w:name="DM_WB_C36713_METADATA" w:val="&lt;ChapterMetadata&gt;&lt;ChapterId&gt;36713&lt;/ChapterId&gt;&lt;ChapterName&gt;Shared Direct and Indirect management&lt;/ChapterName&gt;&lt;ChapterNoOfPages&gt;-1&lt;/ChapterNoOfPages&gt;&lt;ChapterVersion&gt;68&lt;/ChapterVersion&gt;&lt;/ChapterMetadata&gt;"/>
    <w:docVar w:name="DM_WB_C36714_METADATA" w:val="&lt;ChapterMetadata&gt;&lt;ChapterId&gt;36714&lt;/ChapterId&gt;&lt;ChapterName&gt;Table of contents (1)&lt;/ChapterName&gt;&lt;ChapterNoOfPages&gt;-1&lt;/ChapterNoOfPages&gt;&lt;ChapterVersion&gt;1&lt;/ChapterVersion&gt;&lt;/ChapterMetadata&gt;"/>
    <w:docVar w:name="DM_WB_C36717_METADATA" w:val="&lt;ChapterMetadata&gt;&lt;ChapterId&gt;36717&lt;/ChapterId&gt;&lt;ChapterName&gt;Cashflow statement&lt;/ChapterName&gt;&lt;ChapterNoOfPages&gt;-1&lt;/ChapterNoOfPages&gt;&lt;ChapterVersion&gt;61&lt;/ChapterVersion&gt;&lt;/ChapterMetadata&gt;"/>
    <w:docVar w:name="DM_WB_C36720_METADATA" w:val="&lt;ChapterMetadata&gt;&lt;ChapterId&gt;36720&lt;/ChapterId&gt;&lt;ChapterName&gt;Exchange receivables and non-exchange recoverables&lt;/ChapterName&gt;&lt;ChapterNoOfPages&gt;-1&lt;/ChapterNoOfPages&gt;&lt;ChapterVersion&gt;128&lt;/ChapterVersion&gt;&lt;/ChapterMetadata&gt;"/>
    <w:docVar w:name="DM_WB_C36721_METADATA" w:val="&lt;ChapterMetadata&gt;&lt;ChapterId&gt;36721&lt;/ChapterId&gt;&lt;ChapterName&gt;Pension and other employee benefits&lt;/ChapterName&gt;&lt;ChapterNoOfPages&gt;-1&lt;/ChapterNoOfPages&gt;&lt;ChapterVersion&gt;65&lt;/ChapterVersion&gt;&lt;/ChapterMetadata&gt;"/>
    <w:docVar w:name="DM_WB_C36722_METADATA" w:val="&lt;ChapterMetadata&gt;&lt;ChapterId&gt;36722&lt;/ChapterId&gt;&lt;ChapterName&gt;Revenue - Exchange and Non-exchange&lt;/ChapterName&gt;&lt;ChapterNoOfPages&gt;-1&lt;/ChapterNoOfPages&gt;&lt;ChapterVersion&gt;85&lt;/ChapterVersion&gt;&lt;/ChapterMetadata&gt;"/>
    <w:docVar w:name="DM_WB_C36723_METADATA" w:val="&lt;ChapterMetadata&gt;&lt;ChapterId&gt;36723&lt;/ChapterId&gt;&lt;ChapterName&gt;Accrued charges and deferred income&lt;/ChapterName&gt;&lt;ChapterNoOfPages&gt;-1&lt;/ChapterNoOfPages&gt;&lt;ChapterVersion&gt;60&lt;/ChapterVersion&gt;&lt;/ChapterMetadata&gt;"/>
    <w:docVar w:name="DM_WB_C36724_METADATA" w:val="&lt;ChapterMetadata&gt;&lt;ChapterId&gt;36724&lt;/ChapterId&gt;&lt;ChapterName&gt;Events after balance sheet date&lt;/ChapterName&gt;&lt;ChapterNoOfPages&gt;-1&lt;/ChapterNoOfPages&gt;&lt;ChapterVersion&gt;4&lt;/ChapterVersion&gt;&lt;/ChapterMetadata&gt;"/>
    <w:docVar w:name="DM_WB_C36727_METADATA" w:val="&lt;ChapterMetadata&gt;&lt;ChapterId&gt;36727&lt;/ChapterId&gt;&lt;ChapterName&gt;Notes to the balance sheet&lt;/ChapterName&gt;&lt;ChapterNoOfPages&gt;-1&lt;/ChapterNoOfPages&gt;&lt;ChapterVersion&gt;1&lt;/ChapterVersion&gt;&lt;/ChapterMetadata&gt;"/>
    <w:docVar w:name="DM_WB_C36731_METADATA" w:val="&lt;ChapterMetadata&gt;&lt;ChapterId&gt;36731&lt;/ChapterId&gt;&lt;ChapterName&gt;PPE table&lt;/ChapterName&gt;&lt;ChapterNoOfPages&gt;-1&lt;/ChapterNoOfPages&gt;&lt;ChapterVersion&gt;60&lt;/ChapterVersion&gt;&lt;/ChapterMetadata&gt;"/>
    <w:docVar w:name="DM_WB_C36736_METADATA" w:val="&lt;ChapterMetadata&gt;&lt;ChapterId&gt;36736&lt;/ChapterId&gt;&lt;ChapterName&gt;Table of Content 3&lt;/ChapterName&gt;&lt;ChapterNoOfPages&gt;-1&lt;/ChapterNoOfPages&gt;&lt;ChapterVersion&gt;1&lt;/ChapterVersion&gt;&lt;/ChapterMetadata&gt;"/>
    <w:docVar w:name="DM_WB_C36737_METADATA" w:val="&lt;ChapterMetadata&gt;&lt;ChapterId&gt;36737&lt;/ChapterId&gt;&lt;ChapterName&gt;Notes on the implementation of the budget MFF annual budget policy areas&lt;/ChapterName&gt;&lt;ChapterNoOfPages&gt;-1&lt;/ChapterNoOfPages&gt;&lt;ChapterVersion&gt;5&lt;/ChapterVersion&gt;&lt;/ChapterMetadata&gt;"/>
    <w:docVar w:name="DM_WB_C36744_METADATA" w:val="&lt;ChapterMetadata&gt;&lt;ChapterId&gt;36744&lt;/ChapterId&gt;&lt;ChapterName&gt;Budgetary implementation reports and explanatory notes&lt;/ChapterName&gt;&lt;ChapterNoOfPages&gt;-1&lt;/ChapterNoOfPages&gt;&lt;ChapterVersion&gt;1&lt;/ChapterVersion&gt;&lt;/ChapterMetadata&gt;"/>
    <w:docVar w:name="DM_WB_C36780_METADATA" w:val="&lt;ChapterMetadata&gt;&lt;ChapterId&gt;36780&lt;/ChapterId&gt;&lt;ChapterName&gt;Glossary EU&lt;/ChapterName&gt;&lt;ChapterNoOfPages&gt;-1&lt;/ChapterNoOfPages&gt;&lt;ChapterVersion&gt;1&lt;/ChapterVersion&gt;&lt;/ChapterMetadata&gt;"/>
    <w:docVar w:name="DM_WB_C36782_METADATA" w:val="&lt;ChapterMetadata&gt;&lt;ChapterId&gt;36782&lt;/ChapterId&gt;&lt;ChapterName&gt;Significant accounting policies&lt;/ChapterName&gt;&lt;ChapterNoOfPages&gt;-1&lt;/ChapterNoOfPages&gt;&lt;ChapterVersion&gt;80&lt;/ChapterVersion&gt;&lt;/ChapterMetadata&gt;"/>
    <w:docVar w:name="DM_WB_C36783_METADATA" w:val="&lt;ChapterMetadata&gt;&lt;ChapterId&gt;36783&lt;/ChapterId&gt;&lt;ChapterName&gt;Notes EU Budget Revenue Expenditure&lt;/ChapterName&gt;&lt;ChapterNoOfPages&gt;-1&lt;/ChapterNoOfPages&gt;&lt;ChapterVersion&gt;2&lt;/ChapterVersion&gt;&lt;/ChapterMetadata&gt;"/>
    <w:docVar w:name="DM_WB_C36785_METADATA" w:val="&lt;ChapterMetadata&gt;&lt;ChapterId&gt;36785&lt;/ChapterId&gt;&lt;ChapterName&gt;EU Budget Result and Statements of Comparison&lt;/ChapterName&gt;&lt;ChapterNoOfPages&gt;-1&lt;/ChapterNoOfPages&gt;&lt;ChapterVersion&gt;71&lt;/ChapterVersion&gt;&lt;/ChapterMetadata&gt;"/>
    <w:docVar w:name="DM_WB_C36787_METADATA" w:val="&lt;ChapterMetadata&gt;&lt;ChapterId&gt;36787&lt;/ChapterId&gt;&lt;ChapterName&gt;List of abbreviations EU&lt;/ChapterName&gt;&lt;ChapterNoOfPages&gt;-1&lt;/ChapterNoOfPages&gt;&lt;ChapterVersion&gt;3&lt;/ChapterVersion&gt;&lt;/ChapterMetadata&gt;"/>
    <w:docVar w:name="DM_WB_C36788_METADATA" w:val="&lt;ChapterMetadata&gt;&lt;ChapterId&gt;36788&lt;/ChapterId&gt;&lt;ChapterName&gt;Notes to the reconciliation of economic result with budget result&lt;/ChapterName&gt;&lt;ChapterNoOfPages&gt;-1&lt;/ChapterNoOfPages&gt;&lt;ChapterVersion&gt;50&lt;/ChapterVersion&gt;&lt;/ChapterMetadata&gt;"/>
    <w:docVar w:name="DM_WB_C36789_METADATA" w:val="&lt;ChapterMetadata&gt;&lt;ChapterId&gt;36789&lt;/ChapterId&gt;&lt;ChapterName&gt;Implementation of EU budget expenditure&lt;/ChapterName&gt;&lt;ChapterNoOfPages&gt;-1&lt;/ChapterNoOfPages&gt;&lt;ChapterVersion&gt;88&lt;/ChapterVersion&gt;&lt;/ChapterMetadata&gt;"/>
    <w:docVar w:name="DM_WB_C36790_METADATA" w:val="&lt;ChapterMetadata&gt;&lt;ChapterId&gt;36790&lt;/ChapterId&gt;&lt;ChapterName&gt;Implementation of the agencies budget&lt;/ChapterName&gt;&lt;ChapterNoOfPages&gt;-1&lt;/ChapterNoOfPages&gt;&lt;ChapterVersion&gt;71&lt;/ChapterVersion&gt;&lt;/ChapterMetadata&gt;"/>
    <w:docVar w:name="DM_WB_C36791_METADATA" w:val="&lt;ChapterMetadata&gt;&lt;ChapterId&gt;36791&lt;/ChapterId&gt;&lt;ChapterName&gt;Notes revenue general and calculation budget result&lt;/ChapterName&gt;&lt;ChapterNoOfPages&gt;-1&lt;/ChapterNoOfPages&gt;&lt;ChapterVersion&gt;2&lt;/ChapterVersion&gt;&lt;/ChapterMetadata&gt;"/>
    <w:docVar w:name="DM_WB_C36792_METADATA" w:val="&lt;ChapterMetadata&gt;&lt;ChapterId&gt;36792&lt;/ChapterId&gt;&lt;ChapterName&gt;Implementation of EU budget revenue&lt;/ChapterName&gt;&lt;ChapterNoOfPages&gt;-1&lt;/ChapterNoOfPages&gt;&lt;ChapterVersion&gt;68&lt;/ChapterVersion&gt;&lt;/ChapterMetadata&gt;"/>
    <w:docVar w:name="DM_WB_C36793_METADATA" w:val="&lt;ChapterMetadata&gt;&lt;ChapterId&gt;36793&lt;/ChapterId&gt;&lt;ChapterName&gt;Implementation of the budget by institution&lt;/ChapterName&gt;&lt;ChapterNoOfPages&gt;-1&lt;/ChapterNoOfPages&gt;&lt;ChapterVersion&gt;78&lt;/ChapterVersion&gt;&lt;/ChapterMetadata&gt;"/>
    <w:docVar w:name="DM_WB_C38211_METADATA" w:val="&lt;ChapterMetadata&gt;&lt;ChapterId&gt;38211&lt;/ChapterId&gt;&lt;ChapterName&gt;Reclassification of SOFP&lt;/ChapterName&gt;&lt;ChapterNoOfPages&gt;-1&lt;/ChapterNoOfPages&gt;&lt;ChapterVersion&gt;42&lt;/ChapterVersion&gt;&lt;/ChapterMetadata&gt;"/>
    <w:docVar w:name="doc_tbl00002_1_1" w:val="|@|1|2057"/>
    <w:docVar w:name="DOC_TBL00013_1_1" w:val="|@|1|2057"/>
    <w:docVar w:name="doc_tbl00022_1_1" w:val="|@|1|2057"/>
    <w:docVar w:name="doc_tbl00025_1_1" w:val="|@|1|2057"/>
    <w:docVar w:name="doc_tbl00043_1_1" w:val="|@|1|2057"/>
    <w:docVar w:name="doc_tbl00047_1_1" w:val="|@|1|2057"/>
    <w:docVar w:name="doc_tbl00077_1_1" w:val="|@|1|2057"/>
    <w:docVar w:name="doc_tbl00122_1_1" w:val="EUR million|@|1|2057"/>
    <w:docVar w:name="doc_tbl00127_1_1" w:val="|@|1|2057"/>
    <w:docVar w:name="doc_tbl00128_1_1" w:val="|@|1|2057"/>
    <w:docVar w:name="doc_tbl00128_1_2" w:val="|@|1|2057"/>
    <w:docVar w:name="doc_tbl00128_1_3" w:val="|@|1|2057"/>
    <w:docVar w:name="doc_tbl00128_1_4" w:val="EUR million|@|1|2057"/>
    <w:docVar w:name="doc_tbl00128_2_1" w:val="Type of agencies revenue|@|1|2057"/>
    <w:docVar w:name="doc_tbl00128_2_2" w:val="|@|1|2057"/>
    <w:docVar w:name="doc_tbl00128_2_3" w:val="|@|1|2057"/>
    <w:docVar w:name="doc_tbl00128_2_4" w:val="Revenue received|@|1|2057"/>
    <w:docVar w:name="doc_tbl00128_3_1" w:val="Commission subsidy|@|1|2057"/>
    <w:docVar w:name="doc_tbl00128_3_2" w:val="|@|1|2057"/>
    <w:docVar w:name="doc_tbl00128_3_3" w:val="|@|1|2057"/>
    <w:docVar w:name="doc_tbl00128_3_4" w:val="4913.13709772|#\ ##0;\(#\ ##0\);\-|1|2057"/>
    <w:docVar w:name="doc_tbl00128_4_1" w:val="Fee income|@|1|2057"/>
    <w:docVar w:name="doc_tbl00128_4_2" w:val="|@|1|2057"/>
    <w:docVar w:name="doc_tbl00128_4_3" w:val="|@|1|2057"/>
    <w:docVar w:name="doc_tbl00128_4_4" w:val="1136.28097589|#\ ##0;\(#\ ##0\);\-|1|2057"/>
    <w:docVar w:name="doc_tbl00128_5_1" w:val="Other income|@|1|2057"/>
    <w:docVar w:name="doc_tbl00128_5_2" w:val="|@|1|2057"/>
    <w:docVar w:name="doc_tbl00128_5_3" w:val="|@|1|2057"/>
    <w:docVar w:name="doc_tbl00128_5_4" w:val="1531.24169045|#\ ##0;\(#\ ##0\);\-|1|2057"/>
    <w:docVar w:name="doc_tbl00128_6_1" w:val="Total|@|1|2057"/>
    <w:docVar w:name="doc_tbl00128_6_2" w:val="|@|1|2057"/>
    <w:docVar w:name="doc_tbl00128_6_3" w:val="|@|1|2057"/>
    <w:docVar w:name="doc_tbl00128_6_4" w:val="7580.65976406|#\ ##0;\(#\ ##0\);\-|1|2057"/>
    <w:docVar w:name="DocStatus" w:val="Green"/>
    <w:docVar w:name="LW_CORRIGENDUM" w:val="&lt;UNUSED&gt;"/>
    <w:docVar w:name="LW_COVERPAGE_EXISTS" w:val="True"/>
    <w:docVar w:name="LW_COVERPAGE_GUID" w:val="AFF8A4C7-4B49-4CDD-A860-54B779F4B94A"/>
    <w:docVar w:name="LW_COVERPAGE_TYPE" w:val="1"/>
    <w:docVar w:name="LW_CROSSREFERENCE" w:val="&lt;UNUSED&gt;"/>
    <w:docVar w:name="LW_DocType" w:val="TEMPLATE_BEKOU_2014"/>
    <w:docVar w:name="LW_EMISSION" w:val="24.6.2026"/>
    <w:docVar w:name="LW_EMISSION_ISODATE" w:val="2026-06-24"/>
    <w:docVar w:name="LW_EMISSION_LOCATION" w:val="BRX"/>
    <w:docVar w:name="LW_EMISSION_PREFIX" w:val="Bruxelles, le "/>
    <w:docVar w:name="LW_EMISSION_SUFFIX" w:val=" "/>
    <w:docVar w:name="LW_ID_DOCTYPE_NONLW" w:val="CP-009"/>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33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COMPTES ANNUELS CONSOLIDÉS DE L'UNION EUROPÉENNE_x000d__x000b_POUR L'EXERCICE 2025"/>
    <w:docVar w:name="LW_TYPE.DOC.CP" w:val="COMMUNICATION DE LA COMMISSION"/>
    <w:docVar w:name="LW_TYPE.DOC.CP.USERTEXT" w:val="_x000b_AU PARLEMENT EUROPÉEN, AU CONSEIL ET À LA COUR DES COMPTES"/>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798EEB17-AD66-4007-93F6-45B0B452E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fr-FR"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szCs w:val="24"/>
    </w:rPr>
  </w:style>
  <w:style w:type="paragraph" w:styleId="Heading1">
    <w:name w:val="heading 1"/>
    <w:basedOn w:val="Normal"/>
    <w:next w:val="Normal"/>
    <w:link w:val="Heading1Char"/>
    <w:qFormat/>
    <w:pPr>
      <w:keepNext/>
      <w:keepLines/>
      <w:spacing w:before="480"/>
      <w:outlineLvl w:val="0"/>
    </w:pPr>
    <w:rPr>
      <w:rFonts w:ascii="Cambria" w:hAnsi="Cambria"/>
      <w:b/>
      <w:bCs/>
      <w:color w:val="365F91"/>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verPage">
    <w:name w:val="CoverPage"/>
    <w:basedOn w:val="Normal"/>
    <w:qFormat/>
    <w:pPr>
      <w:spacing w:before="240" w:after="720" w:line="360" w:lineRule="auto"/>
      <w:ind w:left="2268"/>
    </w:pPr>
    <w:rPr>
      <w:rFonts w:ascii="Verdana" w:hAnsi="Verdana"/>
      <w:color w:val="016794"/>
      <w:sz w:val="52"/>
      <w:szCs w:val="52"/>
    </w:rPr>
  </w:style>
  <w:style w:type="paragraph" w:customStyle="1" w:styleId="FIRSTCHAPTERPAGE">
    <w:name w:val="FIRST_CHAPTER_PAGE"/>
    <w:basedOn w:val="Normal"/>
    <w:qFormat/>
    <w:pPr>
      <w:spacing w:before="240" w:after="720"/>
    </w:pPr>
    <w:rPr>
      <w:rFonts w:ascii="Verdana" w:hAnsi="Verdana"/>
      <w:b/>
      <w:color w:val="016794"/>
      <w:sz w:val="40"/>
      <w:szCs w:val="40"/>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rFonts w:ascii="Tahoma" w:eastAsia="Times New Roman" w:hAnsi="Tahoma" w:cs="Tahoma"/>
      <w:sz w:val="16"/>
      <w:szCs w:val="16"/>
      <w:lang w:eastAsia="en-GB"/>
    </w:rPr>
  </w:style>
  <w:style w:type="paragraph" w:customStyle="1" w:styleId="FinancialYear">
    <w:name w:val="Financial_Year"/>
    <w:basedOn w:val="Normal"/>
    <w:qFormat/>
    <w:pPr>
      <w:jc w:val="right"/>
    </w:pPr>
    <w:rPr>
      <w:rFonts w:ascii="Verdana" w:hAnsi="Verdana"/>
      <w:color w:val="016794"/>
      <w:sz w:val="22"/>
      <w:szCs w:val="22"/>
    </w:rPr>
  </w:style>
  <w:style w:type="paragraph" w:customStyle="1" w:styleId="TOPHEADERNOTE">
    <w:name w:val="TOPHEADER_NOTE"/>
    <w:basedOn w:val="Normal"/>
    <w:qFormat/>
    <w:rPr>
      <w:rFonts w:ascii="Verdana" w:hAnsi="Verdana"/>
      <w:i/>
      <w:color w:val="016794"/>
      <w:sz w:val="18"/>
    </w:rPr>
  </w:style>
  <w:style w:type="paragraph" w:customStyle="1" w:styleId="HEADERTABLE">
    <w:name w:val="HEADER_TABLE"/>
    <w:basedOn w:val="Normal"/>
    <w:qFormat/>
    <w:pPr>
      <w:spacing w:after="240"/>
    </w:pPr>
    <w:rPr>
      <w:rFonts w:ascii="Verdana" w:hAnsi="Verdana"/>
      <w:b/>
      <w:color w:val="016794"/>
      <w:sz w:val="28"/>
      <w:szCs w:val="28"/>
    </w:rPr>
  </w:style>
  <w:style w:type="paragraph" w:customStyle="1" w:styleId="Textstand-alonenumberingLetters">
    <w:name w:val="Text_stand-alone_(numbering Letters)"/>
    <w:basedOn w:val="Normal"/>
    <w:qFormat/>
    <w:pPr>
      <w:numPr>
        <w:numId w:val="2"/>
      </w:numPr>
      <w:spacing w:after="240"/>
      <w:ind w:hanging="720"/>
    </w:pPr>
    <w:rPr>
      <w:rFonts w:ascii="Verdana" w:hAnsi="Verdana"/>
      <w:sz w:val="18"/>
      <w:szCs w:val="18"/>
    </w:rPr>
  </w:style>
  <w:style w:type="paragraph" w:customStyle="1" w:styleId="SignatureRightItalic">
    <w:name w:val="Signature_Right + Italic"/>
    <w:basedOn w:val="Normal"/>
    <w:qFormat/>
    <w:pPr>
      <w:spacing w:before="240"/>
      <w:ind w:left="4394" w:right="1128"/>
      <w:jc w:val="center"/>
    </w:pPr>
    <w:rPr>
      <w:rFonts w:ascii="Verdana" w:hAnsi="Verdana"/>
      <w:i/>
      <w:sz w:val="18"/>
      <w:szCs w:val="18"/>
    </w:rPr>
  </w:style>
  <w:style w:type="paragraph" w:customStyle="1" w:styleId="HEADER3Part1">
    <w:name w:val="HEADER 3_Part 1"/>
    <w:basedOn w:val="Normal"/>
    <w:qFormat/>
    <w:pPr>
      <w:numPr>
        <w:ilvl w:val="2"/>
        <w:numId w:val="4"/>
      </w:numPr>
      <w:tabs>
        <w:tab w:val="left" w:pos="907"/>
      </w:tabs>
      <w:spacing w:before="360" w:after="360"/>
    </w:pPr>
    <w:rPr>
      <w:rFonts w:ascii="Verdana" w:hAnsi="Verdana"/>
      <w:color w:val="016794"/>
      <w:sz w:val="20"/>
      <w:szCs w:val="20"/>
    </w:rPr>
  </w:style>
  <w:style w:type="paragraph" w:customStyle="1" w:styleId="HEADER4Part1">
    <w:name w:val="HEADER 4_Part 1"/>
    <w:basedOn w:val="HEADER3Part1"/>
    <w:qFormat/>
    <w:pPr>
      <w:numPr>
        <w:ilvl w:val="3"/>
      </w:numPr>
    </w:pPr>
    <w:rPr>
      <w:sz w:val="18"/>
      <w:szCs w:val="18"/>
    </w:rPr>
  </w:style>
  <w:style w:type="paragraph" w:customStyle="1" w:styleId="HEADER2Part1">
    <w:name w:val="HEADER 2 _Part 1"/>
    <w:basedOn w:val="Normal"/>
    <w:qFormat/>
    <w:pPr>
      <w:numPr>
        <w:ilvl w:val="1"/>
        <w:numId w:val="4"/>
      </w:numPr>
      <w:tabs>
        <w:tab w:val="left" w:pos="907"/>
      </w:tabs>
      <w:spacing w:before="360" w:after="360"/>
    </w:pPr>
    <w:rPr>
      <w:rFonts w:ascii="Verdana" w:hAnsi="Verdana"/>
      <w:b/>
      <w:color w:val="016794"/>
      <w:sz w:val="28"/>
    </w:rPr>
  </w:style>
  <w:style w:type="paragraph" w:customStyle="1" w:styleId="Textstand-alonenumberingRCIndentJustified">
    <w:name w:val="Text_stand-alone_numbering RC Indent + Justified"/>
    <w:basedOn w:val="Normal"/>
    <w:qFormat/>
    <w:pPr>
      <w:numPr>
        <w:numId w:val="11"/>
      </w:numPr>
      <w:ind w:left="992" w:hanging="635"/>
    </w:pPr>
    <w:rPr>
      <w:rFonts w:ascii="Verdana" w:hAnsi="Verdana"/>
      <w:sz w:val="18"/>
      <w:szCs w:val="18"/>
    </w:rPr>
  </w:style>
  <w:style w:type="paragraph" w:customStyle="1" w:styleId="HEADER1Part2">
    <w:name w:val="HEADER 1_Part 2"/>
    <w:basedOn w:val="Normal"/>
    <w:qFormat/>
    <w:pPr>
      <w:numPr>
        <w:numId w:val="10"/>
      </w:numPr>
      <w:tabs>
        <w:tab w:val="left" w:pos="907"/>
      </w:tabs>
      <w:spacing w:after="240"/>
      <w:jc w:val="both"/>
    </w:pPr>
    <w:rPr>
      <w:rFonts w:ascii="Verdana" w:hAnsi="Verdana"/>
      <w:b/>
      <w:color w:val="016794"/>
      <w:sz w:val="32"/>
      <w:szCs w:val="32"/>
    </w:rPr>
  </w:style>
  <w:style w:type="paragraph" w:customStyle="1" w:styleId="HEADER2Part2">
    <w:name w:val="HEADER 2_Part 2"/>
    <w:basedOn w:val="Normal"/>
    <w:qFormat/>
    <w:pPr>
      <w:numPr>
        <w:ilvl w:val="1"/>
        <w:numId w:val="10"/>
      </w:numPr>
      <w:tabs>
        <w:tab w:val="left" w:pos="907"/>
      </w:tabs>
      <w:spacing w:before="360" w:after="360"/>
    </w:pPr>
    <w:rPr>
      <w:rFonts w:ascii="Verdana" w:hAnsi="Verdana"/>
      <w:b/>
      <w:color w:val="016794"/>
      <w:sz w:val="28"/>
      <w:szCs w:val="28"/>
    </w:rPr>
  </w:style>
  <w:style w:type="paragraph" w:customStyle="1" w:styleId="HEADER3Part2">
    <w:name w:val="HEADER 3_Part 2"/>
    <w:basedOn w:val="HEADER3Part1"/>
    <w:qFormat/>
    <w:pPr>
      <w:numPr>
        <w:numId w:val="10"/>
      </w:numPr>
    </w:pPr>
  </w:style>
  <w:style w:type="paragraph" w:customStyle="1" w:styleId="HEADER4Part2">
    <w:name w:val="HEADER 4_Part 2"/>
    <w:basedOn w:val="HEADER4Part1"/>
    <w:qFormat/>
    <w:pPr>
      <w:numPr>
        <w:numId w:val="10"/>
      </w:numPr>
    </w:pPr>
  </w:style>
  <w:style w:type="paragraph" w:customStyle="1" w:styleId="HEADER5">
    <w:name w:val="HEADER 5"/>
    <w:basedOn w:val="Normal"/>
    <w:qFormat/>
    <w:rPr>
      <w:rFonts w:ascii="Verdana" w:hAnsi="Verdana"/>
      <w:color w:val="016794"/>
      <w:sz w:val="18"/>
      <w:szCs w:val="18"/>
    </w:rPr>
  </w:style>
  <w:style w:type="paragraph" w:customStyle="1" w:styleId="TOCTitle">
    <w:name w:val="TOC_Title"/>
    <w:basedOn w:val="Normal"/>
    <w:qFormat/>
    <w:pPr>
      <w:spacing w:before="360" w:after="120"/>
    </w:pPr>
    <w:rPr>
      <w:rFonts w:ascii="Verdana" w:hAnsi="Verdana"/>
      <w:b/>
      <w:color w:val="016794"/>
      <w:sz w:val="40"/>
      <w:szCs w:val="40"/>
    </w:rPr>
  </w:style>
  <w:style w:type="paragraph" w:customStyle="1" w:styleId="HEADER1Part3">
    <w:name w:val="HEADER 1_Part 3"/>
    <w:basedOn w:val="Normal"/>
    <w:qFormat/>
    <w:pPr>
      <w:numPr>
        <w:numId w:val="5"/>
      </w:numPr>
      <w:tabs>
        <w:tab w:val="left" w:pos="907"/>
      </w:tabs>
      <w:spacing w:after="240"/>
    </w:pPr>
    <w:rPr>
      <w:rFonts w:ascii="Verdana" w:hAnsi="Verdana"/>
      <w:b/>
      <w:color w:val="016794"/>
      <w:sz w:val="32"/>
      <w:szCs w:val="32"/>
    </w:rPr>
  </w:style>
  <w:style w:type="paragraph" w:customStyle="1" w:styleId="HEADER2Part3">
    <w:name w:val="HEADER 2_Part 3"/>
    <w:basedOn w:val="Normal"/>
    <w:qFormat/>
    <w:pPr>
      <w:numPr>
        <w:ilvl w:val="1"/>
        <w:numId w:val="5"/>
      </w:numPr>
      <w:tabs>
        <w:tab w:val="left" w:pos="907"/>
      </w:tabs>
      <w:spacing w:before="360" w:after="360"/>
    </w:pPr>
    <w:rPr>
      <w:rFonts w:ascii="Verdana" w:hAnsi="Verdana"/>
      <w:b/>
      <w:noProof/>
      <w:color w:val="016794"/>
      <w:sz w:val="28"/>
      <w:szCs w:val="30"/>
      <w:lang w:eastAsia="en-US"/>
    </w:rPr>
  </w:style>
  <w:style w:type="paragraph" w:customStyle="1" w:styleId="HEADER3Part3">
    <w:name w:val="HEADER 3_Part 3"/>
    <w:basedOn w:val="HEADER3Part1"/>
    <w:qFormat/>
    <w:pPr>
      <w:numPr>
        <w:numId w:val="5"/>
      </w:numPr>
    </w:pPr>
  </w:style>
  <w:style w:type="paragraph" w:customStyle="1" w:styleId="HEADER4Part3">
    <w:name w:val="HEADER 4_Part 3"/>
    <w:basedOn w:val="HEADER4Part1"/>
    <w:qFormat/>
    <w:pPr>
      <w:numPr>
        <w:ilvl w:val="0"/>
        <w:numId w:val="13"/>
      </w:numPr>
      <w:spacing w:before="0" w:after="0"/>
      <w:ind w:left="907" w:hanging="907"/>
    </w:pPr>
  </w:style>
  <w:style w:type="paragraph" w:customStyle="1" w:styleId="SignatureRight">
    <w:name w:val="Signature_Right"/>
    <w:basedOn w:val="SignatureRightItalic"/>
    <w:qFormat/>
    <w:rPr>
      <w:i w:val="0"/>
    </w:rPr>
  </w:style>
  <w:style w:type="paragraph" w:customStyle="1" w:styleId="SignatureRightBold">
    <w:name w:val="Signature_Right Bold"/>
    <w:basedOn w:val="SignatureRight"/>
    <w:qFormat/>
    <w:pPr>
      <w:spacing w:before="120" w:after="120"/>
    </w:pPr>
    <w:rPr>
      <w:b/>
    </w:rPr>
  </w:style>
  <w:style w:type="paragraph" w:customStyle="1" w:styleId="Textstand-alone">
    <w:name w:val="Text_stand-alone"/>
    <w:basedOn w:val="Normal"/>
    <w:qFormat/>
    <w:pPr>
      <w:spacing w:before="240" w:after="240"/>
      <w:jc w:val="both"/>
    </w:pPr>
    <w:rPr>
      <w:rFonts w:ascii="Verdana" w:hAnsi="Verdana"/>
      <w:noProof/>
      <w:sz w:val="18"/>
      <w:szCs w:val="18"/>
      <w:lang w:eastAsia="en-US"/>
    </w:rPr>
  </w:style>
  <w:style w:type="paragraph" w:customStyle="1" w:styleId="SignatureRightItalic0">
    <w:name w:val="Signature_Right Italic"/>
    <w:basedOn w:val="SignatureRightBold"/>
    <w:qFormat/>
    <w:rPr>
      <w:b w:val="0"/>
      <w:i/>
    </w:rPr>
  </w:style>
  <w:style w:type="paragraph" w:customStyle="1" w:styleId="SubTextIndentJustified">
    <w:name w:val="SubText_Indent_Justified"/>
    <w:basedOn w:val="Normal"/>
    <w:qFormat/>
    <w:pPr>
      <w:spacing w:after="240"/>
      <w:ind w:left="720"/>
    </w:pPr>
    <w:rPr>
      <w:rFonts w:ascii="Verdana" w:hAnsi="Verdana"/>
      <w:sz w:val="18"/>
      <w:szCs w:val="18"/>
    </w:rPr>
  </w:style>
  <w:style w:type="paragraph" w:styleId="Footer">
    <w:name w:val="footer"/>
    <w:basedOn w:val="Normal"/>
    <w:link w:val="FooterChar"/>
    <w:uiPriority w:val="99"/>
    <w:pPr>
      <w:tabs>
        <w:tab w:val="center" w:pos="4677"/>
        <w:tab w:val="right" w:pos="9355"/>
      </w:tabs>
    </w:pPr>
  </w:style>
  <w:style w:type="character" w:customStyle="1" w:styleId="FooterChar">
    <w:name w:val="Footer Char"/>
    <w:link w:val="Footer"/>
    <w:uiPriority w:val="99"/>
    <w:rPr>
      <w:rFonts w:ascii="Times New Roman" w:eastAsia="Times New Roman" w:hAnsi="Times New Roman" w:cs="Times New Roman"/>
      <w:sz w:val="24"/>
      <w:szCs w:val="24"/>
      <w:lang w:eastAsia="en-GB"/>
    </w:rPr>
  </w:style>
  <w:style w:type="paragraph" w:styleId="Header">
    <w:name w:val="header"/>
    <w:basedOn w:val="Normal"/>
    <w:link w:val="HeaderChar"/>
    <w:pPr>
      <w:tabs>
        <w:tab w:val="center" w:pos="4677"/>
        <w:tab w:val="right" w:pos="9355"/>
      </w:tabs>
    </w:pPr>
  </w:style>
  <w:style w:type="character" w:customStyle="1" w:styleId="HeaderChar">
    <w:name w:val="Header Char"/>
    <w:link w:val="Header"/>
    <w:rPr>
      <w:rFonts w:ascii="Times New Roman" w:eastAsia="Times New Roman" w:hAnsi="Times New Roman" w:cs="Times New Roman"/>
      <w:sz w:val="24"/>
      <w:szCs w:val="24"/>
      <w:lang w:eastAsia="en-GB"/>
    </w:rPr>
  </w:style>
  <w:style w:type="character" w:customStyle="1" w:styleId="Heading1Char">
    <w:name w:val="Heading 1 Char"/>
    <w:link w:val="Heading1"/>
    <w:rPr>
      <w:rFonts w:ascii="Cambria" w:eastAsia="Times New Roman" w:hAnsi="Cambria" w:cs="Times New Roman"/>
      <w:b/>
      <w:bCs/>
      <w:color w:val="365F91"/>
      <w:sz w:val="28"/>
      <w:szCs w:val="28"/>
      <w:lang w:eastAsia="en-GB"/>
    </w:rPr>
  </w:style>
  <w:style w:type="character" w:styleId="Hyperlink">
    <w:name w:val="Hyperlink"/>
    <w:uiPriority w:val="99"/>
    <w:rPr>
      <w:color w:val="0000FF"/>
      <w:u w:val="single"/>
    </w:rPr>
  </w:style>
  <w:style w:type="character" w:customStyle="1" w:styleId="Marker">
    <w:name w:val="Marker"/>
    <w:rPr>
      <w:color w:val="0000FF"/>
      <w:shd w:val="clear" w:color="auto" w:fill="auto"/>
    </w:rPr>
  </w:style>
  <w:style w:type="paragraph" w:customStyle="1" w:styleId="HEADER1Part1">
    <w:name w:val="HEADER 1_Part 1"/>
    <w:basedOn w:val="HEADER1Part3"/>
    <w:qFormat/>
    <w:pPr>
      <w:numPr>
        <w:numId w:val="4"/>
      </w:numPr>
      <w:jc w:val="both"/>
    </w:pPr>
  </w:style>
  <w:style w:type="paragraph" w:customStyle="1" w:styleId="Textstand-alonebulletpointJustified">
    <w:name w:val="Text_stand-alone_bullet point + Justified"/>
    <w:basedOn w:val="Normal"/>
    <w:qFormat/>
    <w:pPr>
      <w:numPr>
        <w:numId w:val="7"/>
      </w:numPr>
      <w:spacing w:after="240"/>
      <w:contextualSpacing/>
      <w:jc w:val="both"/>
    </w:pPr>
    <w:rPr>
      <w:rFonts w:ascii="Verdana" w:hAnsi="Verdana"/>
      <w:sz w:val="18"/>
    </w:rPr>
  </w:style>
  <w:style w:type="paragraph" w:customStyle="1" w:styleId="TextSubtitlenumberingRCItalic">
    <w:name w:val="Text_Subtitle_(numbering RC Italic)"/>
    <w:basedOn w:val="Normal"/>
    <w:qFormat/>
    <w:pPr>
      <w:numPr>
        <w:numId w:val="1"/>
      </w:numPr>
    </w:pPr>
    <w:rPr>
      <w:rFonts w:ascii="Verdana" w:hAnsi="Verdana"/>
      <w:i/>
      <w:sz w:val="18"/>
      <w:szCs w:val="18"/>
    </w:rPr>
  </w:style>
  <w:style w:type="paragraph" w:customStyle="1" w:styleId="TextstandalonenumberingRCJustified">
    <w:name w:val="Text_stand alone_(numbering RC + Justified)"/>
    <w:qFormat/>
    <w:pPr>
      <w:numPr>
        <w:numId w:val="8"/>
      </w:numPr>
      <w:pBdr>
        <w:top w:val="nil"/>
        <w:left w:val="nil"/>
        <w:bottom w:val="nil"/>
        <w:right w:val="nil"/>
        <w:between w:val="nil"/>
        <w:bar w:val="nil"/>
      </w:pBdr>
      <w:spacing w:before="240"/>
      <w:ind w:left="567" w:hanging="567"/>
      <w:jc w:val="both"/>
    </w:pPr>
    <w:rPr>
      <w:rFonts w:ascii="Verdana" w:eastAsia="Calibri" w:hAnsi="Verdana"/>
      <w:noProof/>
      <w:sz w:val="18"/>
      <w:szCs w:val="18"/>
      <w:bdr w:val="nil"/>
      <w:lang w:eastAsia="en-US"/>
    </w:rPr>
  </w:style>
  <w:style w:type="paragraph" w:customStyle="1" w:styleId="Textstand-alonenumberingJustified">
    <w:name w:val="Text_stand-alone_(numbering) + Justified"/>
    <w:basedOn w:val="Normal"/>
    <w:qFormat/>
    <w:pPr>
      <w:numPr>
        <w:numId w:val="6"/>
      </w:numPr>
      <w:spacing w:after="240"/>
      <w:ind w:hanging="720"/>
      <w:jc w:val="both"/>
    </w:pPr>
    <w:rPr>
      <w:rFonts w:ascii="Verdana" w:hAnsi="Verdana"/>
      <w:sz w:val="18"/>
      <w:szCs w:val="18"/>
    </w:rPr>
  </w:style>
  <w:style w:type="paragraph" w:customStyle="1" w:styleId="Textstand-aloneBulletpoint">
    <w:name w:val="Text_stand-alone Bullet point"/>
    <w:basedOn w:val="Normal"/>
    <w:qFormat/>
    <w:pPr>
      <w:numPr>
        <w:numId w:val="9"/>
      </w:numPr>
      <w:spacing w:after="240"/>
      <w:ind w:left="357" w:hanging="357"/>
      <w:contextualSpacing/>
    </w:pPr>
    <w:rPr>
      <w:rFonts w:ascii="Verdana" w:hAnsi="Verdana"/>
      <w:sz w:val="18"/>
      <w:szCs w:val="18"/>
    </w:rPr>
  </w:style>
  <w:style w:type="paragraph" w:customStyle="1" w:styleId="TextSubtitleItalicnumberinglettera">
    <w:name w:val="Text_Subtitle Italic numbering letter (a)"/>
    <w:basedOn w:val="Normal"/>
    <w:qFormat/>
    <w:pPr>
      <w:numPr>
        <w:numId w:val="3"/>
      </w:numPr>
      <w:ind w:left="357" w:hanging="357"/>
    </w:pPr>
    <w:rPr>
      <w:rFonts w:ascii="Verdana" w:hAnsi="Verdana"/>
      <w:i/>
      <w:sz w:val="18"/>
      <w:szCs w:val="18"/>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link w:val="CommentText"/>
    <w:uiPriority w:val="99"/>
    <w:semiHidden/>
    <w:rPr>
      <w:rFonts w:ascii="Times New Roman" w:hAnsi="Times New Roman"/>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rFonts w:ascii="Times New Roman" w:hAnsi="Times New Roman"/>
      <w:b/>
      <w:bCs/>
    </w:rPr>
  </w:style>
  <w:style w:type="paragraph" w:customStyle="1" w:styleId="DGTextstand-alonenumbering">
    <w:name w:val="DG_Text_stand-alone_(numbering)"/>
    <w:qFormat/>
    <w:pPr>
      <w:numPr>
        <w:numId w:val="12"/>
      </w:numPr>
      <w:spacing w:after="240"/>
      <w:ind w:hanging="720"/>
    </w:pPr>
    <w:rPr>
      <w:rFonts w:ascii="Verdana" w:hAnsi="Verdana"/>
      <w:noProof/>
      <w:sz w:val="18"/>
      <w:szCs w:val="18"/>
      <w:lang w:eastAsia="en-US"/>
    </w:rPr>
  </w:style>
  <w:style w:type="paragraph" w:customStyle="1" w:styleId="HEADERTITLE">
    <w:name w:val="HEADER_TITLE"/>
    <w:basedOn w:val="Textstand-alone"/>
    <w:qFormat/>
    <w:pPr>
      <w:tabs>
        <w:tab w:val="left" w:pos="907"/>
      </w:tabs>
      <w:spacing w:before="0"/>
      <w:jc w:val="left"/>
    </w:pPr>
    <w:rPr>
      <w:b/>
      <w:color w:val="016794"/>
      <w:sz w:val="28"/>
    </w:rPr>
  </w:style>
  <w:style w:type="paragraph" w:customStyle="1" w:styleId="FIRSTCHAPTERPAGE1">
    <w:name w:val="FIRST CHAPTER_PAGE_1"/>
    <w:basedOn w:val="Textstand-alone"/>
    <w:qFormat/>
    <w:pPr>
      <w:tabs>
        <w:tab w:val="left" w:pos="907"/>
      </w:tabs>
      <w:spacing w:after="720"/>
      <w:jc w:val="left"/>
    </w:pPr>
    <w:rPr>
      <w:b/>
      <w:color w:val="016794"/>
      <w:sz w:val="40"/>
    </w:rPr>
  </w:style>
  <w:style w:type="paragraph" w:customStyle="1" w:styleId="FIRSTCHAPTERPAGE2">
    <w:name w:val="FIRST CHAPTER_PAGE_2"/>
    <w:basedOn w:val="Textstand-alone"/>
    <w:qFormat/>
    <w:pPr>
      <w:tabs>
        <w:tab w:val="left" w:pos="907"/>
      </w:tabs>
      <w:spacing w:after="720"/>
    </w:pPr>
    <w:rPr>
      <w:b/>
      <w:color w:val="016794"/>
      <w:sz w:val="40"/>
    </w:rPr>
  </w:style>
  <w:style w:type="paragraph" w:customStyle="1" w:styleId="HEADERTITLE1">
    <w:name w:val="HEADER_TITLE_1"/>
    <w:basedOn w:val="Textstand-alone"/>
    <w:qFormat/>
    <w:pPr>
      <w:tabs>
        <w:tab w:val="left" w:pos="907"/>
      </w:tabs>
      <w:spacing w:before="0"/>
      <w:jc w:val="left"/>
    </w:pPr>
    <w:rPr>
      <w:b/>
      <w:color w:val="016794"/>
      <w:sz w:val="28"/>
    </w:rPr>
  </w:style>
  <w:style w:type="paragraph" w:styleId="TOCHeading">
    <w:name w:val="TOC Heading"/>
    <w:basedOn w:val="Heading1"/>
    <w:next w:val="Normal"/>
    <w:uiPriority w:val="39"/>
    <w:unhideWhenUsed/>
    <w:qFormat/>
    <w:pPr>
      <w:spacing w:line="276" w:lineRule="auto"/>
      <w:outlineLvl w:val="9"/>
    </w:pPr>
    <w:rPr>
      <w:rFonts w:asciiTheme="majorHAnsi" w:eastAsiaTheme="majorEastAsia" w:hAnsiTheme="majorHAnsi" w:cstheme="majorBidi"/>
      <w:color w:val="365F91" w:themeColor="accent1" w:themeShade="BF"/>
      <w:lang w:eastAsia="ja-JP"/>
    </w:rPr>
  </w:style>
  <w:style w:type="paragraph" w:styleId="TOC1">
    <w:name w:val="toc 1"/>
    <w:basedOn w:val="Normal"/>
    <w:next w:val="Normal"/>
    <w:autoRedefine/>
    <w:uiPriority w:val="39"/>
    <w:unhideWhenUsed/>
    <w:qFormat/>
    <w:pPr>
      <w:spacing w:after="100"/>
    </w:pPr>
    <w:rPr>
      <w:rFonts w:ascii="Verdana" w:hAnsi="Verdana"/>
      <w:color w:val="365F91" w:themeColor="accent1" w:themeShade="BF"/>
      <w:sz w:val="22"/>
    </w:rPr>
  </w:style>
  <w:style w:type="paragraph" w:styleId="TOC2">
    <w:name w:val="toc 2"/>
    <w:basedOn w:val="Normal"/>
    <w:next w:val="Normal"/>
    <w:autoRedefine/>
    <w:uiPriority w:val="39"/>
    <w:unhideWhenUsed/>
    <w:qFormat/>
    <w:pPr>
      <w:spacing w:after="100"/>
      <w:ind w:left="240"/>
    </w:pPr>
    <w:rPr>
      <w:rFonts w:ascii="Verdana" w:hAnsi="Verdana"/>
      <w:color w:val="808080" w:themeColor="background1" w:themeShade="80"/>
      <w:sz w:val="22"/>
    </w:rPr>
  </w:style>
  <w:style w:type="paragraph" w:customStyle="1" w:styleId="HEADERTITLE2">
    <w:name w:val="HEADER_TITLE_2"/>
    <w:basedOn w:val="HEADERTITLE1"/>
    <w:qFormat/>
  </w:style>
  <w:style w:type="paragraph" w:customStyle="1" w:styleId="HEADER1Part4">
    <w:name w:val="HEADER 1_Part 4"/>
    <w:basedOn w:val="Normal"/>
    <w:qFormat/>
    <w:pPr>
      <w:numPr>
        <w:numId w:val="18"/>
      </w:numPr>
      <w:spacing w:after="240"/>
    </w:pPr>
    <w:rPr>
      <w:rFonts w:ascii="Verdana" w:hAnsi="Verdana"/>
      <w:b/>
      <w:color w:val="016794"/>
      <w:sz w:val="32"/>
      <w:szCs w:val="32"/>
    </w:rPr>
  </w:style>
  <w:style w:type="paragraph" w:customStyle="1" w:styleId="HEADER2Part4">
    <w:name w:val="HEADER 2_Part 4"/>
    <w:basedOn w:val="Normal"/>
    <w:qFormat/>
    <w:pPr>
      <w:numPr>
        <w:ilvl w:val="1"/>
        <w:numId w:val="18"/>
      </w:numPr>
      <w:spacing w:before="360" w:after="360"/>
    </w:pPr>
    <w:rPr>
      <w:rFonts w:ascii="Verdana" w:hAnsi="Verdana"/>
      <w:b/>
      <w:noProof/>
      <w:color w:val="016794"/>
      <w:sz w:val="28"/>
      <w:szCs w:val="30"/>
      <w:lang w:eastAsia="en-US"/>
    </w:rPr>
  </w:style>
  <w:style w:type="paragraph" w:customStyle="1" w:styleId="HEADER1PartBUDG">
    <w:name w:val="HEADER 1_Part BUDG"/>
    <w:basedOn w:val="Normal"/>
    <w:qFormat/>
    <w:pPr>
      <w:numPr>
        <w:numId w:val="16"/>
      </w:numPr>
      <w:tabs>
        <w:tab w:val="left" w:pos="907"/>
      </w:tabs>
      <w:spacing w:before="360" w:after="360"/>
    </w:pPr>
    <w:rPr>
      <w:rFonts w:ascii="Verdana" w:hAnsi="Verdana"/>
      <w:b/>
      <w:color w:val="016794"/>
      <w:sz w:val="32"/>
      <w:szCs w:val="32"/>
    </w:rPr>
  </w:style>
  <w:style w:type="paragraph" w:customStyle="1" w:styleId="HEADER2PartBUDG">
    <w:name w:val="HEADER 2_Part BUDG"/>
    <w:basedOn w:val="Normal"/>
    <w:qFormat/>
    <w:pPr>
      <w:numPr>
        <w:ilvl w:val="1"/>
        <w:numId w:val="16"/>
      </w:numPr>
      <w:tabs>
        <w:tab w:val="left" w:pos="907"/>
      </w:tabs>
      <w:spacing w:before="360" w:after="360"/>
    </w:pPr>
    <w:rPr>
      <w:rFonts w:ascii="Verdana" w:eastAsia="Calibri" w:hAnsi="Verdana"/>
      <w:b/>
      <w:color w:val="016794"/>
      <w:sz w:val="28"/>
    </w:rPr>
  </w:style>
  <w:style w:type="paragraph" w:customStyle="1" w:styleId="HEADER3PartBUGD">
    <w:name w:val="HEADER 3_Part BUGD"/>
    <w:basedOn w:val="Normal"/>
    <w:qFormat/>
    <w:pPr>
      <w:numPr>
        <w:ilvl w:val="2"/>
        <w:numId w:val="16"/>
      </w:numPr>
      <w:tabs>
        <w:tab w:val="left" w:pos="0"/>
        <w:tab w:val="left" w:pos="907"/>
      </w:tabs>
      <w:spacing w:before="360" w:after="360"/>
    </w:pPr>
    <w:rPr>
      <w:rFonts w:ascii="Verdana" w:hAnsi="Verdana"/>
      <w:color w:val="016794"/>
      <w:sz w:val="20"/>
      <w:szCs w:val="20"/>
    </w:rPr>
  </w:style>
  <w:style w:type="paragraph" w:customStyle="1" w:styleId="HEADER4PartBUDG">
    <w:name w:val="HEADER 4_Part BUDG"/>
    <w:basedOn w:val="Normal"/>
    <w:qFormat/>
    <w:pPr>
      <w:numPr>
        <w:ilvl w:val="3"/>
        <w:numId w:val="16"/>
      </w:numPr>
      <w:tabs>
        <w:tab w:val="left" w:pos="907"/>
      </w:tabs>
      <w:spacing w:before="360" w:after="360"/>
    </w:pPr>
    <w:rPr>
      <w:rFonts w:ascii="Verdana" w:hAnsi="Verdana"/>
      <w:color w:val="016794"/>
      <w:sz w:val="18"/>
      <w:szCs w:val="18"/>
    </w:rPr>
  </w:style>
  <w:style w:type="paragraph" w:customStyle="1" w:styleId="HEADER1NOTES">
    <w:name w:val="HEADER 1_NOTES"/>
    <w:basedOn w:val="HEADER1Part2"/>
    <w:qFormat/>
    <w:pPr>
      <w:numPr>
        <w:numId w:val="14"/>
      </w:numPr>
    </w:pPr>
  </w:style>
  <w:style w:type="paragraph" w:customStyle="1" w:styleId="HEADER2NOTES">
    <w:name w:val="HEADER 2_NOTES"/>
    <w:basedOn w:val="HEADER2Part2"/>
    <w:qFormat/>
    <w:pPr>
      <w:numPr>
        <w:numId w:val="14"/>
      </w:numPr>
    </w:pPr>
  </w:style>
  <w:style w:type="paragraph" w:customStyle="1" w:styleId="HEADER3NOTES">
    <w:name w:val="HEADER 3_NOTES"/>
    <w:basedOn w:val="HEADER3Part2"/>
    <w:qFormat/>
    <w:pPr>
      <w:numPr>
        <w:numId w:val="14"/>
      </w:numPr>
    </w:pPr>
  </w:style>
  <w:style w:type="paragraph" w:customStyle="1" w:styleId="HEADER4NOTES">
    <w:name w:val="HEADER 4_NOTES"/>
    <w:basedOn w:val="HEADER4Part2"/>
    <w:qFormat/>
    <w:pPr>
      <w:numPr>
        <w:numId w:val="14"/>
      </w:numPr>
    </w:pPr>
  </w:style>
  <w:style w:type="paragraph" w:customStyle="1" w:styleId="HEADER3Part4">
    <w:name w:val="HEADER 3_Part 4"/>
    <w:basedOn w:val="Normal"/>
    <w:qFormat/>
    <w:pPr>
      <w:numPr>
        <w:ilvl w:val="2"/>
        <w:numId w:val="18"/>
      </w:numPr>
      <w:tabs>
        <w:tab w:val="clear" w:pos="907"/>
      </w:tabs>
      <w:spacing w:before="360" w:after="360"/>
    </w:pPr>
    <w:rPr>
      <w:rFonts w:ascii="Verdana" w:hAnsi="Verdana"/>
      <w:color w:val="016794"/>
      <w:sz w:val="20"/>
      <w:szCs w:val="20"/>
    </w:rPr>
  </w:style>
  <w:style w:type="paragraph" w:customStyle="1" w:styleId="DGTextstand-alonedashesjustified">
    <w:name w:val="DG_Text_stand-alone dashes justified"/>
    <w:qFormat/>
    <w:pPr>
      <w:numPr>
        <w:numId w:val="17"/>
      </w:numPr>
      <w:spacing w:before="120" w:after="120"/>
      <w:jc w:val="both"/>
    </w:pPr>
    <w:rPr>
      <w:rFonts w:ascii="Verdana" w:eastAsia="Calibri" w:hAnsi="Verdana"/>
      <w:noProof/>
      <w:sz w:val="18"/>
      <w:szCs w:val="18"/>
      <w:bdr w:val="nil"/>
      <w:lang w:eastAsia="en-US"/>
    </w:rPr>
  </w:style>
  <w:style w:type="paragraph" w:customStyle="1" w:styleId="DGTextstand-alone">
    <w:name w:val="DG_Text_stand-alone"/>
    <w:link w:val="DGTextstand-aloneChar"/>
    <w:pPr>
      <w:spacing w:before="240" w:after="240"/>
      <w:jc w:val="both"/>
    </w:pPr>
    <w:rPr>
      <w:rFonts w:ascii="Verdana" w:hAnsi="Verdana"/>
      <w:noProof/>
      <w:sz w:val="18"/>
      <w:szCs w:val="18"/>
      <w:lang w:eastAsia="en-US"/>
    </w:rPr>
  </w:style>
  <w:style w:type="character" w:customStyle="1" w:styleId="DGTextstand-aloneChar">
    <w:name w:val="DG_Text_stand-alone Char"/>
    <w:link w:val="DGTextstand-alone"/>
    <w:rPr>
      <w:rFonts w:ascii="Verdana" w:hAnsi="Verdana"/>
      <w:noProof/>
      <w:sz w:val="18"/>
      <w:szCs w:val="18"/>
      <w:lang w:eastAsia="en-US"/>
    </w:rPr>
  </w:style>
  <w:style w:type="table" w:customStyle="1" w:styleId="TableGrid1">
    <w:name w:val="Table Grid1"/>
    <w:basedOn w:val="TableNormal"/>
    <w:next w:val="TableGrid"/>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link w:val="FootnotesymbolCharChar"/>
    <w:uiPriority w:val="99"/>
    <w:unhideWhenUsed/>
    <w:qFormat/>
    <w:rPr>
      <w:rFonts w:ascii="Verdana" w:eastAsia="Calibri" w:hAnsi="Verdana"/>
      <w:sz w:val="16"/>
      <w:vertAlign w:val="superscript"/>
    </w:rPr>
  </w:style>
  <w:style w:type="paragraph" w:customStyle="1" w:styleId="FootnotesymbolCharChar">
    <w:name w:val="Footnote symbol Char Char"/>
    <w:basedOn w:val="Normal"/>
    <w:link w:val="FootnoteReference"/>
    <w:uiPriority w:val="99"/>
    <w:pPr>
      <w:spacing w:before="120" w:after="160" w:line="240" w:lineRule="exact"/>
    </w:pPr>
    <w:rPr>
      <w:rFonts w:ascii="Verdana" w:eastAsia="Calibri" w:hAnsi="Verdana"/>
      <w:sz w:val="16"/>
      <w:szCs w:val="20"/>
      <w:vertAlign w:val="superscript"/>
    </w:rPr>
  </w:style>
  <w:style w:type="paragraph" w:styleId="FootnoteText">
    <w:name w:val="footnote text"/>
    <w:basedOn w:val="Normal"/>
    <w:link w:val="FootnoteTextChar"/>
    <w:uiPriority w:val="99"/>
    <w:unhideWhenUsed/>
    <w:qFormat/>
    <w:pPr>
      <w:tabs>
        <w:tab w:val="left" w:pos="170"/>
        <w:tab w:val="left" w:pos="198"/>
      </w:tabs>
      <w:ind w:left="170" w:hanging="170"/>
    </w:pPr>
    <w:rPr>
      <w:rFonts w:ascii="Verdana" w:hAnsi="Verdana"/>
      <w:sz w:val="16"/>
      <w:szCs w:val="20"/>
    </w:rPr>
  </w:style>
  <w:style w:type="character" w:customStyle="1" w:styleId="FootnoteTextChar">
    <w:name w:val="Footnote Text Char"/>
    <w:basedOn w:val="DefaultParagraphFont"/>
    <w:link w:val="FootnoteText"/>
    <w:uiPriority w:val="99"/>
    <w:rPr>
      <w:rFonts w:ascii="Verdana" w:hAnsi="Verdana"/>
      <w:sz w:val="16"/>
    </w:rPr>
  </w:style>
  <w:style w:type="character" w:styleId="Emphasis">
    <w:name w:val="Emphasis"/>
    <w:qFormat/>
    <w:rPr>
      <w:i/>
      <w:iCs/>
    </w:rPr>
  </w:style>
  <w:style w:type="paragraph" w:customStyle="1" w:styleId="DMETW36745BIPUKWA">
    <w:name w:val="DM_ETW_36745_BIP_UKWA"/>
    <w:rPr>
      <w:rFonts w:eastAsia="Calibri"/>
    </w:rPr>
  </w:style>
  <w:style w:type="table" w:customStyle="1" w:styleId="TableGrid4">
    <w:name w:val="Table Grid4"/>
    <w:basedOn w:val="TableNormal"/>
    <w:next w:val="TableGrid"/>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
    <w:name w:val="Footnote"/>
    <w:basedOn w:val="Normal"/>
    <w:qFormat/>
    <w:pPr>
      <w:tabs>
        <w:tab w:val="left" w:pos="284"/>
      </w:tabs>
      <w:ind w:left="170" w:hanging="170"/>
      <w:jc w:val="both"/>
    </w:pPr>
    <w:rPr>
      <w:rFonts w:ascii="Verdana" w:hAnsi="Verdana"/>
      <w:sz w:val="16"/>
      <w:szCs w:val="20"/>
    </w:rPr>
  </w:style>
  <w:style w:type="paragraph" w:customStyle="1" w:styleId="DMETW36743BIPBS">
    <w:name w:val="DM_ETW_36743_BIP_BS"/>
    <w:rPr>
      <w:rFonts w:eastAsia="Calibri"/>
    </w:rPr>
  </w:style>
  <w:style w:type="paragraph" w:customStyle="1" w:styleId="DMETW36757BIPSOFP">
    <w:name w:val="DM_ETW_36757_BIP_SOFP"/>
    <w:rPr>
      <w:rFonts w:eastAsia="Calibri"/>
    </w:rPr>
  </w:style>
  <w:style w:type="paragraph" w:customStyle="1" w:styleId="Text9pItalicLeft">
    <w:name w:val="Text_9p_Italic_Left"/>
    <w:qFormat/>
    <w:rPr>
      <w:rFonts w:ascii="Verdana" w:eastAsia="Calibri" w:hAnsi="Verdana"/>
      <w:i/>
      <w:noProof/>
      <w:sz w:val="18"/>
      <w:szCs w:val="18"/>
      <w:lang w:eastAsia="en-US"/>
    </w:rPr>
  </w:style>
  <w:style w:type="paragraph" w:customStyle="1" w:styleId="Text9pItalicLeft3p">
    <w:name w:val="Text_9p_Italic_Left_3p"/>
    <w:basedOn w:val="Text9pItalicLeft"/>
    <w:qFormat/>
    <w:pPr>
      <w:spacing w:after="60"/>
    </w:pPr>
  </w:style>
  <w:style w:type="paragraph" w:customStyle="1" w:styleId="DMETW36758BIPCF">
    <w:name w:val="DM_ETW_36758_BIP_CF"/>
    <w:rPr>
      <w:rFonts w:eastAsia="Calibri"/>
    </w:rPr>
  </w:style>
  <w:style w:type="paragraph" w:customStyle="1" w:styleId="DMETW36734BIPSCNA">
    <w:name w:val="DM_ETW_36734_BIP_SCNA"/>
    <w:rPr>
      <w:rFonts w:eastAsia="Calibri"/>
    </w:rPr>
  </w:style>
  <w:style w:type="paragraph" w:customStyle="1" w:styleId="DMETW36718BIPCURR">
    <w:name w:val="DM_ETW_36718_BIP_CURR"/>
    <w:rPr>
      <w:rFonts w:eastAsia="Calibri"/>
    </w:rPr>
  </w:style>
  <w:style w:type="paragraph" w:customStyle="1" w:styleId="DMETW36718BIPDR">
    <w:name w:val="DM_ETW_36718_BIP_DR"/>
    <w:rPr>
      <w:rFonts w:eastAsia="Calibri"/>
    </w:rPr>
  </w:style>
  <w:style w:type="paragraph" w:customStyle="1" w:styleId="Text6pNormalLeft">
    <w:name w:val="Text_6p_Normal_Left"/>
    <w:qFormat/>
    <w:rPr>
      <w:rFonts w:ascii="Verdana" w:eastAsia="Calibri" w:hAnsi="Verdana"/>
      <w:bCs/>
      <w:noProof/>
      <w:sz w:val="12"/>
      <w:lang w:eastAsia="en-US"/>
    </w:rPr>
  </w:style>
  <w:style w:type="paragraph" w:customStyle="1" w:styleId="DMETW36735BIPINFA">
    <w:name w:val="DM_ETW_36735_BIP_INFA"/>
    <w:rPr>
      <w:rFonts w:eastAsia="Calibri"/>
    </w:rPr>
  </w:style>
  <w:style w:type="paragraph" w:customStyle="1" w:styleId="DMETW36735BIPEUPPE">
    <w:name w:val="DM_ETW_36735_BIP_EUPPE"/>
    <w:rPr>
      <w:rFonts w:eastAsia="Calibri"/>
    </w:rPr>
  </w:style>
  <w:style w:type="paragraph" w:customStyle="1" w:styleId="DMETW36650BIPPARTASS1">
    <w:name w:val="DM_ETW_36650_BIP_PARTASS1"/>
    <w:rPr>
      <w:rFonts w:eastAsia="Calibri"/>
    </w:rPr>
  </w:style>
  <w:style w:type="paragraph" w:customStyle="1" w:styleId="DMETW36650BIPPARTASS2">
    <w:name w:val="DM_ETW_36650_BIP_PARTASS2"/>
    <w:rPr>
      <w:rFonts w:eastAsia="Calibri"/>
    </w:rPr>
  </w:style>
  <w:style w:type="paragraph" w:customStyle="1" w:styleId="DMETW36650BIPEIF2">
    <w:name w:val="DM_ETW_36650_BIP_EIF2"/>
    <w:rPr>
      <w:rFonts w:eastAsia="Calibri"/>
    </w:rPr>
  </w:style>
  <w:style w:type="paragraph" w:customStyle="1" w:styleId="DMETW36650BIPEIF1">
    <w:name w:val="DM_ETW_36650_BIP_EIF1"/>
    <w:rPr>
      <w:rFonts w:eastAsia="Calibri"/>
    </w:rPr>
  </w:style>
  <w:style w:type="paragraph" w:customStyle="1" w:styleId="DMETW36764BIPFINA">
    <w:name w:val="DM_ETW_36764_BIP_FINA"/>
    <w:rPr>
      <w:rFonts w:eastAsia="Calibri"/>
    </w:rPr>
  </w:style>
  <w:style w:type="paragraph" w:customStyle="1" w:styleId="DMETW36764BIPLO">
    <w:name w:val="DM_ETW_36764_BIP_LO"/>
    <w:rPr>
      <w:rFonts w:eastAsia="Calibri"/>
    </w:rPr>
  </w:style>
  <w:style w:type="paragraph" w:customStyle="1" w:styleId="DMETW36627BIPLNGEU">
    <w:name w:val="DM_ETW_36627_BIP_LNGEU"/>
    <w:rPr>
      <w:rFonts w:eastAsia="Calibri"/>
    </w:rPr>
  </w:style>
  <w:style w:type="paragraph" w:customStyle="1" w:styleId="DMETW36627BIPLMS">
    <w:name w:val="DM_ETW_36627_BIP_LMS"/>
    <w:rPr>
      <w:rFonts w:eastAsia="Calibri"/>
    </w:rPr>
  </w:style>
  <w:style w:type="paragraph" w:customStyle="1" w:styleId="DMETW36627BIPLTC">
    <w:name w:val="DM_ETW_36627_BIP_LTC"/>
    <w:rPr>
      <w:rFonts w:eastAsia="Calibri"/>
    </w:rPr>
  </w:style>
  <w:style w:type="paragraph" w:customStyle="1" w:styleId="DMETW36764BIPFAFVTSD">
    <w:name w:val="DM_ETW_36764_BIP_FAFVTSD"/>
    <w:rPr>
      <w:rFonts w:eastAsia="Calibri"/>
    </w:rPr>
  </w:style>
  <w:style w:type="paragraph" w:customStyle="1" w:styleId="DMETW36764BIPFAFVNONDBT">
    <w:name w:val="DM_ETW_36764_BIP_FAFVNONDBT"/>
    <w:rPr>
      <w:rFonts w:eastAsia="Calibri"/>
    </w:rPr>
  </w:style>
  <w:style w:type="paragraph" w:customStyle="1" w:styleId="DMETW36764BIPFAFVSDND">
    <w:name w:val="DM_ETW_36764_BIP_FAFVSDND"/>
    <w:rPr>
      <w:rFonts w:eastAsia="Calibri"/>
    </w:rPr>
  </w:style>
  <w:style w:type="paragraph" w:customStyle="1" w:styleId="DMETW36764BIPFVH">
    <w:name w:val="DM_ETW_36764_BIP_FVH"/>
    <w:rPr>
      <w:rFonts w:eastAsia="Calibri"/>
    </w:rPr>
  </w:style>
  <w:style w:type="paragraph" w:customStyle="1" w:styleId="DMETW36627BIPRECONONDFA">
    <w:name w:val="DM_ETW_36627_BIP_RECONONDFA"/>
    <w:rPr>
      <w:rFonts w:eastAsia="Calibri"/>
    </w:rPr>
  </w:style>
  <w:style w:type="paragraph" w:customStyle="1" w:styleId="DMETW36627BIPFAFVDBT">
    <w:name w:val="DM_ETW_36627_BIP_FAFVDBT"/>
    <w:rPr>
      <w:rFonts w:eastAsia="Calibri"/>
    </w:rPr>
  </w:style>
  <w:style w:type="paragraph" w:customStyle="1" w:styleId="DMETW36627BIPFVHDFAL">
    <w:name w:val="DM_ETW_36627_BIP_FVHDFAL"/>
    <w:rPr>
      <w:rFonts w:eastAsia="Calibri"/>
    </w:rPr>
  </w:style>
  <w:style w:type="paragraph" w:customStyle="1" w:styleId="DMETW36627BIPRECODER">
    <w:name w:val="DM_ETW_36627_BIP_RECODER"/>
    <w:rPr>
      <w:rFonts w:eastAsia="Calibri"/>
    </w:rPr>
  </w:style>
  <w:style w:type="paragraph" w:customStyle="1" w:styleId="DMETW36765BIPPF">
    <w:name w:val="DM_ETW_36765_BIP_PF"/>
    <w:rPr>
      <w:rFonts w:eastAsia="Calibri"/>
    </w:rPr>
  </w:style>
  <w:style w:type="paragraph" w:customStyle="1" w:styleId="DMETW36765BIPPFD">
    <w:name w:val="DM_ETW_36765_BIP_PFD"/>
    <w:rPr>
      <w:rFonts w:eastAsia="Calibri"/>
    </w:rPr>
  </w:style>
  <w:style w:type="paragraph" w:customStyle="1" w:styleId="DMETW36765BIPPFDOLD">
    <w:name w:val="DM_ETW_36765_BIP_PFDOLD"/>
    <w:rPr>
      <w:rFonts w:eastAsia="Calibri"/>
    </w:rPr>
  </w:style>
  <w:style w:type="paragraph" w:customStyle="1" w:styleId="DMETW36629BIPFEIAS">
    <w:name w:val="DM_ETW_36629_BIP_FEIAS"/>
    <w:rPr>
      <w:rFonts w:eastAsia="Calibri"/>
    </w:rPr>
  </w:style>
  <w:style w:type="paragraph" w:customStyle="1" w:styleId="Heading8pNormalCentered">
    <w:name w:val="Heading_8p_Normal_Centered"/>
    <w:qFormat/>
    <w:pPr>
      <w:jc w:val="center"/>
    </w:pPr>
    <w:rPr>
      <w:rFonts w:ascii="Verdana" w:eastAsia="Calibri" w:hAnsi="Verdana"/>
      <w:noProof/>
      <w:color w:val="FFFFFF"/>
      <w:sz w:val="16"/>
      <w:szCs w:val="30"/>
      <w:lang w:eastAsia="en-US"/>
    </w:rPr>
  </w:style>
  <w:style w:type="paragraph" w:customStyle="1" w:styleId="DMETW36745BIPERNER">
    <w:name w:val="DM_ETW_36745_BIP_ERNER"/>
    <w:rPr>
      <w:rFonts w:eastAsia="Calibri"/>
    </w:rPr>
  </w:style>
  <w:style w:type="paragraph" w:customStyle="1" w:styleId="DMETW36745BIPRNET">
    <w:name w:val="DM_ETW_36745_BIP_RNET"/>
    <w:rPr>
      <w:rFonts w:eastAsia="Calibri"/>
    </w:rPr>
  </w:style>
  <w:style w:type="paragraph" w:customStyle="1" w:styleId="DMETW36746BIPRMS">
    <w:name w:val="DM_ETW_36746_BIP_RMS"/>
    <w:rPr>
      <w:rFonts w:eastAsia="Calibri"/>
    </w:rPr>
  </w:style>
  <w:style w:type="paragraph" w:customStyle="1" w:styleId="DMETW36745BIPPAYWA">
    <w:name w:val="DM_ETW_36745_BIP_PAYWA"/>
    <w:rPr>
      <w:rFonts w:eastAsia="Calibri"/>
    </w:rPr>
  </w:style>
  <w:style w:type="paragraph" w:customStyle="1" w:styleId="DMETW36745BIPOComm">
    <w:name w:val="DM_ETW_36745_BIP_OComm"/>
    <w:rPr>
      <w:rFonts w:eastAsia="Calibri"/>
    </w:rPr>
  </w:style>
  <w:style w:type="paragraph" w:customStyle="1" w:styleId="DMETW36745BIPUliab">
    <w:name w:val="DM_ETW_36745_BIP_Uliab"/>
    <w:rPr>
      <w:rFonts w:eastAsia="Calibri"/>
    </w:rPr>
  </w:style>
  <w:style w:type="paragraph" w:customStyle="1" w:styleId="DMETW36745BIPOthAm">
    <w:name w:val="DM_ETW_36745_BIP_OthAm"/>
    <w:rPr>
      <w:rFonts w:eastAsia="Calibri"/>
    </w:rPr>
  </w:style>
  <w:style w:type="paragraph" w:customStyle="1" w:styleId="DMETW36745BIPArt136">
    <w:name w:val="DM_ETW_36745_BIP_Art136"/>
    <w:rPr>
      <w:rFonts w:eastAsia="Calibri"/>
    </w:rPr>
  </w:style>
  <w:style w:type="paragraph" w:customStyle="1" w:styleId="DMETW36612BIPFINES">
    <w:name w:val="DM_ETW_36612_BIP_FINES"/>
    <w:rPr>
      <w:rFonts w:eastAsia="Calibri"/>
    </w:rPr>
  </w:style>
  <w:style w:type="paragraph" w:customStyle="1" w:styleId="DMETW36747BIPAIDC">
    <w:name w:val="DM_ETW_36747_BIP_AIDC"/>
    <w:rPr>
      <w:rFonts w:eastAsia="Calibri"/>
    </w:rPr>
  </w:style>
  <w:style w:type="paragraph" w:customStyle="1" w:styleId="DMETW36745BIPRET">
    <w:name w:val="DM_ETW_36745_BIP_RET"/>
    <w:rPr>
      <w:rFonts w:eastAsia="Calibri"/>
    </w:rPr>
  </w:style>
  <w:style w:type="paragraph" w:customStyle="1" w:styleId="DMETW36766BIPINV">
    <w:name w:val="DM_ETW_36766_BIP_INV"/>
    <w:rPr>
      <w:rFonts w:eastAsia="Calibri"/>
    </w:rPr>
  </w:style>
  <w:style w:type="paragraph" w:customStyle="1" w:styleId="DMETW36767BIPCCE">
    <w:name w:val="DM_ETW_36767_BIP_CCE"/>
    <w:rPr>
      <w:rFonts w:eastAsia="Calibri"/>
    </w:rPr>
  </w:style>
  <w:style w:type="paragraph" w:customStyle="1" w:styleId="DMETW36768BIPPENS1">
    <w:name w:val="DM_ETW_36768_BIP_PENS1"/>
    <w:rPr>
      <w:rFonts w:eastAsia="Calibri"/>
    </w:rPr>
  </w:style>
  <w:style w:type="paragraph" w:customStyle="1" w:styleId="DMETW36768BIPPENS2">
    <w:name w:val="DM_ETW_36768_BIP_PENS2"/>
    <w:rPr>
      <w:rFonts w:eastAsia="Calibri"/>
    </w:rPr>
  </w:style>
  <w:style w:type="paragraph" w:customStyle="1" w:styleId="DMETW36768BIPPENS3">
    <w:name w:val="DM_ETW_36768_BIP_PENS3"/>
    <w:rPr>
      <w:rFonts w:eastAsia="Calibri"/>
    </w:rPr>
  </w:style>
  <w:style w:type="paragraph" w:customStyle="1" w:styleId="DMETW36768BIPSPL">
    <w:name w:val="DM_ETW_36768_BIP_SPL"/>
    <w:rPr>
      <w:rFonts w:eastAsia="Calibri"/>
    </w:rPr>
  </w:style>
  <w:style w:type="paragraph" w:customStyle="1" w:styleId="DMETW36768BIPPENS10">
    <w:name w:val="DM_ETW_36768_BIP_PENS10"/>
    <w:rPr>
      <w:rFonts w:eastAsia="Calibri"/>
    </w:rPr>
  </w:style>
  <w:style w:type="paragraph" w:customStyle="1" w:styleId="DMETW36768BIPPENS11">
    <w:name w:val="DM_ETW_36768_BIP_PENS11"/>
    <w:rPr>
      <w:rFonts w:eastAsia="Calibri"/>
    </w:rPr>
  </w:style>
  <w:style w:type="paragraph" w:customStyle="1" w:styleId="DMETW36768BIPPENS12">
    <w:name w:val="DM_ETW_36768_BIP_PENS12"/>
    <w:rPr>
      <w:rFonts w:eastAsia="Calibri"/>
    </w:rPr>
  </w:style>
  <w:style w:type="paragraph" w:customStyle="1" w:styleId="DMETW36768BIPPENS6">
    <w:name w:val="DM_ETW_36768_BIP_PENS6"/>
    <w:rPr>
      <w:rFonts w:eastAsia="Calibri"/>
    </w:rPr>
  </w:style>
  <w:style w:type="paragraph" w:customStyle="1" w:styleId="DMETW36768BIPPENS7">
    <w:name w:val="DM_ETW_36768_BIP_PENS7"/>
    <w:rPr>
      <w:rFonts w:eastAsia="Calibri"/>
    </w:rPr>
  </w:style>
  <w:style w:type="paragraph" w:customStyle="1" w:styleId="DMETW36768BIPPENS8">
    <w:name w:val="DM_ETW_36768_BIP_PENS8"/>
    <w:rPr>
      <w:rFonts w:eastAsia="Calibri"/>
    </w:rPr>
  </w:style>
  <w:style w:type="paragraph" w:customStyle="1" w:styleId="DMETW36768BIPPENS9">
    <w:name w:val="DM_ETW_36768_BIP_PENS9"/>
    <w:rPr>
      <w:rFonts w:eastAsia="Calibri"/>
    </w:rPr>
  </w:style>
  <w:style w:type="paragraph" w:customStyle="1" w:styleId="DMETW36769BIPPROV">
    <w:name w:val="DM_ETW_36769_BIP_PROV"/>
    <w:rPr>
      <w:rFonts w:eastAsia="Calibri"/>
    </w:rPr>
  </w:style>
  <w:style w:type="paragraph" w:customStyle="1" w:styleId="DMETW36770BIPFINL">
    <w:name w:val="DM_ETW_36770_BIP_FINL"/>
    <w:rPr>
      <w:rFonts w:eastAsia="Calibri"/>
    </w:rPr>
  </w:style>
  <w:style w:type="paragraph" w:customStyle="1" w:styleId="DMETW36770BIPBORR">
    <w:name w:val="DM_ETW_36770_BIP_BORR"/>
    <w:rPr>
      <w:rFonts w:eastAsia="Calibri"/>
    </w:rPr>
  </w:style>
  <w:style w:type="paragraph" w:customStyle="1" w:styleId="DMETW36633BIPLGFBF">
    <w:name w:val="DM_ETW_36633_BIP_LGFBF"/>
    <w:rPr>
      <w:rFonts w:eastAsia="Calibri"/>
    </w:rPr>
  </w:style>
  <w:style w:type="paragraph" w:customStyle="1" w:styleId="DMETW36770BIPOthFinanL">
    <w:name w:val="DM_ETW_36770_BIP_OthFinanL"/>
    <w:rPr>
      <w:rFonts w:eastAsia="Calibri"/>
    </w:rPr>
  </w:style>
  <w:style w:type="paragraph" w:customStyle="1" w:styleId="DMETW36772BIPFL">
    <w:name w:val="DM_ETW_36772_BIP_FL"/>
    <w:rPr>
      <w:rFonts w:eastAsia="Calibri"/>
    </w:rPr>
  </w:style>
  <w:style w:type="paragraph" w:customStyle="1" w:styleId="DMETW36633BIPFGL">
    <w:name w:val="DM_ETW_36633_BIP_FGL"/>
    <w:rPr>
      <w:rFonts w:eastAsia="Calibri"/>
    </w:rPr>
  </w:style>
  <w:style w:type="paragraph" w:customStyle="1" w:styleId="DMETW36748BIPPAYAB">
    <w:name w:val="DM_ETW_36748_BIP_PAYAB"/>
    <w:rPr>
      <w:rFonts w:eastAsia="Calibri"/>
    </w:rPr>
  </w:style>
  <w:style w:type="paragraph" w:customStyle="1" w:styleId="DMETW36773BIPACCDEF">
    <w:name w:val="DM_ETW_36773_BIP_ACCDEF"/>
    <w:rPr>
      <w:rFonts w:eastAsia="Calibri"/>
    </w:rPr>
  </w:style>
  <w:style w:type="paragraph" w:customStyle="1" w:styleId="DMETW36773BIPACDISPLIT">
    <w:name w:val="DM_ETW_36773_BIP_ACDISPLIT"/>
    <w:rPr>
      <w:rFonts w:eastAsia="Calibri"/>
    </w:rPr>
  </w:style>
  <w:style w:type="paragraph" w:customStyle="1" w:styleId="DMETW36774BIPMEMST1">
    <w:name w:val="DM_ETW_36774_BIP_MEMST1"/>
    <w:rPr>
      <w:rFonts w:eastAsia="Calibri"/>
    </w:rPr>
  </w:style>
  <w:style w:type="paragraph" w:customStyle="1" w:styleId="DMETW36775BIPRECOVEXP">
    <w:name w:val="DM_ETW_36775_BIP_RECOVEXP"/>
    <w:rPr>
      <w:rFonts w:eastAsia="Calibri"/>
    </w:rPr>
  </w:style>
  <w:style w:type="paragraph" w:customStyle="1" w:styleId="DMETW36749BIPONER">
    <w:name w:val="DM_ETW_36749_BIP_ONER"/>
    <w:rPr>
      <w:rFonts w:eastAsia="Calibri"/>
    </w:rPr>
  </w:style>
  <w:style w:type="paragraph" w:customStyle="1" w:styleId="DMETW36759BIPFINREV">
    <w:name w:val="DM_ETW_36759_BIP_FINREV"/>
    <w:rPr>
      <w:rFonts w:eastAsia="Calibri"/>
    </w:rPr>
  </w:style>
  <w:style w:type="paragraph" w:customStyle="1" w:styleId="DMETW36776BIPOER">
    <w:name w:val="DM_ETW_36776_BIP_OER"/>
    <w:rPr>
      <w:rFonts w:eastAsia="Calibri"/>
    </w:rPr>
  </w:style>
  <w:style w:type="paragraph" w:customStyle="1" w:styleId="DMETW36750BIPMS">
    <w:name w:val="DM_ETW_36750_BIP_MS"/>
    <w:rPr>
      <w:rFonts w:eastAsia="Calibri"/>
    </w:rPr>
  </w:style>
  <w:style w:type="paragraph" w:customStyle="1" w:styleId="DMETW36750BIPGR">
    <w:name w:val="DM_ETW_36750_BIP_GR"/>
    <w:rPr>
      <w:rFonts w:eastAsia="Calibri"/>
    </w:rPr>
  </w:style>
  <w:style w:type="paragraph" w:customStyle="1" w:styleId="DMETW36750BIPCT">
    <w:name w:val="DM_ETW_36750_BIP_CT"/>
    <w:rPr>
      <w:rFonts w:eastAsia="Calibri"/>
    </w:rPr>
  </w:style>
  <w:style w:type="paragraph" w:customStyle="1" w:styleId="DMETW36777BIPSPC">
    <w:name w:val="DM_ETW_36777_BIP_SPC"/>
    <w:rPr>
      <w:rFonts w:eastAsia="Calibri"/>
    </w:rPr>
  </w:style>
  <w:style w:type="paragraph" w:customStyle="1" w:styleId="DMETW36760BIPFINEXP">
    <w:name w:val="DM_ETW_36760_BIP_FINEXP"/>
    <w:rPr>
      <w:rFonts w:eastAsia="Calibri"/>
    </w:rPr>
  </w:style>
  <w:style w:type="paragraph" w:customStyle="1" w:styleId="DMETW36751BIPOE">
    <w:name w:val="DM_ETW_36751_BIP_OE"/>
    <w:rPr>
      <w:rFonts w:eastAsia="Calibri"/>
    </w:rPr>
  </w:style>
  <w:style w:type="paragraph" w:customStyle="1" w:styleId="DMETW36751BIPRD">
    <w:name w:val="DM_ETW_36751_BIP_RD"/>
    <w:rPr>
      <w:rFonts w:eastAsia="Calibri"/>
    </w:rPr>
  </w:style>
  <w:style w:type="paragraph" w:customStyle="1" w:styleId="DMETW36752BIPSEGREP">
    <w:name w:val="DM_ETW_36752_BIP_SEGREP"/>
    <w:rPr>
      <w:rFonts w:eastAsia="Calibri"/>
    </w:rPr>
  </w:style>
  <w:style w:type="paragraph" w:customStyle="1" w:styleId="DMETW38212BIPPLreclass">
    <w:name w:val="DM_ETW_38212_BIP_PLreclass"/>
    <w:rPr>
      <w:rFonts w:eastAsia="Calibri"/>
    </w:rPr>
  </w:style>
  <w:style w:type="paragraph" w:customStyle="1" w:styleId="DMETW36639BIPGUARCY">
    <w:name w:val="DM_ETW_36639_BIP_GUARCY"/>
    <w:rPr>
      <w:rFonts w:eastAsia="Calibri"/>
    </w:rPr>
  </w:style>
  <w:style w:type="paragraph" w:customStyle="1" w:styleId="DMETW36639BIPGUARPY">
    <w:name w:val="DM_ETW_36639_BIP_GUARPY"/>
    <w:rPr>
      <w:rFonts w:eastAsia="Calibri"/>
    </w:rPr>
  </w:style>
  <w:style w:type="paragraph" w:customStyle="1" w:styleId="DMETW36638BIPINSGUA">
    <w:name w:val="DM_ETW_36638_BIP_INSGUA"/>
    <w:rPr>
      <w:rFonts w:eastAsia="Calibri"/>
    </w:rPr>
  </w:style>
  <w:style w:type="paragraph" w:customStyle="1" w:styleId="DMETW36762BIPCL">
    <w:name w:val="DM_ETW_36762_BIP_CL"/>
    <w:rPr>
      <w:rFonts w:eastAsia="Calibri"/>
    </w:rPr>
  </w:style>
  <w:style w:type="paragraph" w:customStyle="1" w:styleId="DMETW36762BIPCA">
    <w:name w:val="DM_ETW_36762_BIP_CA"/>
    <w:rPr>
      <w:rFonts w:eastAsia="Calibri"/>
    </w:rPr>
  </w:style>
  <w:style w:type="paragraph" w:customStyle="1" w:styleId="DMETW36763BIPOBULEG">
    <w:name w:val="DM_ETW_36763_BIP_OBULEG"/>
    <w:rPr>
      <w:rFonts w:eastAsia="Calibri"/>
    </w:rPr>
  </w:style>
  <w:style w:type="paragraph" w:customStyle="1" w:styleId="DMETW36763BIPOCNYE">
    <w:name w:val="DM_ETW_36763_BIP_OCNYE"/>
    <w:rPr>
      <w:rFonts w:eastAsia="Calibri"/>
    </w:rPr>
  </w:style>
  <w:style w:type="paragraph" w:customStyle="1" w:styleId="DMETW36763BIPLEGCOM">
    <w:name w:val="DM_ETW_36763_BIP_LEGCOM"/>
    <w:rPr>
      <w:rFonts w:eastAsia="Calibri"/>
    </w:rPr>
  </w:style>
  <w:style w:type="paragraph" w:customStyle="1" w:styleId="DMETW36761BIPPPERE">
    <w:name w:val="DM_ETW_36761_BIP_PPERE"/>
    <w:rPr>
      <w:rFonts w:eastAsia="Calibri"/>
    </w:rPr>
  </w:style>
  <w:style w:type="paragraph" w:customStyle="1" w:styleId="Heading7pNormalCentered">
    <w:name w:val="Heading_7p_Normal_Centered"/>
    <w:basedOn w:val="Heading8pNormalCentered"/>
    <w:qFormat/>
    <w:rPr>
      <w:sz w:val="14"/>
    </w:rPr>
  </w:style>
  <w:style w:type="paragraph" w:customStyle="1" w:styleId="DMETW36753BIPCRCY">
    <w:name w:val="DM_ETW_36753_BIP_CRCY"/>
    <w:rPr>
      <w:rFonts w:eastAsia="Calibri"/>
    </w:rPr>
  </w:style>
  <w:style w:type="paragraph" w:customStyle="1" w:styleId="DMETW36753BIPCRPY">
    <w:name w:val="DM_ETW_36753_BIP_CRPY"/>
    <w:rPr>
      <w:rFonts w:eastAsia="Calibri"/>
    </w:rPr>
  </w:style>
  <w:style w:type="paragraph" w:customStyle="1" w:styleId="DMETW36753BIPCYS">
    <w:name w:val="DM_ETW_36753_BIP_CYS"/>
    <w:rPr>
      <w:rFonts w:eastAsia="Calibri"/>
    </w:rPr>
  </w:style>
  <w:style w:type="paragraph" w:customStyle="1" w:styleId="DMETW36753BIPPYS">
    <w:name w:val="DM_ETW_36753_BIP_PYS"/>
    <w:rPr>
      <w:rFonts w:eastAsia="Calibri"/>
    </w:rPr>
  </w:style>
  <w:style w:type="paragraph" w:customStyle="1" w:styleId="DMETW36754BIPIRR">
    <w:name w:val="DM_ETW_36754_BIP_IRR"/>
    <w:rPr>
      <w:rFonts w:eastAsia="Calibri"/>
    </w:rPr>
  </w:style>
  <w:style w:type="paragraph" w:customStyle="1" w:styleId="DMETW36626BIPEQR">
    <w:name w:val="DM_ETW_36626_BIP_EQR"/>
    <w:rPr>
      <w:rFonts w:eastAsia="Calibri"/>
    </w:rPr>
  </w:style>
  <w:style w:type="paragraph" w:customStyle="1" w:styleId="DMETW36755BIPCDTRCY">
    <w:name w:val="DM_ETW_36755_BIP_CDTRCY"/>
    <w:rPr>
      <w:rFonts w:eastAsia="Calibri"/>
    </w:rPr>
  </w:style>
  <w:style w:type="paragraph" w:customStyle="1" w:styleId="DMETW36755BIPLOCDQ">
    <w:name w:val="DM_ETW_36755_BIP_LOCDQ"/>
    <w:rPr>
      <w:rFonts w:eastAsia="Calibri"/>
    </w:rPr>
  </w:style>
  <w:style w:type="paragraph" w:customStyle="1" w:styleId="DMETW36755BIPLOCDQPY">
    <w:name w:val="DM_ETW_36755_BIP_LOCDQPY"/>
    <w:rPr>
      <w:rFonts w:eastAsia="Calibri"/>
    </w:rPr>
  </w:style>
  <w:style w:type="paragraph" w:customStyle="1" w:styleId="DMETW36755BIPLOIMPLOS">
    <w:name w:val="DM_ETW_36755_BIP_LOIMPLOS"/>
    <w:rPr>
      <w:rFonts w:eastAsia="Calibri"/>
    </w:rPr>
  </w:style>
  <w:style w:type="paragraph" w:customStyle="1" w:styleId="DMETW36755BIPCECTQ">
    <w:name w:val="DM_ETW_36755_BIP_CECTQ"/>
    <w:rPr>
      <w:rFonts w:eastAsia="Calibri"/>
    </w:rPr>
  </w:style>
  <w:style w:type="paragraph" w:customStyle="1" w:styleId="DMETW36755BIPEXRCTQ">
    <w:name w:val="DM_ETW_36755_BIP_EXRCTQ"/>
    <w:rPr>
      <w:rFonts w:eastAsia="Calibri"/>
    </w:rPr>
  </w:style>
  <w:style w:type="paragraph" w:customStyle="1" w:styleId="DMETW36571BIPFGCTQ">
    <w:name w:val="DM_ETW_36571_BIP_FGCTQ"/>
    <w:rPr>
      <w:rFonts w:eastAsia="Calibri"/>
    </w:rPr>
  </w:style>
  <w:style w:type="paragraph" w:customStyle="1" w:styleId="DMETW36571BIPFGCLOS">
    <w:name w:val="DM_ETW_36571_BIP_FGCLOS"/>
    <w:rPr>
      <w:rFonts w:eastAsia="Calibri"/>
    </w:rPr>
  </w:style>
  <w:style w:type="paragraph" w:customStyle="1" w:styleId="DMETW36756BIPNDFLCY">
    <w:name w:val="DM_ETW_36756_BIP_NDFLCY"/>
    <w:rPr>
      <w:rFonts w:eastAsia="Calibri"/>
    </w:rPr>
  </w:style>
  <w:style w:type="paragraph" w:customStyle="1" w:styleId="DMETW36617BIPDFLCY">
    <w:name w:val="DM_ETW_36617_BIP_DFLCY"/>
    <w:rPr>
      <w:rFonts w:eastAsia="Calibri"/>
    </w:rPr>
  </w:style>
  <w:style w:type="paragraph" w:customStyle="1" w:styleId="DMETW36617BIPFGCY">
    <w:name w:val="DM_ETW_36617_BIP_FGCY"/>
    <w:rPr>
      <w:rFonts w:eastAsia="Calibri"/>
    </w:rPr>
  </w:style>
  <w:style w:type="paragraph" w:customStyle="1" w:styleId="DMETW36617BIPULC">
    <w:name w:val="DM_ETW_36617_BIP_ULC"/>
    <w:rPr>
      <w:rFonts w:eastAsia="Calibri"/>
    </w:rPr>
  </w:style>
  <w:style w:type="paragraph" w:customStyle="1" w:styleId="DMETW36692BIPKMT">
    <w:name w:val="DM_ETW_36692_BIP_KMT"/>
    <w:rPr>
      <w:rFonts w:eastAsia="Calibri"/>
    </w:rPr>
  </w:style>
  <w:style w:type="paragraph" w:customStyle="1" w:styleId="DMETW36740BIPCE">
    <w:name w:val="DM_ETW_36740_BIP_CE"/>
    <w:rPr>
      <w:rFonts w:eastAsia="Calibri"/>
    </w:rPr>
  </w:style>
  <w:style w:type="paragraph" w:customStyle="1" w:styleId="DMETW36691BIPBudgetresult">
    <w:name w:val="DM_ETW_36691_BIP_Budget_result"/>
    <w:rPr>
      <w:rFonts w:eastAsia="Calibri"/>
    </w:rPr>
  </w:style>
  <w:style w:type="paragraph" w:customStyle="1" w:styleId="DMETW36691BIPStatementofcomparisonRevenue">
    <w:name w:val="DM_ETW_36691_BIP_Statement_of_comparison_Revenue"/>
    <w:rPr>
      <w:rFonts w:eastAsia="Calibri"/>
    </w:rPr>
  </w:style>
  <w:style w:type="paragraph" w:customStyle="1" w:styleId="DMETW36691BIPStatementofcomparisonCommitments">
    <w:name w:val="DM_ETW_36691_BIP_Statement_of_comparison_Commitments"/>
    <w:rPr>
      <w:rFonts w:eastAsia="Calibri"/>
    </w:rPr>
  </w:style>
  <w:style w:type="paragraph" w:customStyle="1" w:styleId="DMETW36691BIPStatementofcomparisonPayments">
    <w:name w:val="DM_ETW_36691_BIP_Statement_of_comparison_Payments"/>
    <w:rPr>
      <w:rFonts w:eastAsia="Calibri"/>
    </w:rPr>
  </w:style>
  <w:style w:type="paragraph" w:customStyle="1" w:styleId="DMETW22324BIPFinancialFWK20142020">
    <w:name w:val="DM_ETW_22324_BIP_FinancialFWK20142020"/>
    <w:rPr>
      <w:rFonts w:eastAsia="Calibri"/>
    </w:rPr>
  </w:style>
  <w:style w:type="paragraph" w:customStyle="1" w:styleId="DMETW36669BIPReconciliation">
    <w:name w:val="DM_ETW_36669_BIP_Reconciliation"/>
    <w:rPr>
      <w:rFonts w:eastAsia="Calibri"/>
    </w:rPr>
  </w:style>
  <w:style w:type="paragraph" w:customStyle="1" w:styleId="DMETW36741BIPImplementationbudgetrevenue">
    <w:name w:val="DM_ETW_36741_BIP_Implementation_budget_revenue"/>
    <w:rPr>
      <w:rFonts w:eastAsia="Calibri"/>
    </w:rPr>
  </w:style>
  <w:style w:type="paragraph" w:customStyle="1" w:styleId="DMETW36742BIPMFF1BreakdownCommPaym">
    <w:name w:val="DM_ETW_36742_BIP_MFF_1_Breakdown_Comm_Paym"/>
    <w:rPr>
      <w:rFonts w:eastAsia="Calibri"/>
    </w:rPr>
  </w:style>
  <w:style w:type="paragraph" w:customStyle="1" w:styleId="DMETW36742BIPMFF2ImplementCommitments">
    <w:name w:val="DM_ETW_36742_BIP_MFF_2_Implement_Commitments"/>
    <w:rPr>
      <w:rFonts w:eastAsia="Calibri"/>
    </w:rPr>
  </w:style>
  <w:style w:type="paragraph" w:customStyle="1" w:styleId="DMETW36742BIPMFF3ImplementPayments">
    <w:name w:val="DM_ETW_36742_BIP_MFF_3_Implement_Payments"/>
    <w:rPr>
      <w:rFonts w:eastAsia="Calibri"/>
    </w:rPr>
  </w:style>
  <w:style w:type="paragraph" w:customStyle="1" w:styleId="DMETW36742BIPMFF4Commitmentsoutstanding">
    <w:name w:val="DM_ETW_36742_BIP_MFF_4_Commitments_outstanding"/>
    <w:rPr>
      <w:rFonts w:eastAsia="Calibri"/>
    </w:rPr>
  </w:style>
  <w:style w:type="paragraph" w:customStyle="1" w:styleId="DMETW36742BIPMFF5RALYoO">
    <w:name w:val="DM_ETW_36742_BIP_MFF_5_RAL_YoO"/>
    <w:rPr>
      <w:rFonts w:eastAsia="Calibri"/>
    </w:rPr>
  </w:style>
  <w:style w:type="paragraph" w:customStyle="1" w:styleId="DMETW36742BIPDetailedMFF1Breakdown">
    <w:name w:val="DM_ETW_36742_BIP_DetailedMFF_1_Breakdown"/>
    <w:rPr>
      <w:rFonts w:eastAsia="Calibri"/>
    </w:rPr>
  </w:style>
  <w:style w:type="paragraph" w:customStyle="1" w:styleId="DMETW36742BIPDetailedMFF2ImplementCommitments">
    <w:name w:val="DM_ETW_36742_BIP_DetailedMFF_2_Implement_Commitments"/>
    <w:rPr>
      <w:rFonts w:eastAsia="Calibri"/>
    </w:rPr>
  </w:style>
  <w:style w:type="paragraph" w:customStyle="1" w:styleId="DMETW36742BIPDetailedMFF3ImplementPayments">
    <w:name w:val="DM_ETW_36742_BIP_DetailedMFF_3_Implement_Payments"/>
    <w:rPr>
      <w:rFonts w:eastAsia="Calibri"/>
    </w:rPr>
  </w:style>
  <w:style w:type="paragraph" w:customStyle="1" w:styleId="DMETW36742BIPDetailedMFF4Commitmentsoustanding">
    <w:name w:val="DM_ETW_36742_BIP_DetailedMFF_4_Commitments_oustanding"/>
    <w:rPr>
      <w:rFonts w:eastAsia="Calibri"/>
    </w:rPr>
  </w:style>
  <w:style w:type="paragraph" w:customStyle="1" w:styleId="DMETW36742BIPDetailedMFF5RALYoO">
    <w:name w:val="DM_ETW_36742_BIP_DetailedMFF_5_RAL_YoO"/>
    <w:rPr>
      <w:rFonts w:eastAsia="Calibri"/>
    </w:rPr>
  </w:style>
  <w:style w:type="paragraph" w:customStyle="1" w:styleId="DMETW36778BIPInstitutions1Revenue">
    <w:name w:val="DM_ETW_36778_BIP_Institutions_1_Revenue"/>
    <w:rPr>
      <w:rFonts w:eastAsia="Calibri"/>
    </w:rPr>
  </w:style>
  <w:style w:type="paragraph" w:customStyle="1" w:styleId="DMETW36778BIPInstitutions2Commitments">
    <w:name w:val="DM_ETW_36778_BIP_Institutions_2_Commitments"/>
    <w:rPr>
      <w:rFonts w:eastAsia="Calibri"/>
    </w:rPr>
  </w:style>
  <w:style w:type="paragraph" w:customStyle="1" w:styleId="DMETW36778BIPInstitutions3Payments">
    <w:name w:val="DM_ETW_36778_BIP_Institutions_3_Payments"/>
    <w:rPr>
      <w:rFonts w:eastAsia="Calibri"/>
    </w:rPr>
  </w:style>
  <w:style w:type="paragraph" w:customStyle="1" w:styleId="DMETW36778BIPAgencies1Revenue">
    <w:name w:val="DM_ETW_36778_BIP_Agencies_1_Revenue"/>
    <w:rPr>
      <w:rFonts w:eastAsia="Calibri"/>
    </w:rPr>
  </w:style>
  <w:style w:type="paragraph" w:customStyle="1" w:styleId="DMETW36778BIPAgencies2TypeofRevenue">
    <w:name w:val="DM_ETW_36778_BIP_Agencies_2_Type_of_Revenue"/>
    <w:rPr>
      <w:rFonts w:eastAsia="Calibri"/>
    </w:rPr>
  </w:style>
  <w:style w:type="paragraph" w:customStyle="1" w:styleId="DMETW36778BIPAgencies3CommitmentsPayments">
    <w:name w:val="DM_ETW_36778_BIP_Agencies_3_Commitments_Payments"/>
    <w:rPr>
      <w:rFonts w:eastAsia="Calibri"/>
    </w:rPr>
  </w:style>
  <w:style w:type="paragraph" w:customStyle="1" w:styleId="DMETW36778BIPAgencies4TypeofExpenditure">
    <w:name w:val="DM_ETW_36778_BIP_Agencies_4_Type_of_Expenditure"/>
    <w:rPr>
      <w:rFonts w:eastAsia="Calibri"/>
    </w:rPr>
  </w:style>
  <w:style w:type="character" w:customStyle="1" w:styleId="st1">
    <w:name w:val="st1"/>
    <w:basedOn w:val="DefaultParagraphFont"/>
  </w:style>
  <w:style w:type="paragraph" w:styleId="Revision">
    <w:name w:val="Revision"/>
    <w:hidden/>
    <w:uiPriority w:val="99"/>
    <w:semiHidden/>
    <w:rPr>
      <w:rFonts w:ascii="Times New Roman" w:hAnsi="Times New Roman"/>
      <w:sz w:val="24"/>
      <w:szCs w:val="24"/>
    </w:rPr>
  </w:style>
  <w:style w:type="paragraph" w:styleId="ListParagraph">
    <w:name w:val="List Paragraph"/>
    <w:basedOn w:val="Normal"/>
    <w:uiPriority w:val="34"/>
    <w:qFormat/>
    <w:pPr>
      <w:ind w:left="720"/>
      <w:contextualSpacing/>
    </w:pPr>
  </w:style>
  <w:style w:type="paragraph" w:customStyle="1" w:styleId="Pagedecouverture">
    <w:name w:val="Page de couverture"/>
    <w:basedOn w:val="Normal"/>
    <w:next w:val="Normal"/>
    <w:link w:val="PagedecouvertureChar"/>
    <w:pPr>
      <w:jc w:val="both"/>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PagedecouvertureChar">
    <w:name w:val="Page de couverture Char"/>
    <w:basedOn w:val="DefaultParagraphFont"/>
    <w:link w:val="Pagedecouverture"/>
    <w:rPr>
      <w:rFonts w:ascii="Times New Roman" w:eastAsiaTheme="minorHAnsi" w:hAnsi="Times New Roman"/>
      <w:sz w:val="24"/>
      <w:szCs w:val="22"/>
      <w:lang w:eastAsia="en-US"/>
    </w:rPr>
  </w:style>
  <w:style w:type="character" w:customStyle="1" w:styleId="FooterCoverPageChar">
    <w:name w:val="Footer Cover Page Char"/>
    <w:basedOn w:val="PagedecouvertureChar"/>
    <w:link w:val="FooterCoverPage"/>
    <w:rPr>
      <w:rFonts w:ascii="Times New Roman" w:eastAsiaTheme="minorHAnsi" w:hAnsi="Times New Roman"/>
      <w:sz w:val="24"/>
      <w:szCs w:val="24"/>
      <w:lang w:eastAsia="en-US"/>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PagedecouvertureChar"/>
    <w:link w:val="FooterSensitivity"/>
    <w:rPr>
      <w:rFonts w:ascii="Times New Roman" w:eastAsiaTheme="minorHAnsi" w:hAnsi="Times New Roman"/>
      <w:b/>
      <w:sz w:val="32"/>
      <w:szCs w:val="24"/>
      <w:lang w:eastAsia="en-US"/>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PagedecouvertureChar"/>
    <w:link w:val="HeaderCoverPage"/>
    <w:rPr>
      <w:rFonts w:ascii="Times New Roman" w:eastAsiaTheme="minorHAnsi" w:hAnsi="Times New Roman"/>
      <w:sz w:val="24"/>
      <w:szCs w:val="24"/>
      <w:lang w:eastAsia="en-US"/>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Pr>
      <w:rFonts w:ascii="Times New Roman" w:eastAsiaTheme="minorHAnsi" w:hAnsi="Times New Roman"/>
      <w:b/>
      <w:sz w:val="32"/>
      <w:szCs w:val="24"/>
      <w:lang w:eastAsia="en-US"/>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PagedecouvertureChar"/>
    <w:link w:val="HeaderSensitivityRight"/>
    <w:rPr>
      <w:rFonts w:ascii="Times New Roman" w:eastAsiaTheme="minorHAnsi" w:hAnsi="Times New Roman"/>
      <w:sz w:val="28"/>
      <w:szCs w:val="24"/>
      <w:lang w:eastAsia="en-US"/>
    </w:rPr>
  </w:style>
  <w:style w:type="character" w:styleId="UnresolvedMention">
    <w:name w:val="Unresolved Mention"/>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eader" Target="header43.xml"/><Relationship Id="rId21" Type="http://schemas.openxmlformats.org/officeDocument/2006/relationships/footer" Target="footer5.xml"/><Relationship Id="rId42" Type="http://schemas.openxmlformats.org/officeDocument/2006/relationships/footer" Target="footer8.xml"/><Relationship Id="rId63" Type="http://schemas.openxmlformats.org/officeDocument/2006/relationships/header" Target="header19.xml"/><Relationship Id="rId84" Type="http://schemas.openxmlformats.org/officeDocument/2006/relationships/hyperlink" Target="https://fr.wikipedia.org/wiki/Obligation_(finance)" TargetMode="External"/><Relationship Id="rId138" Type="http://schemas.openxmlformats.org/officeDocument/2006/relationships/footer" Target="footer53.xml"/><Relationship Id="rId159" Type="http://schemas.openxmlformats.org/officeDocument/2006/relationships/header" Target="header64.xml"/><Relationship Id="rId170" Type="http://schemas.openxmlformats.org/officeDocument/2006/relationships/footer" Target="footer69.xml"/><Relationship Id="rId191" Type="http://schemas.openxmlformats.org/officeDocument/2006/relationships/header" Target="header80.xml"/><Relationship Id="rId107" Type="http://schemas.openxmlformats.org/officeDocument/2006/relationships/header" Target="header38.xml"/><Relationship Id="rId11" Type="http://schemas.openxmlformats.org/officeDocument/2006/relationships/image" Target="media/image1.emf"/><Relationship Id="rId32" Type="http://schemas.openxmlformats.org/officeDocument/2006/relationships/image" Target="media/image10.png"/><Relationship Id="rId53" Type="http://schemas.openxmlformats.org/officeDocument/2006/relationships/header" Target="header14.xml"/><Relationship Id="rId74" Type="http://schemas.openxmlformats.org/officeDocument/2006/relationships/header" Target="header25.xml"/><Relationship Id="rId128" Type="http://schemas.openxmlformats.org/officeDocument/2006/relationships/footer" Target="footer48.xml"/><Relationship Id="rId149" Type="http://schemas.openxmlformats.org/officeDocument/2006/relationships/header" Target="header59.xml"/><Relationship Id="rId5" Type="http://schemas.openxmlformats.org/officeDocument/2006/relationships/numbering" Target="numbering.xml"/><Relationship Id="rId95" Type="http://schemas.openxmlformats.org/officeDocument/2006/relationships/header" Target="header32.xml"/><Relationship Id="rId160" Type="http://schemas.openxmlformats.org/officeDocument/2006/relationships/header" Target="header65.xml"/><Relationship Id="rId181" Type="http://schemas.openxmlformats.org/officeDocument/2006/relationships/header" Target="header75.xml"/><Relationship Id="rId22" Type="http://schemas.openxmlformats.org/officeDocument/2006/relationships/header" Target="header6.xml"/><Relationship Id="rId43" Type="http://schemas.openxmlformats.org/officeDocument/2006/relationships/header" Target="header9.xml"/><Relationship Id="rId64" Type="http://schemas.openxmlformats.org/officeDocument/2006/relationships/footer" Target="footer19.xml"/><Relationship Id="rId118" Type="http://schemas.openxmlformats.org/officeDocument/2006/relationships/footer" Target="footer43.xml"/><Relationship Id="rId139" Type="http://schemas.openxmlformats.org/officeDocument/2006/relationships/header" Target="header54.xml"/><Relationship Id="rId85" Type="http://schemas.openxmlformats.org/officeDocument/2006/relationships/hyperlink" Target="https://fr.wikipedia.org/wiki/Devise_(monnaie)" TargetMode="External"/><Relationship Id="rId150" Type="http://schemas.openxmlformats.org/officeDocument/2006/relationships/footer" Target="footer59.xml"/><Relationship Id="rId171" Type="http://schemas.openxmlformats.org/officeDocument/2006/relationships/header" Target="header70.xml"/><Relationship Id="rId192" Type="http://schemas.openxmlformats.org/officeDocument/2006/relationships/footer" Target="footer80.xml"/><Relationship Id="rId12" Type="http://schemas.openxmlformats.org/officeDocument/2006/relationships/header" Target="header1.xml"/><Relationship Id="rId33" Type="http://schemas.openxmlformats.org/officeDocument/2006/relationships/image" Target="media/image11.png"/><Relationship Id="rId108" Type="http://schemas.openxmlformats.org/officeDocument/2006/relationships/footer" Target="footer38.xml"/><Relationship Id="rId129" Type="http://schemas.openxmlformats.org/officeDocument/2006/relationships/header" Target="header49.xml"/><Relationship Id="rId54" Type="http://schemas.openxmlformats.org/officeDocument/2006/relationships/footer" Target="footer14.xml"/><Relationship Id="rId75" Type="http://schemas.openxmlformats.org/officeDocument/2006/relationships/footer" Target="footer24.xml"/><Relationship Id="rId96" Type="http://schemas.openxmlformats.org/officeDocument/2006/relationships/footer" Target="footer32.xml"/><Relationship Id="rId140" Type="http://schemas.openxmlformats.org/officeDocument/2006/relationships/footer" Target="footer54.xml"/><Relationship Id="rId161" Type="http://schemas.openxmlformats.org/officeDocument/2006/relationships/footer" Target="footer64.xml"/><Relationship Id="rId182" Type="http://schemas.openxmlformats.org/officeDocument/2006/relationships/footer" Target="footer75.xml"/><Relationship Id="rId6" Type="http://schemas.openxmlformats.org/officeDocument/2006/relationships/styles" Target="styles.xml"/><Relationship Id="rId23" Type="http://schemas.openxmlformats.org/officeDocument/2006/relationships/footer" Target="footer6.xml"/><Relationship Id="rId119" Type="http://schemas.openxmlformats.org/officeDocument/2006/relationships/header" Target="header44.xml"/><Relationship Id="rId44" Type="http://schemas.openxmlformats.org/officeDocument/2006/relationships/footer" Target="footer9.xml"/><Relationship Id="rId65" Type="http://schemas.openxmlformats.org/officeDocument/2006/relationships/header" Target="header20.xml"/><Relationship Id="rId86" Type="http://schemas.openxmlformats.org/officeDocument/2006/relationships/hyperlink" Target="https://fr.wikipedia.org/wiki/Contrat_%C3%A0_terme" TargetMode="External"/><Relationship Id="rId130" Type="http://schemas.openxmlformats.org/officeDocument/2006/relationships/header" Target="header50.xml"/><Relationship Id="rId151" Type="http://schemas.openxmlformats.org/officeDocument/2006/relationships/header" Target="header60.xml"/><Relationship Id="rId172" Type="http://schemas.openxmlformats.org/officeDocument/2006/relationships/footer" Target="footer70.xml"/><Relationship Id="rId193" Type="http://schemas.openxmlformats.org/officeDocument/2006/relationships/header" Target="header81.xml"/><Relationship Id="rId13" Type="http://schemas.openxmlformats.org/officeDocument/2006/relationships/header" Target="header2.xml"/><Relationship Id="rId109" Type="http://schemas.openxmlformats.org/officeDocument/2006/relationships/header" Target="header39.xml"/><Relationship Id="rId34" Type="http://schemas.openxmlformats.org/officeDocument/2006/relationships/image" Target="media/image12.png"/><Relationship Id="rId50" Type="http://schemas.openxmlformats.org/officeDocument/2006/relationships/footer" Target="footer12.xml"/><Relationship Id="rId55" Type="http://schemas.openxmlformats.org/officeDocument/2006/relationships/header" Target="header15.xml"/><Relationship Id="rId76" Type="http://schemas.openxmlformats.org/officeDocument/2006/relationships/footer" Target="footer25.xml"/><Relationship Id="rId97" Type="http://schemas.openxmlformats.org/officeDocument/2006/relationships/header" Target="header33.xml"/><Relationship Id="rId104" Type="http://schemas.openxmlformats.org/officeDocument/2006/relationships/footer" Target="footer36.xml"/><Relationship Id="rId120" Type="http://schemas.openxmlformats.org/officeDocument/2006/relationships/footer" Target="footer44.xml"/><Relationship Id="rId125" Type="http://schemas.openxmlformats.org/officeDocument/2006/relationships/header" Target="header47.xml"/><Relationship Id="rId141" Type="http://schemas.openxmlformats.org/officeDocument/2006/relationships/header" Target="header55.xml"/><Relationship Id="rId146" Type="http://schemas.openxmlformats.org/officeDocument/2006/relationships/footer" Target="footer57.xml"/><Relationship Id="rId167" Type="http://schemas.openxmlformats.org/officeDocument/2006/relationships/header" Target="header68.xml"/><Relationship Id="rId188" Type="http://schemas.openxmlformats.org/officeDocument/2006/relationships/footer" Target="footer78.xml"/><Relationship Id="rId7" Type="http://schemas.openxmlformats.org/officeDocument/2006/relationships/settings" Target="settings.xml"/><Relationship Id="rId71" Type="http://schemas.openxmlformats.org/officeDocument/2006/relationships/header" Target="header23.xml"/><Relationship Id="rId92" Type="http://schemas.openxmlformats.org/officeDocument/2006/relationships/footer" Target="footer30.xml"/><Relationship Id="rId162" Type="http://schemas.openxmlformats.org/officeDocument/2006/relationships/footer" Target="footer65.xml"/><Relationship Id="rId183" Type="http://schemas.openxmlformats.org/officeDocument/2006/relationships/header" Target="header76.xml"/><Relationship Id="rId2" Type="http://schemas.openxmlformats.org/officeDocument/2006/relationships/customXml" Target="../customXml/item2.xml"/><Relationship Id="rId29" Type="http://schemas.openxmlformats.org/officeDocument/2006/relationships/image" Target="media/image7.png"/><Relationship Id="rId24" Type="http://schemas.openxmlformats.org/officeDocument/2006/relationships/image" Target="media/image2.png"/><Relationship Id="rId40" Type="http://schemas.openxmlformats.org/officeDocument/2006/relationships/header" Target="header8.xml"/><Relationship Id="rId45" Type="http://schemas.openxmlformats.org/officeDocument/2006/relationships/header" Target="header10.xml"/><Relationship Id="rId66" Type="http://schemas.openxmlformats.org/officeDocument/2006/relationships/footer" Target="footer20.xml"/><Relationship Id="rId87" Type="http://schemas.openxmlformats.org/officeDocument/2006/relationships/header" Target="header28.xml"/><Relationship Id="rId110" Type="http://schemas.openxmlformats.org/officeDocument/2006/relationships/footer" Target="footer39.xml"/><Relationship Id="rId115" Type="http://schemas.openxmlformats.org/officeDocument/2006/relationships/header" Target="header42.xml"/><Relationship Id="rId131" Type="http://schemas.openxmlformats.org/officeDocument/2006/relationships/footer" Target="footer49.xml"/><Relationship Id="rId136" Type="http://schemas.openxmlformats.org/officeDocument/2006/relationships/footer" Target="footer52.xml"/><Relationship Id="rId157" Type="http://schemas.openxmlformats.org/officeDocument/2006/relationships/header" Target="header63.xml"/><Relationship Id="rId178" Type="http://schemas.openxmlformats.org/officeDocument/2006/relationships/footer" Target="footer73.xml"/><Relationship Id="rId61" Type="http://schemas.openxmlformats.org/officeDocument/2006/relationships/header" Target="header18.xml"/><Relationship Id="rId82" Type="http://schemas.openxmlformats.org/officeDocument/2006/relationships/hyperlink" Target="https://fr.wikipedia.org/wiki/Bourse_des_valeurs" TargetMode="External"/><Relationship Id="rId152" Type="http://schemas.openxmlformats.org/officeDocument/2006/relationships/footer" Target="footer60.xml"/><Relationship Id="rId173" Type="http://schemas.openxmlformats.org/officeDocument/2006/relationships/header" Target="header71.xml"/><Relationship Id="rId194" Type="http://schemas.openxmlformats.org/officeDocument/2006/relationships/footer" Target="footer81.xml"/><Relationship Id="rId19" Type="http://schemas.openxmlformats.org/officeDocument/2006/relationships/header" Target="header5.xml"/><Relationship Id="rId14" Type="http://schemas.openxmlformats.org/officeDocument/2006/relationships/footer" Target="footer1.xml"/><Relationship Id="rId30" Type="http://schemas.openxmlformats.org/officeDocument/2006/relationships/image" Target="media/image8.png"/><Relationship Id="rId35" Type="http://schemas.openxmlformats.org/officeDocument/2006/relationships/image" Target="media/image13.png"/><Relationship Id="rId56" Type="http://schemas.openxmlformats.org/officeDocument/2006/relationships/footer" Target="footer15.xml"/><Relationship Id="rId77" Type="http://schemas.openxmlformats.org/officeDocument/2006/relationships/header" Target="header26.xml"/><Relationship Id="rId100" Type="http://schemas.openxmlformats.org/officeDocument/2006/relationships/footer" Target="footer34.xml"/><Relationship Id="rId105" Type="http://schemas.openxmlformats.org/officeDocument/2006/relationships/header" Target="header37.xml"/><Relationship Id="rId126" Type="http://schemas.openxmlformats.org/officeDocument/2006/relationships/footer" Target="footer47.xml"/><Relationship Id="rId147" Type="http://schemas.openxmlformats.org/officeDocument/2006/relationships/header" Target="header58.xml"/><Relationship Id="rId168" Type="http://schemas.openxmlformats.org/officeDocument/2006/relationships/footer" Target="footer68.xml"/><Relationship Id="rId8" Type="http://schemas.openxmlformats.org/officeDocument/2006/relationships/webSettings" Target="webSettings.xml"/><Relationship Id="rId51" Type="http://schemas.openxmlformats.org/officeDocument/2006/relationships/header" Target="header13.xml"/><Relationship Id="rId72" Type="http://schemas.openxmlformats.org/officeDocument/2006/relationships/footer" Target="footer23.xml"/><Relationship Id="rId93" Type="http://schemas.openxmlformats.org/officeDocument/2006/relationships/header" Target="header31.xml"/><Relationship Id="rId98" Type="http://schemas.openxmlformats.org/officeDocument/2006/relationships/footer" Target="footer33.xml"/><Relationship Id="rId121" Type="http://schemas.openxmlformats.org/officeDocument/2006/relationships/header" Target="header45.xml"/><Relationship Id="rId142" Type="http://schemas.openxmlformats.org/officeDocument/2006/relationships/footer" Target="footer55.xml"/><Relationship Id="rId163" Type="http://schemas.openxmlformats.org/officeDocument/2006/relationships/header" Target="header66.xml"/><Relationship Id="rId184" Type="http://schemas.openxmlformats.org/officeDocument/2006/relationships/footer" Target="footer76.xml"/><Relationship Id="rId189" Type="http://schemas.openxmlformats.org/officeDocument/2006/relationships/header" Target="header79.xml"/><Relationship Id="rId3" Type="http://schemas.openxmlformats.org/officeDocument/2006/relationships/customXml" Target="../customXml/item3.xml"/><Relationship Id="rId25" Type="http://schemas.openxmlformats.org/officeDocument/2006/relationships/image" Target="media/image3.png"/><Relationship Id="rId46" Type="http://schemas.openxmlformats.org/officeDocument/2006/relationships/footer" Target="footer10.xml"/><Relationship Id="rId67" Type="http://schemas.openxmlformats.org/officeDocument/2006/relationships/header" Target="header21.xml"/><Relationship Id="rId116" Type="http://schemas.openxmlformats.org/officeDocument/2006/relationships/footer" Target="footer42.xml"/><Relationship Id="rId137" Type="http://schemas.openxmlformats.org/officeDocument/2006/relationships/header" Target="header53.xml"/><Relationship Id="rId158" Type="http://schemas.openxmlformats.org/officeDocument/2006/relationships/footer" Target="footer63.xml"/><Relationship Id="rId20" Type="http://schemas.openxmlformats.org/officeDocument/2006/relationships/footer" Target="footer4.xml"/><Relationship Id="rId41" Type="http://schemas.openxmlformats.org/officeDocument/2006/relationships/footer" Target="footer7.xml"/><Relationship Id="rId62" Type="http://schemas.openxmlformats.org/officeDocument/2006/relationships/footer" Target="footer18.xml"/><Relationship Id="rId83" Type="http://schemas.openxmlformats.org/officeDocument/2006/relationships/hyperlink" Target="https://fr.wikipedia.org/wiki/Action_(finance)" TargetMode="External"/><Relationship Id="rId88" Type="http://schemas.openxmlformats.org/officeDocument/2006/relationships/footer" Target="footer28.xml"/><Relationship Id="rId111" Type="http://schemas.openxmlformats.org/officeDocument/2006/relationships/header" Target="header40.xml"/><Relationship Id="rId132" Type="http://schemas.openxmlformats.org/officeDocument/2006/relationships/footer" Target="footer50.xml"/><Relationship Id="rId153" Type="http://schemas.openxmlformats.org/officeDocument/2006/relationships/header" Target="header61.xml"/><Relationship Id="rId174" Type="http://schemas.openxmlformats.org/officeDocument/2006/relationships/footer" Target="footer71.xml"/><Relationship Id="rId179" Type="http://schemas.openxmlformats.org/officeDocument/2006/relationships/header" Target="header74.xml"/><Relationship Id="rId195" Type="http://schemas.openxmlformats.org/officeDocument/2006/relationships/fontTable" Target="fontTable.xml"/><Relationship Id="rId190" Type="http://schemas.openxmlformats.org/officeDocument/2006/relationships/footer" Target="footer79.xml"/><Relationship Id="rId15" Type="http://schemas.openxmlformats.org/officeDocument/2006/relationships/footer" Target="footer2.xml"/><Relationship Id="rId36" Type="http://schemas.openxmlformats.org/officeDocument/2006/relationships/image" Target="media/image14.png"/><Relationship Id="rId57" Type="http://schemas.openxmlformats.org/officeDocument/2006/relationships/header" Target="header16.xml"/><Relationship Id="rId106" Type="http://schemas.openxmlformats.org/officeDocument/2006/relationships/footer" Target="footer37.xml"/><Relationship Id="rId127" Type="http://schemas.openxmlformats.org/officeDocument/2006/relationships/header" Target="header48.xml"/><Relationship Id="rId10" Type="http://schemas.openxmlformats.org/officeDocument/2006/relationships/endnotes" Target="endnotes.xml"/><Relationship Id="rId31" Type="http://schemas.openxmlformats.org/officeDocument/2006/relationships/image" Target="media/image9.png"/><Relationship Id="rId52" Type="http://schemas.openxmlformats.org/officeDocument/2006/relationships/footer" Target="footer13.xml"/><Relationship Id="rId73" Type="http://schemas.openxmlformats.org/officeDocument/2006/relationships/header" Target="header24.xml"/><Relationship Id="rId78" Type="http://schemas.openxmlformats.org/officeDocument/2006/relationships/footer" Target="footer26.xml"/><Relationship Id="rId94" Type="http://schemas.openxmlformats.org/officeDocument/2006/relationships/footer" Target="footer31.xml"/><Relationship Id="rId99" Type="http://schemas.openxmlformats.org/officeDocument/2006/relationships/header" Target="header34.xml"/><Relationship Id="rId101" Type="http://schemas.openxmlformats.org/officeDocument/2006/relationships/header" Target="header35.xml"/><Relationship Id="rId122" Type="http://schemas.openxmlformats.org/officeDocument/2006/relationships/footer" Target="footer45.xml"/><Relationship Id="rId143" Type="http://schemas.openxmlformats.org/officeDocument/2006/relationships/header" Target="header56.xml"/><Relationship Id="rId148" Type="http://schemas.openxmlformats.org/officeDocument/2006/relationships/footer" Target="footer58.xml"/><Relationship Id="rId164" Type="http://schemas.openxmlformats.org/officeDocument/2006/relationships/footer" Target="footer66.xml"/><Relationship Id="rId169" Type="http://schemas.openxmlformats.org/officeDocument/2006/relationships/header" Target="header69.xml"/><Relationship Id="rId185" Type="http://schemas.openxmlformats.org/officeDocument/2006/relationships/header" Target="header77.xm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footer" Target="footer74.xml"/><Relationship Id="rId26" Type="http://schemas.openxmlformats.org/officeDocument/2006/relationships/image" Target="media/image4.png"/><Relationship Id="rId47" Type="http://schemas.openxmlformats.org/officeDocument/2006/relationships/header" Target="header11.xml"/><Relationship Id="rId68" Type="http://schemas.openxmlformats.org/officeDocument/2006/relationships/footer" Target="footer21.xml"/><Relationship Id="rId89" Type="http://schemas.openxmlformats.org/officeDocument/2006/relationships/header" Target="header29.xml"/><Relationship Id="rId112" Type="http://schemas.openxmlformats.org/officeDocument/2006/relationships/footer" Target="footer40.xml"/><Relationship Id="rId133" Type="http://schemas.openxmlformats.org/officeDocument/2006/relationships/header" Target="header51.xml"/><Relationship Id="rId154" Type="http://schemas.openxmlformats.org/officeDocument/2006/relationships/footer" Target="footer61.xml"/><Relationship Id="rId175" Type="http://schemas.openxmlformats.org/officeDocument/2006/relationships/header" Target="header72.xml"/><Relationship Id="rId196" Type="http://schemas.openxmlformats.org/officeDocument/2006/relationships/theme" Target="theme/theme1.xml"/><Relationship Id="rId16" Type="http://schemas.openxmlformats.org/officeDocument/2006/relationships/header" Target="header3.xml"/><Relationship Id="rId37" Type="http://schemas.openxmlformats.org/officeDocument/2006/relationships/image" Target="media/image15.png"/><Relationship Id="rId58" Type="http://schemas.openxmlformats.org/officeDocument/2006/relationships/header" Target="header17.xml"/><Relationship Id="rId79" Type="http://schemas.openxmlformats.org/officeDocument/2006/relationships/header" Target="header27.xml"/><Relationship Id="rId102" Type="http://schemas.openxmlformats.org/officeDocument/2006/relationships/footer" Target="footer35.xml"/><Relationship Id="rId123" Type="http://schemas.openxmlformats.org/officeDocument/2006/relationships/header" Target="header46.xml"/><Relationship Id="rId144" Type="http://schemas.openxmlformats.org/officeDocument/2006/relationships/footer" Target="footer56.xml"/><Relationship Id="rId90" Type="http://schemas.openxmlformats.org/officeDocument/2006/relationships/footer" Target="footer29.xml"/><Relationship Id="rId165" Type="http://schemas.openxmlformats.org/officeDocument/2006/relationships/header" Target="header67.xml"/><Relationship Id="rId186" Type="http://schemas.openxmlformats.org/officeDocument/2006/relationships/header" Target="header78.xml"/><Relationship Id="rId27" Type="http://schemas.openxmlformats.org/officeDocument/2006/relationships/image" Target="media/image5.png"/><Relationship Id="rId48" Type="http://schemas.openxmlformats.org/officeDocument/2006/relationships/footer" Target="footer11.xml"/><Relationship Id="rId69" Type="http://schemas.openxmlformats.org/officeDocument/2006/relationships/header" Target="header22.xml"/><Relationship Id="rId113" Type="http://schemas.openxmlformats.org/officeDocument/2006/relationships/header" Target="header41.xml"/><Relationship Id="rId134" Type="http://schemas.openxmlformats.org/officeDocument/2006/relationships/footer" Target="footer51.xml"/><Relationship Id="rId80" Type="http://schemas.openxmlformats.org/officeDocument/2006/relationships/footer" Target="footer27.xml"/><Relationship Id="rId155" Type="http://schemas.openxmlformats.org/officeDocument/2006/relationships/header" Target="header62.xml"/><Relationship Id="rId176" Type="http://schemas.openxmlformats.org/officeDocument/2006/relationships/footer" Target="footer72.xml"/><Relationship Id="rId17" Type="http://schemas.openxmlformats.org/officeDocument/2006/relationships/footer" Target="footer3.xml"/><Relationship Id="rId38" Type="http://schemas.openxmlformats.org/officeDocument/2006/relationships/image" Target="media/image16.png"/><Relationship Id="rId59" Type="http://schemas.openxmlformats.org/officeDocument/2006/relationships/footer" Target="footer16.xml"/><Relationship Id="rId103" Type="http://schemas.openxmlformats.org/officeDocument/2006/relationships/header" Target="header36.xml"/><Relationship Id="rId124" Type="http://schemas.openxmlformats.org/officeDocument/2006/relationships/footer" Target="footer46.xml"/><Relationship Id="rId70" Type="http://schemas.openxmlformats.org/officeDocument/2006/relationships/footer" Target="footer22.xml"/><Relationship Id="rId91" Type="http://schemas.openxmlformats.org/officeDocument/2006/relationships/header" Target="header30.xml"/><Relationship Id="rId145" Type="http://schemas.openxmlformats.org/officeDocument/2006/relationships/header" Target="header57.xml"/><Relationship Id="rId166" Type="http://schemas.openxmlformats.org/officeDocument/2006/relationships/footer" Target="footer67.xml"/><Relationship Id="rId187" Type="http://schemas.openxmlformats.org/officeDocument/2006/relationships/footer" Target="footer77.xml"/><Relationship Id="rId1" Type="http://schemas.openxmlformats.org/officeDocument/2006/relationships/customXml" Target="../customXml/item1.xml"/><Relationship Id="rId28" Type="http://schemas.openxmlformats.org/officeDocument/2006/relationships/image" Target="media/image6.png"/><Relationship Id="rId49" Type="http://schemas.openxmlformats.org/officeDocument/2006/relationships/header" Target="header12.xml"/><Relationship Id="rId114" Type="http://schemas.openxmlformats.org/officeDocument/2006/relationships/footer" Target="footer41.xml"/><Relationship Id="rId60" Type="http://schemas.openxmlformats.org/officeDocument/2006/relationships/footer" Target="footer17.xml"/><Relationship Id="rId81" Type="http://schemas.openxmlformats.org/officeDocument/2006/relationships/hyperlink" Target="https://fr.wikipedia.org/wiki/Fonds_de_placement" TargetMode="External"/><Relationship Id="rId135" Type="http://schemas.openxmlformats.org/officeDocument/2006/relationships/header" Target="header52.xml"/><Relationship Id="rId156" Type="http://schemas.openxmlformats.org/officeDocument/2006/relationships/footer" Target="footer62.xml"/><Relationship Id="rId177" Type="http://schemas.openxmlformats.org/officeDocument/2006/relationships/header" Target="header73.xml"/><Relationship Id="rId18" Type="http://schemas.openxmlformats.org/officeDocument/2006/relationships/header" Target="header4.xml"/><Relationship Id="rId39" Type="http://schemas.openxmlformats.org/officeDocument/2006/relationships/header" Target="header7.xml"/></Relationships>
</file>

<file path=word/_rels/footnotes.xml.rels><?xml version="1.0" encoding="UTF-8" standalone="yes"?>
<Relationships xmlns="http://schemas.openxmlformats.org/package/2006/relationships"><Relationship Id="rId3" Type="http://schemas.openxmlformats.org/officeDocument/2006/relationships/hyperlink" Target="https://commission.europa.eu/publications/integrated-financial-and-accountability-reporting_en?prefLang=fr" TargetMode="External"/><Relationship Id="rId2" Type="http://schemas.openxmlformats.org/officeDocument/2006/relationships/hyperlink" Target="https://ec.europa.eu/info/publications/integrated-financial-and-accountability-reporting_fr" TargetMode="External"/><Relationship Id="rId1" Type="http://schemas.openxmlformats.org/officeDocument/2006/relationships/hyperlink" Target="https://data.europa.eu/doi/10.2761/302803" TargetMode="External"/><Relationship Id="rId4" Type="http://schemas.openxmlformats.org/officeDocument/2006/relationships/hyperlink" Target="https://eur-lex.europa.eu/legal-content/FR/TXT/PDF/?uri=OJ:L_2024007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VersionClosure xmlns="cf07b5dd-b62f-41d8-bdf3-c607d93458ec" xsi:nil="true"/>
    <ClosureP_x002f_F xmlns="cf07b5dd-b62f-41d8-bdf3-c607d93458ec" xsi:nil="true"/>
    <Entity xmlns="cf07b5dd-b62f-41d8-bdf3-c607d93458ec" xsi:nil="true"/>
    <Typeofinstructions xmlns="cf07b5dd-b62f-41d8-bdf3-c607d93458ec" xsi:nil="true"/>
    <Category xmlns="cf07b5dd-b62f-41d8-bdf3-c607d93458ec" xsi:nil="true"/>
    <Year xmlns="cf07b5dd-b62f-41d8-bdf3-c607d93458ec">2024</Year>
    <DocumentType xmlns="cf07b5dd-b62f-41d8-bdf3-c607d93458ec"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F6C807E458D104F97AC4CDBE48BF256" ma:contentTypeVersion="11" ma:contentTypeDescription="Create a new document." ma:contentTypeScope="" ma:versionID="1ceef3fb9bf652ba3529b40bda15bd6b">
  <xsd:schema xmlns:xsd="http://www.w3.org/2001/XMLSchema" xmlns:xs="http://www.w3.org/2001/XMLSchema" xmlns:p="http://schemas.microsoft.com/office/2006/metadata/properties" xmlns:ns2="cf07b5dd-b62f-41d8-bdf3-c607d93458ec" targetNamespace="http://schemas.microsoft.com/office/2006/metadata/properties" ma:root="true" ma:fieldsID="a31e47594f269459a5c674a5c278d2d4" ns2:_="">
    <xsd:import namespace="cf07b5dd-b62f-41d8-bdf3-c607d93458ec"/>
    <xsd:element name="properties">
      <xsd:complexType>
        <xsd:sequence>
          <xsd:element name="documentManagement">
            <xsd:complexType>
              <xsd:all>
                <xsd:element ref="ns2:Category" minOccurs="0"/>
                <xsd:element ref="ns2:Entity" minOccurs="0"/>
                <xsd:element ref="ns2:Year" minOccurs="0"/>
                <xsd:element ref="ns2:VersionClosure" minOccurs="0"/>
                <xsd:element ref="ns2:ClosureP_x002f_F" minOccurs="0"/>
                <xsd:element ref="ns2:DocumentType" minOccurs="0"/>
                <xsd:element ref="ns2:MediaServiceMetadata" minOccurs="0"/>
                <xsd:element ref="ns2:MediaServiceFastMetadata" minOccurs="0"/>
                <xsd:element ref="ns2:MediaServiceSearchProperties" minOccurs="0"/>
                <xsd:element ref="ns2:MediaServiceObjectDetectorVersions" minOccurs="0"/>
                <xsd:element ref="ns2:Typeofinstruct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07b5dd-b62f-41d8-bdf3-c607d93458ec" elementFormDefault="qualified">
    <xsd:import namespace="http://schemas.microsoft.com/office/2006/documentManagement/types"/>
    <xsd:import namespace="http://schemas.microsoft.com/office/infopath/2007/PartnerControls"/>
    <xsd:element name="Category" ma:index="8" nillable="true" ma:displayName="Category" ma:format="Dropdown" ma:internalName="Category">
      <xsd:simpleType>
        <xsd:restriction base="dms:Choice">
          <xsd:enumeration value="Accounts"/>
          <xsd:enumeration value="Planning &amp; Coordination"/>
          <xsd:enumeration value="Audit"/>
        </xsd:restriction>
      </xsd:simpleType>
    </xsd:element>
    <xsd:element name="Entity" ma:index="9" nillable="true" ma:displayName="Entity" ma:format="Dropdown" ma:internalName="Entity">
      <xsd:simpleType>
        <xsd:restriction base="dms:Choice">
          <xsd:enumeration value="EC"/>
          <xsd:enumeration value="EU"/>
        </xsd:restriction>
      </xsd:simpleType>
    </xsd:element>
    <xsd:element name="Year" ma:index="10" nillable="true" ma:displayName="Year" ma:default="2024" ma:format="Dropdown" ma:internalName="Year">
      <xsd:simpleType>
        <xsd:restriction base="dms:Choice">
          <xsd:enumeration value="2023"/>
          <xsd:enumeration value="2024"/>
          <xsd:enumeration value="2025"/>
        </xsd:restriction>
      </xsd:simpleType>
    </xsd:element>
    <xsd:element name="VersionClosure" ma:index="11" nillable="true" ma:displayName="Closure version" ma:decimals="0" ma:format="Dropdown" ma:internalName="VersionClosure" ma:percentage="FALSE">
      <xsd:simpleType>
        <xsd:restriction base="dms:Number"/>
      </xsd:simpleType>
    </xsd:element>
    <xsd:element name="ClosureP_x002f_F" ma:index="12" nillable="true" ma:displayName="Closure P/F" ma:format="Dropdown" ma:internalName="ClosureP_x002f_F">
      <xsd:simpleType>
        <xsd:restriction base="dms:Choice">
          <xsd:enumeration value="Provisional"/>
          <xsd:enumeration value="Final"/>
        </xsd:restriction>
      </xsd:simpleType>
    </xsd:element>
    <xsd:element name="DocumentType" ma:index="13" nillable="true" ma:displayName="Document Type" ma:format="Dropdown" ma:internalName="DocumentType">
      <xsd:simpleType>
        <xsd:restriction base="dms:Choice">
          <xsd:enumeration value="Annexes"/>
          <xsd:enumeration value="FSDA"/>
          <xsd:enumeration value="IFAR"/>
          <xsd:enumeration value="Consistency check"/>
          <xsd:enumeration value="DM alignment"/>
          <xsd:enumeration value="Foreword"/>
          <xsd:enumeration value="Instructions"/>
          <xsd:enumeration value="Notes"/>
          <xsd:enumeration value="Coordination"/>
          <xsd:enumeration value="Dashboard"/>
          <xsd:enumeration value="MRL"/>
          <xsd:enumeration value="Debriefing"/>
          <xsd:enumeration value="Clearing letter"/>
          <xsd:enumeration value="Management letter"/>
          <xsd:enumeration value="Meeting minutes"/>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Typeofinstructions" ma:index="18" nillable="true" ma:displayName="Type of instructions" ma:format="Dropdown" ma:internalName="Typeofinstruction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CCDE2E-C4E6-498E-83C0-12F3771E64F8}">
  <ds:schemaRefs>
    <ds:schemaRef ds:uri="http://schemas.microsoft.com/office/2006/metadata/properties"/>
    <ds:schemaRef ds:uri="http://schemas.microsoft.com/office/infopath/2007/PartnerControls"/>
    <ds:schemaRef ds:uri="cf07b5dd-b62f-41d8-bdf3-c607d93458ec"/>
  </ds:schemaRefs>
</ds:datastoreItem>
</file>

<file path=customXml/itemProps2.xml><?xml version="1.0" encoding="utf-8"?>
<ds:datastoreItem xmlns:ds="http://schemas.openxmlformats.org/officeDocument/2006/customXml" ds:itemID="{1D46953A-7C86-4ACA-B6FB-E575290825E7}">
  <ds:schemaRefs>
    <ds:schemaRef ds:uri="http://schemas.openxmlformats.org/officeDocument/2006/bibliography"/>
  </ds:schemaRefs>
</ds:datastoreItem>
</file>

<file path=customXml/itemProps3.xml><?xml version="1.0" encoding="utf-8"?>
<ds:datastoreItem xmlns:ds="http://schemas.openxmlformats.org/officeDocument/2006/customXml" ds:itemID="{8EA67C20-CB43-43B4-978C-5EFAD45A4B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07b5dd-b62f-41d8-bdf3-c607d93458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47FF27A-03EF-408B-A9F5-B41FF274924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326</TotalTime>
  <Pages>6</Pages>
  <Words>85714</Words>
  <Characters>488573</Characters>
  <Application>Microsoft Office Word</Application>
  <DocSecurity>0</DocSecurity>
  <Lines>4071</Lines>
  <Paragraphs>1146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573141</CharactersWithSpaces>
  <SharedDoc>false</SharedDoc>
  <HLinks>
    <vt:vector size="534" baseType="variant">
      <vt:variant>
        <vt:i4>1441843</vt:i4>
      </vt:variant>
      <vt:variant>
        <vt:i4>503</vt:i4>
      </vt:variant>
      <vt:variant>
        <vt:i4>0</vt:i4>
      </vt:variant>
      <vt:variant>
        <vt:i4>5</vt:i4>
      </vt:variant>
      <vt:variant>
        <vt:lpwstr/>
      </vt:variant>
      <vt:variant>
        <vt:lpwstr>_Toc232674406</vt:lpwstr>
      </vt:variant>
      <vt:variant>
        <vt:i4>1441843</vt:i4>
      </vt:variant>
      <vt:variant>
        <vt:i4>497</vt:i4>
      </vt:variant>
      <vt:variant>
        <vt:i4>0</vt:i4>
      </vt:variant>
      <vt:variant>
        <vt:i4>5</vt:i4>
      </vt:variant>
      <vt:variant>
        <vt:lpwstr/>
      </vt:variant>
      <vt:variant>
        <vt:lpwstr>_Toc232674405</vt:lpwstr>
      </vt:variant>
      <vt:variant>
        <vt:i4>1441843</vt:i4>
      </vt:variant>
      <vt:variant>
        <vt:i4>491</vt:i4>
      </vt:variant>
      <vt:variant>
        <vt:i4>0</vt:i4>
      </vt:variant>
      <vt:variant>
        <vt:i4>5</vt:i4>
      </vt:variant>
      <vt:variant>
        <vt:lpwstr/>
      </vt:variant>
      <vt:variant>
        <vt:lpwstr>_Toc232674404</vt:lpwstr>
      </vt:variant>
      <vt:variant>
        <vt:i4>1441843</vt:i4>
      </vt:variant>
      <vt:variant>
        <vt:i4>485</vt:i4>
      </vt:variant>
      <vt:variant>
        <vt:i4>0</vt:i4>
      </vt:variant>
      <vt:variant>
        <vt:i4>5</vt:i4>
      </vt:variant>
      <vt:variant>
        <vt:lpwstr/>
      </vt:variant>
      <vt:variant>
        <vt:lpwstr>_Toc232674403</vt:lpwstr>
      </vt:variant>
      <vt:variant>
        <vt:i4>1441843</vt:i4>
      </vt:variant>
      <vt:variant>
        <vt:i4>479</vt:i4>
      </vt:variant>
      <vt:variant>
        <vt:i4>0</vt:i4>
      </vt:variant>
      <vt:variant>
        <vt:i4>5</vt:i4>
      </vt:variant>
      <vt:variant>
        <vt:lpwstr/>
      </vt:variant>
      <vt:variant>
        <vt:lpwstr>_Toc232674402</vt:lpwstr>
      </vt:variant>
      <vt:variant>
        <vt:i4>1441843</vt:i4>
      </vt:variant>
      <vt:variant>
        <vt:i4>473</vt:i4>
      </vt:variant>
      <vt:variant>
        <vt:i4>0</vt:i4>
      </vt:variant>
      <vt:variant>
        <vt:i4>5</vt:i4>
      </vt:variant>
      <vt:variant>
        <vt:lpwstr/>
      </vt:variant>
      <vt:variant>
        <vt:lpwstr>_Toc232674401</vt:lpwstr>
      </vt:variant>
      <vt:variant>
        <vt:i4>1441843</vt:i4>
      </vt:variant>
      <vt:variant>
        <vt:i4>467</vt:i4>
      </vt:variant>
      <vt:variant>
        <vt:i4>0</vt:i4>
      </vt:variant>
      <vt:variant>
        <vt:i4>5</vt:i4>
      </vt:variant>
      <vt:variant>
        <vt:lpwstr/>
      </vt:variant>
      <vt:variant>
        <vt:lpwstr>_Toc232674400</vt:lpwstr>
      </vt:variant>
      <vt:variant>
        <vt:i4>2031668</vt:i4>
      </vt:variant>
      <vt:variant>
        <vt:i4>461</vt:i4>
      </vt:variant>
      <vt:variant>
        <vt:i4>0</vt:i4>
      </vt:variant>
      <vt:variant>
        <vt:i4>5</vt:i4>
      </vt:variant>
      <vt:variant>
        <vt:lpwstr/>
      </vt:variant>
      <vt:variant>
        <vt:lpwstr>_Toc232674399</vt:lpwstr>
      </vt:variant>
      <vt:variant>
        <vt:i4>2031668</vt:i4>
      </vt:variant>
      <vt:variant>
        <vt:i4>455</vt:i4>
      </vt:variant>
      <vt:variant>
        <vt:i4>0</vt:i4>
      </vt:variant>
      <vt:variant>
        <vt:i4>5</vt:i4>
      </vt:variant>
      <vt:variant>
        <vt:lpwstr/>
      </vt:variant>
      <vt:variant>
        <vt:lpwstr>_Toc232674398</vt:lpwstr>
      </vt:variant>
      <vt:variant>
        <vt:i4>2031668</vt:i4>
      </vt:variant>
      <vt:variant>
        <vt:i4>449</vt:i4>
      </vt:variant>
      <vt:variant>
        <vt:i4>0</vt:i4>
      </vt:variant>
      <vt:variant>
        <vt:i4>5</vt:i4>
      </vt:variant>
      <vt:variant>
        <vt:lpwstr/>
      </vt:variant>
      <vt:variant>
        <vt:lpwstr>_Toc232674397</vt:lpwstr>
      </vt:variant>
      <vt:variant>
        <vt:i4>2031668</vt:i4>
      </vt:variant>
      <vt:variant>
        <vt:i4>443</vt:i4>
      </vt:variant>
      <vt:variant>
        <vt:i4>0</vt:i4>
      </vt:variant>
      <vt:variant>
        <vt:i4>5</vt:i4>
      </vt:variant>
      <vt:variant>
        <vt:lpwstr/>
      </vt:variant>
      <vt:variant>
        <vt:lpwstr>_Toc232674396</vt:lpwstr>
      </vt:variant>
      <vt:variant>
        <vt:i4>2031668</vt:i4>
      </vt:variant>
      <vt:variant>
        <vt:i4>437</vt:i4>
      </vt:variant>
      <vt:variant>
        <vt:i4>0</vt:i4>
      </vt:variant>
      <vt:variant>
        <vt:i4>5</vt:i4>
      </vt:variant>
      <vt:variant>
        <vt:lpwstr/>
      </vt:variant>
      <vt:variant>
        <vt:lpwstr>_Toc232674395</vt:lpwstr>
      </vt:variant>
      <vt:variant>
        <vt:i4>2031668</vt:i4>
      </vt:variant>
      <vt:variant>
        <vt:i4>431</vt:i4>
      </vt:variant>
      <vt:variant>
        <vt:i4>0</vt:i4>
      </vt:variant>
      <vt:variant>
        <vt:i4>5</vt:i4>
      </vt:variant>
      <vt:variant>
        <vt:lpwstr/>
      </vt:variant>
      <vt:variant>
        <vt:lpwstr>_Toc232674394</vt:lpwstr>
      </vt:variant>
      <vt:variant>
        <vt:i4>2031668</vt:i4>
      </vt:variant>
      <vt:variant>
        <vt:i4>425</vt:i4>
      </vt:variant>
      <vt:variant>
        <vt:i4>0</vt:i4>
      </vt:variant>
      <vt:variant>
        <vt:i4>5</vt:i4>
      </vt:variant>
      <vt:variant>
        <vt:lpwstr/>
      </vt:variant>
      <vt:variant>
        <vt:lpwstr>_Toc232674393</vt:lpwstr>
      </vt:variant>
      <vt:variant>
        <vt:i4>2031668</vt:i4>
      </vt:variant>
      <vt:variant>
        <vt:i4>419</vt:i4>
      </vt:variant>
      <vt:variant>
        <vt:i4>0</vt:i4>
      </vt:variant>
      <vt:variant>
        <vt:i4>5</vt:i4>
      </vt:variant>
      <vt:variant>
        <vt:lpwstr/>
      </vt:variant>
      <vt:variant>
        <vt:lpwstr>_Toc232674392</vt:lpwstr>
      </vt:variant>
      <vt:variant>
        <vt:i4>2031668</vt:i4>
      </vt:variant>
      <vt:variant>
        <vt:i4>413</vt:i4>
      </vt:variant>
      <vt:variant>
        <vt:i4>0</vt:i4>
      </vt:variant>
      <vt:variant>
        <vt:i4>5</vt:i4>
      </vt:variant>
      <vt:variant>
        <vt:lpwstr/>
      </vt:variant>
      <vt:variant>
        <vt:lpwstr>_Toc232674391</vt:lpwstr>
      </vt:variant>
      <vt:variant>
        <vt:i4>2031668</vt:i4>
      </vt:variant>
      <vt:variant>
        <vt:i4>407</vt:i4>
      </vt:variant>
      <vt:variant>
        <vt:i4>0</vt:i4>
      </vt:variant>
      <vt:variant>
        <vt:i4>5</vt:i4>
      </vt:variant>
      <vt:variant>
        <vt:lpwstr/>
      </vt:variant>
      <vt:variant>
        <vt:lpwstr>_Toc232674390</vt:lpwstr>
      </vt:variant>
      <vt:variant>
        <vt:i4>1966132</vt:i4>
      </vt:variant>
      <vt:variant>
        <vt:i4>401</vt:i4>
      </vt:variant>
      <vt:variant>
        <vt:i4>0</vt:i4>
      </vt:variant>
      <vt:variant>
        <vt:i4>5</vt:i4>
      </vt:variant>
      <vt:variant>
        <vt:lpwstr/>
      </vt:variant>
      <vt:variant>
        <vt:lpwstr>_Toc232674389</vt:lpwstr>
      </vt:variant>
      <vt:variant>
        <vt:i4>1966132</vt:i4>
      </vt:variant>
      <vt:variant>
        <vt:i4>395</vt:i4>
      </vt:variant>
      <vt:variant>
        <vt:i4>0</vt:i4>
      </vt:variant>
      <vt:variant>
        <vt:i4>5</vt:i4>
      </vt:variant>
      <vt:variant>
        <vt:lpwstr/>
      </vt:variant>
      <vt:variant>
        <vt:lpwstr>_Toc232674388</vt:lpwstr>
      </vt:variant>
      <vt:variant>
        <vt:i4>1966132</vt:i4>
      </vt:variant>
      <vt:variant>
        <vt:i4>389</vt:i4>
      </vt:variant>
      <vt:variant>
        <vt:i4>0</vt:i4>
      </vt:variant>
      <vt:variant>
        <vt:i4>5</vt:i4>
      </vt:variant>
      <vt:variant>
        <vt:lpwstr/>
      </vt:variant>
      <vt:variant>
        <vt:lpwstr>_Toc232674387</vt:lpwstr>
      </vt:variant>
      <vt:variant>
        <vt:i4>1966132</vt:i4>
      </vt:variant>
      <vt:variant>
        <vt:i4>383</vt:i4>
      </vt:variant>
      <vt:variant>
        <vt:i4>0</vt:i4>
      </vt:variant>
      <vt:variant>
        <vt:i4>5</vt:i4>
      </vt:variant>
      <vt:variant>
        <vt:lpwstr/>
      </vt:variant>
      <vt:variant>
        <vt:lpwstr>_Toc232674386</vt:lpwstr>
      </vt:variant>
      <vt:variant>
        <vt:i4>1966132</vt:i4>
      </vt:variant>
      <vt:variant>
        <vt:i4>377</vt:i4>
      </vt:variant>
      <vt:variant>
        <vt:i4>0</vt:i4>
      </vt:variant>
      <vt:variant>
        <vt:i4>5</vt:i4>
      </vt:variant>
      <vt:variant>
        <vt:lpwstr/>
      </vt:variant>
      <vt:variant>
        <vt:lpwstr>_Toc232674385</vt:lpwstr>
      </vt:variant>
      <vt:variant>
        <vt:i4>1966132</vt:i4>
      </vt:variant>
      <vt:variant>
        <vt:i4>371</vt:i4>
      </vt:variant>
      <vt:variant>
        <vt:i4>0</vt:i4>
      </vt:variant>
      <vt:variant>
        <vt:i4>5</vt:i4>
      </vt:variant>
      <vt:variant>
        <vt:lpwstr/>
      </vt:variant>
      <vt:variant>
        <vt:lpwstr>_Toc232674384</vt:lpwstr>
      </vt:variant>
      <vt:variant>
        <vt:i4>1966132</vt:i4>
      </vt:variant>
      <vt:variant>
        <vt:i4>365</vt:i4>
      </vt:variant>
      <vt:variant>
        <vt:i4>0</vt:i4>
      </vt:variant>
      <vt:variant>
        <vt:i4>5</vt:i4>
      </vt:variant>
      <vt:variant>
        <vt:lpwstr/>
      </vt:variant>
      <vt:variant>
        <vt:lpwstr>_Toc232674383</vt:lpwstr>
      </vt:variant>
      <vt:variant>
        <vt:i4>1966132</vt:i4>
      </vt:variant>
      <vt:variant>
        <vt:i4>359</vt:i4>
      </vt:variant>
      <vt:variant>
        <vt:i4>0</vt:i4>
      </vt:variant>
      <vt:variant>
        <vt:i4>5</vt:i4>
      </vt:variant>
      <vt:variant>
        <vt:lpwstr/>
      </vt:variant>
      <vt:variant>
        <vt:lpwstr>_Toc232674382</vt:lpwstr>
      </vt:variant>
      <vt:variant>
        <vt:i4>1966132</vt:i4>
      </vt:variant>
      <vt:variant>
        <vt:i4>353</vt:i4>
      </vt:variant>
      <vt:variant>
        <vt:i4>0</vt:i4>
      </vt:variant>
      <vt:variant>
        <vt:i4>5</vt:i4>
      </vt:variant>
      <vt:variant>
        <vt:lpwstr/>
      </vt:variant>
      <vt:variant>
        <vt:lpwstr>_Toc232674381</vt:lpwstr>
      </vt:variant>
      <vt:variant>
        <vt:i4>1966132</vt:i4>
      </vt:variant>
      <vt:variant>
        <vt:i4>347</vt:i4>
      </vt:variant>
      <vt:variant>
        <vt:i4>0</vt:i4>
      </vt:variant>
      <vt:variant>
        <vt:i4>5</vt:i4>
      </vt:variant>
      <vt:variant>
        <vt:lpwstr/>
      </vt:variant>
      <vt:variant>
        <vt:lpwstr>_Toc232674380</vt:lpwstr>
      </vt:variant>
      <vt:variant>
        <vt:i4>1114164</vt:i4>
      </vt:variant>
      <vt:variant>
        <vt:i4>341</vt:i4>
      </vt:variant>
      <vt:variant>
        <vt:i4>0</vt:i4>
      </vt:variant>
      <vt:variant>
        <vt:i4>5</vt:i4>
      </vt:variant>
      <vt:variant>
        <vt:lpwstr/>
      </vt:variant>
      <vt:variant>
        <vt:lpwstr>_Toc232674379</vt:lpwstr>
      </vt:variant>
      <vt:variant>
        <vt:i4>1114164</vt:i4>
      </vt:variant>
      <vt:variant>
        <vt:i4>335</vt:i4>
      </vt:variant>
      <vt:variant>
        <vt:i4>0</vt:i4>
      </vt:variant>
      <vt:variant>
        <vt:i4>5</vt:i4>
      </vt:variant>
      <vt:variant>
        <vt:lpwstr/>
      </vt:variant>
      <vt:variant>
        <vt:lpwstr>_Toc232674378</vt:lpwstr>
      </vt:variant>
      <vt:variant>
        <vt:i4>1114164</vt:i4>
      </vt:variant>
      <vt:variant>
        <vt:i4>329</vt:i4>
      </vt:variant>
      <vt:variant>
        <vt:i4>0</vt:i4>
      </vt:variant>
      <vt:variant>
        <vt:i4>5</vt:i4>
      </vt:variant>
      <vt:variant>
        <vt:lpwstr/>
      </vt:variant>
      <vt:variant>
        <vt:lpwstr>_Toc232674377</vt:lpwstr>
      </vt:variant>
      <vt:variant>
        <vt:i4>1114164</vt:i4>
      </vt:variant>
      <vt:variant>
        <vt:i4>323</vt:i4>
      </vt:variant>
      <vt:variant>
        <vt:i4>0</vt:i4>
      </vt:variant>
      <vt:variant>
        <vt:i4>5</vt:i4>
      </vt:variant>
      <vt:variant>
        <vt:lpwstr/>
      </vt:variant>
      <vt:variant>
        <vt:lpwstr>_Toc232674376</vt:lpwstr>
      </vt:variant>
      <vt:variant>
        <vt:i4>1114164</vt:i4>
      </vt:variant>
      <vt:variant>
        <vt:i4>317</vt:i4>
      </vt:variant>
      <vt:variant>
        <vt:i4>0</vt:i4>
      </vt:variant>
      <vt:variant>
        <vt:i4>5</vt:i4>
      </vt:variant>
      <vt:variant>
        <vt:lpwstr/>
      </vt:variant>
      <vt:variant>
        <vt:lpwstr>_Toc232674375</vt:lpwstr>
      </vt:variant>
      <vt:variant>
        <vt:i4>1638523</vt:i4>
      </vt:variant>
      <vt:variant>
        <vt:i4>312</vt:i4>
      </vt:variant>
      <vt:variant>
        <vt:i4>0</vt:i4>
      </vt:variant>
      <vt:variant>
        <vt:i4>5</vt:i4>
      </vt:variant>
      <vt:variant>
        <vt:lpwstr>https://en.wikipedia.org/wiki/Futures_contracts</vt:lpwstr>
      </vt:variant>
      <vt:variant>
        <vt:lpwstr/>
      </vt:variant>
      <vt:variant>
        <vt:i4>6160390</vt:i4>
      </vt:variant>
      <vt:variant>
        <vt:i4>309</vt:i4>
      </vt:variant>
      <vt:variant>
        <vt:i4>0</vt:i4>
      </vt:variant>
      <vt:variant>
        <vt:i4>5</vt:i4>
      </vt:variant>
      <vt:variant>
        <vt:lpwstr>https://en.wikipedia.org/wiki/Currencies</vt:lpwstr>
      </vt:variant>
      <vt:variant>
        <vt:lpwstr/>
      </vt:variant>
      <vt:variant>
        <vt:i4>4980772</vt:i4>
      </vt:variant>
      <vt:variant>
        <vt:i4>306</vt:i4>
      </vt:variant>
      <vt:variant>
        <vt:i4>0</vt:i4>
      </vt:variant>
      <vt:variant>
        <vt:i4>5</vt:i4>
      </vt:variant>
      <vt:variant>
        <vt:lpwstr>https://en.wikipedia.org/wiki/Bond_(finance)</vt:lpwstr>
      </vt:variant>
      <vt:variant>
        <vt:lpwstr/>
      </vt:variant>
      <vt:variant>
        <vt:i4>3801192</vt:i4>
      </vt:variant>
      <vt:variant>
        <vt:i4>303</vt:i4>
      </vt:variant>
      <vt:variant>
        <vt:i4>0</vt:i4>
      </vt:variant>
      <vt:variant>
        <vt:i4>5</vt:i4>
      </vt:variant>
      <vt:variant>
        <vt:lpwstr>https://en.wikipedia.org/wiki/Stock</vt:lpwstr>
      </vt:variant>
      <vt:variant>
        <vt:lpwstr/>
      </vt:variant>
      <vt:variant>
        <vt:i4>8257539</vt:i4>
      </vt:variant>
      <vt:variant>
        <vt:i4>300</vt:i4>
      </vt:variant>
      <vt:variant>
        <vt:i4>0</vt:i4>
      </vt:variant>
      <vt:variant>
        <vt:i4>5</vt:i4>
      </vt:variant>
      <vt:variant>
        <vt:lpwstr>https://en.wikipedia.org/wiki/Stock_exchange</vt:lpwstr>
      </vt:variant>
      <vt:variant>
        <vt:lpwstr/>
      </vt:variant>
      <vt:variant>
        <vt:i4>4915249</vt:i4>
      </vt:variant>
      <vt:variant>
        <vt:i4>297</vt:i4>
      </vt:variant>
      <vt:variant>
        <vt:i4>0</vt:i4>
      </vt:variant>
      <vt:variant>
        <vt:i4>5</vt:i4>
      </vt:variant>
      <vt:variant>
        <vt:lpwstr>https://en.wikipedia.org/wiki/Investment_fund</vt:lpwstr>
      </vt:variant>
      <vt:variant>
        <vt:lpwstr/>
      </vt:variant>
      <vt:variant>
        <vt:i4>1835066</vt:i4>
      </vt:variant>
      <vt:variant>
        <vt:i4>290</vt:i4>
      </vt:variant>
      <vt:variant>
        <vt:i4>0</vt:i4>
      </vt:variant>
      <vt:variant>
        <vt:i4>5</vt:i4>
      </vt:variant>
      <vt:variant>
        <vt:lpwstr/>
      </vt:variant>
      <vt:variant>
        <vt:lpwstr>_Toc232438946</vt:lpwstr>
      </vt:variant>
      <vt:variant>
        <vt:i4>1835066</vt:i4>
      </vt:variant>
      <vt:variant>
        <vt:i4>284</vt:i4>
      </vt:variant>
      <vt:variant>
        <vt:i4>0</vt:i4>
      </vt:variant>
      <vt:variant>
        <vt:i4>5</vt:i4>
      </vt:variant>
      <vt:variant>
        <vt:lpwstr/>
      </vt:variant>
      <vt:variant>
        <vt:lpwstr>_Toc232438945</vt:lpwstr>
      </vt:variant>
      <vt:variant>
        <vt:i4>1835066</vt:i4>
      </vt:variant>
      <vt:variant>
        <vt:i4>278</vt:i4>
      </vt:variant>
      <vt:variant>
        <vt:i4>0</vt:i4>
      </vt:variant>
      <vt:variant>
        <vt:i4>5</vt:i4>
      </vt:variant>
      <vt:variant>
        <vt:lpwstr/>
      </vt:variant>
      <vt:variant>
        <vt:lpwstr>_Toc232438944</vt:lpwstr>
      </vt:variant>
      <vt:variant>
        <vt:i4>1835066</vt:i4>
      </vt:variant>
      <vt:variant>
        <vt:i4>272</vt:i4>
      </vt:variant>
      <vt:variant>
        <vt:i4>0</vt:i4>
      </vt:variant>
      <vt:variant>
        <vt:i4>5</vt:i4>
      </vt:variant>
      <vt:variant>
        <vt:lpwstr/>
      </vt:variant>
      <vt:variant>
        <vt:lpwstr>_Toc232438943</vt:lpwstr>
      </vt:variant>
      <vt:variant>
        <vt:i4>1835066</vt:i4>
      </vt:variant>
      <vt:variant>
        <vt:i4>266</vt:i4>
      </vt:variant>
      <vt:variant>
        <vt:i4>0</vt:i4>
      </vt:variant>
      <vt:variant>
        <vt:i4>5</vt:i4>
      </vt:variant>
      <vt:variant>
        <vt:lpwstr/>
      </vt:variant>
      <vt:variant>
        <vt:lpwstr>_Toc232438942</vt:lpwstr>
      </vt:variant>
      <vt:variant>
        <vt:i4>1835066</vt:i4>
      </vt:variant>
      <vt:variant>
        <vt:i4>260</vt:i4>
      </vt:variant>
      <vt:variant>
        <vt:i4>0</vt:i4>
      </vt:variant>
      <vt:variant>
        <vt:i4>5</vt:i4>
      </vt:variant>
      <vt:variant>
        <vt:lpwstr/>
      </vt:variant>
      <vt:variant>
        <vt:lpwstr>_Toc232438941</vt:lpwstr>
      </vt:variant>
      <vt:variant>
        <vt:i4>1835066</vt:i4>
      </vt:variant>
      <vt:variant>
        <vt:i4>254</vt:i4>
      </vt:variant>
      <vt:variant>
        <vt:i4>0</vt:i4>
      </vt:variant>
      <vt:variant>
        <vt:i4>5</vt:i4>
      </vt:variant>
      <vt:variant>
        <vt:lpwstr/>
      </vt:variant>
      <vt:variant>
        <vt:lpwstr>_Toc232438940</vt:lpwstr>
      </vt:variant>
      <vt:variant>
        <vt:i4>1769530</vt:i4>
      </vt:variant>
      <vt:variant>
        <vt:i4>248</vt:i4>
      </vt:variant>
      <vt:variant>
        <vt:i4>0</vt:i4>
      </vt:variant>
      <vt:variant>
        <vt:i4>5</vt:i4>
      </vt:variant>
      <vt:variant>
        <vt:lpwstr/>
      </vt:variant>
      <vt:variant>
        <vt:lpwstr>_Toc232438939</vt:lpwstr>
      </vt:variant>
      <vt:variant>
        <vt:i4>1769530</vt:i4>
      </vt:variant>
      <vt:variant>
        <vt:i4>242</vt:i4>
      </vt:variant>
      <vt:variant>
        <vt:i4>0</vt:i4>
      </vt:variant>
      <vt:variant>
        <vt:i4>5</vt:i4>
      </vt:variant>
      <vt:variant>
        <vt:lpwstr/>
      </vt:variant>
      <vt:variant>
        <vt:lpwstr>_Toc232438938</vt:lpwstr>
      </vt:variant>
      <vt:variant>
        <vt:i4>1769530</vt:i4>
      </vt:variant>
      <vt:variant>
        <vt:i4>236</vt:i4>
      </vt:variant>
      <vt:variant>
        <vt:i4>0</vt:i4>
      </vt:variant>
      <vt:variant>
        <vt:i4>5</vt:i4>
      </vt:variant>
      <vt:variant>
        <vt:lpwstr/>
      </vt:variant>
      <vt:variant>
        <vt:lpwstr>_Toc232438937</vt:lpwstr>
      </vt:variant>
      <vt:variant>
        <vt:i4>1769530</vt:i4>
      </vt:variant>
      <vt:variant>
        <vt:i4>230</vt:i4>
      </vt:variant>
      <vt:variant>
        <vt:i4>0</vt:i4>
      </vt:variant>
      <vt:variant>
        <vt:i4>5</vt:i4>
      </vt:variant>
      <vt:variant>
        <vt:lpwstr/>
      </vt:variant>
      <vt:variant>
        <vt:lpwstr>_Toc232438936</vt:lpwstr>
      </vt:variant>
      <vt:variant>
        <vt:i4>1769530</vt:i4>
      </vt:variant>
      <vt:variant>
        <vt:i4>224</vt:i4>
      </vt:variant>
      <vt:variant>
        <vt:i4>0</vt:i4>
      </vt:variant>
      <vt:variant>
        <vt:i4>5</vt:i4>
      </vt:variant>
      <vt:variant>
        <vt:lpwstr/>
      </vt:variant>
      <vt:variant>
        <vt:lpwstr>_Toc232438935</vt:lpwstr>
      </vt:variant>
      <vt:variant>
        <vt:i4>1769530</vt:i4>
      </vt:variant>
      <vt:variant>
        <vt:i4>218</vt:i4>
      </vt:variant>
      <vt:variant>
        <vt:i4>0</vt:i4>
      </vt:variant>
      <vt:variant>
        <vt:i4>5</vt:i4>
      </vt:variant>
      <vt:variant>
        <vt:lpwstr/>
      </vt:variant>
      <vt:variant>
        <vt:lpwstr>_Toc232438934</vt:lpwstr>
      </vt:variant>
      <vt:variant>
        <vt:i4>1769530</vt:i4>
      </vt:variant>
      <vt:variant>
        <vt:i4>212</vt:i4>
      </vt:variant>
      <vt:variant>
        <vt:i4>0</vt:i4>
      </vt:variant>
      <vt:variant>
        <vt:i4>5</vt:i4>
      </vt:variant>
      <vt:variant>
        <vt:lpwstr/>
      </vt:variant>
      <vt:variant>
        <vt:lpwstr>_Toc232438933</vt:lpwstr>
      </vt:variant>
      <vt:variant>
        <vt:i4>1048624</vt:i4>
      </vt:variant>
      <vt:variant>
        <vt:i4>203</vt:i4>
      </vt:variant>
      <vt:variant>
        <vt:i4>0</vt:i4>
      </vt:variant>
      <vt:variant>
        <vt:i4>5</vt:i4>
      </vt:variant>
      <vt:variant>
        <vt:lpwstr/>
      </vt:variant>
      <vt:variant>
        <vt:lpwstr>_Toc232671739</vt:lpwstr>
      </vt:variant>
      <vt:variant>
        <vt:i4>1048624</vt:i4>
      </vt:variant>
      <vt:variant>
        <vt:i4>197</vt:i4>
      </vt:variant>
      <vt:variant>
        <vt:i4>0</vt:i4>
      </vt:variant>
      <vt:variant>
        <vt:i4>5</vt:i4>
      </vt:variant>
      <vt:variant>
        <vt:lpwstr/>
      </vt:variant>
      <vt:variant>
        <vt:lpwstr>_Toc232671738</vt:lpwstr>
      </vt:variant>
      <vt:variant>
        <vt:i4>1048624</vt:i4>
      </vt:variant>
      <vt:variant>
        <vt:i4>191</vt:i4>
      </vt:variant>
      <vt:variant>
        <vt:i4>0</vt:i4>
      </vt:variant>
      <vt:variant>
        <vt:i4>5</vt:i4>
      </vt:variant>
      <vt:variant>
        <vt:lpwstr/>
      </vt:variant>
      <vt:variant>
        <vt:lpwstr>_Toc232671737</vt:lpwstr>
      </vt:variant>
      <vt:variant>
        <vt:i4>1048624</vt:i4>
      </vt:variant>
      <vt:variant>
        <vt:i4>185</vt:i4>
      </vt:variant>
      <vt:variant>
        <vt:i4>0</vt:i4>
      </vt:variant>
      <vt:variant>
        <vt:i4>5</vt:i4>
      </vt:variant>
      <vt:variant>
        <vt:lpwstr/>
      </vt:variant>
      <vt:variant>
        <vt:lpwstr>_Toc232671736</vt:lpwstr>
      </vt:variant>
      <vt:variant>
        <vt:i4>1048624</vt:i4>
      </vt:variant>
      <vt:variant>
        <vt:i4>179</vt:i4>
      </vt:variant>
      <vt:variant>
        <vt:i4>0</vt:i4>
      </vt:variant>
      <vt:variant>
        <vt:i4>5</vt:i4>
      </vt:variant>
      <vt:variant>
        <vt:lpwstr/>
      </vt:variant>
      <vt:variant>
        <vt:lpwstr>_Toc232671735</vt:lpwstr>
      </vt:variant>
      <vt:variant>
        <vt:i4>1048624</vt:i4>
      </vt:variant>
      <vt:variant>
        <vt:i4>173</vt:i4>
      </vt:variant>
      <vt:variant>
        <vt:i4>0</vt:i4>
      </vt:variant>
      <vt:variant>
        <vt:i4>5</vt:i4>
      </vt:variant>
      <vt:variant>
        <vt:lpwstr/>
      </vt:variant>
      <vt:variant>
        <vt:lpwstr>_Toc232671734</vt:lpwstr>
      </vt:variant>
      <vt:variant>
        <vt:i4>1048624</vt:i4>
      </vt:variant>
      <vt:variant>
        <vt:i4>167</vt:i4>
      </vt:variant>
      <vt:variant>
        <vt:i4>0</vt:i4>
      </vt:variant>
      <vt:variant>
        <vt:i4>5</vt:i4>
      </vt:variant>
      <vt:variant>
        <vt:lpwstr/>
      </vt:variant>
      <vt:variant>
        <vt:lpwstr>_Toc232671733</vt:lpwstr>
      </vt:variant>
      <vt:variant>
        <vt:i4>1048624</vt:i4>
      </vt:variant>
      <vt:variant>
        <vt:i4>161</vt:i4>
      </vt:variant>
      <vt:variant>
        <vt:i4>0</vt:i4>
      </vt:variant>
      <vt:variant>
        <vt:i4>5</vt:i4>
      </vt:variant>
      <vt:variant>
        <vt:lpwstr/>
      </vt:variant>
      <vt:variant>
        <vt:lpwstr>_Toc232671732</vt:lpwstr>
      </vt:variant>
      <vt:variant>
        <vt:i4>1048624</vt:i4>
      </vt:variant>
      <vt:variant>
        <vt:i4>155</vt:i4>
      </vt:variant>
      <vt:variant>
        <vt:i4>0</vt:i4>
      </vt:variant>
      <vt:variant>
        <vt:i4>5</vt:i4>
      </vt:variant>
      <vt:variant>
        <vt:lpwstr/>
      </vt:variant>
      <vt:variant>
        <vt:lpwstr>_Toc232671731</vt:lpwstr>
      </vt:variant>
      <vt:variant>
        <vt:i4>1048624</vt:i4>
      </vt:variant>
      <vt:variant>
        <vt:i4>149</vt:i4>
      </vt:variant>
      <vt:variant>
        <vt:i4>0</vt:i4>
      </vt:variant>
      <vt:variant>
        <vt:i4>5</vt:i4>
      </vt:variant>
      <vt:variant>
        <vt:lpwstr/>
      </vt:variant>
      <vt:variant>
        <vt:lpwstr>_Toc232671730</vt:lpwstr>
      </vt:variant>
      <vt:variant>
        <vt:i4>1114160</vt:i4>
      </vt:variant>
      <vt:variant>
        <vt:i4>143</vt:i4>
      </vt:variant>
      <vt:variant>
        <vt:i4>0</vt:i4>
      </vt:variant>
      <vt:variant>
        <vt:i4>5</vt:i4>
      </vt:variant>
      <vt:variant>
        <vt:lpwstr/>
      </vt:variant>
      <vt:variant>
        <vt:lpwstr>_Toc232671729</vt:lpwstr>
      </vt:variant>
      <vt:variant>
        <vt:i4>1114160</vt:i4>
      </vt:variant>
      <vt:variant>
        <vt:i4>137</vt:i4>
      </vt:variant>
      <vt:variant>
        <vt:i4>0</vt:i4>
      </vt:variant>
      <vt:variant>
        <vt:i4>5</vt:i4>
      </vt:variant>
      <vt:variant>
        <vt:lpwstr/>
      </vt:variant>
      <vt:variant>
        <vt:lpwstr>_Toc232671728</vt:lpwstr>
      </vt:variant>
      <vt:variant>
        <vt:i4>1114160</vt:i4>
      </vt:variant>
      <vt:variant>
        <vt:i4>131</vt:i4>
      </vt:variant>
      <vt:variant>
        <vt:i4>0</vt:i4>
      </vt:variant>
      <vt:variant>
        <vt:i4>5</vt:i4>
      </vt:variant>
      <vt:variant>
        <vt:lpwstr/>
      </vt:variant>
      <vt:variant>
        <vt:lpwstr>_Toc232671727</vt:lpwstr>
      </vt:variant>
      <vt:variant>
        <vt:i4>1114160</vt:i4>
      </vt:variant>
      <vt:variant>
        <vt:i4>125</vt:i4>
      </vt:variant>
      <vt:variant>
        <vt:i4>0</vt:i4>
      </vt:variant>
      <vt:variant>
        <vt:i4>5</vt:i4>
      </vt:variant>
      <vt:variant>
        <vt:lpwstr/>
      </vt:variant>
      <vt:variant>
        <vt:lpwstr>_Toc232671726</vt:lpwstr>
      </vt:variant>
      <vt:variant>
        <vt:i4>1114160</vt:i4>
      </vt:variant>
      <vt:variant>
        <vt:i4>119</vt:i4>
      </vt:variant>
      <vt:variant>
        <vt:i4>0</vt:i4>
      </vt:variant>
      <vt:variant>
        <vt:i4>5</vt:i4>
      </vt:variant>
      <vt:variant>
        <vt:lpwstr/>
      </vt:variant>
      <vt:variant>
        <vt:lpwstr>_Toc232671725</vt:lpwstr>
      </vt:variant>
      <vt:variant>
        <vt:i4>1114160</vt:i4>
      </vt:variant>
      <vt:variant>
        <vt:i4>113</vt:i4>
      </vt:variant>
      <vt:variant>
        <vt:i4>0</vt:i4>
      </vt:variant>
      <vt:variant>
        <vt:i4>5</vt:i4>
      </vt:variant>
      <vt:variant>
        <vt:lpwstr/>
      </vt:variant>
      <vt:variant>
        <vt:lpwstr>_Toc232671724</vt:lpwstr>
      </vt:variant>
      <vt:variant>
        <vt:i4>1114160</vt:i4>
      </vt:variant>
      <vt:variant>
        <vt:i4>107</vt:i4>
      </vt:variant>
      <vt:variant>
        <vt:i4>0</vt:i4>
      </vt:variant>
      <vt:variant>
        <vt:i4>5</vt:i4>
      </vt:variant>
      <vt:variant>
        <vt:lpwstr/>
      </vt:variant>
      <vt:variant>
        <vt:lpwstr>_Toc232671723</vt:lpwstr>
      </vt:variant>
      <vt:variant>
        <vt:i4>1114160</vt:i4>
      </vt:variant>
      <vt:variant>
        <vt:i4>101</vt:i4>
      </vt:variant>
      <vt:variant>
        <vt:i4>0</vt:i4>
      </vt:variant>
      <vt:variant>
        <vt:i4>5</vt:i4>
      </vt:variant>
      <vt:variant>
        <vt:lpwstr/>
      </vt:variant>
      <vt:variant>
        <vt:lpwstr>_Toc232671722</vt:lpwstr>
      </vt:variant>
      <vt:variant>
        <vt:i4>1114160</vt:i4>
      </vt:variant>
      <vt:variant>
        <vt:i4>95</vt:i4>
      </vt:variant>
      <vt:variant>
        <vt:i4>0</vt:i4>
      </vt:variant>
      <vt:variant>
        <vt:i4>5</vt:i4>
      </vt:variant>
      <vt:variant>
        <vt:lpwstr/>
      </vt:variant>
      <vt:variant>
        <vt:lpwstr>_Toc232671721</vt:lpwstr>
      </vt:variant>
      <vt:variant>
        <vt:i4>1114160</vt:i4>
      </vt:variant>
      <vt:variant>
        <vt:i4>89</vt:i4>
      </vt:variant>
      <vt:variant>
        <vt:i4>0</vt:i4>
      </vt:variant>
      <vt:variant>
        <vt:i4>5</vt:i4>
      </vt:variant>
      <vt:variant>
        <vt:lpwstr/>
      </vt:variant>
      <vt:variant>
        <vt:lpwstr>_Toc232671720</vt:lpwstr>
      </vt:variant>
      <vt:variant>
        <vt:i4>1179696</vt:i4>
      </vt:variant>
      <vt:variant>
        <vt:i4>83</vt:i4>
      </vt:variant>
      <vt:variant>
        <vt:i4>0</vt:i4>
      </vt:variant>
      <vt:variant>
        <vt:i4>5</vt:i4>
      </vt:variant>
      <vt:variant>
        <vt:lpwstr/>
      </vt:variant>
      <vt:variant>
        <vt:lpwstr>_Toc232671719</vt:lpwstr>
      </vt:variant>
      <vt:variant>
        <vt:i4>1179696</vt:i4>
      </vt:variant>
      <vt:variant>
        <vt:i4>77</vt:i4>
      </vt:variant>
      <vt:variant>
        <vt:i4>0</vt:i4>
      </vt:variant>
      <vt:variant>
        <vt:i4>5</vt:i4>
      </vt:variant>
      <vt:variant>
        <vt:lpwstr/>
      </vt:variant>
      <vt:variant>
        <vt:lpwstr>_Toc232671718</vt:lpwstr>
      </vt:variant>
      <vt:variant>
        <vt:i4>1179696</vt:i4>
      </vt:variant>
      <vt:variant>
        <vt:i4>71</vt:i4>
      </vt:variant>
      <vt:variant>
        <vt:i4>0</vt:i4>
      </vt:variant>
      <vt:variant>
        <vt:i4>5</vt:i4>
      </vt:variant>
      <vt:variant>
        <vt:lpwstr/>
      </vt:variant>
      <vt:variant>
        <vt:lpwstr>_Toc232671717</vt:lpwstr>
      </vt:variant>
      <vt:variant>
        <vt:i4>1966142</vt:i4>
      </vt:variant>
      <vt:variant>
        <vt:i4>62</vt:i4>
      </vt:variant>
      <vt:variant>
        <vt:i4>0</vt:i4>
      </vt:variant>
      <vt:variant>
        <vt:i4>5</vt:i4>
      </vt:variant>
      <vt:variant>
        <vt:lpwstr/>
      </vt:variant>
      <vt:variant>
        <vt:lpwstr>_Toc232674980</vt:lpwstr>
      </vt:variant>
      <vt:variant>
        <vt:i4>1114174</vt:i4>
      </vt:variant>
      <vt:variant>
        <vt:i4>56</vt:i4>
      </vt:variant>
      <vt:variant>
        <vt:i4>0</vt:i4>
      </vt:variant>
      <vt:variant>
        <vt:i4>5</vt:i4>
      </vt:variant>
      <vt:variant>
        <vt:lpwstr/>
      </vt:variant>
      <vt:variant>
        <vt:lpwstr>_Toc232674979</vt:lpwstr>
      </vt:variant>
      <vt:variant>
        <vt:i4>1114174</vt:i4>
      </vt:variant>
      <vt:variant>
        <vt:i4>50</vt:i4>
      </vt:variant>
      <vt:variant>
        <vt:i4>0</vt:i4>
      </vt:variant>
      <vt:variant>
        <vt:i4>5</vt:i4>
      </vt:variant>
      <vt:variant>
        <vt:lpwstr/>
      </vt:variant>
      <vt:variant>
        <vt:lpwstr>_Toc232674978</vt:lpwstr>
      </vt:variant>
      <vt:variant>
        <vt:i4>1114174</vt:i4>
      </vt:variant>
      <vt:variant>
        <vt:i4>44</vt:i4>
      </vt:variant>
      <vt:variant>
        <vt:i4>0</vt:i4>
      </vt:variant>
      <vt:variant>
        <vt:i4>5</vt:i4>
      </vt:variant>
      <vt:variant>
        <vt:lpwstr/>
      </vt:variant>
      <vt:variant>
        <vt:lpwstr>_Toc232674977</vt:lpwstr>
      </vt:variant>
      <vt:variant>
        <vt:i4>1114174</vt:i4>
      </vt:variant>
      <vt:variant>
        <vt:i4>38</vt:i4>
      </vt:variant>
      <vt:variant>
        <vt:i4>0</vt:i4>
      </vt:variant>
      <vt:variant>
        <vt:i4>5</vt:i4>
      </vt:variant>
      <vt:variant>
        <vt:lpwstr/>
      </vt:variant>
      <vt:variant>
        <vt:lpwstr>_Toc232674976</vt:lpwstr>
      </vt:variant>
      <vt:variant>
        <vt:i4>1114174</vt:i4>
      </vt:variant>
      <vt:variant>
        <vt:i4>32</vt:i4>
      </vt:variant>
      <vt:variant>
        <vt:i4>0</vt:i4>
      </vt:variant>
      <vt:variant>
        <vt:i4>5</vt:i4>
      </vt:variant>
      <vt:variant>
        <vt:lpwstr/>
      </vt:variant>
      <vt:variant>
        <vt:lpwstr>_Toc232674975</vt:lpwstr>
      </vt:variant>
      <vt:variant>
        <vt:i4>1114174</vt:i4>
      </vt:variant>
      <vt:variant>
        <vt:i4>26</vt:i4>
      </vt:variant>
      <vt:variant>
        <vt:i4>0</vt:i4>
      </vt:variant>
      <vt:variant>
        <vt:i4>5</vt:i4>
      </vt:variant>
      <vt:variant>
        <vt:lpwstr/>
      </vt:variant>
      <vt:variant>
        <vt:lpwstr>_Toc232674974</vt:lpwstr>
      </vt:variant>
      <vt:variant>
        <vt:i4>1114174</vt:i4>
      </vt:variant>
      <vt:variant>
        <vt:i4>20</vt:i4>
      </vt:variant>
      <vt:variant>
        <vt:i4>0</vt:i4>
      </vt:variant>
      <vt:variant>
        <vt:i4>5</vt:i4>
      </vt:variant>
      <vt:variant>
        <vt:lpwstr/>
      </vt:variant>
      <vt:variant>
        <vt:lpwstr>_Toc232674973</vt:lpwstr>
      </vt:variant>
      <vt:variant>
        <vt:i4>1114174</vt:i4>
      </vt:variant>
      <vt:variant>
        <vt:i4>14</vt:i4>
      </vt:variant>
      <vt:variant>
        <vt:i4>0</vt:i4>
      </vt:variant>
      <vt:variant>
        <vt:i4>5</vt:i4>
      </vt:variant>
      <vt:variant>
        <vt:lpwstr/>
      </vt:variant>
      <vt:variant>
        <vt:lpwstr>_Toc232674972</vt:lpwstr>
      </vt:variant>
      <vt:variant>
        <vt:i4>1114174</vt:i4>
      </vt:variant>
      <vt:variant>
        <vt:i4>8</vt:i4>
      </vt:variant>
      <vt:variant>
        <vt:i4>0</vt:i4>
      </vt:variant>
      <vt:variant>
        <vt:i4>5</vt:i4>
      </vt:variant>
      <vt:variant>
        <vt:lpwstr/>
      </vt:variant>
      <vt:variant>
        <vt:lpwstr>_Toc232674971</vt:lpwstr>
      </vt:variant>
      <vt:variant>
        <vt:i4>1114174</vt:i4>
      </vt:variant>
      <vt:variant>
        <vt:i4>2</vt:i4>
      </vt:variant>
      <vt:variant>
        <vt:i4>0</vt:i4>
      </vt:variant>
      <vt:variant>
        <vt:i4>5</vt:i4>
      </vt:variant>
      <vt:variant>
        <vt:lpwstr/>
      </vt:variant>
      <vt:variant>
        <vt:lpwstr>_Toc232674970</vt:lpwstr>
      </vt:variant>
      <vt:variant>
        <vt:i4>8126534</vt:i4>
      </vt:variant>
      <vt:variant>
        <vt:i4>6</vt:i4>
      </vt:variant>
      <vt:variant>
        <vt:i4>0</vt:i4>
      </vt:variant>
      <vt:variant>
        <vt:i4>5</vt:i4>
      </vt:variant>
      <vt:variant>
        <vt:lpwstr>https://eur-lex.europa.eu/legal-content/EN/TXT/PDF/?uri=OJ:L_202400765</vt:lpwstr>
      </vt:variant>
      <vt:variant>
        <vt:lpwstr/>
      </vt:variant>
      <vt:variant>
        <vt:i4>2752541</vt:i4>
      </vt:variant>
      <vt:variant>
        <vt:i4>3</vt:i4>
      </vt:variant>
      <vt:variant>
        <vt:i4>0</vt:i4>
      </vt:variant>
      <vt:variant>
        <vt:i4>5</vt:i4>
      </vt:variant>
      <vt:variant>
        <vt:lpwstr>https://ec.europa.eu/info/publications/integrated-financial-and-accountability-reporting_en</vt:lpwstr>
      </vt:variant>
      <vt:variant>
        <vt:lpwstr/>
      </vt:variant>
      <vt:variant>
        <vt:i4>524316</vt:i4>
      </vt:variant>
      <vt:variant>
        <vt:i4>0</vt:i4>
      </vt:variant>
      <vt:variant>
        <vt:i4>0</vt:i4>
      </vt:variant>
      <vt:variant>
        <vt:i4>5</vt:i4>
      </vt:variant>
      <vt:variant>
        <vt:lpwstr>https://data.europa.eu/doi/10.2761/302803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SVC-T1-CODE-PRD</cp:lastModifiedBy>
  <cp:revision>141</cp:revision>
  <dcterms:created xsi:type="dcterms:W3CDTF">2026-06-16T10:00:00Z</dcterms:created>
  <dcterms:modified xsi:type="dcterms:W3CDTF">2026-08-31T13:24:00Z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Culture00">
    <vt:lpwstr>IAsAAB+LCAAAAAAABAA9lomV4zAMQ1syqbse9d/D4IPKvE02HlvmAYCQ4rQb7X7610JX527/Uf+6vtnW3fOeuOvcjLyz3/xuhL6t3cx5e/KJfWOcG50H68bqd3Gpq3njW4rUbtfq2/Q36TJ0EavW6H/HjjO0cugNQuZVyE5G3VGGjOMnyfW82RXl07frTxUz9ESJRqego2Bb9/WgK/zct6uD79yhTucgGfUOvUAzREzWqRrWU5xejUma5nURpKP</vt:lpwstr>
  </property>
  <property fmtid="{D5CDD505-2E9C-101B-9397-08002B2CF9AE}" pid="3" name="DMCulture01">
    <vt:lpwstr>oU7+j+b1xNyGrBWWjmKw3VIfSCddM4XH7MDAZ3Z2v4Gmn63NpWsiOCqtyA0poyzgViDEoU2vojueOpPWHj+LF1gtfNznR9m3CQncgSHXFer+N9a06b8XY1MvUmsbgJB86PzzuVXeGSwU3kZtODLO/KPp+rbhTLZQSfJdhMtck/N6vdAURq1V70hhkiOoRxbSaFSrtChC1Mrrpy2NegTb0p1vZ3dGcSRjv5U71Au+kFksk8RXL8ytEhaIb0C31QP</vt:lpwstr>
  </property>
  <property fmtid="{D5CDD505-2E9C-101B-9397-08002B2CF9AE}" pid="4" name="DMCulture02">
    <vt:lpwstr>bgPbj+tntxpqJ/TJMDQHRrZugAYqnNvSklIp8vl6KciSD1jCIAEoVvOEBJ31OVfhepRCuzsT/Pyb7jAUM5ummRKMMkw9G9RPl6vlYFQ2aQrZiqiuXufbWiMsBFgDieCqFrRCeagmEajoY6PMPDQVPX3IpwPiVXlztMk5Yo2hg1jl/h3zzCyIDc7rNbzjmGa+kOBPL9uMjTbSOCwSgdxjX1zJO3LRcVPhda5j4g+QUxLW+ZCcylblciqCS+VlH56</vt:lpwstr>
  </property>
  <property fmtid="{D5CDD505-2E9C-101B-9397-08002B2CF9AE}" pid="5" name="DMCulture03">
    <vt:lpwstr>LIMZenhsZoz6HbUGO+Sq/hJ1Jv1O2uYrH3G465lqAkk2hhE2WFCUnYT9ZLHkrmcUrCKG2lxsdiDgXZ2d+aJh9RArGEN5Vs/SoBYyQMTzIzIsWI8CYSclAa8/Tf4nwWJPJG66kMrAmp/zxU0TYU1fimOLcjPXmOvhWoNua6S4USzglHGgEGiIxTUvTVgIgKIjeOU6g1AL6RQM8JR/apOGp813xrfvUq7X9VGS+gDScebwlMVUM88NjNjh8mxHVAm</vt:lpwstr>
  </property>
  <property fmtid="{D5CDD505-2E9C-101B-9397-08002B2CF9AE}" pid="6" name="DMCulture04">
    <vt:lpwstr>9xhaBOBR77ZePIzHP3ejA2G1iklblgOXytWUqBfdYAW8/Zm3cGED+Z4dz/IRkmAL61UudJ9nEHuOGvc3lr12RTtEgwGMBPdS3sHueuEwatPoFvLJ2oBQGBUjpXzT4s1pFvlsqYLL7CzvdjPrKYoVL7vWA4JE5H2OIWPzYud+VirdjtqNkMIpI+x2ZRVOcsQCaUmDEPT2IdNLo5I9Hi5vlIrtPsMtEDfT1Y9mLNA1SbUIENw5MEQ56ihCJEKV/3v</vt:lpwstr>
  </property>
  <property fmtid="{D5CDD505-2E9C-101B-9397-08002B2CF9AE}" pid="7" name="DMCulture05">
    <vt:lpwstr>bkB+IgTe8AWoxTCa0rA4VecM42AGVuDClm4xOYvoMDfL3LNYmn87B8WNbdulVWMn2gaYOEUrHtvm5ZNVAE6fURFvD3c0i9B1P4JtRUp/j1Mwy4ApAn3p5vrvtHahO8fw/DyBcm7s0wy5jt6LH87a5eKIcHjGE872tVSWO+eNh1rEOJNb1iQRxIIltmg3HqIMc9gH44pYntthn3XYB1AQbVtR855Jh+wNAGQPm/dnlPQEiU+VbjrOoY5NRCE51TF</vt:lpwstr>
  </property>
  <property fmtid="{D5CDD505-2E9C-101B-9397-08002B2CF9AE}" pid="8" name="DMCulture06">
    <vt:lpwstr>MvS8x3XlEjc5VGF3ZwyrQ4t0Hpqso76JEGw7Yn6Cyi1lQoO6BeB+s1feqxySg+VitR+diUZZJf8R/O5oG3AOtkVKfiP+Hn1McgCwAA</vt:lpwstr>
  </property>
  <property fmtid="{D5CDD505-2E9C-101B-9397-08002B2CF9AE}" pid="9" name="frecMETA00">
    <vt:lpwstr>4A0AAB+LCAAAAAAABABFl4mRZCEMQ1PCgDniIf8cVk/+PVs1PX0BtiVZpmOMd/rb48XUY4232+vz9bHfPq+H3vV4Ga+3eLNpWXpJvqnP4mpPvMiX+y29afdlvthae31cH+ftri/Oy/nu1HdLj+3v73GgGNrF9rsVRouHEtA3evNC2XWt3eknwut/amPTcf3p+KGv+qWGTnLTT/G91d/RqeGn+ou+neTRSkVQnDinTldl1HPe0edVfiwSeqGHY2x</vt:lpwstr>
  </property>
  <property fmtid="{D5CDD505-2E9C-101B-9397-08002B2CF9AE}" pid="10" name="frecMETA01">
    <vt:lpwstr>/qdqHaiSN7fpURp+VLqGpah29fGCgKHM/QS3M2Kz6Iu87QLR0RFaZOqKvN5pBS8UUYqEYflxA1Gc8pYtNbSHJTv3dRy2dpP0sPoWS1ikJztTRPiAh5T6tjhtvvFVcNNBQPKEZoomkqElJq9AOXh+xHZx0/JwP2JKjB4B2Z17suB4qHYbbBaUrFI76L0HBvjFSxKtkOAvu+hOxB9wiFE37Z+nzfiDAOYTnrmzzOq9QgZwLJsTtFKokIUCiGuGV4k</vt:lpwstr>
  </property>
  <property fmtid="{D5CDD505-2E9C-101B-9397-08002B2CF9AE}" pid="11" name="frecMETA02">
    <vt:lpwstr>iHrZIX8YSik7hQRI1U072f+vQ1cXQ2xAFSuiKdg6iCY5ULtSTyRk0oHHEp+C0I1CdaqPB9KsmwZqv2SqQA5JMDKKwb7hLqRGnOwYHpMvUJ3BW6zvQ6MBRT8YQkafm4BUOSRb4oXDpROwdYdBOGcG9RjoCihev6e7TqOxQo3Gil8bxVZzWQ5exW6WAWKohqc5v+axcxbVEHsGQ9iUaNudLr1T68geLlYEd5iEhtbu6vdNu74a3Rq1a8xfcMh4Zrp</vt:lpwstr>
  </property>
  <property fmtid="{D5CDD505-2E9C-101B-9397-08002B2CF9AE}" pid="12" name="frecMETA03">
    <vt:lpwstr>48ZnVEdZiqsrb1KDVIGdT6SJJ5IElzOH6lBW5pg5CkkWAwhfVuF8EnrYwcEUT12gLQR0jzZ7HTQNAsbEkE5JBplZYZarwCmHED5bVdPJkhg6VlUbXgu1QU2UOA59VUe/dMqD/afsqJgOb0wS06mZxdd+Ll37q9NyHDZRuJEORmGH1GYO6RwObQ/qct9wuTH7hUVz5UnlL1sBootBHmpZvpKBeuVGgDtCFkFvsMxPTWiXG/ZKPQXrdEQuSpG1EPY</vt:lpwstr>
  </property>
  <property fmtid="{D5CDD505-2E9C-101B-9397-08002B2CF9AE}" pid="13" name="frecMETA04">
    <vt:lpwstr>6RMbxNq2QQBXKy1T6hTgxqQMVxWtVxFZTq4C5brD6EbA0fJZ6zN6LY1LGgyqa9MhK+sjtJDPVc90BljfHNawB0n7NFdTAUUBtwC63Ra0SyjTUvPsnF8TihJmVn7zkN14E7oDA0VE4OpTKaVmCD5qpnF/Go/9q3+NHFYCPHg6C57rT5bd/LjzGLTYihshzIMKgWyZx7ATnQISdQkIjBTLM17d2CPQXo3lnsn4pGbDwJjbKpVLIoitupbSPYHVJx4</vt:lpwstr>
  </property>
  <property fmtid="{D5CDD505-2E9C-101B-9397-08002B2CF9AE}" pid="14" name="frecMETA05">
    <vt:lpwstr>K7TqHaWHQQb6NZGWGNf8GYc1PNKd84dTTDpMZZaxsxs/SC6VZgz7xFFtBujd6/6bwvjW29Y33EYjwAkhwpQUDovgmSTL8sD70HLvsbvbiXIQzx+ZnQ7id1Wr/3dWH0zXM8mrQ/7zUdru/tr72h/bfyeSEp3xEufi0sDQ9hGogN+fjPlsWDr6lAAqFB2aJ5ZRNcL9iXHXf8eqqI/sa36ypO0iv9nIXkR4jy91UaXrYMIVrTsDicSfTl7OGSi7bi8</vt:lpwstr>
  </property>
  <property fmtid="{D5CDD505-2E9C-101B-9397-08002B2CF9AE}" pid="15" name="frecMETA06">
    <vt:lpwstr>D0XWj7ILuDjTNqknFpUSp8gogRHThx6nJfU2PznXPVLaqV8eNIQnrW1L1ZXoYIYPu6y1QdxUSJzF7GeA7SqCF3yvwtVBRIR/24al9/cMlbXJkQuO8ao8Y0WrqYvavDXaZnbCtTNeA6TyxPPB4keg2GU97uWdJKkCAgapiC47s70TZR/BwblS1X2VzY43j+CkgPoeaLru/YzU27K1zdz9cHOQMxPIY/J1h2apuNQBnfVRHEPODTr0OWzQl4HheM7</vt:lpwstr>
  </property>
  <property fmtid="{D5CDD505-2E9C-101B-9397-08002B2CF9AE}" pid="16" name="frecMETA07">
    <vt:lpwstr>SCQZuKy7qDIEZjmd8UDzlvzpu68Hum3dO5It3pLqfiHwN9EYhB8useLVfotznDQslVvJr1umpUsYKC7+emvNB29fsEggPP1mD7CXfit4dzDE94/g4pLBug3d2PURftE1cuRza4Mho1WVq2q6l4bgYeIhIC2ud8MCscLZNUSKpeR3y2Y+yiThL41hN+1vtVYgh3bzfx+2JjD/mtgZ9590fHGrFH3/cxp/wAWhYDH4A0AAA==</vt:lpwstr>
  </property>
  <property fmtid="{D5CDD505-2E9C-101B-9397-08002B2CF9AE}" pid="17" name="MSIP_Label_6bd9ddd1-4d20-43f6-abfa-fc3c07406f94_ActionId">
    <vt:lpwstr>87aa256e-1c33-4277-9bca-371232831706</vt:lpwstr>
  </property>
  <property fmtid="{D5CDD505-2E9C-101B-9397-08002B2CF9AE}" pid="18" name="MSIP_Label_6bd9ddd1-4d20-43f6-abfa-fc3c07406f94_ContentBits">
    <vt:lpwstr>0</vt:lpwstr>
  </property>
  <property fmtid="{D5CDD505-2E9C-101B-9397-08002B2CF9AE}" pid="19" name="MSIP_Label_6bd9ddd1-4d20-43f6-abfa-fc3c07406f94_Enabled">
    <vt:lpwstr>true</vt:lpwstr>
  </property>
  <property fmtid="{D5CDD505-2E9C-101B-9397-08002B2CF9AE}" pid="20" name="MSIP_Label_6bd9ddd1-4d20-43f6-abfa-fc3c07406f94_Method">
    <vt:lpwstr>Standard</vt:lpwstr>
  </property>
  <property fmtid="{D5CDD505-2E9C-101B-9397-08002B2CF9AE}" pid="21" name="MSIP_Label_6bd9ddd1-4d20-43f6-abfa-fc3c07406f94_Name">
    <vt:lpwstr>Commission Use</vt:lpwstr>
  </property>
  <property fmtid="{D5CDD505-2E9C-101B-9397-08002B2CF9AE}" pid="22" name="MSIP_Label_6bd9ddd1-4d20-43f6-abfa-fc3c07406f94_SetDate">
    <vt:lpwstr>2023-08-28T14:33:22Z</vt:lpwstr>
  </property>
  <property fmtid="{D5CDD505-2E9C-101B-9397-08002B2CF9AE}" pid="23" name="MSIP_Label_6bd9ddd1-4d20-43f6-abfa-fc3c07406f94_SiteId">
    <vt:lpwstr>b24c8b06-522c-46fe-9080-70926f8dddb1</vt:lpwstr>
  </property>
  <property fmtid="{D5CDD505-2E9C-101B-9397-08002B2CF9AE}" pid="24" name="PeriodId">
    <vt:i4>22</vt:i4>
  </property>
  <property fmtid="{D5CDD505-2E9C-101B-9397-08002B2CF9AE}" pid="25" name="PeriodName">
    <vt:lpwstr>2025 Annual Accounts</vt:lpwstr>
  </property>
  <property fmtid="{D5CDD505-2E9C-101B-9397-08002B2CF9AE}" pid="26" name="ReportId">
    <vt:i4>533</vt:i4>
  </property>
  <property fmtid="{D5CDD505-2E9C-101B-9397-08002B2CF9AE}" pid="27" name="ReportName">
    <vt:lpwstr>EU Annual Accounts</vt:lpwstr>
  </property>
  <property fmtid="{D5CDD505-2E9C-101B-9397-08002B2CF9AE}" pid="28" name="synchronize">
    <vt:lpwstr>on</vt:lpwstr>
  </property>
  <property fmtid="{D5CDD505-2E9C-101B-9397-08002B2CF9AE}" pid="29" name="TemplateId">
    <vt:i4>2154</vt:i4>
  </property>
  <property fmtid="{D5CDD505-2E9C-101B-9397-08002B2CF9AE}" pid="30" name="UseLegacyExcelTemplate">
    <vt:bool>true</vt:bool>
  </property>
  <property fmtid="{D5CDD505-2E9C-101B-9397-08002B2CF9AE}" pid="31" name="ContentTypeId">
    <vt:lpwstr>0x0101004F6C807E458D104F97AC4CDBE48BF256</vt:lpwstr>
  </property>
  <property fmtid="{D5CDD505-2E9C-101B-9397-08002B2CF9AE}" pid="32" name="Level of sensitivity">
    <vt:lpwstr>Standard treatment</vt:lpwstr>
  </property>
  <property fmtid="{D5CDD505-2E9C-101B-9397-08002B2CF9AE}" pid="33" name="Part">
    <vt:lpwstr>1</vt:lpwstr>
  </property>
  <property fmtid="{D5CDD505-2E9C-101B-9397-08002B2CF9AE}" pid="34" name="Total parts">
    <vt:lpwstr>1</vt:lpwstr>
  </property>
  <property fmtid="{D5CDD505-2E9C-101B-9397-08002B2CF9AE}" pid="35" name="DocStatus">
    <vt:lpwstr>Green</vt:lpwstr>
  </property>
  <property fmtid="{D5CDD505-2E9C-101B-9397-08002B2CF9AE}" pid="36" name="CPTemplateID">
    <vt:lpwstr>CP-009</vt:lpwstr>
  </property>
  <property fmtid="{D5CDD505-2E9C-101B-9397-08002B2CF9AE}" pid="37" name="Last edited using">
    <vt:lpwstr>LW 9.2, Build 20250828</vt:lpwstr>
  </property>
  <property fmtid="{D5CDD505-2E9C-101B-9397-08002B2CF9AE}" pid="38" name="Created using">
    <vt:lpwstr>LW 9.2, Build 20250828</vt:lpwstr>
  </property>
</Properties>
</file>